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20C66">
      <w:pPr>
        <w:pStyle w:val="2"/>
        <w:spacing w:line="317" w:lineRule="auto"/>
      </w:pPr>
    </w:p>
    <w:p w14:paraId="4AEDDF11">
      <w:pPr>
        <w:pStyle w:val="2"/>
        <w:spacing w:line="317" w:lineRule="auto"/>
      </w:pPr>
    </w:p>
    <w:p w14:paraId="33334973">
      <w:pPr>
        <w:pStyle w:val="2"/>
        <w:spacing w:line="318" w:lineRule="auto"/>
      </w:pPr>
    </w:p>
    <w:p w14:paraId="323C0F09">
      <w:pPr>
        <w:spacing w:before="169" w:line="334" w:lineRule="auto"/>
        <w:ind w:left="1579" w:hanging="1563"/>
        <w:rPr>
          <w:rFonts w:ascii="宋体" w:hAnsi="宋体" w:eastAsia="宋体" w:cs="宋体"/>
          <w:sz w:val="52"/>
          <w:szCs w:val="52"/>
        </w:rPr>
      </w:pPr>
      <w:r>
        <w:rPr>
          <w:rFonts w:ascii="宋体" w:hAnsi="宋体" w:eastAsia="宋体" w:cs="宋体"/>
          <w:b/>
          <w:bCs/>
          <w:spacing w:val="-6"/>
          <w:sz w:val="52"/>
          <w:szCs w:val="52"/>
        </w:rPr>
        <w:t>汕尾市天磊联信种养有限公司生猪养</w:t>
      </w:r>
      <w:r>
        <w:rPr>
          <w:rFonts w:ascii="宋体" w:hAnsi="宋体" w:eastAsia="宋体" w:cs="宋体"/>
          <w:spacing w:val="13"/>
          <w:sz w:val="52"/>
          <w:szCs w:val="52"/>
        </w:rPr>
        <w:t xml:space="preserve"> </w:t>
      </w:r>
      <w:r>
        <w:rPr>
          <w:rFonts w:ascii="宋体" w:hAnsi="宋体" w:eastAsia="宋体" w:cs="宋体"/>
          <w:b/>
          <w:bCs/>
          <w:spacing w:val="-6"/>
          <w:sz w:val="52"/>
          <w:szCs w:val="52"/>
        </w:rPr>
        <w:t>殖项目环境影响报告书</w:t>
      </w:r>
    </w:p>
    <w:p w14:paraId="5A4A8206">
      <w:pPr>
        <w:pStyle w:val="2"/>
        <w:spacing w:line="241" w:lineRule="auto"/>
      </w:pPr>
    </w:p>
    <w:p w14:paraId="5BE9A087">
      <w:pPr>
        <w:pStyle w:val="2"/>
        <w:spacing w:line="241" w:lineRule="auto"/>
      </w:pPr>
    </w:p>
    <w:p w14:paraId="6B3A8D9B">
      <w:pPr>
        <w:pStyle w:val="2"/>
        <w:spacing w:line="241" w:lineRule="auto"/>
      </w:pPr>
    </w:p>
    <w:p w14:paraId="79CC65D2">
      <w:pPr>
        <w:pStyle w:val="2"/>
        <w:spacing w:line="241" w:lineRule="auto"/>
      </w:pPr>
    </w:p>
    <w:p w14:paraId="2D375D27">
      <w:pPr>
        <w:pStyle w:val="2"/>
        <w:spacing w:line="241" w:lineRule="auto"/>
      </w:pPr>
    </w:p>
    <w:p w14:paraId="17C488C0">
      <w:pPr>
        <w:pStyle w:val="2"/>
        <w:spacing w:line="241" w:lineRule="auto"/>
      </w:pPr>
    </w:p>
    <w:p w14:paraId="16CB4C7C">
      <w:pPr>
        <w:pStyle w:val="2"/>
        <w:spacing w:line="241" w:lineRule="auto"/>
      </w:pPr>
    </w:p>
    <w:p w14:paraId="7D2BD674">
      <w:pPr>
        <w:pStyle w:val="2"/>
        <w:spacing w:line="241" w:lineRule="auto"/>
      </w:pPr>
    </w:p>
    <w:p w14:paraId="2506D5D2">
      <w:pPr>
        <w:pStyle w:val="2"/>
        <w:spacing w:line="241" w:lineRule="auto"/>
      </w:pPr>
    </w:p>
    <w:p w14:paraId="45899A6B">
      <w:pPr>
        <w:pStyle w:val="2"/>
        <w:spacing w:line="241" w:lineRule="auto"/>
      </w:pPr>
    </w:p>
    <w:p w14:paraId="765C34B3">
      <w:pPr>
        <w:pStyle w:val="2"/>
        <w:spacing w:line="241" w:lineRule="auto"/>
      </w:pPr>
    </w:p>
    <w:p w14:paraId="150C221F">
      <w:pPr>
        <w:pStyle w:val="2"/>
        <w:spacing w:line="241" w:lineRule="auto"/>
      </w:pPr>
    </w:p>
    <w:p w14:paraId="33D28220">
      <w:pPr>
        <w:pStyle w:val="2"/>
        <w:spacing w:line="241" w:lineRule="auto"/>
      </w:pPr>
    </w:p>
    <w:p w14:paraId="341EEB9F">
      <w:pPr>
        <w:pStyle w:val="2"/>
        <w:spacing w:line="241" w:lineRule="auto"/>
      </w:pPr>
    </w:p>
    <w:p w14:paraId="0EE381BE">
      <w:pPr>
        <w:pStyle w:val="2"/>
        <w:spacing w:line="241" w:lineRule="auto"/>
      </w:pPr>
    </w:p>
    <w:p w14:paraId="46572C89">
      <w:pPr>
        <w:pStyle w:val="2"/>
        <w:spacing w:line="241" w:lineRule="auto"/>
      </w:pPr>
    </w:p>
    <w:p w14:paraId="5469AB95">
      <w:pPr>
        <w:pStyle w:val="2"/>
        <w:spacing w:line="241" w:lineRule="auto"/>
      </w:pPr>
    </w:p>
    <w:p w14:paraId="6FE3E9DA">
      <w:pPr>
        <w:pStyle w:val="2"/>
        <w:spacing w:line="241" w:lineRule="auto"/>
      </w:pPr>
    </w:p>
    <w:p w14:paraId="0719EBB3">
      <w:pPr>
        <w:pStyle w:val="2"/>
        <w:spacing w:line="241" w:lineRule="auto"/>
      </w:pPr>
    </w:p>
    <w:p w14:paraId="6ED4FD3E">
      <w:pPr>
        <w:pStyle w:val="2"/>
        <w:spacing w:line="241" w:lineRule="auto"/>
      </w:pPr>
    </w:p>
    <w:p w14:paraId="0F1E8DC4">
      <w:pPr>
        <w:pStyle w:val="2"/>
        <w:spacing w:line="242" w:lineRule="auto"/>
      </w:pPr>
    </w:p>
    <w:p w14:paraId="3E054A4C">
      <w:pPr>
        <w:pStyle w:val="2"/>
        <w:spacing w:line="242" w:lineRule="auto"/>
      </w:pPr>
    </w:p>
    <w:p w14:paraId="264C75B3">
      <w:pPr>
        <w:pStyle w:val="2"/>
        <w:spacing w:line="242" w:lineRule="auto"/>
      </w:pPr>
    </w:p>
    <w:p w14:paraId="70CAE628">
      <w:pPr>
        <w:pStyle w:val="2"/>
        <w:spacing w:line="242" w:lineRule="auto"/>
      </w:pPr>
    </w:p>
    <w:p w14:paraId="0A710F1A">
      <w:pPr>
        <w:pStyle w:val="2"/>
        <w:spacing w:line="242" w:lineRule="auto"/>
      </w:pPr>
    </w:p>
    <w:p w14:paraId="369B0007">
      <w:pPr>
        <w:pStyle w:val="2"/>
        <w:spacing w:line="242" w:lineRule="auto"/>
      </w:pPr>
    </w:p>
    <w:p w14:paraId="2C29E32E">
      <w:pPr>
        <w:pStyle w:val="2"/>
        <w:spacing w:line="242" w:lineRule="auto"/>
      </w:pPr>
    </w:p>
    <w:p w14:paraId="132FD577">
      <w:pPr>
        <w:pStyle w:val="2"/>
        <w:spacing w:line="242" w:lineRule="auto"/>
      </w:pPr>
    </w:p>
    <w:p w14:paraId="1C71E2D8">
      <w:pPr>
        <w:pStyle w:val="2"/>
        <w:spacing w:line="242" w:lineRule="auto"/>
      </w:pPr>
    </w:p>
    <w:p w14:paraId="3D04FAD3">
      <w:pPr>
        <w:spacing w:before="91" w:line="221" w:lineRule="auto"/>
        <w:ind w:left="1581"/>
        <w:rPr>
          <w:rFonts w:ascii="宋体" w:hAnsi="宋体" w:eastAsia="宋体" w:cs="宋体"/>
          <w:sz w:val="28"/>
          <w:szCs w:val="28"/>
        </w:rPr>
      </w:pPr>
      <w:r>
        <w:rPr>
          <w:rFonts w:ascii="宋体" w:hAnsi="宋体" w:eastAsia="宋体" w:cs="宋体"/>
          <w:b/>
          <w:bCs/>
          <w:spacing w:val="-3"/>
          <w:sz w:val="28"/>
          <w:szCs w:val="28"/>
        </w:rPr>
        <w:t>建设单位：</w:t>
      </w:r>
      <w:r>
        <w:rPr>
          <w:rFonts w:ascii="宋体" w:hAnsi="宋体" w:eastAsia="宋体" w:cs="宋体"/>
          <w:spacing w:val="-3"/>
          <w:sz w:val="28"/>
          <w:szCs w:val="28"/>
        </w:rPr>
        <w:t xml:space="preserve"> </w:t>
      </w:r>
      <w:r>
        <w:rPr>
          <w:rFonts w:ascii="宋体" w:hAnsi="宋体" w:eastAsia="宋体" w:cs="宋体"/>
          <w:b/>
          <w:bCs/>
          <w:spacing w:val="-3"/>
          <w:sz w:val="28"/>
          <w:szCs w:val="28"/>
        </w:rPr>
        <w:t>汕尾市天磊联信种养有限公司</w:t>
      </w:r>
    </w:p>
    <w:p w14:paraId="22305DBD">
      <w:pPr>
        <w:spacing w:before="290" w:line="413" w:lineRule="auto"/>
        <w:ind w:left="3019" w:right="1785" w:hanging="1228"/>
        <w:rPr>
          <w:rFonts w:ascii="宋体" w:hAnsi="宋体" w:eastAsia="宋体" w:cs="宋体"/>
          <w:sz w:val="28"/>
          <w:szCs w:val="28"/>
        </w:rPr>
      </w:pPr>
      <w:r>
        <w:rPr>
          <w:rFonts w:ascii="宋体" w:hAnsi="宋体" w:eastAsia="宋体" w:cs="宋体"/>
          <w:b/>
          <w:bCs/>
          <w:spacing w:val="-3"/>
          <w:sz w:val="28"/>
          <w:szCs w:val="28"/>
        </w:rPr>
        <w:t>编制单位：广东绿佳环境科技有限公司</w:t>
      </w:r>
      <w:r>
        <w:rPr>
          <w:rFonts w:ascii="宋体" w:hAnsi="宋体" w:eastAsia="宋体" w:cs="宋体"/>
          <w:spacing w:val="5"/>
          <w:sz w:val="28"/>
          <w:szCs w:val="28"/>
        </w:rPr>
        <w:t xml:space="preserve"> </w:t>
      </w:r>
      <w:r>
        <w:rPr>
          <w:rFonts w:ascii="宋体" w:hAnsi="宋体" w:eastAsia="宋体" w:cs="宋体"/>
          <w:b/>
          <w:bCs/>
          <w:spacing w:val="-3"/>
          <w:sz w:val="28"/>
          <w:szCs w:val="28"/>
        </w:rPr>
        <w:t>编制时间：</w:t>
      </w:r>
      <w:r>
        <w:rPr>
          <w:rFonts w:ascii="Times New Roman" w:hAnsi="Times New Roman" w:eastAsia="Times New Roman" w:cs="Times New Roman"/>
          <w:b/>
          <w:bCs/>
          <w:spacing w:val="-3"/>
          <w:sz w:val="28"/>
          <w:szCs w:val="28"/>
        </w:rPr>
        <w:t xml:space="preserve">2021 </w:t>
      </w:r>
      <w:r>
        <w:rPr>
          <w:rFonts w:ascii="宋体" w:hAnsi="宋体" w:eastAsia="宋体" w:cs="宋体"/>
          <w:b/>
          <w:bCs/>
          <w:spacing w:val="-3"/>
          <w:sz w:val="28"/>
          <w:szCs w:val="28"/>
        </w:rPr>
        <w:t>年</w:t>
      </w:r>
      <w:r>
        <w:rPr>
          <w:rFonts w:ascii="宋体" w:hAnsi="宋体" w:eastAsia="宋体" w:cs="宋体"/>
          <w:spacing w:val="-58"/>
          <w:sz w:val="28"/>
          <w:szCs w:val="28"/>
        </w:rPr>
        <w:t xml:space="preserve"> </w:t>
      </w:r>
      <w:r>
        <w:rPr>
          <w:rFonts w:ascii="Times New Roman" w:hAnsi="Times New Roman" w:eastAsia="Times New Roman" w:cs="Times New Roman"/>
          <w:b/>
          <w:bCs/>
          <w:spacing w:val="-3"/>
          <w:sz w:val="28"/>
          <w:szCs w:val="28"/>
        </w:rPr>
        <w:t>4</w:t>
      </w:r>
      <w:r>
        <w:rPr>
          <w:rFonts w:ascii="Times New Roman" w:hAnsi="Times New Roman" w:eastAsia="Times New Roman" w:cs="Times New Roman"/>
          <w:b/>
          <w:bCs/>
          <w:spacing w:val="16"/>
          <w:sz w:val="28"/>
          <w:szCs w:val="28"/>
        </w:rPr>
        <w:t xml:space="preserve"> </w:t>
      </w:r>
      <w:r>
        <w:rPr>
          <w:rFonts w:ascii="宋体" w:hAnsi="宋体" w:eastAsia="宋体" w:cs="宋体"/>
          <w:b/>
          <w:bCs/>
          <w:spacing w:val="-3"/>
          <w:sz w:val="28"/>
          <w:szCs w:val="28"/>
        </w:rPr>
        <w:t>月</w:t>
      </w:r>
    </w:p>
    <w:p w14:paraId="4E55BC07">
      <w:pPr>
        <w:spacing w:line="413" w:lineRule="auto"/>
        <w:rPr>
          <w:rFonts w:ascii="宋体" w:hAnsi="宋体" w:eastAsia="宋体" w:cs="宋体"/>
          <w:sz w:val="28"/>
          <w:szCs w:val="28"/>
        </w:rPr>
        <w:sectPr>
          <w:pgSz w:w="11906" w:h="16839"/>
          <w:pgMar w:top="1431" w:right="1777" w:bottom="0" w:left="1785" w:header="0" w:footer="0" w:gutter="0"/>
          <w:cols w:space="720" w:num="1"/>
        </w:sectPr>
      </w:pPr>
    </w:p>
    <w:sdt>
      <w:sdtPr>
        <w:rPr>
          <w:rFonts w:ascii="宋体" w:hAnsi="宋体" w:eastAsia="宋体" w:cs="宋体"/>
          <w:sz w:val="28"/>
          <w:szCs w:val="28"/>
        </w:rPr>
        <w:id w:val="147474568"/>
        <w:docPartObj>
          <w:docPartGallery w:val="Table of Contents"/>
          <w:docPartUnique/>
        </w:docPartObj>
      </w:sdtPr>
      <w:sdtEndPr>
        <w:rPr>
          <w:rFonts w:ascii="Times New Roman" w:hAnsi="Times New Roman" w:eastAsia="Times New Roman" w:cs="Times New Roman"/>
          <w:sz w:val="24"/>
          <w:szCs w:val="24"/>
        </w:rPr>
      </w:sdtEndPr>
      <w:sdtContent>
        <w:p w14:paraId="78C96DCB">
          <w:pPr>
            <w:spacing w:before="157" w:line="223" w:lineRule="auto"/>
            <w:ind w:left="4230"/>
            <w:rPr>
              <w:rFonts w:ascii="宋体" w:hAnsi="宋体" w:eastAsia="宋体" w:cs="宋体"/>
              <w:sz w:val="28"/>
              <w:szCs w:val="28"/>
            </w:rPr>
          </w:pPr>
          <w:r>
            <w:rPr>
              <w:rFonts w:ascii="宋体" w:hAnsi="宋体" w:eastAsia="宋体" w:cs="宋体"/>
              <w:b/>
              <w:bCs/>
              <w:spacing w:val="-35"/>
              <w:sz w:val="28"/>
              <w:szCs w:val="28"/>
            </w:rPr>
            <w:t>目录</w:t>
          </w:r>
        </w:p>
        <w:p w14:paraId="5362ED90">
          <w:pPr>
            <w:tabs>
              <w:tab w:val="right" w:leader="dot" w:pos="8522"/>
            </w:tabs>
            <w:spacing w:before="285" w:line="186" w:lineRule="auto"/>
            <w:ind w:left="246"/>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Times New Roman" w:hAnsi="Times New Roman" w:eastAsia="Times New Roman" w:cs="Times New Roman"/>
              <w:b/>
              <w:bCs/>
              <w:spacing w:val="-12"/>
              <w:sz w:val="28"/>
              <w:szCs w:val="28"/>
            </w:rPr>
            <w:t>1</w:t>
          </w:r>
          <w:r>
            <w:rPr>
              <w:rFonts w:ascii="Times New Roman" w:hAnsi="Times New Roman" w:eastAsia="Times New Roman" w:cs="Times New Roman"/>
              <w:b/>
              <w:bCs/>
              <w:spacing w:val="5"/>
              <w:sz w:val="28"/>
              <w:szCs w:val="28"/>
            </w:rPr>
            <w:t xml:space="preserve">  </w:t>
          </w:r>
          <w:r>
            <w:rPr>
              <w:rFonts w:ascii="宋体" w:hAnsi="宋体" w:eastAsia="宋体" w:cs="宋体"/>
              <w:b/>
              <w:bCs/>
              <w:spacing w:val="-12"/>
              <w:sz w:val="28"/>
              <w:szCs w:val="28"/>
            </w:rPr>
            <w:t>概述</w:t>
          </w:r>
          <w:r>
            <w:rPr>
              <w:rFonts w:ascii="宋体" w:hAnsi="宋体" w:eastAsia="宋体" w:cs="宋体"/>
              <w:b/>
              <w:bCs/>
              <w:sz w:val="28"/>
              <w:szCs w:val="28"/>
            </w:rPr>
            <w:tab/>
          </w:r>
          <w:r>
            <w:rPr>
              <w:rFonts w:ascii="宋体" w:hAnsi="宋体" w:eastAsia="宋体" w:cs="宋体"/>
              <w:spacing w:val="-55"/>
              <w:sz w:val="28"/>
              <w:szCs w:val="28"/>
            </w:rPr>
            <w:t xml:space="preserve"> </w:t>
          </w:r>
          <w:r>
            <w:rPr>
              <w:rFonts w:ascii="Times New Roman" w:hAnsi="Times New Roman" w:eastAsia="Times New Roman" w:cs="Times New Roman"/>
              <w:b/>
              <w:bCs/>
              <w:spacing w:val="-19"/>
              <w:sz w:val="28"/>
              <w:szCs w:val="28"/>
            </w:rPr>
            <w:t>1</w:t>
          </w:r>
          <w:r>
            <w:rPr>
              <w:rFonts w:ascii="Times New Roman" w:hAnsi="Times New Roman" w:eastAsia="Times New Roman" w:cs="Times New Roman"/>
              <w:b/>
              <w:bCs/>
              <w:spacing w:val="-19"/>
              <w:sz w:val="28"/>
              <w:szCs w:val="28"/>
            </w:rPr>
            <w:fldChar w:fldCharType="end"/>
          </w:r>
        </w:p>
        <w:p w14:paraId="223D755C">
          <w:pPr>
            <w:tabs>
              <w:tab w:val="right" w:leader="dot" w:pos="8522"/>
            </w:tabs>
            <w:spacing w:before="251" w:line="242" w:lineRule="auto"/>
            <w:ind w:left="790"/>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6"/>
              <w:sz w:val="24"/>
              <w:szCs w:val="24"/>
            </w:rPr>
            <w:t>1.1</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项目由来</w:t>
          </w:r>
          <w:r>
            <w:rPr>
              <w:rFonts w:ascii="宋体" w:hAnsi="宋体" w:eastAsia="宋体" w:cs="宋体"/>
              <w:sz w:val="24"/>
              <w:szCs w:val="24"/>
            </w:rPr>
            <w:tab/>
          </w:r>
          <w:r>
            <w:rPr>
              <w:rFonts w:ascii="Times New Roman" w:hAnsi="Times New Roman" w:eastAsia="Times New Roman" w:cs="Times New Roman"/>
              <w:spacing w:val="20"/>
              <w:sz w:val="24"/>
              <w:szCs w:val="24"/>
            </w:rPr>
            <w:t>1</w:t>
          </w:r>
          <w:r>
            <w:rPr>
              <w:rFonts w:ascii="Times New Roman" w:hAnsi="Times New Roman" w:eastAsia="Times New Roman" w:cs="Times New Roman"/>
              <w:spacing w:val="20"/>
              <w:sz w:val="24"/>
              <w:szCs w:val="24"/>
            </w:rPr>
            <w:fldChar w:fldCharType="end"/>
          </w:r>
        </w:p>
        <w:p w14:paraId="242D5A8B">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建设项目特点</w:t>
          </w:r>
          <w:r>
            <w:rPr>
              <w:rFonts w:ascii="宋体" w:hAnsi="宋体" w:eastAsia="宋体" w:cs="宋体"/>
              <w:sz w:val="24"/>
              <w:szCs w:val="24"/>
            </w:rPr>
            <w:tab/>
          </w:r>
          <w:r>
            <w:rPr>
              <w:rFonts w:ascii="Times New Roman" w:hAnsi="Times New Roman" w:eastAsia="Times New Roman" w:cs="Times New Roman"/>
              <w:spacing w:val="20"/>
              <w:sz w:val="24"/>
              <w:szCs w:val="24"/>
            </w:rPr>
            <w:t>4</w:t>
          </w:r>
          <w:r>
            <w:rPr>
              <w:rFonts w:ascii="Times New Roman" w:hAnsi="Times New Roman" w:eastAsia="Times New Roman" w:cs="Times New Roman"/>
              <w:spacing w:val="20"/>
              <w:sz w:val="24"/>
              <w:szCs w:val="24"/>
            </w:rPr>
            <w:fldChar w:fldCharType="end"/>
          </w:r>
        </w:p>
        <w:p w14:paraId="36983397">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1.3  </w:t>
          </w:r>
          <w:r>
            <w:rPr>
              <w:rFonts w:ascii="宋体" w:hAnsi="宋体" w:eastAsia="宋体" w:cs="宋体"/>
              <w:spacing w:val="-3"/>
              <w:sz w:val="24"/>
              <w:szCs w:val="24"/>
            </w:rPr>
            <w:t>评价工作程序</w:t>
          </w:r>
          <w:r>
            <w:rPr>
              <w:rFonts w:ascii="宋体" w:hAnsi="宋体" w:eastAsia="宋体" w:cs="宋体"/>
              <w:sz w:val="24"/>
              <w:szCs w:val="24"/>
            </w:rPr>
            <w:tab/>
          </w:r>
          <w:r>
            <w:rPr>
              <w:rFonts w:ascii="Times New Roman" w:hAnsi="Times New Roman" w:eastAsia="Times New Roman" w:cs="Times New Roman"/>
              <w:spacing w:val="20"/>
              <w:sz w:val="24"/>
              <w:szCs w:val="24"/>
            </w:rPr>
            <w:t>5</w:t>
          </w:r>
          <w:r>
            <w:rPr>
              <w:rFonts w:ascii="Times New Roman" w:hAnsi="Times New Roman" w:eastAsia="Times New Roman" w:cs="Times New Roman"/>
              <w:spacing w:val="20"/>
              <w:sz w:val="24"/>
              <w:szCs w:val="24"/>
            </w:rPr>
            <w:fldChar w:fldCharType="end"/>
          </w:r>
        </w:p>
        <w:p w14:paraId="5D373461">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项目建设合理合法性判定分析</w:t>
          </w:r>
          <w:r>
            <w:rPr>
              <w:rFonts w:ascii="宋体" w:hAnsi="宋体" w:eastAsia="宋体" w:cs="宋体"/>
              <w:sz w:val="24"/>
              <w:szCs w:val="24"/>
            </w:rPr>
            <w:tab/>
          </w:r>
          <w:r>
            <w:rPr>
              <w:rFonts w:ascii="Times New Roman" w:hAnsi="Times New Roman" w:eastAsia="Times New Roman" w:cs="Times New Roman"/>
              <w:spacing w:val="20"/>
              <w:sz w:val="24"/>
              <w:szCs w:val="24"/>
            </w:rPr>
            <w:t>6</w:t>
          </w:r>
          <w:r>
            <w:rPr>
              <w:rFonts w:ascii="Times New Roman" w:hAnsi="Times New Roman" w:eastAsia="Times New Roman" w:cs="Times New Roman"/>
              <w:spacing w:val="20"/>
              <w:sz w:val="24"/>
              <w:szCs w:val="24"/>
            </w:rPr>
            <w:fldChar w:fldCharType="end"/>
          </w:r>
        </w:p>
        <w:p w14:paraId="763DEEFC">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项目主要环境问题及环境影响</w:t>
          </w:r>
          <w:r>
            <w:rPr>
              <w:rFonts w:ascii="宋体" w:hAnsi="宋体" w:eastAsia="宋体" w:cs="宋体"/>
              <w:sz w:val="24"/>
              <w:szCs w:val="24"/>
            </w:rPr>
            <w:tab/>
          </w:r>
          <w:r>
            <w:rPr>
              <w:rFonts w:ascii="Times New Roman" w:hAnsi="Times New Roman" w:eastAsia="Times New Roman" w:cs="Times New Roman"/>
              <w:spacing w:val="10"/>
              <w:sz w:val="24"/>
              <w:szCs w:val="24"/>
            </w:rPr>
            <w:t>18</w:t>
          </w:r>
          <w:r>
            <w:rPr>
              <w:rFonts w:ascii="Times New Roman" w:hAnsi="Times New Roman" w:eastAsia="Times New Roman" w:cs="Times New Roman"/>
              <w:spacing w:val="10"/>
              <w:sz w:val="24"/>
              <w:szCs w:val="24"/>
            </w:rPr>
            <w:fldChar w:fldCharType="end"/>
          </w:r>
        </w:p>
        <w:p w14:paraId="00E69FA4">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2"/>
              <w:sz w:val="24"/>
              <w:szCs w:val="24"/>
            </w:rPr>
            <w:t xml:space="preserve">1.6  </w:t>
          </w:r>
          <w:r>
            <w:rPr>
              <w:rFonts w:ascii="宋体" w:hAnsi="宋体" w:eastAsia="宋体" w:cs="宋体"/>
              <w:spacing w:val="-2"/>
              <w:sz w:val="24"/>
              <w:szCs w:val="24"/>
            </w:rPr>
            <w:t>环境影响评价主要结论</w:t>
          </w:r>
          <w:r>
            <w:rPr>
              <w:rFonts w:ascii="宋体" w:hAnsi="宋体" w:eastAsia="宋体" w:cs="宋体"/>
              <w:sz w:val="24"/>
              <w:szCs w:val="24"/>
            </w:rPr>
            <w:tab/>
          </w:r>
          <w:r>
            <w:rPr>
              <w:rFonts w:ascii="Times New Roman" w:hAnsi="Times New Roman" w:eastAsia="Times New Roman" w:cs="Times New Roman"/>
              <w:spacing w:val="10"/>
              <w:sz w:val="24"/>
              <w:szCs w:val="24"/>
            </w:rPr>
            <w:t>18</w:t>
          </w:r>
          <w:r>
            <w:rPr>
              <w:rFonts w:ascii="Times New Roman" w:hAnsi="Times New Roman" w:eastAsia="Times New Roman" w:cs="Times New Roman"/>
              <w:spacing w:val="10"/>
              <w:sz w:val="24"/>
              <w:szCs w:val="24"/>
            </w:rPr>
            <w:fldChar w:fldCharType="end"/>
          </w:r>
        </w:p>
        <w:p w14:paraId="7745F30C">
          <w:pPr>
            <w:tabs>
              <w:tab w:val="right" w:leader="dot" w:pos="8522"/>
            </w:tabs>
            <w:spacing w:before="245" w:line="186" w:lineRule="auto"/>
            <w:ind w:left="368"/>
            <w:rPr>
              <w:rFonts w:ascii="Times New Roman" w:hAnsi="Times New Roman" w:eastAsia="Times New Roman" w:cs="Times New Roman"/>
              <w:sz w:val="28"/>
              <w:szCs w:val="28"/>
            </w:rPr>
          </w:pPr>
          <w:r>
            <w:fldChar w:fldCharType="begin"/>
          </w:r>
          <w:r>
            <w:instrText xml:space="preserve"> HYPERLINK \l "bookmark8" </w:instrText>
          </w:r>
          <w:r>
            <w:fldChar w:fldCharType="separate"/>
          </w:r>
          <w:r>
            <w:rPr>
              <w:rFonts w:ascii="Times New Roman" w:hAnsi="Times New Roman" w:eastAsia="Times New Roman" w:cs="Times New Roman"/>
              <w:b/>
              <w:bCs/>
              <w:spacing w:val="-9"/>
              <w:sz w:val="28"/>
              <w:szCs w:val="28"/>
            </w:rPr>
            <w:t>2</w:t>
          </w:r>
          <w:r>
            <w:rPr>
              <w:rFonts w:ascii="Times New Roman" w:hAnsi="Times New Roman" w:eastAsia="Times New Roman" w:cs="Times New Roman"/>
              <w:b/>
              <w:bCs/>
              <w:spacing w:val="7"/>
              <w:sz w:val="28"/>
              <w:szCs w:val="28"/>
            </w:rPr>
            <w:t xml:space="preserve">  </w:t>
          </w:r>
          <w:r>
            <w:rPr>
              <w:rFonts w:ascii="宋体" w:hAnsi="宋体" w:eastAsia="宋体" w:cs="宋体"/>
              <w:b/>
              <w:bCs/>
              <w:spacing w:val="-9"/>
              <w:sz w:val="28"/>
              <w:szCs w:val="28"/>
            </w:rPr>
            <w:t>总则</w:t>
          </w:r>
          <w:r>
            <w:rPr>
              <w:rFonts w:ascii="宋体" w:hAnsi="宋体" w:eastAsia="宋体" w:cs="宋体"/>
              <w:b/>
              <w:bCs/>
              <w:sz w:val="28"/>
              <w:szCs w:val="28"/>
            </w:rPr>
            <w:tab/>
          </w:r>
          <w:r>
            <w:rPr>
              <w:rFonts w:ascii="Times New Roman" w:hAnsi="Times New Roman" w:eastAsia="Times New Roman" w:cs="Times New Roman"/>
              <w:b/>
              <w:bCs/>
              <w:sz w:val="28"/>
              <w:szCs w:val="28"/>
            </w:rPr>
            <w:t>23</w:t>
          </w:r>
          <w:r>
            <w:rPr>
              <w:rFonts w:ascii="Times New Roman" w:hAnsi="Times New Roman" w:eastAsia="Times New Roman" w:cs="Times New Roman"/>
              <w:b/>
              <w:bCs/>
              <w:sz w:val="28"/>
              <w:szCs w:val="28"/>
            </w:rPr>
            <w:fldChar w:fldCharType="end"/>
          </w:r>
        </w:p>
        <w:p w14:paraId="73A3FB8C">
          <w:pPr>
            <w:tabs>
              <w:tab w:val="right" w:leader="dot" w:pos="8522"/>
            </w:tabs>
            <w:spacing w:before="251" w:line="242" w:lineRule="auto"/>
            <w:ind w:left="767"/>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2.1</w:t>
          </w:r>
          <w:r>
            <w:rPr>
              <w:rFonts w:ascii="Times New Roman" w:hAnsi="Times New Roman" w:eastAsia="Times New Roman" w:cs="Times New Roman"/>
              <w:spacing w:val="7"/>
              <w:sz w:val="24"/>
              <w:szCs w:val="24"/>
            </w:rPr>
            <w:t xml:space="preserve">  </w:t>
          </w:r>
          <w:r>
            <w:rPr>
              <w:rFonts w:ascii="宋体" w:hAnsi="宋体" w:eastAsia="宋体" w:cs="宋体"/>
              <w:spacing w:val="-3"/>
              <w:sz w:val="24"/>
              <w:szCs w:val="24"/>
            </w:rPr>
            <w:t>编制依据</w:t>
          </w:r>
          <w:r>
            <w:rPr>
              <w:rFonts w:ascii="宋体" w:hAnsi="宋体" w:eastAsia="宋体" w:cs="宋体"/>
              <w:sz w:val="24"/>
              <w:szCs w:val="24"/>
            </w:rPr>
            <w:tab/>
          </w:r>
          <w:r>
            <w:rPr>
              <w:rFonts w:ascii="Times New Roman" w:hAnsi="Times New Roman" w:eastAsia="Times New Roman" w:cs="Times New Roman"/>
              <w:spacing w:val="10"/>
              <w:sz w:val="24"/>
              <w:szCs w:val="24"/>
            </w:rPr>
            <w:t>23</w:t>
          </w:r>
          <w:r>
            <w:rPr>
              <w:rFonts w:ascii="Times New Roman" w:hAnsi="Times New Roman" w:eastAsia="Times New Roman" w:cs="Times New Roman"/>
              <w:spacing w:val="10"/>
              <w:sz w:val="24"/>
              <w:szCs w:val="24"/>
            </w:rPr>
            <w:fldChar w:fldCharType="end"/>
          </w:r>
        </w:p>
        <w:p w14:paraId="683B1911">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评价目的、原则和方法</w:t>
          </w:r>
          <w:r>
            <w:rPr>
              <w:rFonts w:ascii="宋体" w:hAnsi="宋体" w:eastAsia="宋体" w:cs="宋体"/>
              <w:sz w:val="24"/>
              <w:szCs w:val="24"/>
            </w:rPr>
            <w:tab/>
          </w:r>
          <w:r>
            <w:rPr>
              <w:rFonts w:ascii="Times New Roman" w:hAnsi="Times New Roman" w:eastAsia="Times New Roman" w:cs="Times New Roman"/>
              <w:spacing w:val="10"/>
              <w:sz w:val="24"/>
              <w:szCs w:val="24"/>
            </w:rPr>
            <w:t>26</w:t>
          </w:r>
          <w:r>
            <w:rPr>
              <w:rFonts w:ascii="Times New Roman" w:hAnsi="Times New Roman" w:eastAsia="Times New Roman" w:cs="Times New Roman"/>
              <w:spacing w:val="10"/>
              <w:sz w:val="24"/>
              <w:szCs w:val="24"/>
            </w:rPr>
            <w:fldChar w:fldCharType="end"/>
          </w:r>
        </w:p>
        <w:p w14:paraId="2C1DD72B">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环境功能区划</w:t>
          </w:r>
          <w:r>
            <w:rPr>
              <w:rFonts w:ascii="宋体" w:hAnsi="宋体" w:eastAsia="宋体" w:cs="宋体"/>
              <w:sz w:val="24"/>
              <w:szCs w:val="24"/>
            </w:rPr>
            <w:tab/>
          </w:r>
          <w:r>
            <w:rPr>
              <w:rFonts w:ascii="Times New Roman" w:hAnsi="Times New Roman" w:eastAsia="Times New Roman" w:cs="Times New Roman"/>
              <w:spacing w:val="10"/>
              <w:sz w:val="24"/>
              <w:szCs w:val="24"/>
            </w:rPr>
            <w:t>28</w:t>
          </w:r>
          <w:r>
            <w:rPr>
              <w:rFonts w:ascii="Times New Roman" w:hAnsi="Times New Roman" w:eastAsia="Times New Roman" w:cs="Times New Roman"/>
              <w:spacing w:val="10"/>
              <w:sz w:val="24"/>
              <w:szCs w:val="24"/>
            </w:rPr>
            <w:fldChar w:fldCharType="end"/>
          </w:r>
        </w:p>
        <w:p w14:paraId="3C3C10AF">
          <w:pPr>
            <w:tabs>
              <w:tab w:val="right" w:leader="dot" w:pos="8522"/>
            </w:tabs>
            <w:spacing w:before="154" w:line="242" w:lineRule="auto"/>
            <w:ind w:left="767"/>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评价等级与范围</w:t>
          </w:r>
          <w:r>
            <w:rPr>
              <w:rFonts w:ascii="宋体" w:hAnsi="宋体" w:eastAsia="宋体" w:cs="宋体"/>
              <w:sz w:val="24"/>
              <w:szCs w:val="24"/>
            </w:rPr>
            <w:tab/>
          </w:r>
          <w:r>
            <w:rPr>
              <w:rFonts w:ascii="Times New Roman" w:hAnsi="Times New Roman" w:eastAsia="Times New Roman" w:cs="Times New Roman"/>
              <w:spacing w:val="10"/>
              <w:sz w:val="24"/>
              <w:szCs w:val="24"/>
            </w:rPr>
            <w:t>34</w:t>
          </w:r>
          <w:r>
            <w:rPr>
              <w:rFonts w:ascii="Times New Roman" w:hAnsi="Times New Roman" w:eastAsia="Times New Roman" w:cs="Times New Roman"/>
              <w:spacing w:val="10"/>
              <w:sz w:val="24"/>
              <w:szCs w:val="24"/>
            </w:rPr>
            <w:fldChar w:fldCharType="end"/>
          </w:r>
        </w:p>
        <w:p w14:paraId="608E2D64">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评价标准</w:t>
          </w:r>
          <w:r>
            <w:rPr>
              <w:rFonts w:ascii="宋体" w:hAnsi="宋体" w:eastAsia="宋体" w:cs="宋体"/>
              <w:sz w:val="24"/>
              <w:szCs w:val="24"/>
            </w:rPr>
            <w:tab/>
          </w:r>
          <w:r>
            <w:rPr>
              <w:rFonts w:ascii="Times New Roman" w:hAnsi="Times New Roman" w:eastAsia="Times New Roman" w:cs="Times New Roman"/>
              <w:spacing w:val="10"/>
              <w:sz w:val="24"/>
              <w:szCs w:val="24"/>
            </w:rPr>
            <w:t>40</w:t>
          </w:r>
          <w:r>
            <w:rPr>
              <w:rFonts w:ascii="Times New Roman" w:hAnsi="Times New Roman" w:eastAsia="Times New Roman" w:cs="Times New Roman"/>
              <w:spacing w:val="10"/>
              <w:sz w:val="24"/>
              <w:szCs w:val="24"/>
            </w:rPr>
            <w:fldChar w:fldCharType="end"/>
          </w:r>
        </w:p>
        <w:p w14:paraId="2BE2BF7E">
          <w:pPr>
            <w:tabs>
              <w:tab w:val="right" w:leader="dot" w:pos="8522"/>
            </w:tabs>
            <w:spacing w:before="154" w:line="242" w:lineRule="auto"/>
            <w:ind w:left="767"/>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 xml:space="preserve">2.6  </w:t>
          </w:r>
          <w:r>
            <w:rPr>
              <w:rFonts w:ascii="宋体" w:hAnsi="宋体" w:eastAsia="宋体" w:cs="宋体"/>
              <w:spacing w:val="-1"/>
              <w:sz w:val="24"/>
              <w:szCs w:val="24"/>
            </w:rPr>
            <w:t>环境影响要素识别和评价因子筛选</w:t>
          </w:r>
          <w:r>
            <w:rPr>
              <w:rFonts w:ascii="宋体" w:hAnsi="宋体" w:eastAsia="宋体" w:cs="宋体"/>
              <w:sz w:val="24"/>
              <w:szCs w:val="24"/>
            </w:rPr>
            <w:tab/>
          </w:r>
          <w:r>
            <w:rPr>
              <w:rFonts w:ascii="Times New Roman" w:hAnsi="Times New Roman" w:eastAsia="Times New Roman" w:cs="Times New Roman"/>
              <w:spacing w:val="10"/>
              <w:sz w:val="24"/>
              <w:szCs w:val="24"/>
            </w:rPr>
            <w:t>45</w:t>
          </w:r>
          <w:r>
            <w:rPr>
              <w:rFonts w:ascii="Times New Roman" w:hAnsi="Times New Roman" w:eastAsia="Times New Roman" w:cs="Times New Roman"/>
              <w:spacing w:val="10"/>
              <w:sz w:val="24"/>
              <w:szCs w:val="24"/>
            </w:rPr>
            <w:fldChar w:fldCharType="end"/>
          </w:r>
        </w:p>
        <w:p w14:paraId="35925852">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1"/>
              <w:sz w:val="24"/>
              <w:szCs w:val="24"/>
            </w:rPr>
            <w:t xml:space="preserve">2.7  </w:t>
          </w:r>
          <w:r>
            <w:rPr>
              <w:rFonts w:ascii="宋体" w:hAnsi="宋体" w:eastAsia="宋体" w:cs="宋体"/>
              <w:spacing w:val="-1"/>
              <w:sz w:val="24"/>
              <w:szCs w:val="24"/>
            </w:rPr>
            <w:t>评价内容及重点</w:t>
          </w:r>
          <w:r>
            <w:rPr>
              <w:rFonts w:ascii="宋体" w:hAnsi="宋体" w:eastAsia="宋体" w:cs="宋体"/>
              <w:sz w:val="24"/>
              <w:szCs w:val="24"/>
            </w:rPr>
            <w:tab/>
          </w:r>
          <w:r>
            <w:rPr>
              <w:rFonts w:ascii="Times New Roman" w:hAnsi="Times New Roman" w:eastAsia="Times New Roman" w:cs="Times New Roman"/>
              <w:spacing w:val="10"/>
              <w:sz w:val="24"/>
              <w:szCs w:val="24"/>
            </w:rPr>
            <w:t>47</w:t>
          </w:r>
          <w:r>
            <w:rPr>
              <w:rFonts w:ascii="Times New Roman" w:hAnsi="Times New Roman" w:eastAsia="Times New Roman" w:cs="Times New Roman"/>
              <w:spacing w:val="10"/>
              <w:sz w:val="24"/>
              <w:szCs w:val="24"/>
            </w:rPr>
            <w:fldChar w:fldCharType="end"/>
          </w:r>
        </w:p>
        <w:p w14:paraId="389B2377">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2.8  </w:t>
          </w:r>
          <w:r>
            <w:rPr>
              <w:rFonts w:ascii="宋体" w:hAnsi="宋体" w:eastAsia="宋体" w:cs="宋体"/>
              <w:spacing w:val="-1"/>
              <w:sz w:val="24"/>
              <w:szCs w:val="24"/>
            </w:rPr>
            <w:t>污染控制与环境保护目标</w:t>
          </w:r>
          <w:r>
            <w:rPr>
              <w:rFonts w:ascii="宋体" w:hAnsi="宋体" w:eastAsia="宋体" w:cs="宋体"/>
              <w:sz w:val="24"/>
              <w:szCs w:val="24"/>
            </w:rPr>
            <w:tab/>
          </w:r>
          <w:r>
            <w:rPr>
              <w:rFonts w:ascii="Times New Roman" w:hAnsi="Times New Roman" w:eastAsia="Times New Roman" w:cs="Times New Roman"/>
              <w:spacing w:val="10"/>
              <w:sz w:val="24"/>
              <w:szCs w:val="24"/>
            </w:rPr>
            <w:t>47</w:t>
          </w:r>
          <w:r>
            <w:rPr>
              <w:rFonts w:ascii="Times New Roman" w:hAnsi="Times New Roman" w:eastAsia="Times New Roman" w:cs="Times New Roman"/>
              <w:spacing w:val="10"/>
              <w:sz w:val="24"/>
              <w:szCs w:val="24"/>
            </w:rPr>
            <w:fldChar w:fldCharType="end"/>
          </w:r>
        </w:p>
        <w:p w14:paraId="71A572C1">
          <w:pPr>
            <w:tabs>
              <w:tab w:val="right" w:leader="dot" w:pos="8522"/>
            </w:tabs>
            <w:spacing w:before="245" w:line="186" w:lineRule="auto"/>
            <w:ind w:left="366"/>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Times New Roman" w:hAnsi="Times New Roman" w:eastAsia="Times New Roman" w:cs="Times New Roman"/>
              <w:b/>
              <w:bCs/>
              <w:spacing w:val="-2"/>
              <w:sz w:val="28"/>
              <w:szCs w:val="28"/>
            </w:rPr>
            <w:t xml:space="preserve">3  </w:t>
          </w:r>
          <w:r>
            <w:rPr>
              <w:rFonts w:ascii="宋体" w:hAnsi="宋体" w:eastAsia="宋体" w:cs="宋体"/>
              <w:b/>
              <w:bCs/>
              <w:spacing w:val="-2"/>
              <w:sz w:val="28"/>
              <w:szCs w:val="28"/>
            </w:rPr>
            <w:t>项目概况及工程分析</w:t>
          </w:r>
          <w:r>
            <w:rPr>
              <w:rFonts w:ascii="宋体" w:hAnsi="宋体" w:eastAsia="宋体" w:cs="宋体"/>
              <w:b/>
              <w:bCs/>
              <w:sz w:val="28"/>
              <w:szCs w:val="28"/>
            </w:rPr>
            <w:tab/>
          </w:r>
          <w:r>
            <w:rPr>
              <w:rFonts w:ascii="宋体" w:hAnsi="宋体" w:eastAsia="宋体" w:cs="宋体"/>
              <w:spacing w:val="-98"/>
              <w:sz w:val="28"/>
              <w:szCs w:val="28"/>
            </w:rPr>
            <w:t xml:space="preserve"> </w:t>
          </w:r>
          <w:r>
            <w:rPr>
              <w:rFonts w:ascii="Times New Roman" w:hAnsi="Times New Roman" w:eastAsia="Times New Roman" w:cs="Times New Roman"/>
              <w:b/>
              <w:bCs/>
              <w:spacing w:val="-4"/>
              <w:sz w:val="28"/>
              <w:szCs w:val="28"/>
            </w:rPr>
            <w:t>51</w:t>
          </w:r>
          <w:r>
            <w:rPr>
              <w:rFonts w:ascii="Times New Roman" w:hAnsi="Times New Roman" w:eastAsia="Times New Roman" w:cs="Times New Roman"/>
              <w:b/>
              <w:bCs/>
              <w:spacing w:val="-4"/>
              <w:sz w:val="28"/>
              <w:szCs w:val="28"/>
            </w:rPr>
            <w:fldChar w:fldCharType="end"/>
          </w:r>
        </w:p>
        <w:p w14:paraId="67C9DDBF">
          <w:pPr>
            <w:tabs>
              <w:tab w:val="right" w:leader="dot" w:pos="8522"/>
            </w:tabs>
            <w:spacing w:before="251" w:line="242" w:lineRule="auto"/>
            <w:ind w:left="772"/>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rPr>
            <w:t xml:space="preserve">3.1  </w:t>
          </w:r>
          <w:r>
            <w:rPr>
              <w:rFonts w:ascii="宋体" w:hAnsi="宋体" w:eastAsia="宋体" w:cs="宋体"/>
              <w:spacing w:val="-1"/>
              <w:sz w:val="24"/>
              <w:szCs w:val="24"/>
            </w:rPr>
            <w:t>建设项目概况</w:t>
          </w:r>
          <w:r>
            <w:rPr>
              <w:rFonts w:ascii="宋体" w:hAnsi="宋体" w:eastAsia="宋体" w:cs="宋体"/>
              <w:sz w:val="24"/>
              <w:szCs w:val="24"/>
            </w:rPr>
            <w:tab/>
          </w:r>
          <w:r>
            <w:rPr>
              <w:rFonts w:ascii="Times New Roman" w:hAnsi="Times New Roman" w:eastAsia="Times New Roman" w:cs="Times New Roman"/>
              <w:spacing w:val="10"/>
              <w:sz w:val="24"/>
              <w:szCs w:val="24"/>
            </w:rPr>
            <w:t>51</w:t>
          </w:r>
          <w:r>
            <w:rPr>
              <w:rFonts w:ascii="Times New Roman" w:hAnsi="Times New Roman" w:eastAsia="Times New Roman" w:cs="Times New Roman"/>
              <w:spacing w:val="10"/>
              <w:sz w:val="24"/>
              <w:szCs w:val="24"/>
            </w:rPr>
            <w:fldChar w:fldCharType="end"/>
          </w:r>
        </w:p>
        <w:p w14:paraId="73B636CF">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辅助公用工程</w:t>
          </w:r>
          <w:r>
            <w:rPr>
              <w:rFonts w:ascii="宋体" w:hAnsi="宋体" w:eastAsia="宋体" w:cs="宋体"/>
              <w:sz w:val="24"/>
              <w:szCs w:val="24"/>
            </w:rPr>
            <w:tab/>
          </w:r>
          <w:r>
            <w:rPr>
              <w:rFonts w:ascii="Times New Roman" w:hAnsi="Times New Roman" w:eastAsia="Times New Roman" w:cs="Times New Roman"/>
              <w:spacing w:val="10"/>
              <w:sz w:val="24"/>
              <w:szCs w:val="24"/>
            </w:rPr>
            <w:t>56</w:t>
          </w:r>
          <w:r>
            <w:rPr>
              <w:rFonts w:ascii="Times New Roman" w:hAnsi="Times New Roman" w:eastAsia="Times New Roman" w:cs="Times New Roman"/>
              <w:spacing w:val="10"/>
              <w:sz w:val="24"/>
              <w:szCs w:val="24"/>
            </w:rPr>
            <w:fldChar w:fldCharType="end"/>
          </w:r>
        </w:p>
        <w:p w14:paraId="5D4B995D">
          <w:pPr>
            <w:tabs>
              <w:tab w:val="right" w:leader="dot" w:pos="8522"/>
            </w:tabs>
            <w:spacing w:before="154" w:line="242" w:lineRule="auto"/>
            <w:ind w:left="772"/>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项目工艺流程及产污环节</w:t>
          </w:r>
          <w:r>
            <w:rPr>
              <w:rFonts w:ascii="宋体" w:hAnsi="宋体" w:eastAsia="宋体" w:cs="宋体"/>
              <w:sz w:val="24"/>
              <w:szCs w:val="24"/>
            </w:rPr>
            <w:tab/>
          </w:r>
          <w:r>
            <w:rPr>
              <w:rFonts w:ascii="Times New Roman" w:hAnsi="Times New Roman" w:eastAsia="Times New Roman" w:cs="Times New Roman"/>
              <w:spacing w:val="10"/>
              <w:sz w:val="24"/>
              <w:szCs w:val="24"/>
            </w:rPr>
            <w:t>61</w:t>
          </w:r>
          <w:r>
            <w:rPr>
              <w:rFonts w:ascii="Times New Roman" w:hAnsi="Times New Roman" w:eastAsia="Times New Roman" w:cs="Times New Roman"/>
              <w:spacing w:val="10"/>
              <w:sz w:val="24"/>
              <w:szCs w:val="24"/>
            </w:rPr>
            <w:fldChar w:fldCharType="end"/>
          </w:r>
        </w:p>
        <w:p w14:paraId="25456897">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施工期污染因素分析</w:t>
          </w:r>
          <w:r>
            <w:rPr>
              <w:rFonts w:ascii="宋体" w:hAnsi="宋体" w:eastAsia="宋体" w:cs="宋体"/>
              <w:sz w:val="24"/>
              <w:szCs w:val="24"/>
            </w:rPr>
            <w:tab/>
          </w:r>
          <w:r>
            <w:rPr>
              <w:rFonts w:ascii="Times New Roman" w:hAnsi="Times New Roman" w:eastAsia="Times New Roman" w:cs="Times New Roman"/>
              <w:spacing w:val="10"/>
              <w:sz w:val="24"/>
              <w:szCs w:val="24"/>
            </w:rPr>
            <w:t>63</w:t>
          </w:r>
          <w:r>
            <w:rPr>
              <w:rFonts w:ascii="Times New Roman" w:hAnsi="Times New Roman" w:eastAsia="Times New Roman" w:cs="Times New Roman"/>
              <w:spacing w:val="10"/>
              <w:sz w:val="24"/>
              <w:szCs w:val="24"/>
            </w:rPr>
            <w:fldChar w:fldCharType="end"/>
          </w:r>
        </w:p>
        <w:p w14:paraId="45024ADC">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3.5  </w:t>
          </w:r>
          <w:r>
            <w:rPr>
              <w:rFonts w:ascii="宋体" w:hAnsi="宋体" w:eastAsia="宋体" w:cs="宋体"/>
              <w:spacing w:val="-1"/>
              <w:sz w:val="24"/>
              <w:szCs w:val="24"/>
            </w:rPr>
            <w:t>运营期污染因素分析</w:t>
          </w:r>
          <w:r>
            <w:rPr>
              <w:rFonts w:ascii="宋体" w:hAnsi="宋体" w:eastAsia="宋体" w:cs="宋体"/>
              <w:sz w:val="24"/>
              <w:szCs w:val="24"/>
            </w:rPr>
            <w:tab/>
          </w:r>
          <w:r>
            <w:rPr>
              <w:rFonts w:ascii="Times New Roman" w:hAnsi="Times New Roman" w:eastAsia="Times New Roman" w:cs="Times New Roman"/>
              <w:spacing w:val="10"/>
              <w:sz w:val="24"/>
              <w:szCs w:val="24"/>
            </w:rPr>
            <w:t>67</w:t>
          </w:r>
          <w:r>
            <w:rPr>
              <w:rFonts w:ascii="Times New Roman" w:hAnsi="Times New Roman" w:eastAsia="Times New Roman" w:cs="Times New Roman"/>
              <w:spacing w:val="10"/>
              <w:sz w:val="24"/>
              <w:szCs w:val="24"/>
            </w:rPr>
            <w:fldChar w:fldCharType="end"/>
          </w:r>
        </w:p>
        <w:p w14:paraId="6422B319">
          <w:pPr>
            <w:tabs>
              <w:tab w:val="right" w:leader="dot" w:pos="8522"/>
            </w:tabs>
            <w:spacing w:before="245" w:line="186" w:lineRule="auto"/>
            <w:ind w:left="369"/>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Times New Roman" w:hAnsi="Times New Roman" w:eastAsia="Times New Roman" w:cs="Times New Roman"/>
              <w:b/>
              <w:bCs/>
              <w:spacing w:val="-2"/>
              <w:sz w:val="28"/>
              <w:szCs w:val="28"/>
            </w:rPr>
            <w:t xml:space="preserve">4  </w:t>
          </w:r>
          <w:r>
            <w:rPr>
              <w:rFonts w:ascii="宋体" w:hAnsi="宋体" w:eastAsia="宋体" w:cs="宋体"/>
              <w:b/>
              <w:bCs/>
              <w:spacing w:val="-2"/>
              <w:sz w:val="28"/>
              <w:szCs w:val="28"/>
            </w:rPr>
            <w:t>环境质量现状监测与评价</w:t>
          </w:r>
          <w:r>
            <w:rPr>
              <w:rFonts w:ascii="宋体" w:hAnsi="宋体" w:eastAsia="宋体" w:cs="宋体"/>
              <w:b/>
              <w:bCs/>
              <w:sz w:val="28"/>
              <w:szCs w:val="28"/>
            </w:rPr>
            <w:tab/>
          </w:r>
          <w:r>
            <w:rPr>
              <w:rFonts w:ascii="Times New Roman" w:hAnsi="Times New Roman" w:eastAsia="Times New Roman" w:cs="Times New Roman"/>
              <w:b/>
              <w:bCs/>
              <w:spacing w:val="11"/>
              <w:sz w:val="28"/>
              <w:szCs w:val="28"/>
            </w:rPr>
            <w:t>80</w:t>
          </w:r>
          <w:r>
            <w:rPr>
              <w:rFonts w:ascii="Times New Roman" w:hAnsi="Times New Roman" w:eastAsia="Times New Roman" w:cs="Times New Roman"/>
              <w:b/>
              <w:bCs/>
              <w:spacing w:val="11"/>
              <w:sz w:val="28"/>
              <w:szCs w:val="28"/>
            </w:rPr>
            <w:fldChar w:fldCharType="end"/>
          </w:r>
        </w:p>
        <w:p w14:paraId="445F6293">
          <w:pPr>
            <w:tabs>
              <w:tab w:val="right" w:leader="dot" w:pos="8522"/>
            </w:tabs>
            <w:spacing w:before="251" w:line="242" w:lineRule="auto"/>
            <w:ind w:left="766"/>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4"/>
              <w:sz w:val="24"/>
              <w:szCs w:val="24"/>
            </w:rPr>
            <w:t>4.1</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自然环境现状调查与评价</w:t>
          </w:r>
          <w:r>
            <w:rPr>
              <w:rFonts w:ascii="宋体" w:hAnsi="宋体" w:eastAsia="宋体" w:cs="宋体"/>
              <w:sz w:val="24"/>
              <w:szCs w:val="24"/>
            </w:rPr>
            <w:tab/>
          </w:r>
          <w:r>
            <w:rPr>
              <w:rFonts w:ascii="Times New Roman" w:hAnsi="Times New Roman" w:eastAsia="Times New Roman" w:cs="Times New Roman"/>
              <w:spacing w:val="10"/>
              <w:sz w:val="24"/>
              <w:szCs w:val="24"/>
            </w:rPr>
            <w:t>80</w:t>
          </w:r>
          <w:r>
            <w:rPr>
              <w:rFonts w:ascii="Times New Roman" w:hAnsi="Times New Roman" w:eastAsia="Times New Roman" w:cs="Times New Roman"/>
              <w:spacing w:val="10"/>
              <w:sz w:val="24"/>
              <w:szCs w:val="24"/>
            </w:rPr>
            <w:fldChar w:fldCharType="end"/>
          </w:r>
        </w:p>
        <w:p w14:paraId="5F6B734F">
          <w:pPr>
            <w:tabs>
              <w:tab w:val="right" w:leader="dot" w:pos="8522"/>
            </w:tabs>
            <w:spacing w:before="153" w:line="242" w:lineRule="auto"/>
            <w:ind w:left="766"/>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4.2  </w:t>
          </w:r>
          <w:r>
            <w:rPr>
              <w:rFonts w:ascii="宋体" w:hAnsi="宋体" w:eastAsia="宋体" w:cs="宋体"/>
              <w:spacing w:val="-1"/>
              <w:sz w:val="24"/>
              <w:szCs w:val="24"/>
            </w:rPr>
            <w:t>地下水环境质量现状评价</w:t>
          </w:r>
          <w:r>
            <w:rPr>
              <w:rFonts w:ascii="宋体" w:hAnsi="宋体" w:eastAsia="宋体" w:cs="宋体"/>
              <w:sz w:val="24"/>
              <w:szCs w:val="24"/>
            </w:rPr>
            <w:tab/>
          </w:r>
          <w:r>
            <w:rPr>
              <w:rFonts w:ascii="Times New Roman" w:hAnsi="Times New Roman" w:eastAsia="Times New Roman" w:cs="Times New Roman"/>
              <w:spacing w:val="10"/>
              <w:sz w:val="24"/>
              <w:szCs w:val="24"/>
            </w:rPr>
            <w:t>83</w:t>
          </w:r>
          <w:r>
            <w:rPr>
              <w:rFonts w:ascii="Times New Roman" w:hAnsi="Times New Roman" w:eastAsia="Times New Roman" w:cs="Times New Roman"/>
              <w:spacing w:val="10"/>
              <w:sz w:val="24"/>
              <w:szCs w:val="24"/>
            </w:rPr>
            <w:fldChar w:fldCharType="end"/>
          </w:r>
        </w:p>
        <w:p w14:paraId="482B10B8">
          <w:pPr>
            <w:tabs>
              <w:tab w:val="right" w:leader="dot" w:pos="8522"/>
            </w:tabs>
            <w:spacing w:before="153" w:line="242" w:lineRule="auto"/>
            <w:ind w:left="766"/>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空气环境质量现状评价</w:t>
          </w:r>
          <w:r>
            <w:rPr>
              <w:rFonts w:ascii="宋体" w:hAnsi="宋体" w:eastAsia="宋体" w:cs="宋体"/>
              <w:sz w:val="24"/>
              <w:szCs w:val="24"/>
            </w:rPr>
            <w:tab/>
          </w:r>
          <w:r>
            <w:rPr>
              <w:rFonts w:ascii="Times New Roman" w:hAnsi="Times New Roman" w:eastAsia="Times New Roman" w:cs="Times New Roman"/>
              <w:spacing w:val="10"/>
              <w:sz w:val="24"/>
              <w:szCs w:val="24"/>
            </w:rPr>
            <w:t>87</w:t>
          </w:r>
          <w:r>
            <w:rPr>
              <w:rFonts w:ascii="Times New Roman" w:hAnsi="Times New Roman" w:eastAsia="Times New Roman" w:cs="Times New Roman"/>
              <w:spacing w:val="10"/>
              <w:sz w:val="24"/>
              <w:szCs w:val="24"/>
            </w:rPr>
            <w:fldChar w:fldCharType="end"/>
          </w:r>
        </w:p>
        <w:p w14:paraId="143D77A4">
          <w:pPr>
            <w:tabs>
              <w:tab w:val="right" w:leader="dot" w:pos="8522"/>
            </w:tabs>
            <w:spacing w:before="154" w:line="348" w:lineRule="exact"/>
            <w:ind w:left="766"/>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position w:val="2"/>
              <w:sz w:val="24"/>
              <w:szCs w:val="24"/>
            </w:rPr>
            <w:t xml:space="preserve">4.4  </w:t>
          </w:r>
          <w:r>
            <w:rPr>
              <w:rFonts w:ascii="宋体" w:hAnsi="宋体" w:eastAsia="宋体" w:cs="宋体"/>
              <w:spacing w:val="-1"/>
              <w:position w:val="2"/>
              <w:sz w:val="24"/>
              <w:szCs w:val="24"/>
            </w:rPr>
            <w:t>声环境质量现状评价</w:t>
          </w:r>
          <w:r>
            <w:rPr>
              <w:rFonts w:ascii="宋体" w:hAnsi="宋体" w:eastAsia="宋体" w:cs="宋体"/>
              <w:position w:val="2"/>
              <w:sz w:val="24"/>
              <w:szCs w:val="24"/>
            </w:rPr>
            <w:tab/>
          </w:r>
          <w:r>
            <w:rPr>
              <w:rFonts w:ascii="Times New Roman" w:hAnsi="Times New Roman" w:eastAsia="Times New Roman" w:cs="Times New Roman"/>
              <w:spacing w:val="10"/>
              <w:position w:val="2"/>
              <w:sz w:val="24"/>
              <w:szCs w:val="24"/>
            </w:rPr>
            <w:t>92</w:t>
          </w:r>
          <w:r>
            <w:rPr>
              <w:rFonts w:ascii="Times New Roman" w:hAnsi="Times New Roman" w:eastAsia="Times New Roman" w:cs="Times New Roman"/>
              <w:spacing w:val="10"/>
              <w:position w:val="2"/>
              <w:sz w:val="24"/>
              <w:szCs w:val="24"/>
            </w:rPr>
            <w:fldChar w:fldCharType="end"/>
          </w:r>
        </w:p>
      </w:sdtContent>
    </w:sdt>
    <w:p w14:paraId="49FB37BD">
      <w:pPr>
        <w:spacing w:line="348" w:lineRule="exact"/>
        <w:rPr>
          <w:rFonts w:ascii="Times New Roman" w:hAnsi="Times New Roman" w:eastAsia="Times New Roman" w:cs="Times New Roman"/>
          <w:sz w:val="24"/>
          <w:szCs w:val="24"/>
        </w:rPr>
        <w:sectPr>
          <w:footerReference r:id="rId5" w:type="default"/>
          <w:pgSz w:w="11906" w:h="16839"/>
          <w:pgMar w:top="1431" w:right="1596" w:bottom="1566" w:left="1785" w:header="0" w:footer="1406" w:gutter="0"/>
          <w:cols w:space="720" w:num="1"/>
        </w:sectPr>
      </w:pPr>
    </w:p>
    <w:sdt>
      <w:sdtPr>
        <w:rPr>
          <w:rFonts w:ascii="Times New Roman" w:hAnsi="Times New Roman" w:eastAsia="Times New Roman" w:cs="Times New Roman"/>
          <w:sz w:val="24"/>
          <w:szCs w:val="24"/>
        </w:rPr>
        <w:id w:val="147468660"/>
        <w:docPartObj>
          <w:docPartGallery w:val="Table of Contents"/>
          <w:docPartUnique/>
        </w:docPartObj>
      </w:sdtPr>
      <w:sdtEndPr>
        <w:rPr>
          <w:rFonts w:ascii="Times New Roman" w:hAnsi="Times New Roman" w:eastAsia="Times New Roman" w:cs="Times New Roman"/>
          <w:sz w:val="24"/>
          <w:szCs w:val="24"/>
        </w:rPr>
      </w:sdtEndPr>
      <w:sdtContent>
        <w:p w14:paraId="7E1F483D">
          <w:pPr>
            <w:tabs>
              <w:tab w:val="right" w:leader="dot" w:pos="8522"/>
            </w:tabs>
            <w:spacing w:before="66" w:line="242" w:lineRule="auto"/>
            <w:ind w:left="766"/>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4.5  </w:t>
          </w:r>
          <w:r>
            <w:rPr>
              <w:rFonts w:ascii="宋体" w:hAnsi="宋体" w:eastAsia="宋体" w:cs="宋体"/>
              <w:spacing w:val="-1"/>
              <w:sz w:val="24"/>
              <w:szCs w:val="24"/>
            </w:rPr>
            <w:t>土壤环境质量现状评价</w:t>
          </w:r>
          <w:r>
            <w:rPr>
              <w:rFonts w:ascii="宋体" w:hAnsi="宋体" w:eastAsia="宋体" w:cs="宋体"/>
              <w:sz w:val="24"/>
              <w:szCs w:val="24"/>
            </w:rPr>
            <w:tab/>
          </w:r>
          <w:r>
            <w:rPr>
              <w:rFonts w:ascii="Times New Roman" w:hAnsi="Times New Roman" w:eastAsia="Times New Roman" w:cs="Times New Roman"/>
              <w:spacing w:val="10"/>
              <w:sz w:val="24"/>
              <w:szCs w:val="24"/>
            </w:rPr>
            <w:t>94</w:t>
          </w:r>
          <w:r>
            <w:rPr>
              <w:rFonts w:ascii="Times New Roman" w:hAnsi="Times New Roman" w:eastAsia="Times New Roman" w:cs="Times New Roman"/>
              <w:spacing w:val="10"/>
              <w:sz w:val="24"/>
              <w:szCs w:val="24"/>
            </w:rPr>
            <w:fldChar w:fldCharType="end"/>
          </w:r>
        </w:p>
        <w:p w14:paraId="7DCE00A0">
          <w:pPr>
            <w:tabs>
              <w:tab w:val="right" w:leader="dot" w:pos="8522"/>
            </w:tabs>
            <w:spacing w:before="153" w:line="242" w:lineRule="auto"/>
            <w:ind w:left="766"/>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 xml:space="preserve">4.6  </w:t>
          </w:r>
          <w:r>
            <w:rPr>
              <w:rFonts w:ascii="宋体" w:hAnsi="宋体" w:eastAsia="宋体" w:cs="宋体"/>
              <w:spacing w:val="-1"/>
              <w:sz w:val="24"/>
              <w:szCs w:val="24"/>
            </w:rPr>
            <w:t>生态环境现状调查</w:t>
          </w:r>
          <w:r>
            <w:rPr>
              <w:rFonts w:ascii="宋体" w:hAnsi="宋体" w:eastAsia="宋体" w:cs="宋体"/>
              <w:sz w:val="24"/>
              <w:szCs w:val="24"/>
            </w:rPr>
            <w:tab/>
          </w:r>
          <w:r>
            <w:rPr>
              <w:rFonts w:ascii="Times New Roman" w:hAnsi="Times New Roman" w:eastAsia="Times New Roman" w:cs="Times New Roman"/>
              <w:spacing w:val="6"/>
              <w:sz w:val="24"/>
              <w:szCs w:val="24"/>
            </w:rPr>
            <w:t>104</w:t>
          </w:r>
          <w:r>
            <w:rPr>
              <w:rFonts w:ascii="Times New Roman" w:hAnsi="Times New Roman" w:eastAsia="Times New Roman" w:cs="Times New Roman"/>
              <w:spacing w:val="6"/>
              <w:sz w:val="24"/>
              <w:szCs w:val="24"/>
            </w:rPr>
            <w:fldChar w:fldCharType="end"/>
          </w:r>
        </w:p>
        <w:p w14:paraId="7602C796">
          <w:pPr>
            <w:tabs>
              <w:tab w:val="right" w:leader="dot" w:pos="8522"/>
            </w:tabs>
            <w:spacing w:before="244" w:line="186" w:lineRule="auto"/>
            <w:ind w:left="371"/>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Times New Roman" w:hAnsi="Times New Roman" w:eastAsia="Times New Roman" w:cs="Times New Roman"/>
              <w:b/>
              <w:bCs/>
              <w:spacing w:val="-3"/>
              <w:sz w:val="28"/>
              <w:szCs w:val="28"/>
            </w:rPr>
            <w:t xml:space="preserve">5  </w:t>
          </w:r>
          <w:r>
            <w:rPr>
              <w:rFonts w:ascii="宋体" w:hAnsi="宋体" w:eastAsia="宋体" w:cs="宋体"/>
              <w:b/>
              <w:bCs/>
              <w:spacing w:val="-3"/>
              <w:sz w:val="28"/>
              <w:szCs w:val="28"/>
            </w:rPr>
            <w:t>环境影响预测与评价</w:t>
          </w:r>
          <w:r>
            <w:rPr>
              <w:rFonts w:ascii="宋体" w:hAnsi="宋体" w:eastAsia="宋体" w:cs="宋体"/>
              <w:b/>
              <w:bCs/>
              <w:sz w:val="28"/>
              <w:szCs w:val="28"/>
            </w:rPr>
            <w:tab/>
          </w:r>
          <w:r>
            <w:rPr>
              <w:rFonts w:ascii="宋体" w:hAnsi="宋体" w:eastAsia="宋体" w:cs="宋体"/>
              <w:spacing w:val="-89"/>
              <w:sz w:val="28"/>
              <w:szCs w:val="28"/>
            </w:rPr>
            <w:t xml:space="preserve"> </w:t>
          </w:r>
          <w:r>
            <w:rPr>
              <w:rFonts w:ascii="Times New Roman" w:hAnsi="Times New Roman" w:eastAsia="Times New Roman" w:cs="Times New Roman"/>
              <w:b/>
              <w:bCs/>
              <w:spacing w:val="-6"/>
              <w:sz w:val="28"/>
              <w:szCs w:val="28"/>
            </w:rPr>
            <w:t>108</w:t>
          </w:r>
          <w:r>
            <w:rPr>
              <w:rFonts w:ascii="Times New Roman" w:hAnsi="Times New Roman" w:eastAsia="Times New Roman" w:cs="Times New Roman"/>
              <w:b/>
              <w:bCs/>
              <w:spacing w:val="-6"/>
              <w:sz w:val="28"/>
              <w:szCs w:val="28"/>
            </w:rPr>
            <w:fldChar w:fldCharType="end"/>
          </w:r>
        </w:p>
        <w:p w14:paraId="7CD09784">
          <w:pPr>
            <w:tabs>
              <w:tab w:val="right" w:leader="dot" w:pos="8522"/>
            </w:tabs>
            <w:spacing w:before="251" w:line="242" w:lineRule="auto"/>
            <w:ind w:left="774"/>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 xml:space="preserve">5.1  </w:t>
          </w:r>
          <w:r>
            <w:rPr>
              <w:rFonts w:ascii="宋体" w:hAnsi="宋体" w:eastAsia="宋体" w:cs="宋体"/>
              <w:spacing w:val="-1"/>
              <w:sz w:val="24"/>
              <w:szCs w:val="24"/>
            </w:rPr>
            <w:t>施工期环境影响分析</w:t>
          </w:r>
          <w:r>
            <w:rPr>
              <w:rFonts w:ascii="宋体" w:hAnsi="宋体" w:eastAsia="宋体" w:cs="宋体"/>
              <w:sz w:val="24"/>
              <w:szCs w:val="24"/>
            </w:rPr>
            <w:tab/>
          </w:r>
          <w:r>
            <w:rPr>
              <w:rFonts w:ascii="Times New Roman" w:hAnsi="Times New Roman" w:eastAsia="Times New Roman" w:cs="Times New Roman"/>
              <w:spacing w:val="6"/>
              <w:sz w:val="24"/>
              <w:szCs w:val="24"/>
            </w:rPr>
            <w:t>108</w:t>
          </w:r>
          <w:r>
            <w:rPr>
              <w:rFonts w:ascii="Times New Roman" w:hAnsi="Times New Roman" w:eastAsia="Times New Roman" w:cs="Times New Roman"/>
              <w:spacing w:val="6"/>
              <w:sz w:val="24"/>
              <w:szCs w:val="24"/>
            </w:rPr>
            <w:fldChar w:fldCharType="end"/>
          </w:r>
        </w:p>
        <w:p w14:paraId="2C24913E">
          <w:pPr>
            <w:tabs>
              <w:tab w:val="right" w:leader="dot" w:pos="8524"/>
            </w:tabs>
            <w:spacing w:before="153" w:line="242" w:lineRule="auto"/>
            <w:ind w:left="774"/>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营运期环境影响评价</w:t>
          </w:r>
          <w:r>
            <w:rPr>
              <w:rFonts w:ascii="宋体" w:hAnsi="宋体" w:eastAsia="宋体" w:cs="宋体"/>
              <w:sz w:val="24"/>
              <w:szCs w:val="24"/>
            </w:rPr>
            <w:tab/>
          </w:r>
          <w:r>
            <w:rPr>
              <w:rFonts w:ascii="宋体" w:hAnsi="宋体" w:eastAsia="宋体" w:cs="宋体"/>
              <w:spacing w:val="-63"/>
              <w:sz w:val="24"/>
              <w:szCs w:val="24"/>
            </w:rPr>
            <w:t xml:space="preserve"> </w:t>
          </w:r>
          <w:r>
            <w:rPr>
              <w:rFonts w:ascii="Times New Roman" w:hAnsi="Times New Roman" w:eastAsia="Times New Roman" w:cs="Times New Roman"/>
              <w:spacing w:val="-12"/>
              <w:sz w:val="24"/>
              <w:szCs w:val="24"/>
            </w:rPr>
            <w:t>118</w:t>
          </w:r>
          <w:r>
            <w:rPr>
              <w:rFonts w:ascii="Times New Roman" w:hAnsi="Times New Roman" w:eastAsia="Times New Roman" w:cs="Times New Roman"/>
              <w:spacing w:val="-12"/>
              <w:sz w:val="24"/>
              <w:szCs w:val="24"/>
            </w:rPr>
            <w:fldChar w:fldCharType="end"/>
          </w:r>
        </w:p>
        <w:p w14:paraId="7B11339A">
          <w:pPr>
            <w:tabs>
              <w:tab w:val="right" w:leader="dot" w:pos="8522"/>
            </w:tabs>
            <w:spacing w:before="244" w:line="186" w:lineRule="auto"/>
            <w:ind w:left="372"/>
            <w:rPr>
              <w:rFonts w:ascii="Times New Roman" w:hAnsi="Times New Roman" w:eastAsia="Times New Roman" w:cs="Times New Roman"/>
              <w:sz w:val="28"/>
              <w:szCs w:val="28"/>
            </w:rPr>
          </w:pPr>
          <w:r>
            <w:fldChar w:fldCharType="begin"/>
          </w:r>
          <w:r>
            <w:instrText xml:space="preserve"> HYPERLINK \l "bookmark33" </w:instrText>
          </w:r>
          <w:r>
            <w:fldChar w:fldCharType="separate"/>
          </w:r>
          <w:r>
            <w:rPr>
              <w:rFonts w:ascii="Times New Roman" w:hAnsi="Times New Roman" w:eastAsia="Times New Roman" w:cs="Times New Roman"/>
              <w:b/>
              <w:bCs/>
              <w:spacing w:val="-3"/>
              <w:sz w:val="28"/>
              <w:szCs w:val="28"/>
            </w:rPr>
            <w:t xml:space="preserve">6  </w:t>
          </w:r>
          <w:r>
            <w:rPr>
              <w:rFonts w:ascii="宋体" w:hAnsi="宋体" w:eastAsia="宋体" w:cs="宋体"/>
              <w:b/>
              <w:bCs/>
              <w:spacing w:val="-3"/>
              <w:sz w:val="28"/>
              <w:szCs w:val="28"/>
            </w:rPr>
            <w:t>环境保护措施及其可行性论证</w:t>
          </w:r>
          <w:r>
            <w:rPr>
              <w:rFonts w:ascii="宋体" w:hAnsi="宋体" w:eastAsia="宋体" w:cs="宋体"/>
              <w:b/>
              <w:bCs/>
              <w:sz w:val="28"/>
              <w:szCs w:val="28"/>
            </w:rPr>
            <w:tab/>
          </w:r>
          <w:r>
            <w:rPr>
              <w:rFonts w:ascii="Times New Roman" w:hAnsi="Times New Roman" w:eastAsia="Times New Roman" w:cs="Times New Roman"/>
              <w:b/>
              <w:bCs/>
              <w:spacing w:val="4"/>
              <w:sz w:val="28"/>
              <w:szCs w:val="28"/>
            </w:rPr>
            <w:t>141</w:t>
          </w:r>
          <w:r>
            <w:rPr>
              <w:rFonts w:ascii="Times New Roman" w:hAnsi="Times New Roman" w:eastAsia="Times New Roman" w:cs="Times New Roman"/>
              <w:b/>
              <w:bCs/>
              <w:spacing w:val="4"/>
              <w:sz w:val="28"/>
              <w:szCs w:val="28"/>
            </w:rPr>
            <w:fldChar w:fldCharType="end"/>
          </w:r>
        </w:p>
        <w:p w14:paraId="29377245">
          <w:pPr>
            <w:tabs>
              <w:tab w:val="right" w:leader="dot" w:pos="8522"/>
            </w:tabs>
            <w:spacing w:before="251" w:line="242" w:lineRule="auto"/>
            <w:ind w:left="773"/>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6.1  </w:t>
          </w:r>
          <w:r>
            <w:rPr>
              <w:rFonts w:ascii="宋体" w:hAnsi="宋体" w:eastAsia="宋体" w:cs="宋体"/>
              <w:spacing w:val="-1"/>
              <w:sz w:val="24"/>
              <w:szCs w:val="24"/>
            </w:rPr>
            <w:t>地下水污染防治措施</w:t>
          </w:r>
          <w:r>
            <w:rPr>
              <w:rFonts w:ascii="宋体" w:hAnsi="宋体" w:eastAsia="宋体" w:cs="宋体"/>
              <w:sz w:val="24"/>
              <w:szCs w:val="24"/>
            </w:rPr>
            <w:tab/>
          </w:r>
          <w:r>
            <w:rPr>
              <w:rFonts w:ascii="Times New Roman" w:hAnsi="Times New Roman" w:eastAsia="Times New Roman" w:cs="Times New Roman"/>
              <w:spacing w:val="6"/>
              <w:sz w:val="24"/>
              <w:szCs w:val="24"/>
            </w:rPr>
            <w:t>141</w:t>
          </w:r>
          <w:r>
            <w:rPr>
              <w:rFonts w:ascii="Times New Roman" w:hAnsi="Times New Roman" w:eastAsia="Times New Roman" w:cs="Times New Roman"/>
              <w:spacing w:val="6"/>
              <w:sz w:val="24"/>
              <w:szCs w:val="24"/>
            </w:rPr>
            <w:fldChar w:fldCharType="end"/>
          </w:r>
        </w:p>
        <w:p w14:paraId="20AF24CF">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 xml:space="preserve">6.2  </w:t>
          </w:r>
          <w:r>
            <w:rPr>
              <w:rFonts w:ascii="宋体" w:hAnsi="宋体" w:eastAsia="宋体" w:cs="宋体"/>
              <w:spacing w:val="-1"/>
              <w:sz w:val="24"/>
              <w:szCs w:val="24"/>
            </w:rPr>
            <w:t>大气污染防治措施可行性分析</w:t>
          </w:r>
          <w:r>
            <w:rPr>
              <w:rFonts w:ascii="宋体" w:hAnsi="宋体" w:eastAsia="宋体" w:cs="宋体"/>
              <w:sz w:val="24"/>
              <w:szCs w:val="24"/>
            </w:rPr>
            <w:tab/>
          </w:r>
          <w:r>
            <w:rPr>
              <w:rFonts w:ascii="Times New Roman" w:hAnsi="Times New Roman" w:eastAsia="Times New Roman" w:cs="Times New Roman"/>
              <w:spacing w:val="6"/>
              <w:sz w:val="24"/>
              <w:szCs w:val="24"/>
            </w:rPr>
            <w:t>142</w:t>
          </w:r>
          <w:r>
            <w:rPr>
              <w:rFonts w:ascii="Times New Roman" w:hAnsi="Times New Roman" w:eastAsia="Times New Roman" w:cs="Times New Roman"/>
              <w:spacing w:val="6"/>
              <w:sz w:val="24"/>
              <w:szCs w:val="24"/>
            </w:rPr>
            <w:fldChar w:fldCharType="end"/>
          </w:r>
        </w:p>
        <w:p w14:paraId="12EF7EFA">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1"/>
              <w:sz w:val="24"/>
              <w:szCs w:val="24"/>
            </w:rPr>
            <w:t xml:space="preserve">6.3  </w:t>
          </w:r>
          <w:r>
            <w:rPr>
              <w:rFonts w:ascii="宋体" w:hAnsi="宋体" w:eastAsia="宋体" w:cs="宋体"/>
              <w:spacing w:val="-1"/>
              <w:sz w:val="24"/>
              <w:szCs w:val="24"/>
            </w:rPr>
            <w:t>噪声污染防治措施可行性分析</w:t>
          </w:r>
          <w:r>
            <w:rPr>
              <w:rFonts w:ascii="宋体" w:hAnsi="宋体" w:eastAsia="宋体" w:cs="宋体"/>
              <w:sz w:val="24"/>
              <w:szCs w:val="24"/>
            </w:rPr>
            <w:tab/>
          </w:r>
          <w:r>
            <w:rPr>
              <w:rFonts w:ascii="Times New Roman" w:hAnsi="Times New Roman" w:eastAsia="Times New Roman" w:cs="Times New Roman"/>
              <w:spacing w:val="6"/>
              <w:sz w:val="24"/>
              <w:szCs w:val="24"/>
            </w:rPr>
            <w:t>145</w:t>
          </w:r>
          <w:r>
            <w:rPr>
              <w:rFonts w:ascii="Times New Roman" w:hAnsi="Times New Roman" w:eastAsia="Times New Roman" w:cs="Times New Roman"/>
              <w:spacing w:val="6"/>
              <w:sz w:val="24"/>
              <w:szCs w:val="24"/>
            </w:rPr>
            <w:fldChar w:fldCharType="end"/>
          </w:r>
        </w:p>
        <w:p w14:paraId="0C96B833">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3"/>
              <w:sz w:val="24"/>
              <w:szCs w:val="24"/>
            </w:rPr>
            <w:t>6.4</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固体废物污染防治措施可行性分析</w:t>
          </w:r>
          <w:r>
            <w:rPr>
              <w:rFonts w:ascii="宋体" w:hAnsi="宋体" w:eastAsia="宋体" w:cs="宋体"/>
              <w:sz w:val="24"/>
              <w:szCs w:val="24"/>
            </w:rPr>
            <w:tab/>
          </w:r>
          <w:r>
            <w:rPr>
              <w:rFonts w:ascii="Times New Roman" w:hAnsi="Times New Roman" w:eastAsia="Times New Roman" w:cs="Times New Roman"/>
              <w:spacing w:val="6"/>
              <w:sz w:val="24"/>
              <w:szCs w:val="24"/>
            </w:rPr>
            <w:t>146</w:t>
          </w:r>
          <w:r>
            <w:rPr>
              <w:rFonts w:ascii="Times New Roman" w:hAnsi="Times New Roman" w:eastAsia="Times New Roman" w:cs="Times New Roman"/>
              <w:spacing w:val="6"/>
              <w:sz w:val="24"/>
              <w:szCs w:val="24"/>
            </w:rPr>
            <w:fldChar w:fldCharType="end"/>
          </w:r>
        </w:p>
        <w:p w14:paraId="733D4A34">
          <w:pPr>
            <w:tabs>
              <w:tab w:val="right" w:leader="dot" w:pos="8522"/>
            </w:tabs>
            <w:spacing w:before="154" w:line="242" w:lineRule="auto"/>
            <w:ind w:left="773"/>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1"/>
              <w:sz w:val="24"/>
              <w:szCs w:val="24"/>
            </w:rPr>
            <w:t xml:space="preserve">6.5  </w:t>
          </w:r>
          <w:r>
            <w:rPr>
              <w:rFonts w:ascii="宋体" w:hAnsi="宋体" w:eastAsia="宋体" w:cs="宋体"/>
              <w:spacing w:val="-1"/>
              <w:sz w:val="24"/>
              <w:szCs w:val="24"/>
            </w:rPr>
            <w:t>有害生物防治措施</w:t>
          </w:r>
          <w:r>
            <w:rPr>
              <w:rFonts w:ascii="宋体" w:hAnsi="宋体" w:eastAsia="宋体" w:cs="宋体"/>
              <w:sz w:val="24"/>
              <w:szCs w:val="24"/>
            </w:rPr>
            <w:tab/>
          </w:r>
          <w:r>
            <w:rPr>
              <w:rFonts w:ascii="Times New Roman" w:hAnsi="Times New Roman" w:eastAsia="Times New Roman" w:cs="Times New Roman"/>
              <w:spacing w:val="6"/>
              <w:sz w:val="24"/>
              <w:szCs w:val="24"/>
            </w:rPr>
            <w:t>149</w:t>
          </w:r>
          <w:r>
            <w:rPr>
              <w:rFonts w:ascii="Times New Roman" w:hAnsi="Times New Roman" w:eastAsia="Times New Roman" w:cs="Times New Roman"/>
              <w:spacing w:val="6"/>
              <w:sz w:val="24"/>
              <w:szCs w:val="24"/>
            </w:rPr>
            <w:fldChar w:fldCharType="end"/>
          </w:r>
        </w:p>
        <w:p w14:paraId="6ECC369E">
          <w:pPr>
            <w:tabs>
              <w:tab w:val="right" w:leader="dot" w:pos="8522"/>
            </w:tabs>
            <w:spacing w:before="244" w:line="186" w:lineRule="auto"/>
            <w:ind w:left="371"/>
            <w:rPr>
              <w:rFonts w:ascii="Times New Roman" w:hAnsi="Times New Roman" w:eastAsia="Times New Roman" w:cs="Times New Roman"/>
              <w:sz w:val="28"/>
              <w:szCs w:val="28"/>
            </w:rPr>
          </w:pPr>
          <w:r>
            <w:fldChar w:fldCharType="begin"/>
          </w:r>
          <w:r>
            <w:instrText xml:space="preserve"> HYPERLINK \l "bookmark39" </w:instrText>
          </w:r>
          <w:r>
            <w:fldChar w:fldCharType="separate"/>
          </w:r>
          <w:r>
            <w:rPr>
              <w:rFonts w:ascii="Times New Roman" w:hAnsi="Times New Roman" w:eastAsia="Times New Roman" w:cs="Times New Roman"/>
              <w:b/>
              <w:bCs/>
              <w:spacing w:val="-3"/>
              <w:sz w:val="28"/>
              <w:szCs w:val="28"/>
            </w:rPr>
            <w:t xml:space="preserve">7  </w:t>
          </w:r>
          <w:r>
            <w:rPr>
              <w:rFonts w:ascii="宋体" w:hAnsi="宋体" w:eastAsia="宋体" w:cs="宋体"/>
              <w:b/>
              <w:bCs/>
              <w:spacing w:val="-3"/>
              <w:sz w:val="28"/>
              <w:szCs w:val="28"/>
            </w:rPr>
            <w:t>环境经济损益分析</w:t>
          </w:r>
          <w:r>
            <w:rPr>
              <w:rFonts w:ascii="宋体" w:hAnsi="宋体" w:eastAsia="宋体" w:cs="宋体"/>
              <w:b/>
              <w:bCs/>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b/>
              <w:bCs/>
              <w:spacing w:val="-6"/>
              <w:sz w:val="28"/>
              <w:szCs w:val="28"/>
            </w:rPr>
            <w:t>152</w:t>
          </w:r>
          <w:r>
            <w:rPr>
              <w:rFonts w:ascii="Times New Roman" w:hAnsi="Times New Roman" w:eastAsia="Times New Roman" w:cs="Times New Roman"/>
              <w:b/>
              <w:bCs/>
              <w:spacing w:val="-6"/>
              <w:sz w:val="28"/>
              <w:szCs w:val="28"/>
            </w:rPr>
            <w:fldChar w:fldCharType="end"/>
          </w:r>
        </w:p>
        <w:p w14:paraId="119156A3">
          <w:pPr>
            <w:tabs>
              <w:tab w:val="right" w:leader="dot" w:pos="8522"/>
            </w:tabs>
            <w:spacing w:before="251" w:line="242" w:lineRule="auto"/>
            <w:ind w:left="771"/>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环境经济效益分析</w:t>
          </w:r>
          <w:r>
            <w:rPr>
              <w:rFonts w:ascii="宋体" w:hAnsi="宋体" w:eastAsia="宋体" w:cs="宋体"/>
              <w:sz w:val="24"/>
              <w:szCs w:val="24"/>
            </w:rPr>
            <w:tab/>
          </w:r>
          <w:r>
            <w:rPr>
              <w:rFonts w:ascii="Times New Roman" w:hAnsi="Times New Roman" w:eastAsia="Times New Roman" w:cs="Times New Roman"/>
              <w:spacing w:val="6"/>
              <w:sz w:val="24"/>
              <w:szCs w:val="24"/>
            </w:rPr>
            <w:t>152</w:t>
          </w:r>
          <w:r>
            <w:rPr>
              <w:rFonts w:ascii="Times New Roman" w:hAnsi="Times New Roman" w:eastAsia="Times New Roman" w:cs="Times New Roman"/>
              <w:spacing w:val="6"/>
              <w:sz w:val="24"/>
              <w:szCs w:val="24"/>
            </w:rPr>
            <w:fldChar w:fldCharType="end"/>
          </w:r>
        </w:p>
        <w:p w14:paraId="3BAAB7F2">
          <w:pPr>
            <w:tabs>
              <w:tab w:val="right" w:leader="dot" w:pos="8522"/>
            </w:tabs>
            <w:spacing w:before="153" w:line="242" w:lineRule="auto"/>
            <w:ind w:left="771"/>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5"/>
              <w:sz w:val="24"/>
              <w:szCs w:val="24"/>
            </w:rPr>
            <w:t>7.2</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小结</w:t>
          </w:r>
          <w:r>
            <w:rPr>
              <w:rFonts w:ascii="宋体" w:hAnsi="宋体" w:eastAsia="宋体" w:cs="宋体"/>
              <w:sz w:val="24"/>
              <w:szCs w:val="24"/>
            </w:rPr>
            <w:tab/>
          </w:r>
          <w:r>
            <w:rPr>
              <w:rFonts w:ascii="Times New Roman" w:hAnsi="Times New Roman" w:eastAsia="Times New Roman" w:cs="Times New Roman"/>
              <w:spacing w:val="6"/>
              <w:sz w:val="24"/>
              <w:szCs w:val="24"/>
            </w:rPr>
            <w:t>155</w:t>
          </w:r>
          <w:r>
            <w:rPr>
              <w:rFonts w:ascii="Times New Roman" w:hAnsi="Times New Roman" w:eastAsia="Times New Roman" w:cs="Times New Roman"/>
              <w:spacing w:val="6"/>
              <w:sz w:val="24"/>
              <w:szCs w:val="24"/>
            </w:rPr>
            <w:fldChar w:fldCharType="end"/>
          </w:r>
        </w:p>
        <w:p w14:paraId="2BE22E2B">
          <w:pPr>
            <w:tabs>
              <w:tab w:val="right" w:leader="dot" w:pos="8522"/>
            </w:tabs>
            <w:spacing w:before="245" w:line="186" w:lineRule="auto"/>
            <w:ind w:left="371"/>
            <w:rPr>
              <w:rFonts w:ascii="Times New Roman" w:hAnsi="Times New Roman" w:eastAsia="Times New Roman" w:cs="Times New Roman"/>
              <w:sz w:val="28"/>
              <w:szCs w:val="28"/>
            </w:rPr>
          </w:pPr>
          <w:r>
            <w:fldChar w:fldCharType="begin"/>
          </w:r>
          <w:r>
            <w:instrText xml:space="preserve"> HYPERLINK \l "bookmark42" </w:instrText>
          </w:r>
          <w:r>
            <w:fldChar w:fldCharType="separate"/>
          </w:r>
          <w:r>
            <w:rPr>
              <w:rFonts w:ascii="Times New Roman" w:hAnsi="Times New Roman" w:eastAsia="Times New Roman" w:cs="Times New Roman"/>
              <w:b/>
              <w:bCs/>
              <w:spacing w:val="-3"/>
              <w:sz w:val="28"/>
              <w:szCs w:val="28"/>
            </w:rPr>
            <w:t xml:space="preserve">8  </w:t>
          </w:r>
          <w:r>
            <w:rPr>
              <w:rFonts w:ascii="宋体" w:hAnsi="宋体" w:eastAsia="宋体" w:cs="宋体"/>
              <w:b/>
              <w:bCs/>
              <w:spacing w:val="-3"/>
              <w:sz w:val="28"/>
              <w:szCs w:val="28"/>
            </w:rPr>
            <w:t>环境管理与监测计划</w:t>
          </w:r>
          <w:r>
            <w:rPr>
              <w:rFonts w:ascii="宋体" w:hAnsi="宋体" w:eastAsia="宋体" w:cs="宋体"/>
              <w:b/>
              <w:bCs/>
              <w:sz w:val="28"/>
              <w:szCs w:val="28"/>
            </w:rPr>
            <w:tab/>
          </w:r>
          <w:r>
            <w:rPr>
              <w:rFonts w:ascii="宋体" w:hAnsi="宋体" w:eastAsia="宋体" w:cs="宋体"/>
              <w:spacing w:val="-89"/>
              <w:sz w:val="28"/>
              <w:szCs w:val="28"/>
            </w:rPr>
            <w:t xml:space="preserve"> </w:t>
          </w:r>
          <w:r>
            <w:rPr>
              <w:rFonts w:ascii="Times New Roman" w:hAnsi="Times New Roman" w:eastAsia="Times New Roman" w:cs="Times New Roman"/>
              <w:b/>
              <w:bCs/>
              <w:spacing w:val="-6"/>
              <w:sz w:val="28"/>
              <w:szCs w:val="28"/>
            </w:rPr>
            <w:t>156</w:t>
          </w:r>
          <w:r>
            <w:rPr>
              <w:rFonts w:ascii="Times New Roman" w:hAnsi="Times New Roman" w:eastAsia="Times New Roman" w:cs="Times New Roman"/>
              <w:b/>
              <w:bCs/>
              <w:spacing w:val="-6"/>
              <w:sz w:val="28"/>
              <w:szCs w:val="28"/>
            </w:rPr>
            <w:fldChar w:fldCharType="end"/>
          </w:r>
        </w:p>
        <w:p w14:paraId="10B255E7">
          <w:pPr>
            <w:tabs>
              <w:tab w:val="right" w:leader="dot" w:pos="8522"/>
            </w:tabs>
            <w:spacing w:before="251" w:line="242" w:lineRule="auto"/>
            <w:ind w:left="777"/>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2"/>
              <w:sz w:val="24"/>
              <w:szCs w:val="24"/>
            </w:rPr>
            <w:t xml:space="preserve">8.1  </w:t>
          </w:r>
          <w:r>
            <w:rPr>
              <w:rFonts w:ascii="宋体" w:hAnsi="宋体" w:eastAsia="宋体" w:cs="宋体"/>
              <w:spacing w:val="-2"/>
              <w:sz w:val="24"/>
              <w:szCs w:val="24"/>
            </w:rPr>
            <w:t>环境管理</w:t>
          </w:r>
          <w:r>
            <w:rPr>
              <w:rFonts w:ascii="宋体" w:hAnsi="宋体" w:eastAsia="宋体" w:cs="宋体"/>
              <w:sz w:val="24"/>
              <w:szCs w:val="24"/>
            </w:rPr>
            <w:tab/>
          </w:r>
          <w:r>
            <w:rPr>
              <w:rFonts w:ascii="Times New Roman" w:hAnsi="Times New Roman" w:eastAsia="Times New Roman" w:cs="Times New Roman"/>
              <w:spacing w:val="6"/>
              <w:sz w:val="24"/>
              <w:szCs w:val="24"/>
            </w:rPr>
            <w:t>156</w:t>
          </w:r>
          <w:r>
            <w:rPr>
              <w:rFonts w:ascii="Times New Roman" w:hAnsi="Times New Roman" w:eastAsia="Times New Roman" w:cs="Times New Roman"/>
              <w:spacing w:val="6"/>
              <w:sz w:val="24"/>
              <w:szCs w:val="24"/>
            </w:rPr>
            <w:fldChar w:fldCharType="end"/>
          </w:r>
        </w:p>
        <w:p w14:paraId="73379DFB">
          <w:pPr>
            <w:tabs>
              <w:tab w:val="right" w:leader="dot" w:pos="8522"/>
            </w:tabs>
            <w:spacing w:before="153" w:line="242" w:lineRule="auto"/>
            <w:ind w:left="777"/>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2"/>
              <w:sz w:val="24"/>
              <w:szCs w:val="24"/>
            </w:rPr>
            <w:t xml:space="preserve">8.2  </w:t>
          </w:r>
          <w:r>
            <w:rPr>
              <w:rFonts w:ascii="宋体" w:hAnsi="宋体" w:eastAsia="宋体" w:cs="宋体"/>
              <w:spacing w:val="-2"/>
              <w:sz w:val="24"/>
              <w:szCs w:val="24"/>
            </w:rPr>
            <w:t>环境监测</w:t>
          </w:r>
          <w:r>
            <w:rPr>
              <w:rFonts w:ascii="宋体" w:hAnsi="宋体" w:eastAsia="宋体" w:cs="宋体"/>
              <w:sz w:val="24"/>
              <w:szCs w:val="24"/>
            </w:rPr>
            <w:tab/>
          </w:r>
          <w:r>
            <w:rPr>
              <w:rFonts w:ascii="Times New Roman" w:hAnsi="Times New Roman" w:eastAsia="Times New Roman" w:cs="Times New Roman"/>
              <w:spacing w:val="6"/>
              <w:sz w:val="24"/>
              <w:szCs w:val="24"/>
            </w:rPr>
            <w:t>158</w:t>
          </w:r>
          <w:r>
            <w:rPr>
              <w:rFonts w:ascii="Times New Roman" w:hAnsi="Times New Roman" w:eastAsia="Times New Roman" w:cs="Times New Roman"/>
              <w:spacing w:val="6"/>
              <w:sz w:val="24"/>
              <w:szCs w:val="24"/>
            </w:rPr>
            <w:fldChar w:fldCharType="end"/>
          </w:r>
        </w:p>
        <w:p w14:paraId="60453EFC">
          <w:pPr>
            <w:tabs>
              <w:tab w:val="right" w:leader="dot" w:pos="8522"/>
            </w:tabs>
            <w:spacing w:before="154" w:line="242" w:lineRule="auto"/>
            <w:ind w:left="777"/>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4"/>
              <w:sz w:val="24"/>
              <w:szCs w:val="24"/>
            </w:rPr>
            <w:t>8.3</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监测计划</w:t>
          </w:r>
          <w:r>
            <w:rPr>
              <w:rFonts w:ascii="宋体" w:hAnsi="宋体" w:eastAsia="宋体" w:cs="宋体"/>
              <w:sz w:val="24"/>
              <w:szCs w:val="24"/>
            </w:rPr>
            <w:tab/>
          </w:r>
          <w:r>
            <w:rPr>
              <w:rFonts w:ascii="Times New Roman" w:hAnsi="Times New Roman" w:eastAsia="Times New Roman" w:cs="Times New Roman"/>
              <w:spacing w:val="6"/>
              <w:sz w:val="24"/>
              <w:szCs w:val="24"/>
            </w:rPr>
            <w:t>159</w:t>
          </w:r>
          <w:r>
            <w:rPr>
              <w:rFonts w:ascii="Times New Roman" w:hAnsi="Times New Roman" w:eastAsia="Times New Roman" w:cs="Times New Roman"/>
              <w:spacing w:val="6"/>
              <w:sz w:val="24"/>
              <w:szCs w:val="24"/>
            </w:rPr>
            <w:fldChar w:fldCharType="end"/>
          </w:r>
        </w:p>
        <w:p w14:paraId="404140D6">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宋体" w:hAnsi="宋体" w:eastAsia="宋体" w:cs="宋体"/>
              <w:spacing w:val="-1"/>
              <w:sz w:val="24"/>
              <w:szCs w:val="24"/>
            </w:rPr>
            <w:t>8.4 污染物排放清单</w:t>
          </w:r>
          <w:r>
            <w:rPr>
              <w:rFonts w:ascii="宋体" w:hAnsi="宋体" w:eastAsia="宋体" w:cs="宋体"/>
              <w:sz w:val="24"/>
              <w:szCs w:val="24"/>
            </w:rPr>
            <w:tab/>
          </w:r>
          <w:r>
            <w:rPr>
              <w:rFonts w:ascii="Times New Roman" w:hAnsi="Times New Roman" w:eastAsia="Times New Roman" w:cs="Times New Roman"/>
              <w:spacing w:val="6"/>
              <w:sz w:val="24"/>
              <w:szCs w:val="24"/>
            </w:rPr>
            <w:t>163</w:t>
          </w:r>
          <w:r>
            <w:rPr>
              <w:rFonts w:ascii="Times New Roman" w:hAnsi="Times New Roman" w:eastAsia="Times New Roman" w:cs="Times New Roman"/>
              <w:spacing w:val="6"/>
              <w:sz w:val="24"/>
              <w:szCs w:val="24"/>
            </w:rPr>
            <w:fldChar w:fldCharType="end"/>
          </w:r>
        </w:p>
        <w:p w14:paraId="577E9A4C">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宋体" w:hAnsi="宋体" w:eastAsia="宋体" w:cs="宋体"/>
              <w:spacing w:val="-1"/>
              <w:sz w:val="24"/>
              <w:szCs w:val="24"/>
            </w:rPr>
            <w:t>8.5 环保设施</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三同时</w:t>
          </w:r>
          <w:r>
            <w:rPr>
              <w:rFonts w:ascii="Times New Roman" w:hAnsi="Times New Roman" w:eastAsia="Times New Roman" w:cs="Times New Roman"/>
              <w:spacing w:val="-1"/>
              <w:sz w:val="24"/>
              <w:szCs w:val="24"/>
            </w:rPr>
            <w:t>”</w:t>
          </w:r>
          <w:r>
            <w:rPr>
              <w:rFonts w:ascii="宋体" w:hAnsi="宋体" w:eastAsia="宋体" w:cs="宋体"/>
              <w:spacing w:val="-1"/>
              <w:sz w:val="24"/>
              <w:szCs w:val="24"/>
            </w:rPr>
            <w:t>竣工验收汇总</w:t>
          </w:r>
          <w:r>
            <w:rPr>
              <w:rFonts w:ascii="宋体" w:hAnsi="宋体" w:eastAsia="宋体" w:cs="宋体"/>
              <w:sz w:val="24"/>
              <w:szCs w:val="24"/>
            </w:rPr>
            <w:tab/>
          </w:r>
          <w:r>
            <w:rPr>
              <w:rFonts w:ascii="宋体" w:hAnsi="宋体" w:eastAsia="宋体" w:cs="宋体"/>
              <w:spacing w:val="-43"/>
              <w:sz w:val="24"/>
              <w:szCs w:val="24"/>
            </w:rPr>
            <w:t xml:space="preserve"> </w:t>
          </w:r>
          <w:r>
            <w:rPr>
              <w:rFonts w:ascii="Times New Roman" w:hAnsi="Times New Roman" w:eastAsia="Times New Roman" w:cs="Times New Roman"/>
              <w:spacing w:val="-10"/>
              <w:sz w:val="24"/>
              <w:szCs w:val="24"/>
            </w:rPr>
            <w:t>166</w:t>
          </w:r>
          <w:r>
            <w:rPr>
              <w:rFonts w:ascii="Times New Roman" w:hAnsi="Times New Roman" w:eastAsia="Times New Roman" w:cs="Times New Roman"/>
              <w:spacing w:val="-10"/>
              <w:sz w:val="24"/>
              <w:szCs w:val="24"/>
            </w:rPr>
            <w:fldChar w:fldCharType="end"/>
          </w:r>
        </w:p>
        <w:p w14:paraId="00B9AE96">
          <w:pPr>
            <w:tabs>
              <w:tab w:val="right" w:leader="dot" w:pos="8522"/>
            </w:tabs>
            <w:spacing w:before="244" w:line="186" w:lineRule="auto"/>
            <w:ind w:left="370"/>
            <w:rPr>
              <w:rFonts w:ascii="Times New Roman" w:hAnsi="Times New Roman" w:eastAsia="Times New Roman" w:cs="Times New Roman"/>
              <w:sz w:val="28"/>
              <w:szCs w:val="28"/>
            </w:rPr>
          </w:pPr>
          <w:r>
            <w:fldChar w:fldCharType="begin"/>
          </w:r>
          <w:r>
            <w:instrText xml:space="preserve"> HYPERLINK \l "bookmark48" </w:instrText>
          </w:r>
          <w:r>
            <w:fldChar w:fldCharType="separate"/>
          </w:r>
          <w:r>
            <w:rPr>
              <w:rFonts w:ascii="Times New Roman" w:hAnsi="Times New Roman" w:eastAsia="Times New Roman" w:cs="Times New Roman"/>
              <w:b/>
              <w:bCs/>
              <w:spacing w:val="-3"/>
              <w:sz w:val="28"/>
              <w:szCs w:val="28"/>
            </w:rPr>
            <w:t xml:space="preserve">9  </w:t>
          </w:r>
          <w:r>
            <w:rPr>
              <w:rFonts w:ascii="宋体" w:hAnsi="宋体" w:eastAsia="宋体" w:cs="宋体"/>
              <w:b/>
              <w:bCs/>
              <w:spacing w:val="-3"/>
              <w:sz w:val="28"/>
              <w:szCs w:val="28"/>
            </w:rPr>
            <w:t>环境影响评价结论</w:t>
          </w:r>
          <w:r>
            <w:rPr>
              <w:rFonts w:ascii="宋体" w:hAnsi="宋体" w:eastAsia="宋体" w:cs="宋体"/>
              <w:b/>
              <w:bCs/>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b/>
              <w:bCs/>
              <w:spacing w:val="-6"/>
              <w:sz w:val="28"/>
              <w:szCs w:val="28"/>
            </w:rPr>
            <w:t>169</w:t>
          </w:r>
          <w:r>
            <w:rPr>
              <w:rFonts w:ascii="Times New Roman" w:hAnsi="Times New Roman" w:eastAsia="Times New Roman" w:cs="Times New Roman"/>
              <w:b/>
              <w:bCs/>
              <w:spacing w:val="-6"/>
              <w:sz w:val="28"/>
              <w:szCs w:val="28"/>
            </w:rPr>
            <w:fldChar w:fldCharType="end"/>
          </w:r>
        </w:p>
        <w:p w14:paraId="7D75D4A1">
          <w:pPr>
            <w:tabs>
              <w:tab w:val="right" w:leader="dot" w:pos="8522"/>
            </w:tabs>
            <w:spacing w:before="252" w:line="242" w:lineRule="auto"/>
            <w:ind w:left="772"/>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spacing w:val="-4"/>
              <w:sz w:val="24"/>
              <w:szCs w:val="24"/>
            </w:rPr>
            <w:t>9.1</w:t>
          </w:r>
          <w:r>
            <w:rPr>
              <w:rFonts w:ascii="Times New Roman" w:hAnsi="Times New Roman" w:eastAsia="Times New Roman" w:cs="Times New Roman"/>
              <w:spacing w:val="8"/>
              <w:sz w:val="24"/>
              <w:szCs w:val="24"/>
            </w:rPr>
            <w:t xml:space="preserve">  </w:t>
          </w:r>
          <w:r>
            <w:rPr>
              <w:rFonts w:ascii="宋体" w:hAnsi="宋体" w:eastAsia="宋体" w:cs="宋体"/>
              <w:spacing w:val="-4"/>
              <w:sz w:val="24"/>
              <w:szCs w:val="24"/>
            </w:rPr>
            <w:t>项目概况</w:t>
          </w:r>
          <w:r>
            <w:rPr>
              <w:rFonts w:ascii="宋体" w:hAnsi="宋体" w:eastAsia="宋体" w:cs="宋体"/>
              <w:sz w:val="24"/>
              <w:szCs w:val="24"/>
            </w:rPr>
            <w:tab/>
          </w:r>
          <w:r>
            <w:rPr>
              <w:rFonts w:ascii="Times New Roman" w:hAnsi="Times New Roman" w:eastAsia="Times New Roman" w:cs="Times New Roman"/>
              <w:spacing w:val="6"/>
              <w:sz w:val="24"/>
              <w:szCs w:val="24"/>
            </w:rPr>
            <w:t>169</w:t>
          </w:r>
          <w:r>
            <w:rPr>
              <w:rFonts w:ascii="Times New Roman" w:hAnsi="Times New Roman" w:eastAsia="Times New Roman" w:cs="Times New Roman"/>
              <w:spacing w:val="6"/>
              <w:sz w:val="24"/>
              <w:szCs w:val="24"/>
            </w:rPr>
            <w:fldChar w:fldCharType="end"/>
          </w:r>
        </w:p>
        <w:p w14:paraId="1A23FCBC">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spacing w:val="-1"/>
              <w:sz w:val="24"/>
              <w:szCs w:val="24"/>
            </w:rPr>
            <w:t xml:space="preserve">9.2  </w:t>
          </w:r>
          <w:r>
            <w:rPr>
              <w:rFonts w:ascii="宋体" w:hAnsi="宋体" w:eastAsia="宋体" w:cs="宋体"/>
              <w:spacing w:val="-1"/>
              <w:sz w:val="24"/>
              <w:szCs w:val="24"/>
            </w:rPr>
            <w:t>环境质量现状评价结论</w:t>
          </w:r>
          <w:r>
            <w:rPr>
              <w:rFonts w:ascii="宋体" w:hAnsi="宋体" w:eastAsia="宋体" w:cs="宋体"/>
              <w:sz w:val="24"/>
              <w:szCs w:val="24"/>
            </w:rPr>
            <w:tab/>
          </w:r>
          <w:r>
            <w:rPr>
              <w:rFonts w:ascii="Times New Roman" w:hAnsi="Times New Roman" w:eastAsia="Times New Roman" w:cs="Times New Roman"/>
              <w:spacing w:val="6"/>
              <w:sz w:val="24"/>
              <w:szCs w:val="24"/>
            </w:rPr>
            <w:t>169</w:t>
          </w:r>
          <w:r>
            <w:rPr>
              <w:rFonts w:ascii="Times New Roman" w:hAnsi="Times New Roman" w:eastAsia="Times New Roman" w:cs="Times New Roman"/>
              <w:spacing w:val="6"/>
              <w:sz w:val="24"/>
              <w:szCs w:val="24"/>
            </w:rPr>
            <w:fldChar w:fldCharType="end"/>
          </w:r>
        </w:p>
        <w:p w14:paraId="099457CE">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宋体" w:hAnsi="宋体" w:eastAsia="宋体" w:cs="宋体"/>
              <w:spacing w:val="-1"/>
              <w:sz w:val="24"/>
              <w:szCs w:val="24"/>
            </w:rPr>
            <w:t>9.3 施工期环境影响评价结论</w:t>
          </w:r>
          <w:r>
            <w:rPr>
              <w:rFonts w:ascii="宋体" w:hAnsi="宋体" w:eastAsia="宋体" w:cs="宋体"/>
              <w:sz w:val="24"/>
              <w:szCs w:val="24"/>
            </w:rPr>
            <w:tab/>
          </w:r>
          <w:r>
            <w:rPr>
              <w:rFonts w:ascii="Times New Roman" w:hAnsi="Times New Roman" w:eastAsia="Times New Roman" w:cs="Times New Roman"/>
              <w:spacing w:val="6"/>
              <w:sz w:val="24"/>
              <w:szCs w:val="24"/>
            </w:rPr>
            <w:t>170</w:t>
          </w:r>
          <w:r>
            <w:rPr>
              <w:rFonts w:ascii="Times New Roman" w:hAnsi="Times New Roman" w:eastAsia="Times New Roman" w:cs="Times New Roman"/>
              <w:spacing w:val="6"/>
              <w:sz w:val="24"/>
              <w:szCs w:val="24"/>
            </w:rPr>
            <w:fldChar w:fldCharType="end"/>
          </w:r>
        </w:p>
        <w:p w14:paraId="59657A4A">
          <w:pPr>
            <w:tabs>
              <w:tab w:val="right" w:leader="dot" w:pos="8522"/>
            </w:tabs>
            <w:spacing w:before="154" w:line="242" w:lineRule="auto"/>
            <w:ind w:left="773"/>
            <w:rPr>
              <w:rFonts w:ascii="Times New Roman" w:hAnsi="Times New Roman" w:eastAsia="Times New Roman" w:cs="Times New Roman"/>
              <w:sz w:val="24"/>
              <w:szCs w:val="24"/>
            </w:rPr>
          </w:pPr>
          <w:r>
            <w:fldChar w:fldCharType="begin"/>
          </w:r>
          <w:r>
            <w:instrText xml:space="preserve"> HYPERLINK \l "bookmark52" </w:instrText>
          </w:r>
          <w:r>
            <w:fldChar w:fldCharType="separate"/>
          </w:r>
          <w:r>
            <w:rPr>
              <w:rFonts w:ascii="宋体" w:hAnsi="宋体" w:eastAsia="宋体" w:cs="宋体"/>
              <w:spacing w:val="-1"/>
              <w:sz w:val="24"/>
              <w:szCs w:val="24"/>
            </w:rPr>
            <w:t>9.4 运营期环境影响评价结论</w:t>
          </w:r>
          <w:r>
            <w:rPr>
              <w:rFonts w:ascii="宋体" w:hAnsi="宋体" w:eastAsia="宋体" w:cs="宋体"/>
              <w:sz w:val="24"/>
              <w:szCs w:val="24"/>
            </w:rPr>
            <w:tab/>
          </w:r>
          <w:r>
            <w:rPr>
              <w:rFonts w:ascii="Times New Roman" w:hAnsi="Times New Roman" w:eastAsia="Times New Roman" w:cs="Times New Roman"/>
              <w:spacing w:val="6"/>
              <w:sz w:val="24"/>
              <w:szCs w:val="24"/>
            </w:rPr>
            <w:t>171</w:t>
          </w:r>
          <w:r>
            <w:rPr>
              <w:rFonts w:ascii="Times New Roman" w:hAnsi="Times New Roman" w:eastAsia="Times New Roman" w:cs="Times New Roman"/>
              <w:spacing w:val="6"/>
              <w:sz w:val="24"/>
              <w:szCs w:val="24"/>
            </w:rPr>
            <w:fldChar w:fldCharType="end"/>
          </w:r>
        </w:p>
        <w:p w14:paraId="2BC87DAF">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1"/>
              <w:sz w:val="24"/>
              <w:szCs w:val="24"/>
            </w:rPr>
            <w:t xml:space="preserve">9.5  </w:t>
          </w:r>
          <w:r>
            <w:rPr>
              <w:rFonts w:ascii="宋体" w:hAnsi="宋体" w:eastAsia="宋体" w:cs="宋体"/>
              <w:spacing w:val="-1"/>
              <w:sz w:val="24"/>
              <w:szCs w:val="24"/>
            </w:rPr>
            <w:t>公众意见采纳情况</w:t>
          </w:r>
          <w:r>
            <w:rPr>
              <w:rFonts w:ascii="宋体" w:hAnsi="宋体" w:eastAsia="宋体" w:cs="宋体"/>
              <w:sz w:val="24"/>
              <w:szCs w:val="24"/>
            </w:rPr>
            <w:tab/>
          </w:r>
          <w:r>
            <w:rPr>
              <w:rFonts w:ascii="Times New Roman" w:hAnsi="Times New Roman" w:eastAsia="Times New Roman" w:cs="Times New Roman"/>
              <w:spacing w:val="6"/>
              <w:sz w:val="24"/>
              <w:szCs w:val="24"/>
            </w:rPr>
            <w:t>174</w:t>
          </w:r>
          <w:r>
            <w:rPr>
              <w:rFonts w:ascii="Times New Roman" w:hAnsi="Times New Roman" w:eastAsia="Times New Roman" w:cs="Times New Roman"/>
              <w:spacing w:val="6"/>
              <w:sz w:val="24"/>
              <w:szCs w:val="24"/>
            </w:rPr>
            <w:fldChar w:fldCharType="end"/>
          </w:r>
        </w:p>
        <w:p w14:paraId="6286336C">
          <w:pPr>
            <w:tabs>
              <w:tab w:val="right" w:leader="dot" w:pos="8522"/>
            </w:tabs>
            <w:spacing w:before="154" w:line="242" w:lineRule="auto"/>
            <w:ind w:left="772"/>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1"/>
              <w:sz w:val="24"/>
              <w:szCs w:val="24"/>
            </w:rPr>
            <w:t xml:space="preserve">9.6  </w:t>
          </w:r>
          <w:r>
            <w:rPr>
              <w:rFonts w:ascii="宋体" w:hAnsi="宋体" w:eastAsia="宋体" w:cs="宋体"/>
              <w:spacing w:val="-1"/>
              <w:sz w:val="24"/>
              <w:szCs w:val="24"/>
            </w:rPr>
            <w:t>环境影响经济损益分析结论</w:t>
          </w:r>
          <w:r>
            <w:rPr>
              <w:rFonts w:ascii="宋体" w:hAnsi="宋体" w:eastAsia="宋体" w:cs="宋体"/>
              <w:sz w:val="24"/>
              <w:szCs w:val="24"/>
            </w:rPr>
            <w:tab/>
          </w:r>
          <w:r>
            <w:rPr>
              <w:rFonts w:ascii="Times New Roman" w:hAnsi="Times New Roman" w:eastAsia="Times New Roman" w:cs="Times New Roman"/>
              <w:spacing w:val="6"/>
              <w:sz w:val="24"/>
              <w:szCs w:val="24"/>
            </w:rPr>
            <w:t>174</w:t>
          </w:r>
          <w:r>
            <w:rPr>
              <w:rFonts w:ascii="Times New Roman" w:hAnsi="Times New Roman" w:eastAsia="Times New Roman" w:cs="Times New Roman"/>
              <w:spacing w:val="6"/>
              <w:sz w:val="24"/>
              <w:szCs w:val="24"/>
            </w:rPr>
            <w:fldChar w:fldCharType="end"/>
          </w:r>
        </w:p>
        <w:p w14:paraId="4B480C61">
          <w:pPr>
            <w:tabs>
              <w:tab w:val="right" w:leader="dot" w:pos="8522"/>
            </w:tabs>
            <w:spacing w:before="153" w:line="348" w:lineRule="exact"/>
            <w:ind w:left="772"/>
            <w:rPr>
              <w:rFonts w:ascii="Times New Roman" w:hAnsi="Times New Roman" w:eastAsia="Times New Roman" w:cs="Times New Roman"/>
              <w:sz w:val="24"/>
              <w:szCs w:val="24"/>
            </w:rPr>
          </w:pPr>
          <w:r>
            <w:fldChar w:fldCharType="begin"/>
          </w:r>
          <w:r>
            <w:instrText xml:space="preserve"> HYPERLINK \l "bookmark55" </w:instrText>
          </w:r>
          <w:r>
            <w:fldChar w:fldCharType="separate"/>
          </w:r>
          <w:r>
            <w:rPr>
              <w:rFonts w:ascii="Times New Roman" w:hAnsi="Times New Roman" w:eastAsia="Times New Roman" w:cs="Times New Roman"/>
              <w:spacing w:val="-4"/>
              <w:position w:val="2"/>
              <w:sz w:val="24"/>
              <w:szCs w:val="24"/>
            </w:rPr>
            <w:t>9.7</w:t>
          </w:r>
          <w:r>
            <w:rPr>
              <w:rFonts w:ascii="Times New Roman" w:hAnsi="Times New Roman" w:eastAsia="Times New Roman" w:cs="Times New Roman"/>
              <w:spacing w:val="8"/>
              <w:position w:val="2"/>
              <w:sz w:val="24"/>
              <w:szCs w:val="24"/>
            </w:rPr>
            <w:t xml:space="preserve">  </w:t>
          </w:r>
          <w:r>
            <w:rPr>
              <w:rFonts w:ascii="宋体" w:hAnsi="宋体" w:eastAsia="宋体" w:cs="宋体"/>
              <w:spacing w:val="-4"/>
              <w:position w:val="2"/>
              <w:sz w:val="24"/>
              <w:szCs w:val="24"/>
            </w:rPr>
            <w:t>综合结论</w:t>
          </w:r>
          <w:r>
            <w:rPr>
              <w:rFonts w:ascii="宋体" w:hAnsi="宋体" w:eastAsia="宋体" w:cs="宋体"/>
              <w:position w:val="2"/>
              <w:sz w:val="24"/>
              <w:szCs w:val="24"/>
            </w:rPr>
            <w:tab/>
          </w:r>
          <w:r>
            <w:rPr>
              <w:rFonts w:ascii="Times New Roman" w:hAnsi="Times New Roman" w:eastAsia="Times New Roman" w:cs="Times New Roman"/>
              <w:spacing w:val="6"/>
              <w:position w:val="2"/>
              <w:sz w:val="24"/>
              <w:szCs w:val="24"/>
            </w:rPr>
            <w:t>175</w:t>
          </w:r>
          <w:r>
            <w:rPr>
              <w:rFonts w:ascii="Times New Roman" w:hAnsi="Times New Roman" w:eastAsia="Times New Roman" w:cs="Times New Roman"/>
              <w:spacing w:val="6"/>
              <w:position w:val="2"/>
              <w:sz w:val="24"/>
              <w:szCs w:val="24"/>
            </w:rPr>
            <w:fldChar w:fldCharType="end"/>
          </w:r>
        </w:p>
      </w:sdtContent>
    </w:sdt>
    <w:p w14:paraId="574B7C8B">
      <w:pPr>
        <w:spacing w:line="348" w:lineRule="exact"/>
        <w:rPr>
          <w:rFonts w:ascii="Times New Roman" w:hAnsi="Times New Roman" w:eastAsia="Times New Roman" w:cs="Times New Roman"/>
          <w:sz w:val="24"/>
          <w:szCs w:val="24"/>
        </w:rPr>
        <w:sectPr>
          <w:footerReference r:id="rId6" w:type="default"/>
          <w:pgSz w:w="11906" w:h="16839"/>
          <w:pgMar w:top="1431" w:right="1595" w:bottom="1566" w:left="1785" w:header="0" w:footer="1406" w:gutter="0"/>
          <w:cols w:space="720" w:num="1"/>
        </w:sectPr>
      </w:pPr>
    </w:p>
    <w:p w14:paraId="745B77CC">
      <w:pPr>
        <w:spacing w:before="65" w:line="362" w:lineRule="exact"/>
        <w:jc w:val="right"/>
        <w:rPr>
          <w:rFonts w:ascii="Times New Roman" w:hAnsi="Times New Roman" w:eastAsia="Times New Roman" w:cs="Times New Roman"/>
          <w:sz w:val="24"/>
          <w:szCs w:val="24"/>
        </w:rPr>
      </w:pPr>
      <w:r>
        <w:fldChar w:fldCharType="begin"/>
      </w:r>
      <w:r>
        <w:instrText xml:space="preserve"> HYPERLINK \l "bookmark56" </w:instrText>
      </w:r>
      <w:r>
        <w:fldChar w:fldCharType="separate"/>
      </w:r>
      <w:r>
        <w:rPr>
          <w:rFonts w:ascii="宋体" w:hAnsi="宋体" w:eastAsia="宋体" w:cs="宋体"/>
          <w:position w:val="2"/>
          <w:sz w:val="24"/>
          <w:szCs w:val="24"/>
        </w:rPr>
        <w:t>9.8 其他建议</w:t>
      </w:r>
      <w:r>
        <w:rPr>
          <w:rFonts w:ascii="Times New Roman" w:hAnsi="Times New Roman" w:eastAsia="Times New Roman" w:cs="Times New Roman"/>
          <w:position w:val="2"/>
          <w:sz w:val="24"/>
          <w:szCs w:val="24"/>
        </w:rPr>
        <w:t>...................................................................................................175</w:t>
      </w:r>
      <w:r>
        <w:rPr>
          <w:rFonts w:ascii="Times New Roman" w:hAnsi="Times New Roman" w:eastAsia="Times New Roman" w:cs="Times New Roman"/>
          <w:position w:val="2"/>
          <w:sz w:val="24"/>
          <w:szCs w:val="24"/>
        </w:rPr>
        <w:fldChar w:fldCharType="end"/>
      </w:r>
    </w:p>
    <w:p w14:paraId="0154AD17">
      <w:pPr>
        <w:pStyle w:val="2"/>
        <w:spacing w:line="342" w:lineRule="auto"/>
      </w:pPr>
    </w:p>
    <w:p w14:paraId="0042EAEA">
      <w:pPr>
        <w:pStyle w:val="2"/>
        <w:spacing w:line="342" w:lineRule="auto"/>
      </w:pPr>
    </w:p>
    <w:p w14:paraId="2868AE04">
      <w:pPr>
        <w:spacing w:before="78" w:line="219" w:lineRule="auto"/>
        <w:ind w:left="28"/>
        <w:rPr>
          <w:rFonts w:ascii="宋体" w:hAnsi="宋体" w:eastAsia="宋体" w:cs="宋体"/>
          <w:sz w:val="24"/>
          <w:szCs w:val="24"/>
        </w:rPr>
      </w:pPr>
      <w:r>
        <w:rPr>
          <w:rFonts w:ascii="宋体" w:hAnsi="宋体" w:eastAsia="宋体" w:cs="宋体"/>
          <w:b/>
          <w:bCs/>
          <w:spacing w:val="-12"/>
          <w:sz w:val="24"/>
          <w:szCs w:val="24"/>
        </w:rPr>
        <w:t>附件：</w:t>
      </w:r>
    </w:p>
    <w:p w14:paraId="5C471636">
      <w:pPr>
        <w:spacing w:before="147" w:line="357" w:lineRule="auto"/>
        <w:ind w:left="27" w:right="540" w:hanging="28"/>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《汕尾市天磊联信种养有限公司生猪养殖项目》环境影响评价委托书；</w:t>
      </w:r>
      <w:r>
        <w:rPr>
          <w:rFonts w:ascii="宋体" w:hAnsi="宋体" w:eastAsia="宋体" w:cs="宋体"/>
          <w:sz w:val="24"/>
          <w:szCs w:val="24"/>
        </w:rPr>
        <w:t xml:space="preserve"> </w:t>
      </w:r>
      <w:r>
        <w:rPr>
          <w:rFonts w:ascii="宋体" w:hAnsi="宋体" w:eastAsia="宋体" w:cs="宋体"/>
          <w:spacing w:val="-7"/>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16"/>
          <w:w w:val="101"/>
          <w:sz w:val="24"/>
          <w:szCs w:val="24"/>
        </w:rPr>
        <w:t xml:space="preserve"> </w:t>
      </w:r>
      <w:r>
        <w:rPr>
          <w:rFonts w:ascii="宋体" w:hAnsi="宋体" w:eastAsia="宋体" w:cs="宋体"/>
          <w:spacing w:val="-7"/>
          <w:sz w:val="24"/>
          <w:szCs w:val="24"/>
        </w:rPr>
        <w:t>营业执照；</w:t>
      </w:r>
    </w:p>
    <w:p w14:paraId="73CDEDA6">
      <w:pPr>
        <w:spacing w:before="8" w:line="359" w:lineRule="exact"/>
        <w:ind w:left="28"/>
        <w:rPr>
          <w:rFonts w:ascii="宋体" w:hAnsi="宋体" w:eastAsia="宋体" w:cs="宋体"/>
          <w:sz w:val="24"/>
          <w:szCs w:val="24"/>
        </w:rPr>
      </w:pPr>
      <w:r>
        <w:rPr>
          <w:rFonts w:ascii="宋体" w:hAnsi="宋体" w:eastAsia="宋体" w:cs="宋体"/>
          <w:spacing w:val="2"/>
          <w:position w:val="2"/>
          <w:sz w:val="24"/>
          <w:szCs w:val="24"/>
        </w:rPr>
        <w:t>附件</w:t>
      </w:r>
      <w:r>
        <w:rPr>
          <w:rFonts w:ascii="Times New Roman" w:hAnsi="Times New Roman" w:eastAsia="Times New Roman" w:cs="Times New Roman"/>
          <w:spacing w:val="2"/>
          <w:position w:val="2"/>
          <w:sz w:val="24"/>
          <w:szCs w:val="24"/>
        </w:rPr>
        <w:t xml:space="preserve">3 </w:t>
      </w:r>
      <w:r>
        <w:rPr>
          <w:rFonts w:ascii="宋体" w:hAnsi="宋体" w:eastAsia="宋体" w:cs="宋体"/>
          <w:spacing w:val="2"/>
          <w:position w:val="2"/>
          <w:sz w:val="24"/>
          <w:szCs w:val="24"/>
        </w:rPr>
        <w:t>土地使用证明；</w:t>
      </w:r>
    </w:p>
    <w:p w14:paraId="1855AA31">
      <w:pPr>
        <w:spacing w:before="108" w:line="360" w:lineRule="exact"/>
        <w:ind w:left="28"/>
        <w:rPr>
          <w:rFonts w:ascii="宋体" w:hAnsi="宋体" w:eastAsia="宋体" w:cs="宋体"/>
          <w:sz w:val="24"/>
          <w:szCs w:val="24"/>
        </w:rPr>
      </w:pPr>
      <w:r>
        <w:rPr>
          <w:rFonts w:ascii="宋体" w:hAnsi="宋体" w:eastAsia="宋体" w:cs="宋体"/>
          <w:spacing w:val="-3"/>
          <w:position w:val="2"/>
          <w:sz w:val="24"/>
          <w:szCs w:val="24"/>
        </w:rPr>
        <w:t>附件</w:t>
      </w:r>
      <w:r>
        <w:rPr>
          <w:rFonts w:ascii="宋体" w:hAnsi="宋体" w:eastAsia="宋体" w:cs="宋体"/>
          <w:spacing w:val="-57"/>
          <w:position w:val="2"/>
          <w:sz w:val="24"/>
          <w:szCs w:val="24"/>
        </w:rPr>
        <w:t xml:space="preserve"> </w:t>
      </w:r>
      <w:r>
        <w:rPr>
          <w:rFonts w:ascii="Times New Roman" w:hAnsi="Times New Roman" w:eastAsia="Times New Roman" w:cs="Times New Roman"/>
          <w:spacing w:val="-3"/>
          <w:position w:val="2"/>
          <w:sz w:val="24"/>
          <w:szCs w:val="24"/>
        </w:rPr>
        <w:t xml:space="preserve">4 </w:t>
      </w:r>
      <w:r>
        <w:rPr>
          <w:rFonts w:ascii="宋体" w:hAnsi="宋体" w:eastAsia="宋体" w:cs="宋体"/>
          <w:spacing w:val="-3"/>
          <w:position w:val="2"/>
          <w:sz w:val="24"/>
          <w:szCs w:val="24"/>
        </w:rPr>
        <w:t>非林用地证明；</w:t>
      </w:r>
    </w:p>
    <w:p w14:paraId="3939E9D8">
      <w:pPr>
        <w:spacing w:before="143" w:line="219" w:lineRule="auto"/>
        <w:ind w:left="28"/>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空气、地下水、土壤、声环境质量现状监测报告；</w:t>
      </w:r>
    </w:p>
    <w:p w14:paraId="1B7B95EF">
      <w:pPr>
        <w:spacing w:before="148" w:line="359" w:lineRule="exact"/>
        <w:ind w:left="28"/>
        <w:rPr>
          <w:rFonts w:ascii="宋体" w:hAnsi="宋体" w:eastAsia="宋体" w:cs="宋体"/>
          <w:sz w:val="24"/>
          <w:szCs w:val="24"/>
        </w:rPr>
      </w:pPr>
      <w:r>
        <w:rPr>
          <w:rFonts w:ascii="宋体" w:hAnsi="宋体" w:eastAsia="宋体" w:cs="宋体"/>
          <w:spacing w:val="2"/>
          <w:position w:val="2"/>
          <w:sz w:val="24"/>
          <w:szCs w:val="24"/>
        </w:rPr>
        <w:t>附件</w:t>
      </w:r>
      <w:r>
        <w:rPr>
          <w:rFonts w:ascii="Times New Roman" w:hAnsi="Times New Roman" w:eastAsia="Times New Roman" w:cs="Times New Roman"/>
          <w:spacing w:val="2"/>
          <w:position w:val="2"/>
          <w:sz w:val="24"/>
          <w:szCs w:val="24"/>
        </w:rPr>
        <w:t xml:space="preserve">6  </w:t>
      </w:r>
      <w:r>
        <w:rPr>
          <w:rFonts w:ascii="宋体" w:hAnsi="宋体" w:eastAsia="宋体" w:cs="宋体"/>
          <w:spacing w:val="2"/>
          <w:position w:val="2"/>
          <w:sz w:val="24"/>
          <w:szCs w:val="24"/>
        </w:rPr>
        <w:t>病死猪尸体接纳证明。</w:t>
      </w:r>
    </w:p>
    <w:p w14:paraId="38307B4E">
      <w:pPr>
        <w:pStyle w:val="2"/>
        <w:spacing w:line="249" w:lineRule="auto"/>
      </w:pPr>
    </w:p>
    <w:p w14:paraId="2EAA1BFF">
      <w:pPr>
        <w:pStyle w:val="2"/>
        <w:spacing w:line="249" w:lineRule="auto"/>
      </w:pPr>
    </w:p>
    <w:p w14:paraId="485D5C7D">
      <w:pPr>
        <w:pStyle w:val="2"/>
        <w:spacing w:line="249" w:lineRule="auto"/>
      </w:pPr>
    </w:p>
    <w:p w14:paraId="2466E7D9">
      <w:pPr>
        <w:pStyle w:val="2"/>
        <w:spacing w:line="249" w:lineRule="auto"/>
      </w:pPr>
    </w:p>
    <w:p w14:paraId="22167465">
      <w:pPr>
        <w:spacing w:before="78" w:line="219" w:lineRule="auto"/>
        <w:ind w:left="28"/>
        <w:rPr>
          <w:rFonts w:ascii="宋体" w:hAnsi="宋体" w:eastAsia="宋体" w:cs="宋体"/>
          <w:sz w:val="24"/>
          <w:szCs w:val="24"/>
        </w:rPr>
      </w:pPr>
      <w:r>
        <w:rPr>
          <w:rFonts w:ascii="宋体" w:hAnsi="宋体" w:eastAsia="宋体" w:cs="宋体"/>
          <w:b/>
          <w:bCs/>
          <w:spacing w:val="-12"/>
          <w:sz w:val="24"/>
          <w:szCs w:val="24"/>
        </w:rPr>
        <w:t>附表：</w:t>
      </w:r>
    </w:p>
    <w:p w14:paraId="24CB166D">
      <w:pPr>
        <w:spacing w:before="148" w:line="358" w:lineRule="exact"/>
        <w:ind w:left="28"/>
        <w:rPr>
          <w:rFonts w:ascii="宋体" w:hAnsi="宋体" w:eastAsia="宋体" w:cs="宋体"/>
          <w:sz w:val="24"/>
          <w:szCs w:val="24"/>
        </w:rPr>
      </w:pPr>
      <w:r>
        <w:rPr>
          <w:rFonts w:ascii="宋体" w:hAnsi="宋体" w:eastAsia="宋体" w:cs="宋体"/>
          <w:spacing w:val="-3"/>
          <w:position w:val="2"/>
          <w:sz w:val="24"/>
          <w:szCs w:val="24"/>
        </w:rPr>
        <w:t>附表</w:t>
      </w:r>
      <w:r>
        <w:rPr>
          <w:rFonts w:ascii="宋体" w:hAnsi="宋体" w:eastAsia="宋体" w:cs="宋体"/>
          <w:spacing w:val="-30"/>
          <w:position w:val="2"/>
          <w:sz w:val="24"/>
          <w:szCs w:val="24"/>
        </w:rPr>
        <w:t xml:space="preserve"> </w:t>
      </w:r>
      <w:r>
        <w:rPr>
          <w:rFonts w:ascii="Times New Roman" w:hAnsi="Times New Roman" w:eastAsia="Times New Roman" w:cs="Times New Roman"/>
          <w:spacing w:val="-3"/>
          <w:position w:val="2"/>
          <w:sz w:val="24"/>
          <w:szCs w:val="24"/>
        </w:rPr>
        <w:t xml:space="preserve">1 </w:t>
      </w:r>
      <w:r>
        <w:rPr>
          <w:rFonts w:ascii="宋体" w:hAnsi="宋体" w:eastAsia="宋体" w:cs="宋体"/>
          <w:spacing w:val="-3"/>
          <w:position w:val="2"/>
          <w:sz w:val="24"/>
          <w:szCs w:val="24"/>
        </w:rPr>
        <w:t>建设项目大气环境影响评价自查表；</w:t>
      </w:r>
    </w:p>
    <w:p w14:paraId="3F9048E7">
      <w:pPr>
        <w:spacing w:before="110" w:line="358" w:lineRule="exact"/>
        <w:ind w:left="28"/>
        <w:rPr>
          <w:rFonts w:ascii="宋体" w:hAnsi="宋体" w:eastAsia="宋体" w:cs="宋体"/>
          <w:sz w:val="24"/>
          <w:szCs w:val="24"/>
        </w:rPr>
      </w:pPr>
      <w:r>
        <w:rPr>
          <w:rFonts w:ascii="宋体" w:hAnsi="宋体" w:eastAsia="宋体" w:cs="宋体"/>
          <w:spacing w:val="-2"/>
          <w:position w:val="2"/>
          <w:sz w:val="24"/>
          <w:szCs w:val="24"/>
        </w:rPr>
        <w:t>附表</w:t>
      </w:r>
      <w:r>
        <w:rPr>
          <w:rFonts w:ascii="宋体" w:hAnsi="宋体" w:eastAsia="宋体" w:cs="宋体"/>
          <w:spacing w:val="-54"/>
          <w:position w:val="2"/>
          <w:sz w:val="24"/>
          <w:szCs w:val="24"/>
        </w:rPr>
        <w:t xml:space="preserve"> </w:t>
      </w:r>
      <w:r>
        <w:rPr>
          <w:rFonts w:ascii="Times New Roman" w:hAnsi="Times New Roman" w:eastAsia="Times New Roman" w:cs="Times New Roman"/>
          <w:spacing w:val="-2"/>
          <w:position w:val="2"/>
          <w:sz w:val="24"/>
          <w:szCs w:val="24"/>
        </w:rPr>
        <w:t xml:space="preserve">2 </w:t>
      </w:r>
      <w:r>
        <w:rPr>
          <w:rFonts w:ascii="宋体" w:hAnsi="宋体" w:eastAsia="宋体" w:cs="宋体"/>
          <w:spacing w:val="-2"/>
          <w:position w:val="2"/>
          <w:sz w:val="24"/>
          <w:szCs w:val="24"/>
        </w:rPr>
        <w:t>建设项目环境风险评价自查表；</w:t>
      </w:r>
    </w:p>
    <w:p w14:paraId="1A960216">
      <w:pPr>
        <w:spacing w:before="110" w:line="358" w:lineRule="exact"/>
        <w:ind w:left="28"/>
        <w:rPr>
          <w:rFonts w:ascii="宋体" w:hAnsi="宋体" w:eastAsia="宋体" w:cs="宋体"/>
          <w:sz w:val="24"/>
          <w:szCs w:val="24"/>
        </w:rPr>
      </w:pPr>
      <w:r>
        <w:rPr>
          <w:rFonts w:ascii="宋体" w:hAnsi="宋体" w:eastAsia="宋体" w:cs="宋体"/>
          <w:spacing w:val="1"/>
          <w:position w:val="2"/>
          <w:sz w:val="24"/>
          <w:szCs w:val="24"/>
        </w:rPr>
        <w:t>附表</w:t>
      </w:r>
      <w:r>
        <w:rPr>
          <w:rFonts w:ascii="Times New Roman" w:hAnsi="Times New Roman" w:eastAsia="Times New Roman" w:cs="Times New Roman"/>
          <w:spacing w:val="1"/>
          <w:position w:val="2"/>
          <w:sz w:val="24"/>
          <w:szCs w:val="24"/>
        </w:rPr>
        <w:t xml:space="preserve">3 </w:t>
      </w:r>
      <w:r>
        <w:rPr>
          <w:rFonts w:ascii="宋体" w:hAnsi="宋体" w:eastAsia="宋体" w:cs="宋体"/>
          <w:spacing w:val="1"/>
          <w:position w:val="2"/>
          <w:sz w:val="24"/>
          <w:szCs w:val="24"/>
        </w:rPr>
        <w:t>建设项目土壤环境影响评价自查表；</w:t>
      </w:r>
    </w:p>
    <w:p w14:paraId="585C4B08">
      <w:pPr>
        <w:spacing w:before="110" w:line="358" w:lineRule="exact"/>
        <w:ind w:left="28"/>
        <w:rPr>
          <w:rFonts w:ascii="宋体" w:hAnsi="宋体" w:eastAsia="宋体" w:cs="宋体"/>
          <w:sz w:val="24"/>
          <w:szCs w:val="24"/>
        </w:rPr>
      </w:pPr>
      <w:r>
        <w:rPr>
          <w:rFonts w:ascii="宋体" w:hAnsi="宋体" w:eastAsia="宋体" w:cs="宋体"/>
          <w:spacing w:val="-2"/>
          <w:position w:val="2"/>
          <w:sz w:val="24"/>
          <w:szCs w:val="24"/>
        </w:rPr>
        <w:t>附表</w:t>
      </w:r>
      <w:r>
        <w:rPr>
          <w:rFonts w:ascii="宋体" w:hAnsi="宋体" w:eastAsia="宋体" w:cs="宋体"/>
          <w:spacing w:val="-50"/>
          <w:position w:val="2"/>
          <w:sz w:val="24"/>
          <w:szCs w:val="24"/>
        </w:rPr>
        <w:t xml:space="preserve"> </w:t>
      </w:r>
      <w:r>
        <w:rPr>
          <w:rFonts w:ascii="Times New Roman" w:hAnsi="Times New Roman" w:eastAsia="Times New Roman" w:cs="Times New Roman"/>
          <w:spacing w:val="-2"/>
          <w:position w:val="2"/>
          <w:sz w:val="24"/>
          <w:szCs w:val="24"/>
        </w:rPr>
        <w:t xml:space="preserve">4 </w:t>
      </w:r>
      <w:r>
        <w:rPr>
          <w:rFonts w:ascii="宋体" w:hAnsi="宋体" w:eastAsia="宋体" w:cs="宋体"/>
          <w:spacing w:val="-2"/>
          <w:position w:val="2"/>
          <w:sz w:val="24"/>
          <w:szCs w:val="24"/>
        </w:rPr>
        <w:t>建设项目环境影响评价基础信息表。</w:t>
      </w:r>
    </w:p>
    <w:p w14:paraId="181B2A07">
      <w:pPr>
        <w:spacing w:line="358" w:lineRule="exact"/>
        <w:rPr>
          <w:rFonts w:ascii="宋体" w:hAnsi="宋体" w:eastAsia="宋体" w:cs="宋体"/>
          <w:sz w:val="24"/>
          <w:szCs w:val="24"/>
        </w:rPr>
        <w:sectPr>
          <w:footerReference r:id="rId7" w:type="default"/>
          <w:pgSz w:w="11906" w:h="16839"/>
          <w:pgMar w:top="1431" w:right="1598" w:bottom="1566" w:left="1756" w:header="0" w:footer="1406" w:gutter="0"/>
          <w:cols w:space="720" w:num="1"/>
        </w:sectPr>
      </w:pPr>
    </w:p>
    <w:p w14:paraId="68A7CB3B">
      <w:pPr>
        <w:pStyle w:val="2"/>
        <w:spacing w:line="297" w:lineRule="auto"/>
      </w:pPr>
    </w:p>
    <w:p w14:paraId="1A9DEECC">
      <w:pPr>
        <w:spacing w:before="140" w:line="635" w:lineRule="exact"/>
        <w:ind w:left="3840"/>
        <w:outlineLvl w:val="0"/>
        <w:rPr>
          <w:rFonts w:ascii="黑体" w:hAnsi="黑体" w:eastAsia="黑体" w:cs="黑体"/>
          <w:sz w:val="43"/>
          <w:szCs w:val="43"/>
        </w:rPr>
      </w:pPr>
      <w:bookmarkStart w:id="0" w:name="bookmark1"/>
      <w:bookmarkEnd w:id="0"/>
      <w:bookmarkStart w:id="1" w:name="bookmark2"/>
      <w:bookmarkEnd w:id="1"/>
      <w:r>
        <w:rPr>
          <w:rFonts w:ascii="Calibri" w:hAnsi="Calibri" w:eastAsia="Calibri" w:cs="Calibri"/>
          <w:spacing w:val="-5"/>
          <w:position w:val="4"/>
          <w:sz w:val="43"/>
          <w:szCs w:val="43"/>
        </w:rPr>
        <w:t>1</w:t>
      </w:r>
      <w:r>
        <w:rPr>
          <w:rFonts w:ascii="黑体" w:hAnsi="黑体" w:eastAsia="黑体" w:cs="黑体"/>
          <w:spacing w:val="-5"/>
          <w:position w:val="4"/>
          <w:sz w:val="43"/>
          <w:szCs w:val="43"/>
        </w:rPr>
        <w:t>概述</w:t>
      </w:r>
    </w:p>
    <w:p w14:paraId="2D9689BE">
      <w:pPr>
        <w:pStyle w:val="2"/>
        <w:spacing w:line="385" w:lineRule="auto"/>
      </w:pPr>
    </w:p>
    <w:p w14:paraId="41AF5D5F">
      <w:pPr>
        <w:spacing w:before="101" w:line="225" w:lineRule="auto"/>
        <w:ind w:left="12"/>
        <w:outlineLvl w:val="1"/>
        <w:rPr>
          <w:rFonts w:ascii="宋体" w:hAnsi="宋体" w:eastAsia="宋体" w:cs="宋体"/>
          <w:sz w:val="31"/>
          <w:szCs w:val="31"/>
        </w:rPr>
      </w:pPr>
      <w:bookmarkStart w:id="2" w:name="bookmark57"/>
      <w:bookmarkEnd w:id="2"/>
      <w:r>
        <w:rPr>
          <w:rFonts w:ascii="Times New Roman" w:hAnsi="Times New Roman" w:eastAsia="Times New Roman" w:cs="Times New Roman"/>
          <w:b/>
          <w:bCs/>
          <w:spacing w:val="2"/>
          <w:sz w:val="31"/>
          <w:szCs w:val="31"/>
        </w:rPr>
        <w:t>1.1</w:t>
      </w:r>
      <w:r>
        <w:rPr>
          <w:rFonts w:ascii="宋体" w:hAnsi="宋体" w:eastAsia="宋体" w:cs="宋体"/>
          <w:b/>
          <w:bCs/>
          <w:spacing w:val="2"/>
          <w:sz w:val="31"/>
          <w:szCs w:val="31"/>
        </w:rPr>
        <w:t>项目由来</w:t>
      </w:r>
    </w:p>
    <w:p w14:paraId="65C1752C">
      <w:pPr>
        <w:pStyle w:val="2"/>
        <w:spacing w:line="349" w:lineRule="auto"/>
      </w:pPr>
    </w:p>
    <w:p w14:paraId="4D89AA8E">
      <w:pPr>
        <w:spacing w:before="78" w:line="360" w:lineRule="auto"/>
        <w:ind w:firstLine="486"/>
        <w:jc w:val="both"/>
        <w:rPr>
          <w:rFonts w:ascii="宋体" w:hAnsi="宋体" w:eastAsia="宋体" w:cs="宋体"/>
          <w:sz w:val="24"/>
          <w:szCs w:val="24"/>
        </w:rPr>
      </w:pPr>
      <w:r>
        <w:rPr>
          <w:rFonts w:ascii="宋体" w:hAnsi="宋体" w:eastAsia="宋体" w:cs="宋体"/>
          <w:spacing w:val="-7"/>
          <w:sz w:val="24"/>
          <w:szCs w:val="24"/>
        </w:rPr>
        <w:t>《广东省生猪生产发展总体规划和区域布局（</w:t>
      </w:r>
      <w:r>
        <w:rPr>
          <w:rFonts w:ascii="Times New Roman" w:hAnsi="Times New Roman" w:eastAsia="Times New Roman" w:cs="Times New Roman"/>
          <w:spacing w:val="-7"/>
          <w:sz w:val="24"/>
          <w:szCs w:val="24"/>
        </w:rPr>
        <w:t xml:space="preserve">2008-2020 </w:t>
      </w:r>
      <w:r>
        <w:rPr>
          <w:rFonts w:ascii="宋体" w:hAnsi="宋体" w:eastAsia="宋体" w:cs="宋体"/>
          <w:spacing w:val="-7"/>
          <w:sz w:val="24"/>
          <w:szCs w:val="24"/>
        </w:rPr>
        <w:t>年）》指出，争取</w:t>
      </w:r>
      <w:r>
        <w:rPr>
          <w:rFonts w:ascii="宋体" w:hAnsi="宋体" w:eastAsia="宋体" w:cs="宋体"/>
          <w:spacing w:val="-8"/>
          <w:sz w:val="24"/>
          <w:szCs w:val="24"/>
        </w:rPr>
        <w:t>在</w:t>
      </w:r>
      <w:r>
        <w:rPr>
          <w:rFonts w:ascii="Times New Roman" w:hAnsi="Times New Roman" w:eastAsia="Times New Roman" w:cs="Times New Roman"/>
          <w:spacing w:val="-8"/>
          <w:sz w:val="24"/>
          <w:szCs w:val="24"/>
        </w:rPr>
        <w:t>2020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年全省标准化养殖比例达到</w:t>
      </w:r>
      <w:r>
        <w:rPr>
          <w:rFonts w:ascii="Times New Roman" w:hAnsi="Times New Roman" w:eastAsia="Times New Roman" w:cs="Times New Roman"/>
          <w:spacing w:val="3"/>
          <w:sz w:val="24"/>
          <w:szCs w:val="24"/>
        </w:rPr>
        <w:t>90%</w:t>
      </w:r>
      <w:r>
        <w:rPr>
          <w:rFonts w:ascii="宋体" w:hAnsi="宋体" w:eastAsia="宋体" w:cs="宋体"/>
          <w:spacing w:val="3"/>
          <w:sz w:val="24"/>
          <w:szCs w:val="24"/>
        </w:rPr>
        <w:t>以上，废</w:t>
      </w:r>
      <w:r>
        <w:rPr>
          <w:rFonts w:ascii="宋体" w:hAnsi="宋体" w:eastAsia="宋体" w:cs="宋体"/>
          <w:spacing w:val="2"/>
          <w:sz w:val="24"/>
          <w:szCs w:val="24"/>
        </w:rPr>
        <w:t>弃物资源利用率达到</w:t>
      </w:r>
      <w:r>
        <w:rPr>
          <w:rFonts w:ascii="Times New Roman" w:hAnsi="Times New Roman" w:eastAsia="Times New Roman" w:cs="Times New Roman"/>
          <w:spacing w:val="2"/>
          <w:sz w:val="24"/>
          <w:szCs w:val="24"/>
        </w:rPr>
        <w:t>90%</w:t>
      </w:r>
      <w:r>
        <w:rPr>
          <w:rFonts w:ascii="宋体" w:hAnsi="宋体" w:eastAsia="宋体" w:cs="宋体"/>
          <w:spacing w:val="2"/>
          <w:sz w:val="24"/>
          <w:szCs w:val="24"/>
        </w:rPr>
        <w:t>以上，</w:t>
      </w:r>
      <w:r>
        <w:rPr>
          <w:rFonts w:ascii="Times New Roman" w:hAnsi="Times New Roman" w:eastAsia="Times New Roman" w:cs="Times New Roman"/>
          <w:spacing w:val="2"/>
          <w:sz w:val="24"/>
          <w:szCs w:val="24"/>
        </w:rPr>
        <w:t xml:space="preserve">2012 </w:t>
      </w:r>
      <w:r>
        <w:rPr>
          <w:rFonts w:ascii="宋体" w:hAnsi="宋体" w:eastAsia="宋体" w:cs="宋体"/>
          <w:spacing w:val="2"/>
          <w:sz w:val="24"/>
          <w:szCs w:val="24"/>
        </w:rPr>
        <w:t>年生</w:t>
      </w:r>
      <w:r>
        <w:rPr>
          <w:rFonts w:ascii="宋体" w:hAnsi="宋体" w:eastAsia="宋体" w:cs="宋体"/>
          <w:sz w:val="24"/>
          <w:szCs w:val="24"/>
        </w:rPr>
        <w:t xml:space="preserve"> </w:t>
      </w:r>
      <w:r>
        <w:rPr>
          <w:rFonts w:ascii="宋体" w:hAnsi="宋体" w:eastAsia="宋体" w:cs="宋体"/>
          <w:spacing w:val="-2"/>
          <w:sz w:val="24"/>
          <w:szCs w:val="24"/>
        </w:rPr>
        <w:t>猪出栏达到</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4574</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万头，</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年生猪出栏达到</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5245</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万头，猪肉自给率达到</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，保</w:t>
      </w:r>
      <w:r>
        <w:rPr>
          <w:rFonts w:ascii="宋体" w:hAnsi="宋体" w:eastAsia="宋体" w:cs="宋体"/>
          <w:sz w:val="24"/>
          <w:szCs w:val="24"/>
        </w:rPr>
        <w:t xml:space="preserve"> </w:t>
      </w:r>
      <w:r>
        <w:rPr>
          <w:rFonts w:ascii="宋体" w:hAnsi="宋体" w:eastAsia="宋体" w:cs="宋体"/>
          <w:spacing w:val="2"/>
          <w:sz w:val="24"/>
          <w:szCs w:val="24"/>
        </w:rPr>
        <w:t>障全省猪肉供应和安全。规划在建设布局中提出发展东部生猪产业带：以梅州、汕</w:t>
      </w:r>
      <w:r>
        <w:rPr>
          <w:rFonts w:ascii="宋体" w:hAnsi="宋体" w:eastAsia="宋体" w:cs="宋体"/>
          <w:spacing w:val="7"/>
          <w:sz w:val="24"/>
          <w:szCs w:val="24"/>
        </w:rPr>
        <w:t xml:space="preserve"> </w:t>
      </w:r>
      <w:r>
        <w:rPr>
          <w:rFonts w:ascii="宋体" w:hAnsi="宋体" w:eastAsia="宋体" w:cs="宋体"/>
          <w:spacing w:val="2"/>
          <w:sz w:val="24"/>
          <w:szCs w:val="24"/>
        </w:rPr>
        <w:t>尾、潮汕地区为主的发展区域，兼顾河源、惠州地区、重点发展瘦肉型猪，适度饲</w:t>
      </w:r>
      <w:r>
        <w:rPr>
          <w:rFonts w:ascii="宋体" w:hAnsi="宋体" w:eastAsia="宋体" w:cs="宋体"/>
          <w:spacing w:val="7"/>
          <w:sz w:val="24"/>
          <w:szCs w:val="24"/>
        </w:rPr>
        <w:t xml:space="preserve"> </w:t>
      </w:r>
      <w:r>
        <w:rPr>
          <w:rFonts w:ascii="宋体" w:hAnsi="宋体" w:eastAsia="宋体" w:cs="宋体"/>
          <w:spacing w:val="2"/>
          <w:sz w:val="24"/>
          <w:szCs w:val="24"/>
        </w:rPr>
        <w:t>养本地猪和土杂猪，除满足本地市场需求外，重点面向深圳、东莞等市场及香港市</w:t>
      </w:r>
      <w:r>
        <w:rPr>
          <w:rFonts w:ascii="宋体" w:hAnsi="宋体" w:eastAsia="宋体" w:cs="宋体"/>
          <w:spacing w:val="7"/>
          <w:sz w:val="24"/>
          <w:szCs w:val="24"/>
        </w:rPr>
        <w:t xml:space="preserve"> </w:t>
      </w:r>
      <w:r>
        <w:rPr>
          <w:rFonts w:ascii="宋体" w:hAnsi="宋体" w:eastAsia="宋体" w:cs="宋体"/>
          <w:spacing w:val="-3"/>
          <w:sz w:val="24"/>
          <w:szCs w:val="24"/>
        </w:rPr>
        <w:t>场。该区域目标规划</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年上市生猪</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1460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万头，以发展大、中型生猪养</w:t>
      </w:r>
      <w:r>
        <w:rPr>
          <w:rFonts w:ascii="宋体" w:hAnsi="宋体" w:eastAsia="宋体" w:cs="宋体"/>
          <w:spacing w:val="-4"/>
          <w:sz w:val="24"/>
          <w:szCs w:val="24"/>
        </w:rPr>
        <w:t>殖场为主。</w:t>
      </w:r>
    </w:p>
    <w:p w14:paraId="7A71BD2E">
      <w:pPr>
        <w:spacing w:before="1" w:line="353" w:lineRule="auto"/>
        <w:ind w:right="81" w:firstLine="480"/>
        <w:rPr>
          <w:rFonts w:ascii="宋体" w:hAnsi="宋体" w:eastAsia="宋体" w:cs="宋体"/>
          <w:sz w:val="24"/>
          <w:szCs w:val="24"/>
        </w:rPr>
      </w:pPr>
      <w:r>
        <w:rPr>
          <w:rFonts w:ascii="宋体" w:hAnsi="宋体" w:eastAsia="宋体" w:cs="宋体"/>
          <w:spacing w:val="2"/>
          <w:sz w:val="24"/>
          <w:szCs w:val="24"/>
        </w:rPr>
        <w:t>根据《海丰县畜禽养殖禁养区划定方案》（海府办</w:t>
      </w:r>
      <w:r>
        <w:rPr>
          <w:rFonts w:ascii="宋体" w:hAnsi="宋体" w:eastAsia="宋体" w:cs="宋体"/>
          <w:spacing w:val="1"/>
          <w:sz w:val="24"/>
          <w:szCs w:val="24"/>
        </w:rPr>
        <w:t>函</w:t>
      </w:r>
      <w:r>
        <w:rPr>
          <w:rFonts w:ascii="Times New Roman" w:hAnsi="Times New Roman" w:eastAsia="Times New Roman" w:cs="Times New Roman"/>
          <w:spacing w:val="1"/>
          <w:sz w:val="24"/>
          <w:szCs w:val="24"/>
        </w:rPr>
        <w:t>[2020]25</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号</w:t>
      </w:r>
      <w:r>
        <w:rPr>
          <w:rFonts w:ascii="宋体" w:hAnsi="宋体" w:eastAsia="宋体" w:cs="宋体"/>
          <w:spacing w:val="11"/>
          <w:sz w:val="24"/>
          <w:szCs w:val="24"/>
        </w:rPr>
        <w:t>），</w:t>
      </w:r>
      <w:r>
        <w:rPr>
          <w:rFonts w:ascii="宋体" w:hAnsi="宋体" w:eastAsia="宋体" w:cs="宋体"/>
          <w:spacing w:val="1"/>
          <w:sz w:val="24"/>
          <w:szCs w:val="24"/>
        </w:rPr>
        <w:t>本项目所</w:t>
      </w:r>
      <w:r>
        <w:rPr>
          <w:rFonts w:ascii="宋体" w:hAnsi="宋体" w:eastAsia="宋体" w:cs="宋体"/>
          <w:sz w:val="24"/>
          <w:szCs w:val="24"/>
        </w:rPr>
        <w:t xml:space="preserve"> </w:t>
      </w:r>
      <w:r>
        <w:rPr>
          <w:rFonts w:ascii="宋体" w:hAnsi="宋体" w:eastAsia="宋体" w:cs="宋体"/>
          <w:spacing w:val="-1"/>
          <w:sz w:val="24"/>
          <w:szCs w:val="24"/>
        </w:rPr>
        <w:t>在区域不属于禁养区。</w:t>
      </w:r>
    </w:p>
    <w:p w14:paraId="1004A209">
      <w:pPr>
        <w:spacing w:before="51" w:line="355" w:lineRule="auto"/>
        <w:ind w:right="78" w:firstLine="483"/>
        <w:jc w:val="both"/>
        <w:rPr>
          <w:rFonts w:ascii="宋体" w:hAnsi="宋体" w:eastAsia="宋体" w:cs="宋体"/>
          <w:sz w:val="24"/>
          <w:szCs w:val="24"/>
        </w:rPr>
      </w:pPr>
      <w:r>
        <w:rPr>
          <w:rFonts w:ascii="宋体" w:hAnsi="宋体" w:eastAsia="宋体" w:cs="宋体"/>
          <w:spacing w:val="2"/>
          <w:sz w:val="24"/>
          <w:szCs w:val="24"/>
        </w:rPr>
        <w:t>为此，汕尾市天磊联信种养有限公司拟在海丰县公平镇龙岗美月姑少山坡地建</w:t>
      </w:r>
      <w:r>
        <w:rPr>
          <w:rFonts w:ascii="宋体" w:hAnsi="宋体" w:eastAsia="宋体" w:cs="宋体"/>
          <w:spacing w:val="7"/>
          <w:sz w:val="24"/>
          <w:szCs w:val="24"/>
        </w:rPr>
        <w:t xml:space="preserve"> </w:t>
      </w:r>
      <w:r>
        <w:rPr>
          <w:rFonts w:ascii="宋体" w:hAnsi="宋体" w:eastAsia="宋体" w:cs="宋体"/>
          <w:spacing w:val="-5"/>
          <w:sz w:val="24"/>
          <w:szCs w:val="24"/>
        </w:rPr>
        <w:t>设生猪养殖项目，项目地理位置图见图</w:t>
      </w:r>
      <w:r>
        <w:rPr>
          <w:rFonts w:ascii="宋体" w:hAnsi="宋体" w:eastAsia="宋体" w:cs="宋体"/>
          <w:spacing w:val="-17"/>
          <w:sz w:val="24"/>
          <w:szCs w:val="24"/>
        </w:rPr>
        <w:t xml:space="preserve"> </w:t>
      </w:r>
      <w:r>
        <w:rPr>
          <w:rFonts w:ascii="Times New Roman" w:hAnsi="Times New Roman" w:eastAsia="Times New Roman" w:cs="Times New Roman"/>
          <w:spacing w:val="-5"/>
          <w:sz w:val="24"/>
          <w:szCs w:val="24"/>
        </w:rPr>
        <w:t>1.1-1</w:t>
      </w:r>
      <w:r>
        <w:rPr>
          <w:rFonts w:ascii="宋体" w:hAnsi="宋体" w:eastAsia="宋体" w:cs="宋体"/>
          <w:spacing w:val="-5"/>
          <w:sz w:val="24"/>
          <w:szCs w:val="24"/>
        </w:rPr>
        <w:t>。项目总投资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1300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万元人民币，其中环</w:t>
      </w:r>
      <w:r>
        <w:rPr>
          <w:rFonts w:ascii="宋体" w:hAnsi="宋体" w:eastAsia="宋体" w:cs="宋体"/>
          <w:sz w:val="24"/>
          <w:szCs w:val="24"/>
        </w:rPr>
        <w:t xml:space="preserve"> </w:t>
      </w:r>
      <w:r>
        <w:rPr>
          <w:rFonts w:ascii="宋体" w:hAnsi="宋体" w:eastAsia="宋体" w:cs="宋体"/>
          <w:spacing w:val="-3"/>
          <w:sz w:val="24"/>
          <w:szCs w:val="24"/>
        </w:rPr>
        <w:t>保投资</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320</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万元，</w:t>
      </w:r>
      <w:r>
        <w:rPr>
          <w:rFonts w:ascii="宋体" w:hAnsi="宋体" w:eastAsia="宋体" w:cs="宋体"/>
          <w:spacing w:val="-71"/>
          <w:sz w:val="24"/>
          <w:szCs w:val="24"/>
        </w:rPr>
        <w:t xml:space="preserve"> </w:t>
      </w:r>
      <w:r>
        <w:rPr>
          <w:rFonts w:ascii="宋体" w:hAnsi="宋体" w:eastAsia="宋体" w:cs="宋体"/>
          <w:spacing w:val="-3"/>
          <w:sz w:val="24"/>
          <w:szCs w:val="24"/>
        </w:rPr>
        <w:t>占地面积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17194m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rFonts w:ascii="宋体" w:hAnsi="宋体" w:eastAsia="宋体" w:cs="宋体"/>
          <w:spacing w:val="-4"/>
          <w:sz w:val="24"/>
          <w:szCs w:val="24"/>
        </w:rPr>
        <w:t>，建筑面积</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8346m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4"/>
          <w:szCs w:val="24"/>
        </w:rPr>
        <w:t>。主要建设内容包括</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栋育</w:t>
      </w:r>
      <w:r>
        <w:rPr>
          <w:rFonts w:ascii="宋体" w:hAnsi="宋体" w:eastAsia="宋体" w:cs="宋体"/>
          <w:sz w:val="24"/>
          <w:szCs w:val="24"/>
        </w:rPr>
        <w:t xml:space="preserve"> 肥舍、疫苗仓库</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栋、兽药仓库</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栋、消毒</w:t>
      </w:r>
      <w:r>
        <w:rPr>
          <w:rFonts w:ascii="宋体" w:hAnsi="宋体" w:eastAsia="宋体" w:cs="宋体"/>
          <w:spacing w:val="-1"/>
          <w:sz w:val="24"/>
          <w:szCs w:val="24"/>
        </w:rPr>
        <w:t>仓库</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栋、危废暂存间及有机肥生产车</w:t>
      </w:r>
      <w:r>
        <w:rPr>
          <w:rFonts w:ascii="宋体" w:hAnsi="宋体" w:eastAsia="宋体" w:cs="宋体"/>
          <w:sz w:val="24"/>
          <w:szCs w:val="24"/>
        </w:rPr>
        <w:t xml:space="preserve"> </w:t>
      </w:r>
      <w:r>
        <w:rPr>
          <w:rFonts w:ascii="宋体" w:hAnsi="宋体" w:eastAsia="宋体" w:cs="宋体"/>
          <w:spacing w:val="-3"/>
          <w:sz w:val="24"/>
          <w:szCs w:val="24"/>
        </w:rPr>
        <w:t>间等配套设施。项目建成后预计猪只存栏量为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7000 </w:t>
      </w:r>
      <w:r>
        <w:rPr>
          <w:rFonts w:ascii="宋体" w:hAnsi="宋体" w:eastAsia="宋体" w:cs="宋体"/>
          <w:spacing w:val="-4"/>
          <w:sz w:val="24"/>
          <w:szCs w:val="24"/>
        </w:rPr>
        <w:t>头，出栏量为</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15000 </w:t>
      </w:r>
      <w:r>
        <w:rPr>
          <w:rFonts w:ascii="宋体" w:hAnsi="宋体" w:eastAsia="宋体" w:cs="宋体"/>
          <w:spacing w:val="-4"/>
          <w:sz w:val="24"/>
          <w:szCs w:val="24"/>
        </w:rPr>
        <w:t>头</w:t>
      </w:r>
      <w:r>
        <w:rPr>
          <w:rFonts w:ascii="Times New Roman" w:hAnsi="Times New Roman" w:eastAsia="Times New Roman" w:cs="Times New Roman"/>
          <w:spacing w:val="-4"/>
          <w:sz w:val="24"/>
          <w:szCs w:val="24"/>
        </w:rPr>
        <w:t>/</w:t>
      </w:r>
      <w:r>
        <w:rPr>
          <w:rFonts w:ascii="宋体" w:hAnsi="宋体" w:eastAsia="宋体" w:cs="宋体"/>
          <w:spacing w:val="-4"/>
          <w:sz w:val="24"/>
          <w:szCs w:val="24"/>
        </w:rPr>
        <w:t>年。项目</w:t>
      </w:r>
      <w:r>
        <w:rPr>
          <w:rFonts w:ascii="宋体" w:hAnsi="宋体" w:eastAsia="宋体" w:cs="宋体"/>
          <w:sz w:val="24"/>
          <w:szCs w:val="24"/>
        </w:rPr>
        <w:t xml:space="preserve"> </w:t>
      </w:r>
      <w:r>
        <w:rPr>
          <w:rFonts w:ascii="宋体" w:hAnsi="宋体" w:eastAsia="宋体" w:cs="宋体"/>
          <w:spacing w:val="-4"/>
          <w:sz w:val="24"/>
          <w:szCs w:val="24"/>
        </w:rPr>
        <w:t>施工期限为：</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p>
    <w:p w14:paraId="256BA9C4">
      <w:pPr>
        <w:spacing w:before="3" w:line="357" w:lineRule="auto"/>
        <w:ind w:right="78" w:firstLine="480"/>
        <w:jc w:val="both"/>
        <w:rPr>
          <w:rFonts w:ascii="宋体" w:hAnsi="宋体" w:eastAsia="宋体" w:cs="宋体"/>
          <w:sz w:val="24"/>
          <w:szCs w:val="24"/>
        </w:rPr>
      </w:pPr>
      <w:r>
        <w:rPr>
          <w:rFonts w:ascii="宋体" w:hAnsi="宋体" w:eastAsia="宋体" w:cs="宋体"/>
          <w:spacing w:val="3"/>
          <w:sz w:val="24"/>
          <w:szCs w:val="24"/>
        </w:rPr>
        <w:t>根据《中华人民共和国环境保护法》（中华人民共和国主席令第</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38"/>
          <w:w w:val="101"/>
          <w:sz w:val="24"/>
          <w:szCs w:val="24"/>
        </w:rPr>
        <w:t xml:space="preserve"> </w:t>
      </w:r>
      <w:r>
        <w:rPr>
          <w:rFonts w:ascii="宋体" w:hAnsi="宋体" w:eastAsia="宋体" w:cs="宋体"/>
          <w:spacing w:val="3"/>
          <w:sz w:val="24"/>
          <w:szCs w:val="24"/>
        </w:rPr>
        <w:t>号）、《中</w:t>
      </w:r>
      <w:r>
        <w:rPr>
          <w:rFonts w:ascii="宋体" w:hAnsi="宋体" w:eastAsia="宋体" w:cs="宋体"/>
          <w:sz w:val="24"/>
          <w:szCs w:val="24"/>
        </w:rPr>
        <w:t xml:space="preserve"> 华人民共和国环境影响评价法》（中华人民共和国主席令第</w:t>
      </w:r>
      <w:r>
        <w:rPr>
          <w:rFonts w:ascii="Times New Roman" w:hAnsi="Times New Roman" w:eastAsia="Times New Roman" w:cs="Times New Roman"/>
          <w:sz w:val="24"/>
          <w:szCs w:val="24"/>
        </w:rPr>
        <w:t xml:space="preserve">48 </w:t>
      </w:r>
      <w:r>
        <w:rPr>
          <w:rFonts w:ascii="宋体" w:hAnsi="宋体" w:eastAsia="宋体" w:cs="宋体"/>
          <w:sz w:val="24"/>
          <w:szCs w:val="24"/>
        </w:rPr>
        <w:t>号）、《建设项目环</w:t>
      </w:r>
      <w:r>
        <w:rPr>
          <w:rFonts w:ascii="宋体" w:hAnsi="宋体" w:eastAsia="宋体" w:cs="宋体"/>
          <w:spacing w:val="18"/>
          <w:sz w:val="24"/>
          <w:szCs w:val="24"/>
        </w:rPr>
        <w:t xml:space="preserve"> </w:t>
      </w:r>
      <w:r>
        <w:rPr>
          <w:rFonts w:ascii="宋体" w:hAnsi="宋体" w:eastAsia="宋体" w:cs="宋体"/>
          <w:spacing w:val="-1"/>
          <w:sz w:val="24"/>
          <w:szCs w:val="24"/>
        </w:rPr>
        <w:t>境保护管理条例》（</w:t>
      </w:r>
      <w:r>
        <w:rPr>
          <w:rFonts w:ascii="Times New Roman" w:hAnsi="Times New Roman" w:eastAsia="Times New Roman" w:cs="Times New Roman"/>
          <w:spacing w:val="-1"/>
          <w:sz w:val="24"/>
          <w:szCs w:val="24"/>
        </w:rPr>
        <w:t xml:space="preserve">2012 </w:t>
      </w:r>
      <w:r>
        <w:rPr>
          <w:rFonts w:ascii="宋体" w:hAnsi="宋体" w:eastAsia="宋体" w:cs="宋体"/>
          <w:spacing w:val="-1"/>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26  </w:t>
      </w:r>
      <w:r>
        <w:rPr>
          <w:rFonts w:ascii="宋体" w:hAnsi="宋体" w:eastAsia="宋体" w:cs="宋体"/>
          <w:spacing w:val="-1"/>
          <w:sz w:val="24"/>
          <w:szCs w:val="24"/>
        </w:rPr>
        <w:t>日广东省十一届人大常委会</w:t>
      </w:r>
      <w:r>
        <w:rPr>
          <w:rFonts w:ascii="宋体" w:hAnsi="宋体" w:eastAsia="宋体" w:cs="宋体"/>
          <w:spacing w:val="-2"/>
          <w:sz w:val="24"/>
          <w:szCs w:val="24"/>
        </w:rPr>
        <w:t>第</w:t>
      </w:r>
      <w:r>
        <w:rPr>
          <w:rFonts w:ascii="Times New Roman" w:hAnsi="Times New Roman" w:eastAsia="Times New Roman" w:cs="Times New Roman"/>
          <w:spacing w:val="-2"/>
          <w:sz w:val="24"/>
          <w:szCs w:val="24"/>
        </w:rPr>
        <w:t>35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次会议第</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次</w:t>
      </w:r>
      <w:r>
        <w:rPr>
          <w:rFonts w:ascii="宋体" w:hAnsi="宋体" w:eastAsia="宋体" w:cs="宋体"/>
          <w:sz w:val="24"/>
          <w:szCs w:val="24"/>
        </w:rPr>
        <w:t xml:space="preserve"> </w:t>
      </w:r>
      <w:r>
        <w:rPr>
          <w:rFonts w:ascii="宋体" w:hAnsi="宋体" w:eastAsia="宋体" w:cs="宋体"/>
          <w:spacing w:val="2"/>
          <w:sz w:val="24"/>
          <w:szCs w:val="24"/>
        </w:rPr>
        <w:t>修正）的有关要求，对环境存在影响的新建、改建、扩建项目必须执行环境影响评</w:t>
      </w:r>
      <w:r>
        <w:rPr>
          <w:rFonts w:ascii="宋体" w:hAnsi="宋体" w:eastAsia="宋体" w:cs="宋体"/>
          <w:spacing w:val="6"/>
          <w:sz w:val="24"/>
          <w:szCs w:val="24"/>
        </w:rPr>
        <w:t xml:space="preserve"> </w:t>
      </w:r>
      <w:r>
        <w:rPr>
          <w:rFonts w:ascii="宋体" w:hAnsi="宋体" w:eastAsia="宋体" w:cs="宋体"/>
          <w:spacing w:val="-3"/>
          <w:sz w:val="24"/>
          <w:szCs w:val="24"/>
        </w:rPr>
        <w:t>价制度。</w:t>
      </w:r>
    </w:p>
    <w:p w14:paraId="14D66A85">
      <w:pPr>
        <w:spacing w:before="59" w:line="363" w:lineRule="auto"/>
        <w:ind w:right="78" w:firstLine="481"/>
        <w:jc w:val="both"/>
        <w:rPr>
          <w:rFonts w:ascii="宋体" w:hAnsi="宋体" w:eastAsia="宋体" w:cs="宋体"/>
          <w:sz w:val="24"/>
          <w:szCs w:val="24"/>
        </w:rPr>
      </w:pPr>
      <w:r>
        <w:rPr>
          <w:rFonts w:ascii="宋体" w:hAnsi="宋体" w:eastAsia="宋体" w:cs="宋体"/>
          <w:spacing w:val="2"/>
          <w:sz w:val="24"/>
          <w:szCs w:val="24"/>
        </w:rPr>
        <w:t>本项目施工期和营运期均会产生废水、废气、固废、噪声等污染，对环境有一</w:t>
      </w:r>
      <w:r>
        <w:rPr>
          <w:rFonts w:ascii="宋体" w:hAnsi="宋体" w:eastAsia="宋体" w:cs="宋体"/>
          <w:spacing w:val="11"/>
          <w:sz w:val="24"/>
          <w:szCs w:val="24"/>
        </w:rPr>
        <w:t xml:space="preserve"> </w:t>
      </w:r>
      <w:r>
        <w:rPr>
          <w:rFonts w:ascii="宋体" w:hAnsi="宋体" w:eastAsia="宋体" w:cs="宋体"/>
          <w:spacing w:val="2"/>
          <w:sz w:val="24"/>
          <w:szCs w:val="24"/>
        </w:rPr>
        <w:t>定的影响，因此，需办理环评手续。对照《建设项目环境影响评价分类管理</w:t>
      </w:r>
      <w:r>
        <w:rPr>
          <w:rFonts w:ascii="宋体" w:hAnsi="宋体" w:eastAsia="宋体" w:cs="宋体"/>
          <w:spacing w:val="1"/>
          <w:sz w:val="24"/>
          <w:szCs w:val="24"/>
        </w:rPr>
        <w:t>名录》</w:t>
      </w:r>
      <w:r>
        <w:rPr>
          <w:rFonts w:ascii="宋体" w:hAnsi="宋体" w:eastAsia="宋体" w:cs="宋体"/>
          <w:sz w:val="24"/>
          <w:szCs w:val="24"/>
        </w:rPr>
        <w:t xml:space="preserve"> </w:t>
      </w:r>
      <w:r>
        <w:rPr>
          <w:rFonts w:ascii="宋体" w:hAnsi="宋体" w:eastAsia="宋体" w:cs="宋体"/>
          <w:spacing w:val="3"/>
          <w:sz w:val="24"/>
          <w:szCs w:val="24"/>
        </w:rPr>
        <w:t>（部令第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号</w:t>
      </w:r>
      <w:r>
        <w:rPr>
          <w:rFonts w:ascii="宋体" w:hAnsi="宋体" w:eastAsia="宋体" w:cs="宋体"/>
          <w:spacing w:val="7"/>
          <w:sz w:val="24"/>
          <w:szCs w:val="24"/>
        </w:rPr>
        <w:t>），</w:t>
      </w:r>
      <w:r>
        <w:rPr>
          <w:rFonts w:ascii="宋体" w:hAnsi="宋体" w:eastAsia="宋体" w:cs="宋体"/>
          <w:spacing w:val="3"/>
          <w:sz w:val="24"/>
          <w:szCs w:val="24"/>
        </w:rPr>
        <w:t>确定本项目类别为“二、畜牧</w:t>
      </w:r>
      <w:r>
        <w:rPr>
          <w:rFonts w:ascii="宋体" w:hAnsi="宋体" w:eastAsia="宋体" w:cs="宋体"/>
          <w:spacing w:val="2"/>
          <w:sz w:val="24"/>
          <w:szCs w:val="24"/>
        </w:rPr>
        <w:t>业第</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项中的牲畜饲养</w:t>
      </w:r>
      <w:r>
        <w:rPr>
          <w:rFonts w:ascii="Times New Roman" w:hAnsi="Times New Roman" w:eastAsia="Times New Roman" w:cs="Times New Roman"/>
          <w:spacing w:val="2"/>
          <w:sz w:val="24"/>
          <w:szCs w:val="24"/>
        </w:rPr>
        <w:t>031</w:t>
      </w:r>
      <w:r>
        <w:rPr>
          <w:rFonts w:ascii="宋体" w:hAnsi="宋体" w:eastAsia="宋体" w:cs="宋体"/>
          <w:spacing w:val="2"/>
          <w:sz w:val="24"/>
          <w:szCs w:val="24"/>
        </w:rPr>
        <w:t>；家禽</w:t>
      </w:r>
      <w:r>
        <w:rPr>
          <w:rFonts w:ascii="宋体" w:hAnsi="宋体" w:eastAsia="宋体" w:cs="宋体"/>
          <w:sz w:val="24"/>
          <w:szCs w:val="24"/>
        </w:rPr>
        <w:t xml:space="preserve"> </w:t>
      </w:r>
      <w:r>
        <w:rPr>
          <w:rFonts w:ascii="宋体" w:hAnsi="宋体" w:eastAsia="宋体" w:cs="宋体"/>
          <w:spacing w:val="4"/>
          <w:sz w:val="24"/>
          <w:szCs w:val="24"/>
        </w:rPr>
        <w:t>饲养</w:t>
      </w:r>
      <w:r>
        <w:rPr>
          <w:rFonts w:ascii="Times New Roman" w:hAnsi="Times New Roman" w:eastAsia="Times New Roman" w:cs="Times New Roman"/>
          <w:spacing w:val="4"/>
          <w:sz w:val="24"/>
          <w:szCs w:val="24"/>
        </w:rPr>
        <w:t>032</w:t>
      </w:r>
      <w:r>
        <w:rPr>
          <w:rFonts w:ascii="宋体" w:hAnsi="宋体" w:eastAsia="宋体" w:cs="宋体"/>
          <w:spacing w:val="4"/>
          <w:sz w:val="24"/>
          <w:szCs w:val="24"/>
        </w:rPr>
        <w:t>；其他畜牧业</w:t>
      </w:r>
      <w:r>
        <w:rPr>
          <w:rFonts w:ascii="Times New Roman" w:hAnsi="Times New Roman" w:eastAsia="Times New Roman" w:cs="Times New Roman"/>
          <w:spacing w:val="4"/>
          <w:sz w:val="24"/>
          <w:szCs w:val="24"/>
        </w:rPr>
        <w:t>039</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，年出栏生猪</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5000 </w:t>
      </w:r>
      <w:r>
        <w:rPr>
          <w:rFonts w:ascii="宋体" w:hAnsi="宋体" w:eastAsia="宋体" w:cs="宋体"/>
          <w:spacing w:val="4"/>
          <w:sz w:val="24"/>
          <w:szCs w:val="24"/>
        </w:rPr>
        <w:t>头（其</w:t>
      </w:r>
      <w:r>
        <w:rPr>
          <w:rFonts w:ascii="宋体" w:hAnsi="宋体" w:eastAsia="宋体" w:cs="宋体"/>
          <w:spacing w:val="3"/>
          <w:sz w:val="24"/>
          <w:szCs w:val="24"/>
        </w:rPr>
        <w:t>他畜禽种类折合猪的养殖量）</w:t>
      </w:r>
    </w:p>
    <w:p w14:paraId="15B5012A">
      <w:pPr>
        <w:spacing w:line="363" w:lineRule="auto"/>
        <w:rPr>
          <w:rFonts w:ascii="宋体" w:hAnsi="宋体" w:eastAsia="宋体" w:cs="宋体"/>
          <w:sz w:val="24"/>
          <w:szCs w:val="24"/>
        </w:rPr>
        <w:sectPr>
          <w:footerReference r:id="rId8" w:type="default"/>
          <w:pgSz w:w="11906" w:h="16839"/>
          <w:pgMar w:top="1431" w:right="1507" w:bottom="1626" w:left="1597" w:header="0" w:footer="1390" w:gutter="0"/>
          <w:cols w:space="720" w:num="1"/>
        </w:sectPr>
      </w:pPr>
    </w:p>
    <w:p w14:paraId="7463EE1E">
      <w:pPr>
        <w:spacing w:before="64" w:line="349" w:lineRule="auto"/>
        <w:ind w:right="82"/>
        <w:jc w:val="both"/>
        <w:rPr>
          <w:rFonts w:ascii="宋体" w:hAnsi="宋体" w:eastAsia="宋体" w:cs="宋体"/>
          <w:sz w:val="24"/>
          <w:szCs w:val="24"/>
        </w:rPr>
      </w:pPr>
      <w:r>
        <w:rPr>
          <w:rFonts w:ascii="宋体" w:hAnsi="宋体" w:eastAsia="宋体" w:cs="宋体"/>
          <w:spacing w:val="-1"/>
          <w:sz w:val="24"/>
          <w:szCs w:val="24"/>
        </w:rPr>
        <w:t>及以上的规模化畜禽养殖；存栏生猪</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2500 </w:t>
      </w:r>
      <w:r>
        <w:rPr>
          <w:rFonts w:ascii="宋体" w:hAnsi="宋体" w:eastAsia="宋体" w:cs="宋体"/>
          <w:spacing w:val="-1"/>
          <w:sz w:val="24"/>
          <w:szCs w:val="24"/>
        </w:rPr>
        <w:t>头（其他畜禽种类折合猪</w:t>
      </w:r>
      <w:r>
        <w:rPr>
          <w:rFonts w:ascii="宋体" w:hAnsi="宋体" w:eastAsia="宋体" w:cs="宋体"/>
          <w:spacing w:val="-2"/>
          <w:sz w:val="24"/>
          <w:szCs w:val="24"/>
        </w:rPr>
        <w:t>的养殖规模）及</w:t>
      </w:r>
      <w:r>
        <w:rPr>
          <w:rFonts w:ascii="宋体" w:hAnsi="宋体" w:eastAsia="宋体" w:cs="宋体"/>
          <w:sz w:val="24"/>
          <w:szCs w:val="24"/>
        </w:rPr>
        <w:t xml:space="preserve"> </w:t>
      </w:r>
      <w:r>
        <w:rPr>
          <w:rFonts w:ascii="宋体" w:hAnsi="宋体" w:eastAsia="宋体" w:cs="宋体"/>
          <w:spacing w:val="1"/>
          <w:sz w:val="24"/>
          <w:szCs w:val="24"/>
        </w:rPr>
        <w:t>以上无出栏量的规模化畜禽养殖；涉及环境敏感区的规模化畜禽养殖</w:t>
      </w:r>
      <w:r>
        <w:rPr>
          <w:rFonts w:ascii="宋体" w:hAnsi="宋体" w:eastAsia="宋体" w:cs="宋体"/>
          <w:spacing w:val="-76"/>
          <w:sz w:val="24"/>
          <w:szCs w:val="24"/>
        </w:rPr>
        <w:t xml:space="preserve"> </w:t>
      </w:r>
      <w:r>
        <w:rPr>
          <w:rFonts w:ascii="宋体" w:hAnsi="宋体" w:eastAsia="宋体" w:cs="宋体"/>
          <w:spacing w:val="1"/>
          <w:sz w:val="24"/>
          <w:szCs w:val="24"/>
        </w:rPr>
        <w:t>”，属于编制</w:t>
      </w:r>
      <w:r>
        <w:rPr>
          <w:rFonts w:ascii="宋体" w:hAnsi="宋体" w:eastAsia="宋体" w:cs="宋体"/>
          <w:sz w:val="24"/>
          <w:szCs w:val="24"/>
        </w:rPr>
        <w:t xml:space="preserve"> </w:t>
      </w:r>
      <w:r>
        <w:rPr>
          <w:rFonts w:ascii="宋体" w:hAnsi="宋体" w:eastAsia="宋体" w:cs="宋体"/>
          <w:spacing w:val="-1"/>
          <w:sz w:val="24"/>
          <w:szCs w:val="24"/>
        </w:rPr>
        <w:t>报告书的类别。因此，判定其环评类别为报告书形式。</w:t>
      </w:r>
    </w:p>
    <w:p w14:paraId="297CBC58">
      <w:pPr>
        <w:spacing w:before="3" w:line="359" w:lineRule="auto"/>
        <w:ind w:firstLine="483"/>
        <w:jc w:val="both"/>
        <w:rPr>
          <w:rFonts w:ascii="宋体" w:hAnsi="宋体" w:eastAsia="宋体" w:cs="宋体"/>
          <w:sz w:val="24"/>
          <w:szCs w:val="24"/>
        </w:rPr>
      </w:pPr>
      <w:r>
        <w:rPr>
          <w:rFonts w:ascii="宋体" w:hAnsi="宋体" w:eastAsia="宋体" w:cs="宋体"/>
          <w:spacing w:val="2"/>
          <w:sz w:val="24"/>
          <w:szCs w:val="24"/>
        </w:rPr>
        <w:t>为此，汕尾市天磊联信种养有限公司委托广东绿佳环境科技有限公司进行汕尾</w:t>
      </w:r>
      <w:r>
        <w:rPr>
          <w:rFonts w:ascii="宋体" w:hAnsi="宋体" w:eastAsia="宋体" w:cs="宋体"/>
          <w:spacing w:val="7"/>
          <w:sz w:val="24"/>
          <w:szCs w:val="24"/>
        </w:rPr>
        <w:t xml:space="preserve"> </w:t>
      </w:r>
      <w:r>
        <w:rPr>
          <w:rFonts w:ascii="宋体" w:hAnsi="宋体" w:eastAsia="宋体" w:cs="宋体"/>
          <w:spacing w:val="-1"/>
          <w:sz w:val="24"/>
          <w:szCs w:val="24"/>
        </w:rPr>
        <w:t>市天磊联信种养有限公司生猪养殖项目（以下简称</w:t>
      </w:r>
      <w:r>
        <w:rPr>
          <w:rFonts w:ascii="Times New Roman" w:hAnsi="Times New Roman" w:eastAsia="Times New Roman" w:cs="Times New Roman"/>
          <w:spacing w:val="-1"/>
          <w:sz w:val="24"/>
          <w:szCs w:val="24"/>
        </w:rPr>
        <w:t>“</w:t>
      </w:r>
      <w:r>
        <w:rPr>
          <w:rFonts w:ascii="宋体" w:hAnsi="宋体" w:eastAsia="宋体" w:cs="宋体"/>
          <w:spacing w:val="-1"/>
          <w:sz w:val="24"/>
          <w:szCs w:val="24"/>
        </w:rPr>
        <w:t>本</w:t>
      </w:r>
      <w:r>
        <w:rPr>
          <w:rFonts w:ascii="宋体" w:hAnsi="宋体" w:eastAsia="宋体" w:cs="宋体"/>
          <w:spacing w:val="-2"/>
          <w:sz w:val="24"/>
          <w:szCs w:val="24"/>
        </w:rPr>
        <w:t>项目</w:t>
      </w:r>
      <w:r>
        <w:rPr>
          <w:rFonts w:ascii="Times New Roman" w:hAnsi="Times New Roman" w:eastAsia="Times New Roman" w:cs="Times New Roman"/>
          <w:spacing w:val="-2"/>
          <w:sz w:val="24"/>
          <w:szCs w:val="24"/>
        </w:rPr>
        <w:t>”</w:t>
      </w:r>
      <w:r>
        <w:rPr>
          <w:rFonts w:ascii="宋体" w:hAnsi="宋体" w:eastAsia="宋体" w:cs="宋体"/>
          <w:spacing w:val="-2"/>
          <w:sz w:val="24"/>
          <w:szCs w:val="24"/>
        </w:rPr>
        <w:t>）的环境影响评价工作、</w:t>
      </w:r>
      <w:r>
        <w:rPr>
          <w:rFonts w:ascii="宋体" w:hAnsi="宋体" w:eastAsia="宋体" w:cs="宋体"/>
          <w:sz w:val="24"/>
          <w:szCs w:val="24"/>
        </w:rPr>
        <w:t xml:space="preserve"> </w:t>
      </w:r>
      <w:r>
        <w:rPr>
          <w:rFonts w:ascii="宋体" w:hAnsi="宋体" w:eastAsia="宋体" w:cs="宋体"/>
          <w:spacing w:val="2"/>
          <w:sz w:val="24"/>
          <w:szCs w:val="24"/>
        </w:rPr>
        <w:t>编制《汕尾市天磊联信种养有限公司生猪养殖项目环境影响报告书》。我司在接受</w:t>
      </w:r>
      <w:r>
        <w:rPr>
          <w:rFonts w:ascii="宋体" w:hAnsi="宋体" w:eastAsia="宋体" w:cs="宋体"/>
          <w:spacing w:val="7"/>
          <w:sz w:val="24"/>
          <w:szCs w:val="24"/>
        </w:rPr>
        <w:t xml:space="preserve"> </w:t>
      </w:r>
      <w:r>
        <w:rPr>
          <w:rFonts w:ascii="宋体" w:hAnsi="宋体" w:eastAsia="宋体" w:cs="宋体"/>
          <w:spacing w:val="2"/>
          <w:sz w:val="24"/>
          <w:szCs w:val="24"/>
        </w:rPr>
        <w:t>委托后，立即收集了相关资料，对现场展开了勘察，在此基础上编制了《汕尾市天</w:t>
      </w:r>
      <w:r>
        <w:rPr>
          <w:rFonts w:ascii="宋体" w:hAnsi="宋体" w:eastAsia="宋体" w:cs="宋体"/>
          <w:spacing w:val="7"/>
          <w:sz w:val="24"/>
          <w:szCs w:val="24"/>
        </w:rPr>
        <w:t xml:space="preserve"> </w:t>
      </w:r>
      <w:r>
        <w:rPr>
          <w:rFonts w:ascii="宋体" w:hAnsi="宋体" w:eastAsia="宋体" w:cs="宋体"/>
          <w:spacing w:val="-1"/>
          <w:sz w:val="24"/>
          <w:szCs w:val="24"/>
        </w:rPr>
        <w:t>磊联信种养有限公司生猪养殖项目环境影响报告书》。</w:t>
      </w:r>
    </w:p>
    <w:p w14:paraId="604C3000">
      <w:pPr>
        <w:spacing w:line="359" w:lineRule="auto"/>
        <w:rPr>
          <w:rFonts w:ascii="宋体" w:hAnsi="宋体" w:eastAsia="宋体" w:cs="宋体"/>
          <w:sz w:val="24"/>
          <w:szCs w:val="24"/>
        </w:rPr>
        <w:sectPr>
          <w:footerReference r:id="rId9" w:type="default"/>
          <w:pgSz w:w="11906" w:h="16839"/>
          <w:pgMar w:top="1431" w:right="1505" w:bottom="1626" w:left="1596" w:header="0" w:footer="1390" w:gutter="0"/>
          <w:cols w:space="720" w:num="1"/>
        </w:sectPr>
      </w:pPr>
    </w:p>
    <w:p w14:paraId="587332DB">
      <w:pPr>
        <w:pStyle w:val="2"/>
        <w:spacing w:line="305" w:lineRule="auto"/>
      </w:pPr>
    </w:p>
    <w:p w14:paraId="6FA034CF">
      <w:pPr>
        <w:pStyle w:val="2"/>
        <w:spacing w:line="306" w:lineRule="auto"/>
      </w:pPr>
    </w:p>
    <w:p w14:paraId="53057A1C">
      <w:pPr>
        <w:spacing w:line="8069" w:lineRule="exact"/>
      </w:pPr>
      <w:r>
        <w:rPr>
          <w:position w:val="-161"/>
        </w:rPr>
        <w:drawing>
          <wp:inline distT="0" distB="0" distL="0" distR="0">
            <wp:extent cx="8117840" cy="51231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94"/>
                    <a:stretch>
                      <a:fillRect/>
                    </a:stretch>
                  </pic:blipFill>
                  <pic:spPr>
                    <a:xfrm>
                      <a:off x="0" y="0"/>
                      <a:ext cx="8118347" cy="5123688"/>
                    </a:xfrm>
                    <a:prstGeom prst="rect">
                      <a:avLst/>
                    </a:prstGeom>
                  </pic:spPr>
                </pic:pic>
              </a:graphicData>
            </a:graphic>
          </wp:inline>
        </w:drawing>
      </w:r>
    </w:p>
    <w:p w14:paraId="23E6BD54">
      <w:pPr>
        <w:spacing w:before="77" w:line="221" w:lineRule="auto"/>
        <w:ind w:left="4247"/>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9"/>
          <w:sz w:val="24"/>
          <w:szCs w:val="24"/>
        </w:rPr>
        <w:t xml:space="preserve"> </w:t>
      </w:r>
      <w:r>
        <w:rPr>
          <w:rFonts w:ascii="Times New Roman" w:hAnsi="Times New Roman" w:eastAsia="Times New Roman" w:cs="Times New Roman"/>
          <w:b/>
          <w:bCs/>
          <w:spacing w:val="-3"/>
          <w:sz w:val="24"/>
          <w:szCs w:val="24"/>
        </w:rPr>
        <w:t xml:space="preserve">1.1-1  </w:t>
      </w:r>
      <w:r>
        <w:rPr>
          <w:rFonts w:ascii="宋体" w:hAnsi="宋体" w:eastAsia="宋体" w:cs="宋体"/>
          <w:b/>
          <w:bCs/>
          <w:spacing w:val="-3"/>
          <w:sz w:val="24"/>
          <w:szCs w:val="24"/>
        </w:rPr>
        <w:t>项目地理位置图（</w:t>
      </w:r>
      <w:r>
        <w:rPr>
          <w:rFonts w:ascii="Times New Roman" w:hAnsi="Times New Roman" w:eastAsia="Times New Roman" w:cs="Times New Roman"/>
          <w:b/>
          <w:bCs/>
          <w:spacing w:val="-3"/>
          <w:sz w:val="24"/>
          <w:szCs w:val="24"/>
        </w:rPr>
        <w:t>1:50000</w:t>
      </w:r>
      <w:r>
        <w:rPr>
          <w:rFonts w:ascii="宋体" w:hAnsi="宋体" w:eastAsia="宋体" w:cs="宋体"/>
          <w:b/>
          <w:bCs/>
          <w:spacing w:val="-3"/>
          <w:sz w:val="24"/>
          <w:szCs w:val="24"/>
        </w:rPr>
        <w:t>）</w:t>
      </w:r>
    </w:p>
    <w:p w14:paraId="27F6DBF8">
      <w:pPr>
        <w:spacing w:line="221" w:lineRule="auto"/>
        <w:rPr>
          <w:rFonts w:ascii="宋体" w:hAnsi="宋体" w:eastAsia="宋体" w:cs="宋体"/>
          <w:sz w:val="24"/>
          <w:szCs w:val="24"/>
        </w:rPr>
        <w:sectPr>
          <w:footerReference r:id="rId10" w:type="default"/>
          <w:pgSz w:w="16839" w:h="11906"/>
          <w:pgMar w:top="1012" w:right="1787" w:bottom="1626" w:left="2265" w:header="0" w:footer="1390" w:gutter="0"/>
          <w:cols w:space="720" w:num="1"/>
        </w:sectPr>
      </w:pPr>
    </w:p>
    <w:p w14:paraId="7FA481AC">
      <w:pPr>
        <w:pStyle w:val="2"/>
        <w:spacing w:line="298" w:lineRule="auto"/>
      </w:pPr>
    </w:p>
    <w:p w14:paraId="5C57D04A">
      <w:pPr>
        <w:spacing w:before="101" w:line="225" w:lineRule="auto"/>
        <w:ind w:left="11"/>
        <w:outlineLvl w:val="1"/>
        <w:rPr>
          <w:rFonts w:ascii="宋体" w:hAnsi="宋体" w:eastAsia="宋体" w:cs="宋体"/>
          <w:sz w:val="31"/>
          <w:szCs w:val="31"/>
        </w:rPr>
      </w:pPr>
      <w:bookmarkStart w:id="3" w:name="bookmark3"/>
      <w:bookmarkEnd w:id="3"/>
      <w:r>
        <w:rPr>
          <w:rFonts w:ascii="Times New Roman" w:hAnsi="Times New Roman" w:eastAsia="Times New Roman" w:cs="Times New Roman"/>
          <w:b/>
          <w:bCs/>
          <w:spacing w:val="3"/>
          <w:sz w:val="31"/>
          <w:szCs w:val="31"/>
        </w:rPr>
        <w:t>1.2</w:t>
      </w:r>
      <w:r>
        <w:rPr>
          <w:rFonts w:ascii="宋体" w:hAnsi="宋体" w:eastAsia="宋体" w:cs="宋体"/>
          <w:b/>
          <w:bCs/>
          <w:spacing w:val="3"/>
          <w:sz w:val="31"/>
          <w:szCs w:val="31"/>
        </w:rPr>
        <w:t>建设项目特点</w:t>
      </w:r>
    </w:p>
    <w:p w14:paraId="7F7082A8">
      <w:pPr>
        <w:pStyle w:val="2"/>
        <w:spacing w:line="349" w:lineRule="auto"/>
      </w:pPr>
    </w:p>
    <w:p w14:paraId="4D2DD861">
      <w:pPr>
        <w:spacing w:before="78" w:line="304" w:lineRule="auto"/>
        <w:ind w:firstLine="49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）本项目拟于海丰县公平镇龙岗美月姑少山坡地进行建设，项目给水、排水、</w:t>
      </w:r>
      <w:r>
        <w:rPr>
          <w:rFonts w:ascii="宋体" w:hAnsi="宋体" w:eastAsia="宋体" w:cs="宋体"/>
          <w:spacing w:val="3"/>
          <w:sz w:val="24"/>
          <w:szCs w:val="24"/>
        </w:rPr>
        <w:t xml:space="preserve"> </w:t>
      </w:r>
      <w:r>
        <w:rPr>
          <w:rFonts w:ascii="宋体" w:hAnsi="宋体" w:eastAsia="宋体" w:cs="宋体"/>
          <w:spacing w:val="-1"/>
          <w:sz w:val="24"/>
          <w:szCs w:val="24"/>
        </w:rPr>
        <w:t>供电等配套设施完善。</w:t>
      </w:r>
    </w:p>
    <w:p w14:paraId="084D66E5">
      <w:pPr>
        <w:spacing w:before="146" w:line="332" w:lineRule="auto"/>
        <w:ind w:left="2"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）本项目建设过程中将产生废水、废气</w:t>
      </w:r>
      <w:r>
        <w:rPr>
          <w:rFonts w:ascii="宋体" w:hAnsi="宋体" w:eastAsia="宋体" w:cs="宋体"/>
          <w:spacing w:val="-2"/>
          <w:sz w:val="24"/>
          <w:szCs w:val="24"/>
        </w:rPr>
        <w:t>、噪声及固体废物等污染物，这些污</w:t>
      </w:r>
      <w:r>
        <w:rPr>
          <w:rFonts w:ascii="宋体" w:hAnsi="宋体" w:eastAsia="宋体" w:cs="宋体"/>
          <w:sz w:val="24"/>
          <w:szCs w:val="24"/>
        </w:rPr>
        <w:t xml:space="preserve"> </w:t>
      </w:r>
      <w:r>
        <w:rPr>
          <w:rFonts w:ascii="宋体" w:hAnsi="宋体" w:eastAsia="宋体" w:cs="宋体"/>
          <w:spacing w:val="2"/>
          <w:sz w:val="24"/>
          <w:szCs w:val="24"/>
        </w:rPr>
        <w:t>染物排放对外环境产生一定的影响，但施工期是短暂的，对外环境的影响随着施工</w:t>
      </w:r>
      <w:r>
        <w:rPr>
          <w:rFonts w:ascii="宋体" w:hAnsi="宋体" w:eastAsia="宋体" w:cs="宋体"/>
          <w:spacing w:val="3"/>
          <w:sz w:val="24"/>
          <w:szCs w:val="24"/>
        </w:rPr>
        <w:t xml:space="preserve"> </w:t>
      </w:r>
      <w:r>
        <w:rPr>
          <w:rFonts w:ascii="宋体" w:hAnsi="宋体" w:eastAsia="宋体" w:cs="宋体"/>
          <w:spacing w:val="-2"/>
          <w:sz w:val="24"/>
          <w:szCs w:val="24"/>
        </w:rPr>
        <w:t>期的结束而消除。本项目建成后，营运期主要环境问题为废气</w:t>
      </w:r>
      <w:r>
        <w:rPr>
          <w:rFonts w:ascii="宋体" w:hAnsi="宋体" w:eastAsia="宋体" w:cs="宋体"/>
          <w:spacing w:val="-3"/>
          <w:sz w:val="24"/>
          <w:szCs w:val="24"/>
        </w:rPr>
        <w:t>、固废及噪声的排放。</w:t>
      </w:r>
      <w:r>
        <w:rPr>
          <w:rFonts w:ascii="宋体" w:hAnsi="宋体" w:eastAsia="宋体" w:cs="宋体"/>
          <w:sz w:val="24"/>
          <w:szCs w:val="24"/>
        </w:rPr>
        <w:t xml:space="preserve"> </w:t>
      </w:r>
      <w:r>
        <w:rPr>
          <w:rFonts w:ascii="宋体" w:hAnsi="宋体" w:eastAsia="宋体" w:cs="宋体"/>
          <w:spacing w:val="-1"/>
          <w:sz w:val="24"/>
          <w:szCs w:val="24"/>
        </w:rPr>
        <w:t>营运期污染物的排放对外环境具有持久性的影响。</w:t>
      </w:r>
    </w:p>
    <w:p w14:paraId="0E426322">
      <w:pPr>
        <w:spacing w:before="181" w:line="219" w:lineRule="auto"/>
        <w:ind w:left="498"/>
        <w:rPr>
          <w:rFonts w:ascii="宋体" w:hAnsi="宋体" w:eastAsia="宋体" w:cs="宋体"/>
          <w:sz w:val="24"/>
          <w:szCs w:val="24"/>
        </w:rPr>
      </w:pPr>
      <w:r>
        <w:rPr>
          <w:rFonts w:ascii="宋体" w:hAnsi="宋体" w:eastAsia="宋体" w:cs="宋体"/>
          <w:spacing w:val="-1"/>
          <w:sz w:val="24"/>
          <w:szCs w:val="24"/>
        </w:rPr>
        <w:t>因此，本项目环境影响评价，主要评价营运期对外环境的影</w:t>
      </w:r>
      <w:r>
        <w:rPr>
          <w:rFonts w:ascii="宋体" w:hAnsi="宋体" w:eastAsia="宋体" w:cs="宋体"/>
          <w:spacing w:val="-2"/>
          <w:sz w:val="24"/>
          <w:szCs w:val="24"/>
        </w:rPr>
        <w:t>响。</w:t>
      </w:r>
    </w:p>
    <w:p w14:paraId="2E8DDA36">
      <w:pPr>
        <w:spacing w:line="219" w:lineRule="auto"/>
        <w:rPr>
          <w:rFonts w:ascii="宋体" w:hAnsi="宋体" w:eastAsia="宋体" w:cs="宋体"/>
          <w:sz w:val="24"/>
          <w:szCs w:val="24"/>
        </w:rPr>
        <w:sectPr>
          <w:footerReference r:id="rId11" w:type="default"/>
          <w:pgSz w:w="11906" w:h="16839"/>
          <w:pgMar w:top="1431" w:right="1507" w:bottom="1626" w:left="1598" w:header="0" w:footer="1390" w:gutter="0"/>
          <w:cols w:space="720" w:num="1"/>
        </w:sectPr>
      </w:pPr>
    </w:p>
    <w:p w14:paraId="5466B7E7">
      <w:pPr>
        <w:pStyle w:val="2"/>
        <w:spacing w:line="312" w:lineRule="auto"/>
      </w:pPr>
    </w:p>
    <w:p w14:paraId="515B29A9">
      <w:pPr>
        <w:spacing w:before="101" w:line="224" w:lineRule="auto"/>
        <w:outlineLvl w:val="1"/>
        <w:rPr>
          <w:rFonts w:ascii="宋体" w:hAnsi="宋体" w:eastAsia="宋体" w:cs="宋体"/>
          <w:sz w:val="31"/>
          <w:szCs w:val="31"/>
        </w:rPr>
      </w:pPr>
      <w:bookmarkStart w:id="4" w:name="bookmark4"/>
      <w:bookmarkEnd w:id="4"/>
      <w:r>
        <w:rPr>
          <w:rFonts w:ascii="Times New Roman" w:hAnsi="Times New Roman" w:eastAsia="Times New Roman" w:cs="Times New Roman"/>
          <w:b/>
          <w:bCs/>
          <w:spacing w:val="3"/>
          <w:sz w:val="31"/>
          <w:szCs w:val="31"/>
        </w:rPr>
        <w:t>1.3</w:t>
      </w:r>
      <w:r>
        <w:rPr>
          <w:rFonts w:ascii="宋体" w:hAnsi="宋体" w:eastAsia="宋体" w:cs="宋体"/>
          <w:b/>
          <w:bCs/>
          <w:spacing w:val="3"/>
          <w:sz w:val="31"/>
          <w:szCs w:val="31"/>
        </w:rPr>
        <w:t>评价工作程序</w:t>
      </w:r>
    </w:p>
    <w:p w14:paraId="2F27B8FC">
      <w:pPr>
        <w:pStyle w:val="2"/>
        <w:spacing w:line="375" w:lineRule="auto"/>
      </w:pPr>
    </w:p>
    <w:p w14:paraId="30AE8A9D">
      <w:pPr>
        <w:spacing w:before="78" w:line="359" w:lineRule="exact"/>
        <w:ind w:left="469"/>
        <w:rPr>
          <w:rFonts w:ascii="宋体" w:hAnsi="宋体" w:eastAsia="宋体" w:cs="宋体"/>
          <w:sz w:val="24"/>
          <w:szCs w:val="24"/>
        </w:rPr>
      </w:pPr>
      <w:r>
        <w:rPr>
          <w:rFonts w:ascii="宋体" w:hAnsi="宋体" w:eastAsia="宋体" w:cs="宋体"/>
          <w:spacing w:val="-3"/>
          <w:position w:val="2"/>
          <w:sz w:val="24"/>
          <w:szCs w:val="24"/>
        </w:rPr>
        <w:t>本项目环境影响工作程序见图</w:t>
      </w:r>
      <w:r>
        <w:rPr>
          <w:rFonts w:ascii="宋体" w:hAnsi="宋体" w:eastAsia="宋体" w:cs="宋体"/>
          <w:spacing w:val="-16"/>
          <w:position w:val="2"/>
          <w:sz w:val="24"/>
          <w:szCs w:val="24"/>
        </w:rPr>
        <w:t xml:space="preserve"> </w:t>
      </w:r>
      <w:r>
        <w:rPr>
          <w:rFonts w:ascii="Times New Roman" w:hAnsi="Times New Roman" w:eastAsia="Times New Roman" w:cs="Times New Roman"/>
          <w:spacing w:val="-3"/>
          <w:position w:val="2"/>
          <w:sz w:val="24"/>
          <w:szCs w:val="24"/>
        </w:rPr>
        <w:t>1.3-1</w:t>
      </w:r>
      <w:r>
        <w:rPr>
          <w:rFonts w:ascii="宋体" w:hAnsi="宋体" w:eastAsia="宋体" w:cs="宋体"/>
          <w:spacing w:val="-3"/>
          <w:position w:val="2"/>
          <w:sz w:val="24"/>
          <w:szCs w:val="24"/>
        </w:rPr>
        <w:t>。</w:t>
      </w:r>
    </w:p>
    <w:p w14:paraId="16DCA26B">
      <w:pPr>
        <w:pStyle w:val="2"/>
        <w:spacing w:line="336" w:lineRule="auto"/>
      </w:pPr>
    </w:p>
    <w:p w14:paraId="0EA00EF7">
      <w:pPr>
        <w:pStyle w:val="2"/>
        <w:spacing w:line="337" w:lineRule="auto"/>
      </w:pPr>
    </w:p>
    <w:p w14:paraId="5ED6AB6A">
      <w:pPr>
        <w:spacing w:line="10621" w:lineRule="exact"/>
        <w:ind w:firstLine="800"/>
      </w:pPr>
      <w:r>
        <w:rPr>
          <w:position w:val="-212"/>
        </w:rPr>
        <w:drawing>
          <wp:inline distT="0" distB="0" distL="0" distR="0">
            <wp:extent cx="4791075" cy="674433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5"/>
                    <a:stretch>
                      <a:fillRect/>
                    </a:stretch>
                  </pic:blipFill>
                  <pic:spPr>
                    <a:xfrm>
                      <a:off x="0" y="0"/>
                      <a:ext cx="4791164" cy="6744377"/>
                    </a:xfrm>
                    <a:prstGeom prst="rect">
                      <a:avLst/>
                    </a:prstGeom>
                  </pic:spPr>
                </pic:pic>
              </a:graphicData>
            </a:graphic>
          </wp:inline>
        </w:drawing>
      </w:r>
    </w:p>
    <w:p w14:paraId="3E493D6A">
      <w:pPr>
        <w:pStyle w:val="2"/>
        <w:spacing w:line="437" w:lineRule="auto"/>
      </w:pPr>
    </w:p>
    <w:p w14:paraId="3F86F59D">
      <w:pPr>
        <w:spacing w:before="78" w:line="219" w:lineRule="auto"/>
        <w:ind w:left="2116"/>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b/>
          <w:bCs/>
          <w:spacing w:val="-4"/>
          <w:sz w:val="24"/>
          <w:szCs w:val="24"/>
        </w:rPr>
        <w:t xml:space="preserve">1.3-1  </w:t>
      </w:r>
      <w:r>
        <w:rPr>
          <w:rFonts w:ascii="宋体" w:hAnsi="宋体" w:eastAsia="宋体" w:cs="宋体"/>
          <w:b/>
          <w:bCs/>
          <w:spacing w:val="-4"/>
          <w:sz w:val="24"/>
          <w:szCs w:val="24"/>
        </w:rPr>
        <w:t>项目环境影响评价工作程序示意图</w:t>
      </w:r>
    </w:p>
    <w:p w14:paraId="2467D055">
      <w:pPr>
        <w:spacing w:line="219" w:lineRule="auto"/>
        <w:rPr>
          <w:rFonts w:ascii="宋体" w:hAnsi="宋体" w:eastAsia="宋体" w:cs="宋体"/>
          <w:sz w:val="24"/>
          <w:szCs w:val="24"/>
        </w:rPr>
        <w:sectPr>
          <w:footerReference r:id="rId12" w:type="default"/>
          <w:pgSz w:w="11906" w:h="16839"/>
          <w:pgMar w:top="1431" w:right="1785" w:bottom="1425" w:left="1609" w:header="0" w:footer="1265" w:gutter="0"/>
          <w:cols w:space="720" w:num="1"/>
        </w:sectPr>
      </w:pPr>
    </w:p>
    <w:p w14:paraId="7290F3B0">
      <w:pPr>
        <w:spacing w:before="156" w:line="226" w:lineRule="auto"/>
        <w:ind w:left="12"/>
        <w:outlineLvl w:val="1"/>
        <w:rPr>
          <w:rFonts w:ascii="宋体" w:hAnsi="宋体" w:eastAsia="宋体" w:cs="宋体"/>
          <w:sz w:val="31"/>
          <w:szCs w:val="31"/>
        </w:rPr>
      </w:pPr>
      <w:bookmarkStart w:id="5" w:name="bookmark5"/>
      <w:bookmarkEnd w:id="5"/>
      <w:r>
        <w:rPr>
          <w:rFonts w:ascii="Times New Roman" w:hAnsi="Times New Roman" w:eastAsia="Times New Roman" w:cs="Times New Roman"/>
          <w:b/>
          <w:bCs/>
          <w:spacing w:val="5"/>
          <w:sz w:val="31"/>
          <w:szCs w:val="31"/>
        </w:rPr>
        <w:t>1.4</w:t>
      </w:r>
      <w:r>
        <w:rPr>
          <w:rFonts w:ascii="宋体" w:hAnsi="宋体" w:eastAsia="宋体" w:cs="宋体"/>
          <w:b/>
          <w:bCs/>
          <w:spacing w:val="5"/>
          <w:sz w:val="31"/>
          <w:szCs w:val="31"/>
        </w:rPr>
        <w:t>项目建设合理合法性判定分析</w:t>
      </w:r>
    </w:p>
    <w:p w14:paraId="0077DB68">
      <w:pPr>
        <w:pStyle w:val="2"/>
        <w:spacing w:line="406" w:lineRule="auto"/>
      </w:pPr>
    </w:p>
    <w:p w14:paraId="6BE5B5B7">
      <w:pPr>
        <w:spacing w:before="78" w:line="220"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1.4.1</w:t>
      </w:r>
      <w:r>
        <w:rPr>
          <w:rFonts w:ascii="宋体" w:hAnsi="宋体" w:eastAsia="宋体" w:cs="宋体"/>
          <w:b/>
          <w:bCs/>
          <w:spacing w:val="-3"/>
          <w:sz w:val="24"/>
          <w:szCs w:val="24"/>
        </w:rPr>
        <w:t>与产业政策相符性分析</w:t>
      </w:r>
    </w:p>
    <w:p w14:paraId="4393FB4B">
      <w:pPr>
        <w:spacing w:before="113" w:line="348" w:lineRule="auto"/>
        <w:ind w:right="63" w:firstLine="480"/>
        <w:jc w:val="both"/>
        <w:rPr>
          <w:rFonts w:ascii="宋体" w:hAnsi="宋体" w:eastAsia="宋体" w:cs="宋体"/>
          <w:sz w:val="24"/>
          <w:szCs w:val="24"/>
        </w:rPr>
      </w:pPr>
      <w:r>
        <w:rPr>
          <w:rFonts w:ascii="宋体" w:hAnsi="宋体" w:eastAsia="宋体" w:cs="宋体"/>
          <w:spacing w:val="2"/>
          <w:sz w:val="24"/>
          <w:szCs w:val="24"/>
        </w:rPr>
        <w:t>本项目为畜禽养殖项目建设，属于畜牧业中猪饲养、其他牲畜的饲养行业，属</w:t>
      </w:r>
      <w:r>
        <w:rPr>
          <w:rFonts w:ascii="宋体" w:hAnsi="宋体" w:eastAsia="宋体" w:cs="宋体"/>
          <w:spacing w:val="9"/>
          <w:sz w:val="24"/>
          <w:szCs w:val="24"/>
        </w:rPr>
        <w:t xml:space="preserve"> </w:t>
      </w:r>
      <w:r>
        <w:rPr>
          <w:rFonts w:ascii="宋体" w:hAnsi="宋体" w:eastAsia="宋体" w:cs="宋体"/>
          <w:spacing w:val="-7"/>
          <w:sz w:val="24"/>
          <w:szCs w:val="24"/>
        </w:rPr>
        <w:t>于《国民经济行业分类》（</w:t>
      </w:r>
      <w:r>
        <w:rPr>
          <w:rFonts w:ascii="Times New Roman" w:hAnsi="Times New Roman" w:eastAsia="Times New Roman" w:cs="Times New Roman"/>
          <w:spacing w:val="-7"/>
          <w:sz w:val="24"/>
          <w:szCs w:val="24"/>
        </w:rPr>
        <w:t>GB/T4754-2017</w:t>
      </w:r>
      <w:r>
        <w:rPr>
          <w:rFonts w:ascii="宋体" w:hAnsi="宋体" w:eastAsia="宋体" w:cs="宋体"/>
          <w:spacing w:val="-7"/>
          <w:sz w:val="24"/>
          <w:szCs w:val="24"/>
        </w:rPr>
        <w:t>）中</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 xml:space="preserve">A0313 </w:t>
      </w:r>
      <w:r>
        <w:rPr>
          <w:rFonts w:ascii="宋体" w:hAnsi="宋体" w:eastAsia="宋体" w:cs="宋体"/>
          <w:spacing w:val="-7"/>
          <w:sz w:val="24"/>
          <w:szCs w:val="24"/>
        </w:rPr>
        <w:t>猪的饲养，猪只年出栏量</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15000</w:t>
      </w:r>
      <w:r>
        <w:rPr>
          <w:rFonts w:ascii="Times New Roman" w:hAnsi="Times New Roman" w:eastAsia="Times New Roman" w:cs="Times New Roman"/>
          <w:sz w:val="24"/>
          <w:szCs w:val="24"/>
        </w:rPr>
        <w:t xml:space="preserve"> </w:t>
      </w:r>
      <w:r>
        <w:rPr>
          <w:rFonts w:ascii="宋体" w:hAnsi="宋体" w:eastAsia="宋体" w:cs="宋体"/>
          <w:sz w:val="24"/>
          <w:szCs w:val="24"/>
        </w:rPr>
        <w:t>头，根据国家《产业结构调整指导目录（</w:t>
      </w:r>
      <w:r>
        <w:rPr>
          <w:rFonts w:ascii="Times New Roman" w:hAnsi="Times New Roman" w:eastAsia="Times New Roman" w:cs="Times New Roman"/>
          <w:sz w:val="24"/>
          <w:szCs w:val="24"/>
        </w:rPr>
        <w:t xml:space="preserve">2019 </w:t>
      </w:r>
      <w:r>
        <w:rPr>
          <w:rFonts w:ascii="宋体" w:hAnsi="宋体" w:eastAsia="宋体" w:cs="宋体"/>
          <w:sz w:val="24"/>
          <w:szCs w:val="24"/>
        </w:rPr>
        <w:t>年本）》（国家发展和改革委员会令</w:t>
      </w:r>
      <w:r>
        <w:rPr>
          <w:rFonts w:ascii="宋体" w:hAnsi="宋体" w:eastAsia="宋体" w:cs="宋体"/>
          <w:spacing w:val="18"/>
          <w:sz w:val="24"/>
          <w:szCs w:val="24"/>
        </w:rPr>
        <w:t xml:space="preserve"> </w:t>
      </w:r>
      <w:r>
        <w:rPr>
          <w:rFonts w:ascii="宋体" w:hAnsi="宋体" w:eastAsia="宋体" w:cs="宋体"/>
          <w:sz w:val="24"/>
          <w:szCs w:val="24"/>
        </w:rPr>
        <w:t>第</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29</w:t>
      </w:r>
      <w:r>
        <w:rPr>
          <w:rFonts w:ascii="Times New Roman" w:hAnsi="Times New Roman" w:eastAsia="Times New Roman" w:cs="Times New Roman"/>
          <w:spacing w:val="20"/>
          <w:w w:val="101"/>
          <w:sz w:val="24"/>
          <w:szCs w:val="24"/>
        </w:rPr>
        <w:t xml:space="preserve"> </w:t>
      </w:r>
      <w:r>
        <w:rPr>
          <w:rFonts w:ascii="宋体" w:hAnsi="宋体" w:eastAsia="宋体" w:cs="宋体"/>
          <w:sz w:val="24"/>
          <w:szCs w:val="24"/>
        </w:rPr>
        <w:t>号</w:t>
      </w:r>
      <w:r>
        <w:rPr>
          <w:rFonts w:ascii="宋体" w:hAnsi="宋体" w:eastAsia="宋体" w:cs="宋体"/>
          <w:spacing w:val="12"/>
          <w:sz w:val="24"/>
          <w:szCs w:val="24"/>
        </w:rPr>
        <w:t>），</w:t>
      </w:r>
      <w:r>
        <w:rPr>
          <w:rFonts w:ascii="宋体" w:hAnsi="宋体" w:eastAsia="宋体" w:cs="宋体"/>
          <w:sz w:val="24"/>
          <w:szCs w:val="24"/>
        </w:rPr>
        <w:t>属于第一类鼓励类中“一、农林业，</w:t>
      </w:r>
      <w:r>
        <w:rPr>
          <w:rFonts w:ascii="Times New Roman" w:hAnsi="Times New Roman" w:eastAsia="Times New Roman" w:cs="Times New Roman"/>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、畜禽标准化规模养殖技术开发 与应用”。根据《市场准入负面清单（</w:t>
      </w:r>
      <w:r>
        <w:rPr>
          <w:rFonts w:ascii="Times New Roman" w:hAnsi="Times New Roman" w:eastAsia="Times New Roman" w:cs="Times New Roman"/>
          <w:sz w:val="24"/>
          <w:szCs w:val="24"/>
        </w:rPr>
        <w:t xml:space="preserve">2019 </w:t>
      </w:r>
      <w:r>
        <w:rPr>
          <w:rFonts w:ascii="宋体" w:hAnsi="宋体" w:eastAsia="宋体" w:cs="宋体"/>
          <w:sz w:val="24"/>
          <w:szCs w:val="24"/>
        </w:rPr>
        <w:t>年版）》，本项目属于许可准入类。因</w:t>
      </w:r>
      <w:r>
        <w:rPr>
          <w:rFonts w:ascii="宋体" w:hAnsi="宋体" w:eastAsia="宋体" w:cs="宋体"/>
          <w:spacing w:val="18"/>
          <w:sz w:val="24"/>
          <w:szCs w:val="24"/>
        </w:rPr>
        <w:t xml:space="preserve"> </w:t>
      </w:r>
      <w:r>
        <w:rPr>
          <w:rFonts w:ascii="宋体" w:hAnsi="宋体" w:eastAsia="宋体" w:cs="宋体"/>
          <w:spacing w:val="-1"/>
          <w:sz w:val="24"/>
          <w:szCs w:val="24"/>
        </w:rPr>
        <w:t>此，本项目符合国家的产业政策。</w:t>
      </w:r>
    </w:p>
    <w:p w14:paraId="6FE1E5B8">
      <w:pPr>
        <w:spacing w:before="176" w:line="220"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1.4.2</w:t>
      </w:r>
      <w:r>
        <w:rPr>
          <w:rFonts w:ascii="宋体" w:hAnsi="宋体" w:eastAsia="宋体" w:cs="宋体"/>
          <w:b/>
          <w:bCs/>
          <w:spacing w:val="-3"/>
          <w:sz w:val="24"/>
          <w:szCs w:val="24"/>
        </w:rPr>
        <w:t>与地方规划相符性分析</w:t>
      </w:r>
    </w:p>
    <w:p w14:paraId="023EA34B">
      <w:pPr>
        <w:spacing w:before="165" w:line="360" w:lineRule="exact"/>
        <w:ind w:left="499"/>
        <w:rPr>
          <w:rFonts w:ascii="宋体" w:hAnsi="宋体" w:eastAsia="宋体" w:cs="宋体"/>
          <w:sz w:val="24"/>
          <w:szCs w:val="24"/>
        </w:rPr>
      </w:pPr>
      <w:r>
        <w:rPr>
          <w:rFonts w:ascii="Times New Roman" w:hAnsi="Times New Roman" w:eastAsia="Times New Roman" w:cs="Times New Roman"/>
          <w:spacing w:val="-2"/>
          <w:position w:val="2"/>
          <w:sz w:val="24"/>
          <w:szCs w:val="24"/>
        </w:rPr>
        <w:t>1</w:t>
      </w:r>
      <w:r>
        <w:rPr>
          <w:rFonts w:ascii="Times New Roman" w:hAnsi="Times New Roman" w:eastAsia="Times New Roman" w:cs="Times New Roman"/>
          <w:spacing w:val="-32"/>
          <w:position w:val="2"/>
          <w:sz w:val="24"/>
          <w:szCs w:val="24"/>
        </w:rPr>
        <w:t xml:space="preserve"> </w:t>
      </w:r>
      <w:r>
        <w:rPr>
          <w:rFonts w:ascii="宋体" w:hAnsi="宋体" w:eastAsia="宋体" w:cs="宋体"/>
          <w:spacing w:val="-2"/>
          <w:position w:val="2"/>
          <w:sz w:val="24"/>
          <w:szCs w:val="24"/>
        </w:rPr>
        <w:t>、与《广东省国民经济和社会发展</w:t>
      </w:r>
      <w:r>
        <w:rPr>
          <w:rFonts w:hint="eastAsia" w:ascii="宋体" w:hAnsi="宋体" w:eastAsia="宋体" w:cs="宋体"/>
          <w:spacing w:val="-2"/>
          <w:position w:val="2"/>
          <w:sz w:val="24"/>
          <w:szCs w:val="24"/>
          <w:lang w:eastAsia="zh-CN"/>
        </w:rPr>
        <w:t>“</w:t>
      </w:r>
      <w:r>
        <w:rPr>
          <w:rFonts w:ascii="宋体" w:hAnsi="宋体" w:eastAsia="宋体" w:cs="宋体"/>
          <w:spacing w:val="-2"/>
          <w:position w:val="2"/>
          <w:sz w:val="24"/>
          <w:szCs w:val="24"/>
        </w:rPr>
        <w:t>十三五</w:t>
      </w:r>
      <w:r>
        <w:rPr>
          <w:rFonts w:hint="eastAsia" w:ascii="宋体" w:hAnsi="宋体" w:eastAsia="宋体" w:cs="宋体"/>
          <w:spacing w:val="-2"/>
          <w:position w:val="2"/>
          <w:sz w:val="24"/>
          <w:szCs w:val="24"/>
          <w:lang w:eastAsia="zh-CN"/>
        </w:rPr>
        <w:t>”</w:t>
      </w:r>
      <w:r>
        <w:rPr>
          <w:rFonts w:ascii="宋体" w:hAnsi="宋体" w:eastAsia="宋体" w:cs="宋体"/>
          <w:spacing w:val="-2"/>
          <w:position w:val="2"/>
          <w:sz w:val="24"/>
          <w:szCs w:val="24"/>
        </w:rPr>
        <w:t>规划纲要》相符性分析</w:t>
      </w:r>
    </w:p>
    <w:p w14:paraId="2F86A4AA">
      <w:pPr>
        <w:spacing w:before="169" w:line="376" w:lineRule="auto"/>
        <w:ind w:right="65" w:firstLine="485"/>
        <w:rPr>
          <w:rFonts w:ascii="宋体" w:hAnsi="宋体" w:eastAsia="宋体" w:cs="宋体"/>
          <w:sz w:val="24"/>
          <w:szCs w:val="24"/>
        </w:rPr>
      </w:pPr>
      <w:r>
        <w:rPr>
          <w:rFonts w:ascii="宋体" w:hAnsi="宋体" w:eastAsia="宋体" w:cs="宋体"/>
          <w:spacing w:val="2"/>
          <w:sz w:val="24"/>
          <w:szCs w:val="24"/>
        </w:rPr>
        <w:t>《广东省国民经济和社会发展</w:t>
      </w:r>
      <w:r>
        <w:rPr>
          <w:rFonts w:hint="eastAsia" w:ascii="宋体" w:hAnsi="宋体" w:eastAsia="宋体" w:cs="宋体"/>
          <w:spacing w:val="2"/>
          <w:sz w:val="24"/>
          <w:szCs w:val="24"/>
          <w:lang w:eastAsia="zh-CN"/>
        </w:rPr>
        <w:t>“</w:t>
      </w:r>
      <w:r>
        <w:rPr>
          <w:rFonts w:ascii="宋体" w:hAnsi="宋体" w:eastAsia="宋体" w:cs="宋体"/>
          <w:spacing w:val="2"/>
          <w:sz w:val="24"/>
          <w:szCs w:val="24"/>
        </w:rPr>
        <w:t>十三五</w:t>
      </w:r>
      <w:r>
        <w:rPr>
          <w:rFonts w:hint="eastAsia" w:ascii="宋体" w:hAnsi="宋体" w:eastAsia="宋体" w:cs="宋体"/>
          <w:spacing w:val="2"/>
          <w:sz w:val="24"/>
          <w:szCs w:val="24"/>
          <w:lang w:eastAsia="zh-CN"/>
        </w:rPr>
        <w:t>”</w:t>
      </w:r>
      <w:r>
        <w:rPr>
          <w:rFonts w:ascii="宋体" w:hAnsi="宋体" w:eastAsia="宋体" w:cs="宋体"/>
          <w:spacing w:val="2"/>
          <w:sz w:val="24"/>
          <w:szCs w:val="24"/>
        </w:rPr>
        <w:t>规划纲要》指出“加快发展畜牧业和畜禽</w:t>
      </w:r>
      <w:r>
        <w:rPr>
          <w:rFonts w:ascii="宋体" w:hAnsi="宋体" w:eastAsia="宋体" w:cs="宋体"/>
          <w:spacing w:val="4"/>
          <w:sz w:val="24"/>
          <w:szCs w:val="24"/>
        </w:rPr>
        <w:t xml:space="preserve"> </w:t>
      </w:r>
      <w:r>
        <w:rPr>
          <w:rFonts w:ascii="宋体" w:hAnsi="宋体" w:eastAsia="宋体" w:cs="宋体"/>
          <w:spacing w:val="1"/>
          <w:sz w:val="24"/>
          <w:szCs w:val="24"/>
        </w:rPr>
        <w:t>规模化健康养殖；推进水产</w:t>
      </w:r>
      <w:r>
        <w:rPr>
          <w:rFonts w:ascii="宋体" w:hAnsi="宋体" w:eastAsia="宋体" w:cs="宋体"/>
          <w:spacing w:val="-81"/>
          <w:sz w:val="24"/>
          <w:szCs w:val="24"/>
        </w:rPr>
        <w:t xml:space="preserve"> </w:t>
      </w:r>
      <w:r>
        <w:rPr>
          <w:rFonts w:ascii="宋体" w:hAnsi="宋体" w:eastAsia="宋体" w:cs="宋体"/>
          <w:spacing w:val="1"/>
          <w:sz w:val="24"/>
          <w:szCs w:val="24"/>
        </w:rPr>
        <w:t>”、“推行绿色文明施工，重点做好施工场地围闭、地</w:t>
      </w:r>
      <w:r>
        <w:rPr>
          <w:rFonts w:ascii="宋体" w:hAnsi="宋体" w:eastAsia="宋体" w:cs="宋体"/>
          <w:sz w:val="24"/>
          <w:szCs w:val="24"/>
        </w:rPr>
        <w:t xml:space="preserve"> </w:t>
      </w:r>
      <w:r>
        <w:rPr>
          <w:rFonts w:ascii="宋体" w:hAnsi="宋体" w:eastAsia="宋体" w:cs="宋体"/>
          <w:spacing w:val="2"/>
          <w:sz w:val="24"/>
          <w:szCs w:val="24"/>
        </w:rPr>
        <w:t>面硬化绿化、裸露地表抑尘、物料堆放遮盖、进出车辆冲洗等环节扬尘管控措施，</w:t>
      </w:r>
      <w:r>
        <w:rPr>
          <w:rFonts w:ascii="宋体" w:hAnsi="宋体" w:eastAsia="宋体" w:cs="宋体"/>
          <w:spacing w:val="6"/>
          <w:sz w:val="24"/>
          <w:szCs w:val="24"/>
        </w:rPr>
        <w:t xml:space="preserve"> </w:t>
      </w:r>
      <w:r>
        <w:rPr>
          <w:rFonts w:ascii="宋体" w:hAnsi="宋体" w:eastAsia="宋体" w:cs="宋体"/>
          <w:spacing w:val="1"/>
          <w:sz w:val="24"/>
          <w:szCs w:val="24"/>
        </w:rPr>
        <w:t>各市主城区内施工工地渣土和粉状物料实现全面封闭运输。</w:t>
      </w:r>
      <w:r>
        <w:rPr>
          <w:rFonts w:ascii="宋体" w:hAnsi="宋体" w:eastAsia="宋体" w:cs="宋体"/>
          <w:spacing w:val="-78"/>
          <w:sz w:val="24"/>
          <w:szCs w:val="24"/>
        </w:rPr>
        <w:t xml:space="preserve"> </w:t>
      </w:r>
      <w:r>
        <w:rPr>
          <w:rFonts w:ascii="宋体" w:hAnsi="宋体" w:eastAsia="宋体" w:cs="宋体"/>
          <w:spacing w:val="1"/>
          <w:sz w:val="24"/>
          <w:szCs w:val="24"/>
        </w:rPr>
        <w:t>”本项目施工过程积极</w:t>
      </w:r>
      <w:r>
        <w:rPr>
          <w:rFonts w:ascii="宋体" w:hAnsi="宋体" w:eastAsia="宋体" w:cs="宋体"/>
          <w:sz w:val="24"/>
          <w:szCs w:val="24"/>
        </w:rPr>
        <w:t xml:space="preserve"> </w:t>
      </w:r>
      <w:r>
        <w:rPr>
          <w:rFonts w:ascii="宋体" w:hAnsi="宋体" w:eastAsia="宋体" w:cs="宋体"/>
          <w:spacing w:val="2"/>
          <w:sz w:val="24"/>
          <w:szCs w:val="24"/>
        </w:rPr>
        <w:t>推进绿色施工，督促施工单位落实施工现场封闭围挡、设置冲洗设施、道路硬底化</w:t>
      </w:r>
      <w:r>
        <w:rPr>
          <w:rFonts w:ascii="宋体" w:hAnsi="宋体" w:eastAsia="宋体" w:cs="宋体"/>
          <w:spacing w:val="6"/>
          <w:sz w:val="24"/>
          <w:szCs w:val="24"/>
        </w:rPr>
        <w:t xml:space="preserve"> </w:t>
      </w:r>
      <w:r>
        <w:rPr>
          <w:rFonts w:ascii="宋体" w:hAnsi="宋体" w:eastAsia="宋体" w:cs="宋体"/>
          <w:spacing w:val="2"/>
          <w:sz w:val="24"/>
          <w:szCs w:val="24"/>
        </w:rPr>
        <w:t>等扬尘防治措施，严禁敞开式作业。各城市主城区内施工工地渣土和粉状物料应逐</w:t>
      </w:r>
      <w:r>
        <w:rPr>
          <w:rFonts w:ascii="宋体" w:hAnsi="宋体" w:eastAsia="宋体" w:cs="宋体"/>
          <w:spacing w:val="6"/>
          <w:sz w:val="24"/>
          <w:szCs w:val="24"/>
        </w:rPr>
        <w:t xml:space="preserve"> </w:t>
      </w:r>
      <w:r>
        <w:rPr>
          <w:rFonts w:ascii="宋体" w:hAnsi="宋体" w:eastAsia="宋体" w:cs="宋体"/>
          <w:spacing w:val="2"/>
          <w:sz w:val="24"/>
          <w:szCs w:val="24"/>
        </w:rPr>
        <w:t>步实现封闭运输并配备卫星定位装置。增加路面洒水次数。可有效地减轻施工废气</w:t>
      </w:r>
      <w:r>
        <w:rPr>
          <w:rFonts w:ascii="宋体" w:hAnsi="宋体" w:eastAsia="宋体" w:cs="宋体"/>
          <w:spacing w:val="6"/>
          <w:sz w:val="24"/>
          <w:szCs w:val="24"/>
        </w:rPr>
        <w:t xml:space="preserve"> </w:t>
      </w:r>
      <w:r>
        <w:rPr>
          <w:rFonts w:ascii="宋体" w:hAnsi="宋体" w:eastAsia="宋体" w:cs="宋体"/>
          <w:spacing w:val="-4"/>
          <w:sz w:val="24"/>
          <w:szCs w:val="24"/>
        </w:rPr>
        <w:t>污染。</w:t>
      </w:r>
    </w:p>
    <w:p w14:paraId="6C16D706">
      <w:pPr>
        <w:spacing w:before="6" w:line="375" w:lineRule="auto"/>
        <w:ind w:firstLine="486"/>
        <w:jc w:val="both"/>
        <w:rPr>
          <w:rFonts w:ascii="宋体" w:hAnsi="宋体" w:eastAsia="宋体" w:cs="宋体"/>
          <w:sz w:val="24"/>
          <w:szCs w:val="24"/>
        </w:rPr>
      </w:pPr>
      <w:r>
        <w:rPr>
          <w:rFonts w:ascii="宋体" w:hAnsi="宋体" w:eastAsia="宋体" w:cs="宋体"/>
          <w:spacing w:val="1"/>
          <w:sz w:val="24"/>
          <w:szCs w:val="24"/>
        </w:rPr>
        <w:t>《广东省环境保护“十三五</w:t>
      </w:r>
      <w:r>
        <w:rPr>
          <w:rFonts w:ascii="宋体" w:hAnsi="宋体" w:eastAsia="宋体" w:cs="宋体"/>
          <w:spacing w:val="-82"/>
          <w:sz w:val="24"/>
          <w:szCs w:val="24"/>
        </w:rPr>
        <w:t xml:space="preserve"> </w:t>
      </w:r>
      <w:r>
        <w:rPr>
          <w:rFonts w:ascii="宋体" w:hAnsi="宋体" w:eastAsia="宋体" w:cs="宋体"/>
          <w:spacing w:val="1"/>
          <w:sz w:val="24"/>
          <w:szCs w:val="24"/>
        </w:rPr>
        <w:t>”规划》又提出“重点解决广大人民群众关注的雾</w:t>
      </w:r>
      <w:r>
        <w:rPr>
          <w:rFonts w:ascii="宋体" w:hAnsi="宋体" w:eastAsia="宋体" w:cs="宋体"/>
          <w:sz w:val="24"/>
          <w:szCs w:val="24"/>
        </w:rPr>
        <w:t xml:space="preserve"> </w:t>
      </w:r>
      <w:r>
        <w:rPr>
          <w:rFonts w:ascii="宋体" w:hAnsi="宋体" w:eastAsia="宋体" w:cs="宋体"/>
          <w:spacing w:val="-3"/>
          <w:sz w:val="24"/>
          <w:szCs w:val="24"/>
        </w:rPr>
        <w:t>霾、黑臭水体、土壤重金属污染和农村环境保护等突出问题。强化污染物来源解析，</w:t>
      </w:r>
      <w:r>
        <w:rPr>
          <w:rFonts w:ascii="宋体" w:hAnsi="宋体" w:eastAsia="宋体" w:cs="宋体"/>
          <w:spacing w:val="16"/>
          <w:sz w:val="24"/>
          <w:szCs w:val="24"/>
        </w:rPr>
        <w:t xml:space="preserve"> </w:t>
      </w:r>
      <w:r>
        <w:rPr>
          <w:rFonts w:ascii="宋体" w:hAnsi="宋体" w:eastAsia="宋体" w:cs="宋体"/>
          <w:spacing w:val="-3"/>
          <w:sz w:val="24"/>
          <w:szCs w:val="24"/>
        </w:rPr>
        <w:t>开展多污染物协同治理，提升精细化管理水平，确保环境质量持续改善。”本项目，</w:t>
      </w:r>
      <w:r>
        <w:rPr>
          <w:rFonts w:ascii="宋体" w:hAnsi="宋体" w:eastAsia="宋体" w:cs="宋体"/>
          <w:spacing w:val="16"/>
          <w:sz w:val="24"/>
          <w:szCs w:val="24"/>
        </w:rPr>
        <w:t xml:space="preserve"> </w:t>
      </w:r>
      <w:r>
        <w:rPr>
          <w:rFonts w:ascii="宋体" w:hAnsi="宋体" w:eastAsia="宋体" w:cs="宋体"/>
          <w:spacing w:val="2"/>
          <w:sz w:val="24"/>
          <w:szCs w:val="24"/>
        </w:rPr>
        <w:t>对废水进行收集集中治理，不外排。减少了水污染物的排放，一定程度上减轻了城</w:t>
      </w:r>
      <w:r>
        <w:rPr>
          <w:rFonts w:ascii="宋体" w:hAnsi="宋体" w:eastAsia="宋体" w:cs="宋体"/>
          <w:spacing w:val="7"/>
          <w:sz w:val="24"/>
          <w:szCs w:val="24"/>
        </w:rPr>
        <w:t xml:space="preserve"> </w:t>
      </w:r>
      <w:r>
        <w:rPr>
          <w:rFonts w:ascii="宋体" w:hAnsi="宋体" w:eastAsia="宋体" w:cs="宋体"/>
          <w:spacing w:val="-1"/>
          <w:sz w:val="24"/>
          <w:szCs w:val="24"/>
        </w:rPr>
        <w:t>市污水处理系统的治理压力。</w:t>
      </w:r>
    </w:p>
    <w:p w14:paraId="0AF36CF0">
      <w:pPr>
        <w:spacing w:line="219" w:lineRule="auto"/>
        <w:ind w:left="499"/>
        <w:rPr>
          <w:rFonts w:ascii="宋体" w:hAnsi="宋体" w:eastAsia="宋体" w:cs="宋体"/>
          <w:sz w:val="24"/>
          <w:szCs w:val="24"/>
        </w:rPr>
      </w:pPr>
      <w:r>
        <w:rPr>
          <w:rFonts w:ascii="宋体" w:hAnsi="宋体" w:eastAsia="宋体" w:cs="宋体"/>
          <w:spacing w:val="-2"/>
          <w:sz w:val="24"/>
          <w:szCs w:val="24"/>
        </w:rPr>
        <w:t>因此，本项目的建设符合《广东省环境保护“十三五</w:t>
      </w:r>
      <w:r>
        <w:rPr>
          <w:rFonts w:ascii="宋体" w:hAnsi="宋体" w:eastAsia="宋体" w:cs="宋体"/>
          <w:spacing w:val="-88"/>
          <w:sz w:val="24"/>
          <w:szCs w:val="24"/>
        </w:rPr>
        <w:t xml:space="preserve"> </w:t>
      </w:r>
      <w:r>
        <w:rPr>
          <w:rFonts w:ascii="宋体" w:hAnsi="宋体" w:eastAsia="宋体" w:cs="宋体"/>
          <w:spacing w:val="-2"/>
          <w:sz w:val="24"/>
          <w:szCs w:val="24"/>
        </w:rPr>
        <w:t>”规划》的要求。</w:t>
      </w:r>
    </w:p>
    <w:p w14:paraId="5C54131C">
      <w:pPr>
        <w:tabs>
          <w:tab w:val="left" w:pos="480"/>
        </w:tabs>
        <w:spacing w:before="169" w:line="350" w:lineRule="auto"/>
        <w:ind w:right="65" w:firstLine="476"/>
        <w:jc w:val="right"/>
        <w:rPr>
          <w:rFonts w:ascii="宋体" w:hAnsi="宋体" w:eastAsia="宋体" w:cs="宋体"/>
          <w:sz w:val="24"/>
          <w:szCs w:val="24"/>
        </w:rPr>
      </w:pPr>
      <w:r>
        <w:pict>
          <v:shape id="_x0000_s1026" o:spid="_x0000_s1026" o:spt="202" type="#_x0000_t202" style="position:absolute;left:0pt;margin-left:178.4pt;margin-top:82.5pt;height:16.35pt;width:97.1pt;z-index:251660288;mso-width-relative:page;mso-height-relative:page;" filled="f" stroked="f" coordsize="21600,21600">
            <v:path/>
            <v:fill on="f" focussize="0,0"/>
            <v:stroke on="f"/>
            <v:imagedata o:title=""/>
            <o:lock v:ext="edit" aspectratio="f"/>
            <v:textbox inset="0mm,0mm,0mm,0mm">
              <w:txbxContent>
                <w:p w14:paraId="1E52CCCD">
                  <w:pPr>
                    <w:spacing w:before="20" w:line="220" w:lineRule="auto"/>
                    <w:ind w:left="20"/>
                    <w:rPr>
                      <w:rFonts w:ascii="宋体" w:hAnsi="宋体" w:eastAsia="宋体" w:cs="宋体"/>
                      <w:sz w:val="24"/>
                      <w:szCs w:val="24"/>
                    </w:rPr>
                  </w:pPr>
                  <w:r>
                    <w:rPr>
                      <w:rFonts w:ascii="宋体" w:hAnsi="宋体" w:eastAsia="宋体" w:cs="宋体"/>
                      <w:spacing w:val="-3"/>
                      <w:sz w:val="24"/>
                      <w:szCs w:val="24"/>
                    </w:rPr>
                    <w:t>物，污水达标排放</w:t>
                  </w:r>
                </w:p>
              </w:txbxContent>
            </v:textbox>
          </v:shape>
        </w:pic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、与《广东省生猪生产发展总体规划和区域布局（</w:t>
      </w:r>
      <w:r>
        <w:rPr>
          <w:rFonts w:ascii="Times New Roman" w:hAnsi="Times New Roman" w:eastAsia="Times New Roman" w:cs="Times New Roman"/>
          <w:spacing w:val="-1"/>
          <w:sz w:val="24"/>
          <w:szCs w:val="24"/>
        </w:rPr>
        <w:t>2008-2020</w:t>
      </w:r>
      <w:r>
        <w:rPr>
          <w:rFonts w:ascii="宋体" w:hAnsi="宋体" w:eastAsia="宋体" w:cs="宋体"/>
          <w:spacing w:val="-1"/>
          <w:sz w:val="24"/>
          <w:szCs w:val="24"/>
        </w:rPr>
        <w:t>）》相符性分析</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z w:val="24"/>
          <w:szCs w:val="24"/>
        </w:rPr>
        <w:t>《广东省生猪生产发展总体规划和区域布局（</w:t>
      </w:r>
      <w:r>
        <w:rPr>
          <w:rFonts w:ascii="Times New Roman" w:hAnsi="Times New Roman" w:eastAsia="Times New Roman" w:cs="Times New Roman"/>
          <w:sz w:val="24"/>
          <w:szCs w:val="24"/>
        </w:rPr>
        <w:t>2008-2020</w:t>
      </w:r>
      <w:r>
        <w:rPr>
          <w:rFonts w:ascii="宋体" w:hAnsi="宋体" w:eastAsia="宋体" w:cs="宋体"/>
          <w:sz w:val="24"/>
          <w:szCs w:val="24"/>
        </w:rPr>
        <w:t>）》中提出，合理</w:t>
      </w:r>
      <w:r>
        <w:rPr>
          <w:rFonts w:ascii="宋体" w:hAnsi="宋体" w:eastAsia="宋体" w:cs="宋体"/>
          <w:spacing w:val="-1"/>
          <w:sz w:val="24"/>
          <w:szCs w:val="24"/>
        </w:rPr>
        <w:t>利用</w:t>
      </w:r>
      <w:r>
        <w:rPr>
          <w:rFonts w:ascii="宋体" w:hAnsi="宋体" w:eastAsia="宋体" w:cs="宋体"/>
          <w:sz w:val="24"/>
          <w:szCs w:val="24"/>
        </w:rPr>
        <w:t xml:space="preserve"> </w:t>
      </w:r>
      <w:r>
        <w:rPr>
          <w:rFonts w:ascii="宋体" w:hAnsi="宋体" w:eastAsia="宋体" w:cs="宋体"/>
          <w:spacing w:val="2"/>
          <w:sz w:val="24"/>
          <w:szCs w:val="24"/>
        </w:rPr>
        <w:t>土地资源，积极发展环境友好、清洁生产、可持续、监控养殖生猪产业，保护水资</w:t>
      </w:r>
      <w:r>
        <w:rPr>
          <w:rFonts w:ascii="宋体" w:hAnsi="宋体" w:eastAsia="宋体" w:cs="宋体"/>
          <w:spacing w:val="7"/>
          <w:sz w:val="24"/>
          <w:szCs w:val="24"/>
        </w:rPr>
        <w:t xml:space="preserve"> </w:t>
      </w:r>
      <w:r>
        <w:rPr>
          <w:rFonts w:ascii="宋体" w:hAnsi="宋体" w:eastAsia="宋体" w:cs="宋体"/>
          <w:spacing w:val="-1"/>
          <w:sz w:val="24"/>
          <w:szCs w:val="24"/>
        </w:rPr>
        <w:t>源与环境，综合利用生猪生产废弃                。力争使广大省</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2012 </w:t>
      </w:r>
      <w:r>
        <w:rPr>
          <w:rFonts w:ascii="宋体" w:hAnsi="宋体" w:eastAsia="宋体" w:cs="宋体"/>
          <w:spacing w:val="-1"/>
          <w:sz w:val="24"/>
          <w:szCs w:val="24"/>
        </w:rPr>
        <w:t>年生猪出</w:t>
      </w:r>
    </w:p>
    <w:p w14:paraId="6EAB087F">
      <w:pPr>
        <w:spacing w:line="236" w:lineRule="exact"/>
        <w:ind w:left="449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p w14:paraId="0BDA5352">
      <w:pPr>
        <w:spacing w:line="236" w:lineRule="exact"/>
        <w:rPr>
          <w:rFonts w:ascii="Times New Roman" w:hAnsi="Times New Roman" w:eastAsia="Times New Roman" w:cs="Times New Roman"/>
          <w:sz w:val="18"/>
          <w:szCs w:val="18"/>
        </w:rPr>
        <w:sectPr>
          <w:footerReference r:id="rId13" w:type="default"/>
          <w:pgSz w:w="11906" w:h="16839"/>
          <w:pgMar w:top="1431" w:right="1522" w:bottom="400" w:left="1597" w:header="0" w:footer="0" w:gutter="0"/>
          <w:cols w:space="720" w:num="1"/>
        </w:sectPr>
      </w:pPr>
    </w:p>
    <w:p w14:paraId="2D4E78A6">
      <w:pPr>
        <w:spacing w:before="76" w:line="374" w:lineRule="auto"/>
        <w:ind w:left="43" w:right="99" w:hanging="1"/>
        <w:rPr>
          <w:rFonts w:ascii="宋体" w:hAnsi="宋体" w:eastAsia="宋体" w:cs="宋体"/>
          <w:sz w:val="24"/>
          <w:szCs w:val="24"/>
        </w:rPr>
      </w:pPr>
      <w:r>
        <w:rPr>
          <w:rFonts w:ascii="宋体" w:hAnsi="宋体" w:eastAsia="宋体" w:cs="宋体"/>
          <w:spacing w:val="-1"/>
          <w:sz w:val="24"/>
          <w:szCs w:val="24"/>
        </w:rPr>
        <w:t>栏达到</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4574</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万头，猪肉自给率从</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2006 </w:t>
      </w:r>
      <w:r>
        <w:rPr>
          <w:rFonts w:ascii="宋体" w:hAnsi="宋体" w:eastAsia="宋体" w:cs="宋体"/>
          <w:spacing w:val="-1"/>
          <w:sz w:val="24"/>
          <w:szCs w:val="24"/>
        </w:rPr>
        <w:t>年的</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60%</w:t>
      </w:r>
      <w:r>
        <w:rPr>
          <w:rFonts w:ascii="宋体" w:hAnsi="宋体" w:eastAsia="宋体" w:cs="宋体"/>
          <w:spacing w:val="-1"/>
          <w:sz w:val="24"/>
          <w:szCs w:val="24"/>
        </w:rPr>
        <w:t>提</w:t>
      </w:r>
      <w:r>
        <w:rPr>
          <w:rFonts w:ascii="宋体" w:hAnsi="宋体" w:eastAsia="宋体" w:cs="宋体"/>
          <w:spacing w:val="-2"/>
          <w:sz w:val="24"/>
          <w:szCs w:val="24"/>
        </w:rPr>
        <w:t>高到</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75%</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年生猪出栏达到</w:t>
      </w:r>
      <w:r>
        <w:rPr>
          <w:rFonts w:ascii="宋体" w:hAnsi="宋体" w:eastAsia="宋体" w:cs="宋体"/>
          <w:sz w:val="24"/>
          <w:szCs w:val="24"/>
        </w:rPr>
        <w:t xml:space="preserve"> </w:t>
      </w:r>
      <w:r>
        <w:rPr>
          <w:rFonts w:ascii="Times New Roman" w:hAnsi="Times New Roman" w:eastAsia="Times New Roman" w:cs="Times New Roman"/>
          <w:spacing w:val="-2"/>
          <w:sz w:val="24"/>
          <w:szCs w:val="24"/>
        </w:rPr>
        <w:t>5245</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万头，猪肉自给率达到</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。汕尾市是广大省东部重要的生猪产业带，重点发</w:t>
      </w:r>
      <w:r>
        <w:rPr>
          <w:rFonts w:ascii="宋体" w:hAnsi="宋体" w:eastAsia="宋体" w:cs="宋体"/>
          <w:sz w:val="24"/>
          <w:szCs w:val="24"/>
        </w:rPr>
        <w:t xml:space="preserve"> </w:t>
      </w:r>
      <w:r>
        <w:rPr>
          <w:rFonts w:ascii="宋体" w:hAnsi="宋体" w:eastAsia="宋体" w:cs="宋体"/>
          <w:spacing w:val="2"/>
          <w:sz w:val="24"/>
          <w:szCs w:val="24"/>
        </w:rPr>
        <w:t>展瘦肉型猪，适度饲养本地猪和土杂猪，除满足本地市场需求外，重点面向深圳、</w:t>
      </w:r>
      <w:r>
        <w:rPr>
          <w:rFonts w:ascii="宋体" w:hAnsi="宋体" w:eastAsia="宋体" w:cs="宋体"/>
          <w:spacing w:val="6"/>
          <w:sz w:val="24"/>
          <w:szCs w:val="24"/>
        </w:rPr>
        <w:t xml:space="preserve"> </w:t>
      </w:r>
      <w:r>
        <w:rPr>
          <w:rFonts w:ascii="宋体" w:hAnsi="宋体" w:eastAsia="宋体" w:cs="宋体"/>
          <w:spacing w:val="-1"/>
          <w:sz w:val="24"/>
          <w:szCs w:val="24"/>
        </w:rPr>
        <w:t>东莞等市场及香港市场。本项目位于汕尾市海丰县，符合规划要求。</w:t>
      </w:r>
    </w:p>
    <w:p w14:paraId="1CA2FCE0">
      <w:pPr>
        <w:spacing w:before="10" w:line="359" w:lineRule="exact"/>
        <w:ind w:left="523"/>
        <w:rPr>
          <w:rFonts w:ascii="宋体" w:hAnsi="宋体" w:eastAsia="宋体" w:cs="宋体"/>
          <w:sz w:val="24"/>
          <w:szCs w:val="24"/>
        </w:rPr>
      </w:pPr>
      <w:r>
        <w:rPr>
          <w:rFonts w:ascii="Times New Roman" w:hAnsi="Times New Roman" w:eastAsia="Times New Roman" w:cs="Times New Roman"/>
          <w:spacing w:val="-1"/>
          <w:position w:val="2"/>
          <w:sz w:val="24"/>
          <w:szCs w:val="24"/>
        </w:rPr>
        <w:t>3</w:t>
      </w:r>
      <w:r>
        <w:rPr>
          <w:rFonts w:ascii="Times New Roman" w:hAnsi="Times New Roman" w:eastAsia="Times New Roman" w:cs="Times New Roman"/>
          <w:spacing w:val="-33"/>
          <w:position w:val="2"/>
          <w:sz w:val="24"/>
          <w:szCs w:val="24"/>
        </w:rPr>
        <w:t xml:space="preserve"> </w:t>
      </w:r>
      <w:r>
        <w:rPr>
          <w:rFonts w:ascii="宋体" w:hAnsi="宋体" w:eastAsia="宋体" w:cs="宋体"/>
          <w:spacing w:val="-1"/>
          <w:position w:val="2"/>
          <w:sz w:val="24"/>
          <w:szCs w:val="24"/>
        </w:rPr>
        <w:t>、与《汕尾市畜禽养殖发展规划和区域布局（</w:t>
      </w:r>
      <w:r>
        <w:rPr>
          <w:rFonts w:ascii="Times New Roman" w:hAnsi="Times New Roman" w:eastAsia="Times New Roman" w:cs="Times New Roman"/>
          <w:spacing w:val="-1"/>
          <w:position w:val="2"/>
          <w:sz w:val="24"/>
          <w:szCs w:val="24"/>
        </w:rPr>
        <w:t xml:space="preserve">2015-2020 </w:t>
      </w:r>
      <w:r>
        <w:rPr>
          <w:rFonts w:ascii="宋体" w:hAnsi="宋体" w:eastAsia="宋体" w:cs="宋体"/>
          <w:spacing w:val="-1"/>
          <w:position w:val="2"/>
          <w:sz w:val="24"/>
          <w:szCs w:val="24"/>
        </w:rPr>
        <w:t>年）》相符性分析</w:t>
      </w:r>
    </w:p>
    <w:p w14:paraId="4320BD93">
      <w:pPr>
        <w:spacing w:before="130" w:line="376" w:lineRule="auto"/>
        <w:ind w:left="42" w:right="99" w:firstLine="486"/>
        <w:rPr>
          <w:rFonts w:ascii="宋体" w:hAnsi="宋体" w:eastAsia="宋体" w:cs="宋体"/>
          <w:sz w:val="24"/>
          <w:szCs w:val="24"/>
        </w:rPr>
      </w:pPr>
      <w:r>
        <w:rPr>
          <w:rFonts w:ascii="宋体" w:hAnsi="宋体" w:eastAsia="宋体" w:cs="宋体"/>
          <w:spacing w:val="-3"/>
          <w:sz w:val="24"/>
          <w:szCs w:val="24"/>
        </w:rPr>
        <w:t>《汕尾市畜禽养殖发展规划和区域布局（</w:t>
      </w:r>
      <w:r>
        <w:rPr>
          <w:rFonts w:ascii="Times New Roman" w:hAnsi="Times New Roman" w:eastAsia="Times New Roman" w:cs="Times New Roman"/>
          <w:spacing w:val="-3"/>
          <w:sz w:val="24"/>
          <w:szCs w:val="24"/>
        </w:rPr>
        <w:t xml:space="preserve">2015-2020 </w:t>
      </w:r>
      <w:r>
        <w:rPr>
          <w:rFonts w:ascii="宋体" w:hAnsi="宋体" w:eastAsia="宋体" w:cs="宋体"/>
          <w:spacing w:val="-3"/>
          <w:sz w:val="24"/>
          <w:szCs w:val="24"/>
        </w:rPr>
        <w:t>年）》中提出“</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年规划</w:t>
      </w:r>
      <w:r>
        <w:rPr>
          <w:rFonts w:ascii="宋体" w:hAnsi="宋体" w:eastAsia="宋体" w:cs="宋体"/>
          <w:spacing w:val="3"/>
          <w:sz w:val="24"/>
          <w:szCs w:val="24"/>
        </w:rPr>
        <w:t xml:space="preserve"> </w:t>
      </w:r>
      <w:r>
        <w:rPr>
          <w:rFonts w:ascii="宋体" w:hAnsi="宋体" w:eastAsia="宋体" w:cs="宋体"/>
          <w:spacing w:val="1"/>
          <w:sz w:val="24"/>
          <w:szCs w:val="24"/>
        </w:rPr>
        <w:t>目标调整为年出栏量</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160</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万头，重点加快发展陆丰市和海丰县的生猪</w:t>
      </w:r>
      <w:r>
        <w:rPr>
          <w:rFonts w:ascii="宋体" w:hAnsi="宋体" w:eastAsia="宋体" w:cs="宋体"/>
          <w:sz w:val="24"/>
          <w:szCs w:val="24"/>
        </w:rPr>
        <w:t xml:space="preserve">产业，兼顾陆 </w:t>
      </w:r>
      <w:r>
        <w:rPr>
          <w:rFonts w:ascii="宋体" w:hAnsi="宋体" w:eastAsia="宋体" w:cs="宋体"/>
          <w:spacing w:val="2"/>
          <w:sz w:val="24"/>
          <w:szCs w:val="24"/>
        </w:rPr>
        <w:t>河县和华侨区的生猪发展，逐步平衡市城区和红海湾开发区的生猪生产及供应，主</w:t>
      </w:r>
      <w:r>
        <w:rPr>
          <w:rFonts w:ascii="宋体" w:hAnsi="宋体" w:eastAsia="宋体" w:cs="宋体"/>
          <w:spacing w:val="7"/>
          <w:sz w:val="24"/>
          <w:szCs w:val="24"/>
        </w:rPr>
        <w:t xml:space="preserve"> </w:t>
      </w:r>
      <w:r>
        <w:rPr>
          <w:rFonts w:ascii="宋体" w:hAnsi="宋体" w:eastAsia="宋体" w:cs="宋体"/>
          <w:spacing w:val="1"/>
          <w:sz w:val="24"/>
          <w:szCs w:val="24"/>
        </w:rPr>
        <w:t>要以扶持发展大中型标准化、规模化、产业化、生态化生猪养殖场为主。</w:t>
      </w:r>
      <w:r>
        <w:rPr>
          <w:rFonts w:ascii="宋体" w:hAnsi="宋体" w:eastAsia="宋体" w:cs="宋体"/>
          <w:spacing w:val="-77"/>
          <w:sz w:val="24"/>
          <w:szCs w:val="24"/>
        </w:rPr>
        <w:t xml:space="preserve"> </w:t>
      </w:r>
      <w:r>
        <w:rPr>
          <w:rFonts w:ascii="宋体" w:hAnsi="宋体" w:eastAsia="宋体" w:cs="宋体"/>
          <w:spacing w:val="1"/>
          <w:sz w:val="24"/>
          <w:szCs w:val="24"/>
        </w:rPr>
        <w:t>”本项目</w:t>
      </w:r>
      <w:r>
        <w:rPr>
          <w:rFonts w:ascii="宋体" w:hAnsi="宋体" w:eastAsia="宋体" w:cs="宋体"/>
          <w:sz w:val="24"/>
          <w:szCs w:val="24"/>
        </w:rPr>
        <w:t xml:space="preserve"> </w:t>
      </w:r>
      <w:r>
        <w:rPr>
          <w:rFonts w:ascii="宋体" w:hAnsi="宋体" w:eastAsia="宋体" w:cs="宋体"/>
          <w:spacing w:val="2"/>
          <w:sz w:val="24"/>
          <w:szCs w:val="24"/>
        </w:rPr>
        <w:t>位于汕尾市海丰县，且属于规范化生猪养殖场，因此，本项目符合《汕尾市畜禽养</w:t>
      </w:r>
      <w:r>
        <w:rPr>
          <w:rFonts w:ascii="宋体" w:hAnsi="宋体" w:eastAsia="宋体" w:cs="宋体"/>
          <w:spacing w:val="7"/>
          <w:sz w:val="24"/>
          <w:szCs w:val="24"/>
        </w:rPr>
        <w:t xml:space="preserve"> </w:t>
      </w:r>
      <w:r>
        <w:rPr>
          <w:rFonts w:ascii="宋体" w:hAnsi="宋体" w:eastAsia="宋体" w:cs="宋体"/>
          <w:spacing w:val="-1"/>
          <w:sz w:val="24"/>
          <w:szCs w:val="24"/>
        </w:rPr>
        <w:t>殖发展规划和区域布局（</w:t>
      </w:r>
      <w:r>
        <w:rPr>
          <w:rFonts w:ascii="Times New Roman" w:hAnsi="Times New Roman" w:eastAsia="Times New Roman" w:cs="Times New Roman"/>
          <w:spacing w:val="-1"/>
          <w:sz w:val="24"/>
          <w:szCs w:val="24"/>
        </w:rPr>
        <w:t xml:space="preserve">2015-2020 </w:t>
      </w:r>
      <w:r>
        <w:rPr>
          <w:rFonts w:ascii="宋体" w:hAnsi="宋体" w:eastAsia="宋体" w:cs="宋体"/>
          <w:spacing w:val="-1"/>
          <w:sz w:val="24"/>
          <w:szCs w:val="24"/>
        </w:rPr>
        <w:t>年）》。</w:t>
      </w:r>
    </w:p>
    <w:p w14:paraId="6395DBBA">
      <w:pPr>
        <w:spacing w:line="336" w:lineRule="exact"/>
        <w:ind w:left="517"/>
        <w:rPr>
          <w:rFonts w:ascii="宋体" w:hAnsi="宋体" w:eastAsia="宋体" w:cs="宋体"/>
          <w:sz w:val="24"/>
          <w:szCs w:val="24"/>
        </w:rPr>
      </w:pPr>
      <w:r>
        <w:rPr>
          <w:rFonts w:ascii="Times New Roman" w:hAnsi="Times New Roman" w:eastAsia="Times New Roman" w:cs="Times New Roman"/>
          <w:spacing w:val="-1"/>
          <w:position w:val="3"/>
          <w:sz w:val="24"/>
          <w:szCs w:val="24"/>
        </w:rPr>
        <w:t>4</w:t>
      </w:r>
      <w:r>
        <w:rPr>
          <w:rFonts w:ascii="Times New Roman" w:hAnsi="Times New Roman" w:eastAsia="Times New Roman" w:cs="Times New Roman"/>
          <w:spacing w:val="-34"/>
          <w:position w:val="3"/>
          <w:sz w:val="24"/>
          <w:szCs w:val="24"/>
        </w:rPr>
        <w:t xml:space="preserve"> </w:t>
      </w:r>
      <w:r>
        <w:rPr>
          <w:rFonts w:ascii="宋体" w:hAnsi="宋体" w:eastAsia="宋体" w:cs="宋体"/>
          <w:spacing w:val="-1"/>
          <w:position w:val="3"/>
          <w:sz w:val="24"/>
          <w:szCs w:val="24"/>
        </w:rPr>
        <w:t>、与《海丰县畜禽养殖禁养区划定方案》（</w:t>
      </w:r>
      <w:r>
        <w:rPr>
          <w:rFonts w:ascii="宋体" w:hAnsi="宋体" w:eastAsia="宋体" w:cs="宋体"/>
          <w:spacing w:val="-2"/>
          <w:position w:val="3"/>
          <w:sz w:val="24"/>
          <w:szCs w:val="24"/>
        </w:rPr>
        <w:t>海府办函</w:t>
      </w:r>
      <w:r>
        <w:rPr>
          <w:rFonts w:ascii="Times New Roman" w:hAnsi="Times New Roman" w:eastAsia="Times New Roman" w:cs="Times New Roman"/>
          <w:spacing w:val="-2"/>
          <w:position w:val="3"/>
          <w:sz w:val="24"/>
          <w:szCs w:val="24"/>
        </w:rPr>
        <w:t>[2020]25</w:t>
      </w:r>
      <w:r>
        <w:rPr>
          <w:rFonts w:ascii="Times New Roman" w:hAnsi="Times New Roman" w:eastAsia="Times New Roman" w:cs="Times New Roman"/>
          <w:spacing w:val="16"/>
          <w:position w:val="3"/>
          <w:sz w:val="24"/>
          <w:szCs w:val="24"/>
        </w:rPr>
        <w:t xml:space="preserve"> </w:t>
      </w:r>
      <w:r>
        <w:rPr>
          <w:rFonts w:ascii="宋体" w:hAnsi="宋体" w:eastAsia="宋体" w:cs="宋体"/>
          <w:spacing w:val="-2"/>
          <w:position w:val="3"/>
          <w:sz w:val="24"/>
          <w:szCs w:val="24"/>
        </w:rPr>
        <w:t>号）相符性分析</w:t>
      </w:r>
    </w:p>
    <w:p w14:paraId="3F7A5073">
      <w:pPr>
        <w:spacing w:before="151" w:line="376" w:lineRule="auto"/>
        <w:ind w:left="42" w:firstLine="480"/>
        <w:rPr>
          <w:rFonts w:ascii="宋体" w:hAnsi="宋体" w:eastAsia="宋体" w:cs="宋体"/>
          <w:sz w:val="24"/>
          <w:szCs w:val="24"/>
        </w:rPr>
      </w:pPr>
      <w:r>
        <w:rPr>
          <w:rFonts w:ascii="宋体" w:hAnsi="宋体" w:eastAsia="宋体" w:cs="宋体"/>
          <w:spacing w:val="2"/>
          <w:sz w:val="24"/>
          <w:szCs w:val="24"/>
        </w:rPr>
        <w:t>根据《海丰县畜禽养殖禁养区划定方案》（海府办函</w:t>
      </w:r>
      <w:r>
        <w:rPr>
          <w:rFonts w:ascii="Times New Roman" w:hAnsi="Times New Roman" w:eastAsia="Times New Roman" w:cs="Times New Roman"/>
          <w:spacing w:val="2"/>
          <w:sz w:val="24"/>
          <w:szCs w:val="24"/>
        </w:rPr>
        <w:t>[2020]25</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号对禁养区的划</w:t>
      </w:r>
      <w:r>
        <w:rPr>
          <w:rFonts w:ascii="宋体" w:hAnsi="宋体" w:eastAsia="宋体" w:cs="宋体"/>
          <w:sz w:val="24"/>
          <w:szCs w:val="24"/>
        </w:rPr>
        <w:t xml:space="preserve">  </w:t>
      </w:r>
      <w:r>
        <w:rPr>
          <w:rFonts w:ascii="宋体" w:hAnsi="宋体" w:eastAsia="宋体" w:cs="宋体"/>
          <w:spacing w:val="-1"/>
          <w:sz w:val="24"/>
          <w:szCs w:val="24"/>
        </w:rPr>
        <w:t>分，“</w:t>
      </w:r>
      <w:r>
        <w:rPr>
          <w:rFonts w:ascii="宋体" w:hAnsi="宋体" w:eastAsia="宋体" w:cs="宋体"/>
          <w:spacing w:val="-9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、海丰县城（含海城镇、城东镇、附城镇）、梅陇镇、梅陇农场、联安镇、</w:t>
      </w:r>
      <w:r>
        <w:rPr>
          <w:rFonts w:ascii="宋体" w:hAnsi="宋体" w:eastAsia="宋体" w:cs="宋体"/>
          <w:sz w:val="24"/>
          <w:szCs w:val="24"/>
        </w:rPr>
        <w:t xml:space="preserve"> </w:t>
      </w:r>
      <w:r>
        <w:rPr>
          <w:rFonts w:ascii="宋体" w:hAnsi="宋体" w:eastAsia="宋体" w:cs="宋体"/>
          <w:spacing w:val="-2"/>
          <w:sz w:val="24"/>
          <w:szCs w:val="24"/>
        </w:rPr>
        <w:t>陶河镇、赤坑镇、大湖镇、可塘镇、平东镇、公平镇、黄羌镇、黄羌林场等镇（场）</w:t>
      </w:r>
      <w:r>
        <w:rPr>
          <w:rFonts w:ascii="宋体" w:hAnsi="宋体" w:eastAsia="宋体" w:cs="宋体"/>
          <w:spacing w:val="14"/>
          <w:sz w:val="24"/>
          <w:szCs w:val="24"/>
        </w:rPr>
        <w:t xml:space="preserve"> </w:t>
      </w:r>
      <w:r>
        <w:rPr>
          <w:rFonts w:ascii="宋体" w:hAnsi="宋体" w:eastAsia="宋体" w:cs="宋体"/>
          <w:spacing w:val="-4"/>
          <w:sz w:val="24"/>
          <w:szCs w:val="24"/>
        </w:rPr>
        <w:t>建成区。</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、公平水库饮用水水源保护区、公平灌渠</w:t>
      </w:r>
      <w:r>
        <w:rPr>
          <w:rFonts w:ascii="Times New Roman" w:hAnsi="Times New Roman" w:eastAsia="Times New Roman" w:cs="Times New Roman"/>
          <w:spacing w:val="-4"/>
          <w:sz w:val="24"/>
          <w:szCs w:val="24"/>
        </w:rPr>
        <w:t>-</w:t>
      </w:r>
      <w:r>
        <w:rPr>
          <w:rFonts w:ascii="宋体" w:hAnsi="宋体" w:eastAsia="宋体" w:cs="宋体"/>
          <w:spacing w:val="-4"/>
          <w:sz w:val="24"/>
          <w:szCs w:val="24"/>
        </w:rPr>
        <w:t>赤沙水库饮用水水源保护区、青</w:t>
      </w:r>
      <w:r>
        <w:rPr>
          <w:rFonts w:ascii="宋体" w:hAnsi="宋体" w:eastAsia="宋体" w:cs="宋体"/>
          <w:sz w:val="24"/>
          <w:szCs w:val="24"/>
        </w:rPr>
        <w:t xml:space="preserve"> </w:t>
      </w:r>
      <w:r>
        <w:rPr>
          <w:rFonts w:ascii="宋体" w:hAnsi="宋体" w:eastAsia="宋体" w:cs="宋体"/>
          <w:spacing w:val="2"/>
          <w:sz w:val="24"/>
          <w:szCs w:val="24"/>
        </w:rPr>
        <w:t>年水库饮用水水源保护区、红花地饮用水水源保护区、石牛山水库饮用水水源保护</w:t>
      </w:r>
      <w:r>
        <w:rPr>
          <w:rFonts w:ascii="宋体" w:hAnsi="宋体" w:eastAsia="宋体" w:cs="宋体"/>
          <w:spacing w:val="3"/>
          <w:sz w:val="24"/>
          <w:szCs w:val="24"/>
        </w:rPr>
        <w:t xml:space="preserve">  </w:t>
      </w:r>
      <w:r>
        <w:rPr>
          <w:rFonts w:ascii="宋体" w:hAnsi="宋体" w:eastAsia="宋体" w:cs="宋体"/>
          <w:spacing w:val="2"/>
          <w:sz w:val="24"/>
          <w:szCs w:val="24"/>
        </w:rPr>
        <w:t>区、黄山洞水库饮用水水源保护区、南门水库饮用水水源保护区、南城水库饮用水</w:t>
      </w:r>
      <w:r>
        <w:rPr>
          <w:rFonts w:ascii="宋体" w:hAnsi="宋体" w:eastAsia="宋体" w:cs="宋体"/>
          <w:spacing w:val="3"/>
          <w:sz w:val="24"/>
          <w:szCs w:val="24"/>
        </w:rPr>
        <w:t xml:space="preserve">  </w:t>
      </w:r>
      <w:r>
        <w:rPr>
          <w:rFonts w:ascii="宋体" w:hAnsi="宋体" w:eastAsia="宋体" w:cs="宋体"/>
          <w:spacing w:val="2"/>
          <w:sz w:val="24"/>
          <w:szCs w:val="24"/>
        </w:rPr>
        <w:t>水源保护区等集中式生活饮用水水源一级保护区和二级保护区（实现粪污全量资源</w:t>
      </w:r>
      <w:r>
        <w:rPr>
          <w:rFonts w:ascii="宋体" w:hAnsi="宋体" w:eastAsia="宋体" w:cs="宋体"/>
          <w:spacing w:val="3"/>
          <w:sz w:val="24"/>
          <w:szCs w:val="24"/>
        </w:rPr>
        <w:t xml:space="preserve">  </w:t>
      </w:r>
      <w:r>
        <w:rPr>
          <w:rFonts w:ascii="宋体" w:hAnsi="宋体" w:eastAsia="宋体" w:cs="宋体"/>
          <w:spacing w:val="-2"/>
          <w:sz w:val="24"/>
          <w:szCs w:val="24"/>
        </w:rPr>
        <w:t>化不排放污染物的养殖场除外）范围内区域。</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、海丰鸟类省级自然保护区（包括公</w:t>
      </w:r>
      <w:r>
        <w:rPr>
          <w:rFonts w:ascii="宋体" w:hAnsi="宋体" w:eastAsia="宋体" w:cs="宋体"/>
          <w:sz w:val="24"/>
          <w:szCs w:val="24"/>
        </w:rPr>
        <w:t xml:space="preserve"> </w:t>
      </w:r>
      <w:r>
        <w:rPr>
          <w:rFonts w:ascii="宋体" w:hAnsi="宋体" w:eastAsia="宋体" w:cs="宋体"/>
          <w:spacing w:val="2"/>
          <w:sz w:val="24"/>
          <w:szCs w:val="24"/>
        </w:rPr>
        <w:t>平分区、联安围分区和大湖分区）、莲花山县级自然保护区、学堂坑县级自然保护</w:t>
      </w:r>
      <w:r>
        <w:rPr>
          <w:rFonts w:ascii="宋体" w:hAnsi="宋体" w:eastAsia="宋体" w:cs="宋体"/>
          <w:spacing w:val="3"/>
          <w:sz w:val="24"/>
          <w:szCs w:val="24"/>
        </w:rPr>
        <w:t xml:space="preserve">  </w:t>
      </w:r>
      <w:r>
        <w:rPr>
          <w:rFonts w:ascii="宋体" w:hAnsi="宋体" w:eastAsia="宋体" w:cs="宋体"/>
          <w:spacing w:val="-1"/>
          <w:sz w:val="24"/>
          <w:szCs w:val="24"/>
        </w:rPr>
        <w:t>区核心区及缓冲区范围。</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、境内黄江河、东溪河主干流及其一</w:t>
      </w:r>
      <w:r>
        <w:rPr>
          <w:rFonts w:ascii="宋体" w:hAnsi="宋体" w:eastAsia="宋体" w:cs="宋体"/>
          <w:spacing w:val="-2"/>
          <w:sz w:val="24"/>
          <w:szCs w:val="24"/>
        </w:rPr>
        <w:t>级支流两岸外延</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500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米的陆域范围。</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、国家法律、法规规定的其它禁养区域。</w:t>
      </w:r>
      <w:r>
        <w:rPr>
          <w:rFonts w:ascii="宋体" w:hAnsi="宋体" w:eastAsia="宋体" w:cs="宋体"/>
          <w:spacing w:val="-89"/>
          <w:sz w:val="24"/>
          <w:szCs w:val="24"/>
        </w:rPr>
        <w:t xml:space="preserve"> </w:t>
      </w:r>
      <w:r>
        <w:rPr>
          <w:rFonts w:ascii="宋体" w:hAnsi="宋体" w:eastAsia="宋体" w:cs="宋体"/>
          <w:spacing w:val="-2"/>
          <w:sz w:val="24"/>
          <w:szCs w:val="24"/>
        </w:rPr>
        <w:t>”具体分析见下表。</w:t>
      </w:r>
    </w:p>
    <w:p w14:paraId="4F0ACCEE">
      <w:pPr>
        <w:spacing w:before="55" w:line="221" w:lineRule="auto"/>
        <w:ind w:left="468"/>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7"/>
          <w:sz w:val="20"/>
          <w:szCs w:val="20"/>
        </w:rPr>
        <w:t xml:space="preserve">1.4-1 </w:t>
      </w:r>
      <w:r>
        <w:rPr>
          <w:rFonts w:ascii="宋体" w:hAnsi="宋体" w:eastAsia="宋体" w:cs="宋体"/>
          <w:b/>
          <w:bCs/>
          <w:spacing w:val="7"/>
          <w:sz w:val="20"/>
          <w:szCs w:val="20"/>
        </w:rPr>
        <w:t>与《海丰县畜禽养殖禁养区划定方案》（海府办函</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6"/>
          <w:sz w:val="20"/>
          <w:szCs w:val="20"/>
        </w:rPr>
        <w:t xml:space="preserve">2020]25 </w:t>
      </w:r>
      <w:r>
        <w:rPr>
          <w:rFonts w:ascii="宋体" w:hAnsi="宋体" w:eastAsia="宋体" w:cs="宋体"/>
          <w:b/>
          <w:bCs/>
          <w:spacing w:val="6"/>
          <w:sz w:val="20"/>
          <w:szCs w:val="20"/>
        </w:rPr>
        <w:t>号）的相符性分析</w:t>
      </w:r>
    </w:p>
    <w:p w14:paraId="15F91506">
      <w:pPr>
        <w:spacing w:line="109" w:lineRule="exact"/>
      </w:pPr>
    </w:p>
    <w:tbl>
      <w:tblPr>
        <w:tblStyle w:val="5"/>
        <w:tblW w:w="87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5140"/>
        <w:gridCol w:w="2426"/>
        <w:gridCol w:w="797"/>
      </w:tblGrid>
      <w:tr w14:paraId="61675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427" w:type="dxa"/>
            <w:textDirection w:val="tbRlV"/>
            <w:vAlign w:val="top"/>
          </w:tcPr>
          <w:p w14:paraId="26B2C388">
            <w:pPr>
              <w:pStyle w:val="6"/>
              <w:spacing w:before="107" w:line="218" w:lineRule="auto"/>
              <w:ind w:left="64"/>
            </w:pPr>
            <w:r>
              <w:rPr>
                <w:b/>
                <w:bCs/>
                <w:spacing w:val="7"/>
              </w:rPr>
              <w:t>序</w:t>
            </w:r>
            <w:r>
              <w:rPr>
                <w:spacing w:val="16"/>
              </w:rPr>
              <w:t xml:space="preserve"> </w:t>
            </w:r>
            <w:r>
              <w:rPr>
                <w:b/>
                <w:bCs/>
                <w:spacing w:val="7"/>
              </w:rPr>
              <w:t>号</w:t>
            </w:r>
          </w:p>
        </w:tc>
        <w:tc>
          <w:tcPr>
            <w:tcW w:w="5140" w:type="dxa"/>
            <w:vAlign w:val="top"/>
          </w:tcPr>
          <w:p w14:paraId="7DE473E7">
            <w:pPr>
              <w:pStyle w:val="6"/>
              <w:spacing w:before="227" w:line="230" w:lineRule="auto"/>
              <w:ind w:left="2154"/>
            </w:pPr>
            <w:r>
              <w:rPr>
                <w:b/>
                <w:bCs/>
                <w:spacing w:val="6"/>
              </w:rPr>
              <w:t>规范要求</w:t>
            </w:r>
          </w:p>
        </w:tc>
        <w:tc>
          <w:tcPr>
            <w:tcW w:w="2426" w:type="dxa"/>
            <w:vAlign w:val="top"/>
          </w:tcPr>
          <w:p w14:paraId="0A6B876C">
            <w:pPr>
              <w:pStyle w:val="6"/>
              <w:spacing w:before="227" w:line="228" w:lineRule="auto"/>
              <w:ind w:left="800"/>
            </w:pPr>
            <w:r>
              <w:rPr>
                <w:b/>
                <w:bCs/>
                <w:spacing w:val="6"/>
              </w:rPr>
              <w:t>选址条件</w:t>
            </w:r>
          </w:p>
        </w:tc>
        <w:tc>
          <w:tcPr>
            <w:tcW w:w="797" w:type="dxa"/>
            <w:vAlign w:val="top"/>
          </w:tcPr>
          <w:p w14:paraId="4C1D2973">
            <w:pPr>
              <w:pStyle w:val="6"/>
              <w:spacing w:before="65" w:line="270" w:lineRule="auto"/>
              <w:ind w:left="196" w:right="80" w:hanging="106"/>
            </w:pPr>
            <w:r>
              <w:rPr>
                <w:b/>
                <w:bCs/>
                <w:spacing w:val="5"/>
              </w:rPr>
              <w:t>符合性</w:t>
            </w:r>
            <w:r>
              <w:t xml:space="preserve"> </w:t>
            </w:r>
            <w:r>
              <w:rPr>
                <w:b/>
                <w:bCs/>
                <w:spacing w:val="2"/>
              </w:rPr>
              <w:t>分析</w:t>
            </w:r>
          </w:p>
        </w:tc>
      </w:tr>
      <w:tr w14:paraId="50E26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427" w:type="dxa"/>
            <w:vAlign w:val="top"/>
          </w:tcPr>
          <w:p w14:paraId="48AC05B4">
            <w:pPr>
              <w:spacing w:line="295" w:lineRule="auto"/>
              <w:rPr>
                <w:rFonts w:ascii="Arial"/>
                <w:sz w:val="21"/>
              </w:rPr>
            </w:pPr>
          </w:p>
          <w:p w14:paraId="3E1AD80B">
            <w:pPr>
              <w:spacing w:before="57" w:line="275" w:lineRule="exact"/>
              <w:ind w:left="1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140" w:type="dxa"/>
            <w:vAlign w:val="top"/>
          </w:tcPr>
          <w:p w14:paraId="4C7FDEAB">
            <w:pPr>
              <w:pStyle w:val="6"/>
              <w:spacing w:before="60" w:line="280" w:lineRule="auto"/>
              <w:ind w:left="31" w:right="73"/>
            </w:pPr>
            <w:r>
              <w:rPr>
                <w:spacing w:val="9"/>
              </w:rPr>
              <w:t>海丰县城（含海城镇、城东镇、附城镇）、梅陇镇、梅</w:t>
            </w:r>
            <w:r>
              <w:rPr>
                <w:spacing w:val="13"/>
              </w:rPr>
              <w:t xml:space="preserve"> </w:t>
            </w:r>
            <w:r>
              <w:rPr>
                <w:spacing w:val="9"/>
              </w:rPr>
              <w:t>陇农场、联安镇、陶河镇、赤坑镇、大湖镇、可塘镇、</w:t>
            </w:r>
            <w:r>
              <w:rPr>
                <w:spacing w:val="13"/>
              </w:rPr>
              <w:t xml:space="preserve"> </w:t>
            </w:r>
            <w:r>
              <w:rPr>
                <w:spacing w:val="9"/>
              </w:rPr>
              <w:t>平东镇、公平镇、黄羌镇、黄羌林场等镇（场）建成区</w:t>
            </w:r>
          </w:p>
        </w:tc>
        <w:tc>
          <w:tcPr>
            <w:tcW w:w="2426" w:type="dxa"/>
            <w:vAlign w:val="top"/>
          </w:tcPr>
          <w:p w14:paraId="1410D2D1">
            <w:pPr>
              <w:pStyle w:val="6"/>
              <w:spacing w:before="61" w:line="228" w:lineRule="auto"/>
              <w:ind w:left="64"/>
            </w:pPr>
            <w:r>
              <w:rPr>
                <w:spacing w:val="9"/>
              </w:rPr>
              <w:t>本项目位于海丰县公平镇</w:t>
            </w:r>
          </w:p>
          <w:p w14:paraId="1CEF1DCB">
            <w:pPr>
              <w:pStyle w:val="6"/>
              <w:spacing w:before="77" w:line="228" w:lineRule="auto"/>
              <w:ind w:left="65"/>
            </w:pPr>
            <w:r>
              <w:rPr>
                <w:spacing w:val="9"/>
              </w:rPr>
              <w:t>龙岗美月姑少山坡地不属</w:t>
            </w:r>
          </w:p>
          <w:p w14:paraId="1FBA2145">
            <w:pPr>
              <w:pStyle w:val="6"/>
              <w:spacing w:before="79" w:line="228" w:lineRule="auto"/>
              <w:ind w:left="487"/>
            </w:pPr>
            <w:r>
              <w:rPr>
                <w:spacing w:val="8"/>
              </w:rPr>
              <w:t>于海城镇建成区</w:t>
            </w:r>
          </w:p>
        </w:tc>
        <w:tc>
          <w:tcPr>
            <w:tcW w:w="797" w:type="dxa"/>
            <w:vAlign w:val="top"/>
          </w:tcPr>
          <w:p w14:paraId="775C5275">
            <w:pPr>
              <w:spacing w:line="318" w:lineRule="auto"/>
              <w:rPr>
                <w:rFonts w:ascii="Arial"/>
                <w:sz w:val="21"/>
              </w:rPr>
            </w:pPr>
          </w:p>
          <w:p w14:paraId="46A8C5F0">
            <w:pPr>
              <w:pStyle w:val="6"/>
              <w:spacing w:before="65" w:line="228" w:lineRule="auto"/>
              <w:ind w:left="195"/>
            </w:pPr>
            <w:r>
              <w:rPr>
                <w:spacing w:val="3"/>
              </w:rPr>
              <w:t>符合</w:t>
            </w:r>
          </w:p>
        </w:tc>
      </w:tr>
      <w:tr w14:paraId="2524F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27" w:type="dxa"/>
            <w:vAlign w:val="top"/>
          </w:tcPr>
          <w:p w14:paraId="0AAE4874">
            <w:pPr>
              <w:spacing w:before="3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140" w:type="dxa"/>
            <w:vAlign w:val="top"/>
          </w:tcPr>
          <w:p w14:paraId="06712C7D">
            <w:pPr>
              <w:pStyle w:val="6"/>
              <w:spacing w:before="63" w:line="228" w:lineRule="auto"/>
              <w:ind w:left="38"/>
            </w:pPr>
            <w:r>
              <w:rPr>
                <w:spacing w:val="8"/>
              </w:rPr>
              <w:t>公平水库饮用水水源保护区、公平灌渠</w:t>
            </w:r>
            <w:r>
              <w:rPr>
                <w:rFonts w:ascii="Times New Roman" w:hAnsi="Times New Roman" w:eastAsia="Times New Roman" w:cs="Times New Roman"/>
                <w:spacing w:val="8"/>
              </w:rPr>
              <w:t>-</w:t>
            </w:r>
            <w:r>
              <w:rPr>
                <w:spacing w:val="8"/>
              </w:rPr>
              <w:t>赤沙水库饮用水</w:t>
            </w:r>
          </w:p>
        </w:tc>
        <w:tc>
          <w:tcPr>
            <w:tcW w:w="2426" w:type="dxa"/>
            <w:vAlign w:val="top"/>
          </w:tcPr>
          <w:p w14:paraId="6B9F65CB">
            <w:pPr>
              <w:pStyle w:val="6"/>
              <w:spacing w:before="62" w:line="228" w:lineRule="auto"/>
              <w:ind w:left="64"/>
            </w:pPr>
            <w:r>
              <w:rPr>
                <w:spacing w:val="9"/>
              </w:rPr>
              <w:t>本项目不位于以上饮用水</w:t>
            </w:r>
          </w:p>
        </w:tc>
        <w:tc>
          <w:tcPr>
            <w:tcW w:w="797" w:type="dxa"/>
            <w:vAlign w:val="top"/>
          </w:tcPr>
          <w:p w14:paraId="1B7FFB7F">
            <w:pPr>
              <w:pStyle w:val="6"/>
              <w:spacing w:before="63" w:line="228" w:lineRule="auto"/>
              <w:ind w:left="195"/>
            </w:pPr>
            <w:r>
              <w:rPr>
                <w:spacing w:val="3"/>
              </w:rPr>
              <w:t>符合</w:t>
            </w:r>
          </w:p>
        </w:tc>
      </w:tr>
    </w:tbl>
    <w:p w14:paraId="7E9F2375">
      <w:pPr>
        <w:pStyle w:val="2"/>
      </w:pPr>
    </w:p>
    <w:p w14:paraId="1E82A616">
      <w:pPr>
        <w:sectPr>
          <w:footerReference r:id="rId14" w:type="default"/>
          <w:pgSz w:w="11906" w:h="16839"/>
          <w:pgMar w:top="1431" w:right="1486" w:bottom="1425" w:left="1555" w:header="0" w:footer="1265" w:gutter="0"/>
          <w:cols w:space="720" w:num="1"/>
        </w:sectPr>
      </w:pPr>
    </w:p>
    <w:tbl>
      <w:tblPr>
        <w:tblStyle w:val="5"/>
        <w:tblW w:w="87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5140"/>
        <w:gridCol w:w="2426"/>
        <w:gridCol w:w="797"/>
      </w:tblGrid>
      <w:tr w14:paraId="335A6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27" w:type="dxa"/>
            <w:textDirection w:val="tbRlV"/>
            <w:vAlign w:val="top"/>
          </w:tcPr>
          <w:p w14:paraId="51978828">
            <w:pPr>
              <w:pStyle w:val="6"/>
              <w:spacing w:before="107" w:line="218" w:lineRule="auto"/>
              <w:ind w:left="64"/>
            </w:pPr>
            <w:r>
              <w:rPr>
                <w:b/>
                <w:bCs/>
                <w:spacing w:val="7"/>
              </w:rPr>
              <w:t>序</w:t>
            </w:r>
            <w:r>
              <w:rPr>
                <w:spacing w:val="16"/>
              </w:rPr>
              <w:t xml:space="preserve"> </w:t>
            </w:r>
            <w:r>
              <w:rPr>
                <w:b/>
                <w:bCs/>
                <w:spacing w:val="7"/>
              </w:rPr>
              <w:t>号</w:t>
            </w:r>
          </w:p>
        </w:tc>
        <w:tc>
          <w:tcPr>
            <w:tcW w:w="5140" w:type="dxa"/>
            <w:vAlign w:val="top"/>
          </w:tcPr>
          <w:p w14:paraId="71FC476F">
            <w:pPr>
              <w:pStyle w:val="6"/>
              <w:spacing w:before="227" w:line="230" w:lineRule="auto"/>
              <w:ind w:left="2154"/>
            </w:pPr>
            <w:r>
              <w:rPr>
                <w:b/>
                <w:bCs/>
                <w:spacing w:val="6"/>
              </w:rPr>
              <w:t>规范要求</w:t>
            </w:r>
          </w:p>
        </w:tc>
        <w:tc>
          <w:tcPr>
            <w:tcW w:w="2426" w:type="dxa"/>
            <w:vAlign w:val="top"/>
          </w:tcPr>
          <w:p w14:paraId="721EFBFF">
            <w:pPr>
              <w:pStyle w:val="6"/>
              <w:spacing w:before="227" w:line="228" w:lineRule="auto"/>
              <w:ind w:left="800"/>
            </w:pPr>
            <w:r>
              <w:rPr>
                <w:b/>
                <w:bCs/>
                <w:spacing w:val="6"/>
              </w:rPr>
              <w:t>选址条件</w:t>
            </w:r>
          </w:p>
        </w:tc>
        <w:tc>
          <w:tcPr>
            <w:tcW w:w="797" w:type="dxa"/>
            <w:vAlign w:val="top"/>
          </w:tcPr>
          <w:p w14:paraId="0ECAA740">
            <w:pPr>
              <w:pStyle w:val="6"/>
              <w:spacing w:before="63" w:line="271" w:lineRule="auto"/>
              <w:ind w:left="196" w:right="80" w:hanging="106"/>
            </w:pPr>
            <w:r>
              <w:rPr>
                <w:b/>
                <w:bCs/>
                <w:spacing w:val="5"/>
              </w:rPr>
              <w:t>符合性</w:t>
            </w:r>
            <w:r>
              <w:t xml:space="preserve"> </w:t>
            </w:r>
            <w:r>
              <w:rPr>
                <w:b/>
                <w:bCs/>
                <w:spacing w:val="2"/>
              </w:rPr>
              <w:t>分析</w:t>
            </w:r>
          </w:p>
        </w:tc>
      </w:tr>
      <w:tr w14:paraId="74952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trPr>
        <w:tc>
          <w:tcPr>
            <w:tcW w:w="427" w:type="dxa"/>
            <w:vAlign w:val="top"/>
          </w:tcPr>
          <w:p w14:paraId="2288E544">
            <w:pPr>
              <w:rPr>
                <w:rFonts w:ascii="Arial"/>
                <w:sz w:val="21"/>
              </w:rPr>
            </w:pPr>
          </w:p>
        </w:tc>
        <w:tc>
          <w:tcPr>
            <w:tcW w:w="5140" w:type="dxa"/>
            <w:vAlign w:val="top"/>
          </w:tcPr>
          <w:p w14:paraId="434A34CC">
            <w:pPr>
              <w:pStyle w:val="6"/>
              <w:spacing w:before="57" w:line="291" w:lineRule="auto"/>
              <w:ind w:left="31" w:right="73"/>
              <w:jc w:val="both"/>
            </w:pPr>
            <w:r>
              <w:rPr>
                <w:spacing w:val="9"/>
              </w:rPr>
              <w:t>源保护区、青年水库饮用水水源保护区、红花地饮用水</w:t>
            </w:r>
            <w:r>
              <w:rPr>
                <w:spacing w:val="13"/>
              </w:rPr>
              <w:t xml:space="preserve"> </w:t>
            </w:r>
            <w:r>
              <w:rPr>
                <w:spacing w:val="9"/>
              </w:rPr>
              <w:t>水源保护区、石牛山水库饮用水水源保护区、黄山洞水</w:t>
            </w:r>
            <w:r>
              <w:rPr>
                <w:spacing w:val="12"/>
              </w:rPr>
              <w:t xml:space="preserve"> </w:t>
            </w:r>
            <w:r>
              <w:rPr>
                <w:spacing w:val="9"/>
              </w:rPr>
              <w:t>库饮用水水源保护区、南门水库饮用水水源保护区、南</w:t>
            </w:r>
            <w:r>
              <w:rPr>
                <w:spacing w:val="12"/>
              </w:rPr>
              <w:t xml:space="preserve"> </w:t>
            </w:r>
            <w:r>
              <w:rPr>
                <w:spacing w:val="9"/>
              </w:rPr>
              <w:t>城水库饮用水水源保护区等集中式生活饮用水水源一级</w:t>
            </w:r>
            <w:r>
              <w:rPr>
                <w:spacing w:val="12"/>
              </w:rPr>
              <w:t xml:space="preserve"> </w:t>
            </w:r>
            <w:r>
              <w:rPr>
                <w:spacing w:val="9"/>
              </w:rPr>
              <w:t>保护区和二级保护区（实现粪污全量资源化不排放污染</w:t>
            </w:r>
            <w:r>
              <w:rPr>
                <w:spacing w:val="12"/>
              </w:rPr>
              <w:t xml:space="preserve"> </w:t>
            </w:r>
            <w:r>
              <w:rPr>
                <w:spacing w:val="9"/>
              </w:rPr>
              <w:t>物的养殖场除外）范围内区域</w:t>
            </w:r>
          </w:p>
        </w:tc>
        <w:tc>
          <w:tcPr>
            <w:tcW w:w="2426" w:type="dxa"/>
            <w:vAlign w:val="top"/>
          </w:tcPr>
          <w:p w14:paraId="11DF04C7">
            <w:pPr>
              <w:pStyle w:val="6"/>
              <w:spacing w:before="60" w:line="228" w:lineRule="auto"/>
              <w:ind w:left="66"/>
            </w:pPr>
            <w:r>
              <w:rPr>
                <w:spacing w:val="8"/>
              </w:rPr>
              <w:t>水源保护区内，且本项目</w:t>
            </w:r>
          </w:p>
          <w:p w14:paraId="52AC83C6">
            <w:pPr>
              <w:pStyle w:val="6"/>
              <w:spacing w:before="77" w:line="228" w:lineRule="auto"/>
              <w:ind w:left="64"/>
            </w:pPr>
            <w:r>
              <w:rPr>
                <w:spacing w:val="9"/>
              </w:rPr>
              <w:t>事项粪污全量资源化不排</w:t>
            </w:r>
          </w:p>
          <w:p w14:paraId="02ED6720">
            <w:pPr>
              <w:pStyle w:val="6"/>
              <w:spacing w:before="79" w:line="229" w:lineRule="auto"/>
              <w:ind w:left="800"/>
            </w:pPr>
            <w:r>
              <w:rPr>
                <w:spacing w:val="7"/>
              </w:rPr>
              <w:t>放污染物</w:t>
            </w:r>
          </w:p>
        </w:tc>
        <w:tc>
          <w:tcPr>
            <w:tcW w:w="797" w:type="dxa"/>
            <w:vAlign w:val="top"/>
          </w:tcPr>
          <w:p w14:paraId="2B0C0C13">
            <w:pPr>
              <w:rPr>
                <w:rFonts w:ascii="Arial"/>
                <w:sz w:val="21"/>
              </w:rPr>
            </w:pPr>
          </w:p>
        </w:tc>
      </w:tr>
      <w:tr w14:paraId="2E22D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427" w:type="dxa"/>
            <w:vAlign w:val="top"/>
          </w:tcPr>
          <w:p w14:paraId="763AB344">
            <w:pPr>
              <w:spacing w:line="298" w:lineRule="auto"/>
              <w:rPr>
                <w:rFonts w:ascii="Arial"/>
                <w:sz w:val="21"/>
              </w:rPr>
            </w:pPr>
          </w:p>
          <w:p w14:paraId="43118105">
            <w:pPr>
              <w:spacing w:before="57" w:line="275" w:lineRule="exact"/>
              <w:ind w:left="1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5140" w:type="dxa"/>
            <w:vAlign w:val="top"/>
          </w:tcPr>
          <w:p w14:paraId="3002AA07">
            <w:pPr>
              <w:pStyle w:val="6"/>
              <w:spacing w:before="61" w:line="280" w:lineRule="auto"/>
              <w:ind w:left="32" w:right="73" w:hanging="1"/>
              <w:jc w:val="both"/>
            </w:pPr>
            <w:r>
              <w:rPr>
                <w:spacing w:val="9"/>
              </w:rPr>
              <w:t>海丰鸟类省级自然保护区（包括公平分区、联安围分区</w:t>
            </w:r>
            <w:r>
              <w:rPr>
                <w:spacing w:val="13"/>
              </w:rPr>
              <w:t xml:space="preserve"> </w:t>
            </w:r>
            <w:r>
              <w:rPr>
                <w:spacing w:val="9"/>
              </w:rPr>
              <w:t>和大湖分区）、莲花山县级自然保护区、学堂坑县级自</w:t>
            </w:r>
            <w:r>
              <w:rPr>
                <w:spacing w:val="11"/>
              </w:rPr>
              <w:t xml:space="preserve"> </w:t>
            </w:r>
            <w:r>
              <w:rPr>
                <w:spacing w:val="9"/>
              </w:rPr>
              <w:t>然保护区核心区及缓冲区范围</w:t>
            </w:r>
          </w:p>
        </w:tc>
        <w:tc>
          <w:tcPr>
            <w:tcW w:w="2426" w:type="dxa"/>
            <w:vAlign w:val="top"/>
          </w:tcPr>
          <w:p w14:paraId="4EA03D2A">
            <w:pPr>
              <w:pStyle w:val="6"/>
              <w:spacing w:before="226" w:line="300" w:lineRule="auto"/>
              <w:ind w:left="588" w:right="56" w:hanging="524"/>
            </w:pPr>
            <w:r>
              <w:rPr>
                <w:spacing w:val="9"/>
              </w:rPr>
              <w:t>本项目位置不属于以上各</w:t>
            </w:r>
            <w:r>
              <w:t xml:space="preserve"> </w:t>
            </w:r>
            <w:r>
              <w:rPr>
                <w:spacing w:val="8"/>
              </w:rPr>
              <w:t>类自然保护区</w:t>
            </w:r>
          </w:p>
        </w:tc>
        <w:tc>
          <w:tcPr>
            <w:tcW w:w="797" w:type="dxa"/>
            <w:vAlign w:val="top"/>
          </w:tcPr>
          <w:p w14:paraId="27100F93">
            <w:pPr>
              <w:spacing w:line="321" w:lineRule="auto"/>
              <w:rPr>
                <w:rFonts w:ascii="Arial"/>
                <w:sz w:val="21"/>
              </w:rPr>
            </w:pPr>
          </w:p>
          <w:p w14:paraId="4A83AF10">
            <w:pPr>
              <w:pStyle w:val="6"/>
              <w:spacing w:before="65" w:line="228" w:lineRule="auto"/>
              <w:ind w:left="195"/>
            </w:pPr>
            <w:r>
              <w:rPr>
                <w:spacing w:val="3"/>
              </w:rPr>
              <w:t>符合</w:t>
            </w:r>
          </w:p>
        </w:tc>
      </w:tr>
      <w:tr w14:paraId="7B6F4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27" w:type="dxa"/>
            <w:vAlign w:val="top"/>
          </w:tcPr>
          <w:p w14:paraId="7BDD5F7C">
            <w:pPr>
              <w:spacing w:before="193" w:line="27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5140" w:type="dxa"/>
            <w:vAlign w:val="top"/>
          </w:tcPr>
          <w:p w14:paraId="632E220B">
            <w:pPr>
              <w:pStyle w:val="6"/>
              <w:spacing w:before="30" w:line="284" w:lineRule="auto"/>
              <w:ind w:left="32" w:right="175"/>
            </w:pPr>
            <w:r>
              <w:rPr>
                <w:spacing w:val="9"/>
              </w:rPr>
              <w:t>境内黄江河、东溪河主干流及其一级支流两岸外延</w:t>
            </w:r>
            <w:r>
              <w:rPr>
                <w:rFonts w:ascii="Times New Roman" w:hAnsi="Times New Roman" w:eastAsia="Times New Roman" w:cs="Times New Roman"/>
                <w:spacing w:val="9"/>
              </w:rPr>
              <w:t>500</w:t>
            </w:r>
            <w:r>
              <w:rPr>
                <w:rFonts w:ascii="Times New Roman" w:hAnsi="Times New Roman" w:eastAsia="Times New Roman" w:cs="Times New Roman"/>
              </w:rPr>
              <w:t xml:space="preserve"> </w:t>
            </w:r>
            <w:r>
              <w:rPr>
                <w:spacing w:val="8"/>
              </w:rPr>
              <w:t>米的陆域范围</w:t>
            </w:r>
          </w:p>
        </w:tc>
        <w:tc>
          <w:tcPr>
            <w:tcW w:w="2426" w:type="dxa"/>
            <w:vAlign w:val="top"/>
          </w:tcPr>
          <w:p w14:paraId="0D0A12A0">
            <w:pPr>
              <w:pStyle w:val="6"/>
              <w:spacing w:before="224" w:line="228" w:lineRule="auto"/>
              <w:ind w:left="276"/>
            </w:pPr>
            <w:r>
              <w:rPr>
                <w:spacing w:val="8"/>
              </w:rPr>
              <w:t>本项目不属于该区域</w:t>
            </w:r>
          </w:p>
        </w:tc>
        <w:tc>
          <w:tcPr>
            <w:tcW w:w="797" w:type="dxa"/>
            <w:vAlign w:val="top"/>
          </w:tcPr>
          <w:p w14:paraId="7B4FAA0B">
            <w:pPr>
              <w:pStyle w:val="6"/>
              <w:spacing w:before="225" w:line="228" w:lineRule="auto"/>
              <w:ind w:left="195"/>
            </w:pPr>
            <w:r>
              <w:rPr>
                <w:spacing w:val="3"/>
              </w:rPr>
              <w:t>符合</w:t>
            </w:r>
          </w:p>
        </w:tc>
      </w:tr>
      <w:tr w14:paraId="390B9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27" w:type="dxa"/>
            <w:vAlign w:val="top"/>
          </w:tcPr>
          <w:p w14:paraId="5AC993B3">
            <w:pPr>
              <w:spacing w:before="101" w:line="192"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40" w:type="dxa"/>
            <w:vAlign w:val="top"/>
          </w:tcPr>
          <w:p w14:paraId="6F968BD2">
            <w:pPr>
              <w:pStyle w:val="6"/>
              <w:spacing w:before="63" w:line="228" w:lineRule="auto"/>
              <w:ind w:left="52"/>
            </w:pPr>
            <w:r>
              <w:rPr>
                <w:spacing w:val="7"/>
              </w:rPr>
              <w:t>国家法律、法规规定的其它禁养区域。</w:t>
            </w:r>
          </w:p>
        </w:tc>
        <w:tc>
          <w:tcPr>
            <w:tcW w:w="2426" w:type="dxa"/>
            <w:vAlign w:val="top"/>
          </w:tcPr>
          <w:p w14:paraId="4143573E">
            <w:pPr>
              <w:pStyle w:val="6"/>
              <w:spacing w:before="62" w:line="228" w:lineRule="auto"/>
              <w:ind w:left="276"/>
            </w:pPr>
            <w:r>
              <w:rPr>
                <w:spacing w:val="8"/>
              </w:rPr>
              <w:t>本项目不属于该区域</w:t>
            </w:r>
          </w:p>
        </w:tc>
        <w:tc>
          <w:tcPr>
            <w:tcW w:w="797" w:type="dxa"/>
            <w:vAlign w:val="top"/>
          </w:tcPr>
          <w:p w14:paraId="66E98046">
            <w:pPr>
              <w:pStyle w:val="6"/>
              <w:spacing w:before="63" w:line="228" w:lineRule="auto"/>
              <w:ind w:left="195"/>
            </w:pPr>
            <w:r>
              <w:rPr>
                <w:spacing w:val="3"/>
              </w:rPr>
              <w:t>符合</w:t>
            </w:r>
          </w:p>
        </w:tc>
      </w:tr>
    </w:tbl>
    <w:p w14:paraId="33419F4E">
      <w:pPr>
        <w:spacing w:before="125" w:line="220" w:lineRule="auto"/>
        <w:ind w:left="525"/>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、与海丰县生猪生生产发展总体规划相符性分析</w:t>
      </w:r>
    </w:p>
    <w:p w14:paraId="6948AAD6">
      <w:pPr>
        <w:spacing w:before="165" w:line="374" w:lineRule="auto"/>
        <w:ind w:left="42" w:right="34" w:firstLine="486"/>
        <w:rPr>
          <w:rFonts w:ascii="宋体" w:hAnsi="宋体" w:eastAsia="宋体" w:cs="宋体"/>
          <w:sz w:val="24"/>
          <w:szCs w:val="24"/>
        </w:rPr>
      </w:pPr>
      <w:r>
        <w:rPr>
          <w:rFonts w:ascii="宋体" w:hAnsi="宋体" w:eastAsia="宋体" w:cs="宋体"/>
          <w:spacing w:val="-1"/>
          <w:sz w:val="24"/>
          <w:szCs w:val="24"/>
        </w:rPr>
        <w:t>《关于印发〈海丰县生猪生产发展规划和区域布局（</w:t>
      </w:r>
      <w:r>
        <w:rPr>
          <w:rFonts w:ascii="Times New Roman" w:hAnsi="Times New Roman" w:eastAsia="Times New Roman" w:cs="Times New Roman"/>
          <w:spacing w:val="-1"/>
          <w:sz w:val="24"/>
          <w:szCs w:val="24"/>
        </w:rPr>
        <w:t xml:space="preserve">2009-2020 </w:t>
      </w:r>
      <w:r>
        <w:rPr>
          <w:rFonts w:ascii="宋体" w:hAnsi="宋体" w:eastAsia="宋体" w:cs="宋体"/>
          <w:spacing w:val="-1"/>
          <w:sz w:val="24"/>
          <w:szCs w:val="24"/>
        </w:rPr>
        <w:t>年）〉的通知》</w:t>
      </w:r>
      <w:r>
        <w:rPr>
          <w:rFonts w:ascii="宋体" w:hAnsi="宋体" w:eastAsia="宋体" w:cs="宋体"/>
          <w:spacing w:val="8"/>
          <w:sz w:val="24"/>
          <w:szCs w:val="24"/>
        </w:rPr>
        <w:t xml:space="preserve"> </w:t>
      </w:r>
      <w:r>
        <w:rPr>
          <w:rFonts w:ascii="宋体" w:hAnsi="宋体" w:eastAsia="宋体" w:cs="宋体"/>
          <w:spacing w:val="-2"/>
          <w:sz w:val="24"/>
          <w:szCs w:val="24"/>
        </w:rPr>
        <w:t>海牧医〔</w:t>
      </w:r>
      <w:r>
        <w:rPr>
          <w:rFonts w:ascii="Times New Roman" w:hAnsi="Times New Roman" w:eastAsia="Times New Roman" w:cs="Times New Roman"/>
          <w:spacing w:val="-2"/>
          <w:sz w:val="24"/>
          <w:szCs w:val="24"/>
        </w:rPr>
        <w:t>2009</w:t>
      </w:r>
      <w:r>
        <w:rPr>
          <w:rFonts w:ascii="宋体" w:hAnsi="宋体" w:eastAsia="宋体" w:cs="宋体"/>
          <w:spacing w:val="-2"/>
          <w:sz w:val="24"/>
          <w:szCs w:val="24"/>
        </w:rPr>
        <w:t>〕</w:t>
      </w:r>
      <w:r>
        <w:rPr>
          <w:rFonts w:ascii="Times New Roman" w:hAnsi="Times New Roman" w:eastAsia="Times New Roman" w:cs="Times New Roman"/>
          <w:spacing w:val="-2"/>
          <w:sz w:val="24"/>
          <w:szCs w:val="24"/>
        </w:rPr>
        <w:t>28</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号文件的有关规定：</w:t>
      </w:r>
    </w:p>
    <w:p w14:paraId="1323B99A">
      <w:pPr>
        <w:spacing w:before="7" w:line="359" w:lineRule="exact"/>
        <w:jc w:val="right"/>
        <w:rPr>
          <w:rFonts w:ascii="宋体" w:hAnsi="宋体" w:eastAsia="宋体" w:cs="宋体"/>
          <w:sz w:val="24"/>
          <w:szCs w:val="24"/>
        </w:rPr>
      </w:pPr>
      <w:r>
        <w:rPr>
          <w:rFonts w:ascii="宋体" w:hAnsi="宋体" w:eastAsia="宋体" w:cs="宋体"/>
          <w:spacing w:val="-3"/>
          <w:position w:val="2"/>
          <w:sz w:val="24"/>
          <w:szCs w:val="24"/>
        </w:rPr>
        <w:t>“根据现有的生猪规模养殖分布和环境情况，海丰县主要规划</w:t>
      </w:r>
      <w:r>
        <w:rPr>
          <w:rFonts w:ascii="宋体" w:hAnsi="宋体" w:eastAsia="宋体" w:cs="宋体"/>
          <w:spacing w:val="-41"/>
          <w:position w:val="2"/>
          <w:sz w:val="24"/>
          <w:szCs w:val="24"/>
        </w:rPr>
        <w:t xml:space="preserve"> </w:t>
      </w:r>
      <w:r>
        <w:rPr>
          <w:rFonts w:ascii="Times New Roman" w:hAnsi="Times New Roman" w:eastAsia="Times New Roman" w:cs="Times New Roman"/>
          <w:spacing w:val="-3"/>
          <w:position w:val="2"/>
          <w:sz w:val="24"/>
          <w:szCs w:val="24"/>
        </w:rPr>
        <w:t xml:space="preserve">4 </w:t>
      </w:r>
      <w:r>
        <w:rPr>
          <w:rFonts w:ascii="宋体" w:hAnsi="宋体" w:eastAsia="宋体" w:cs="宋体"/>
          <w:spacing w:val="-3"/>
          <w:position w:val="2"/>
          <w:sz w:val="24"/>
          <w:szCs w:val="24"/>
        </w:rPr>
        <w:t>个生猪养殖区：</w:t>
      </w:r>
    </w:p>
    <w:p w14:paraId="0968747A">
      <w:pPr>
        <w:spacing w:before="130" w:line="326" w:lineRule="auto"/>
        <w:ind w:left="42" w:right="7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）赤石－鹅埠生猪养殖区。该养殖区以赤石骏丰养猪场为龙头，带动周围生</w:t>
      </w:r>
      <w:r>
        <w:rPr>
          <w:rFonts w:ascii="宋体" w:hAnsi="宋体" w:eastAsia="宋体" w:cs="宋体"/>
          <w:spacing w:val="16"/>
          <w:sz w:val="24"/>
          <w:szCs w:val="24"/>
        </w:rPr>
        <w:t xml:space="preserve"> </w:t>
      </w:r>
      <w:r>
        <w:rPr>
          <w:rFonts w:ascii="宋体" w:hAnsi="宋体" w:eastAsia="宋体" w:cs="宋体"/>
          <w:spacing w:val="2"/>
          <w:sz w:val="24"/>
          <w:szCs w:val="24"/>
        </w:rPr>
        <w:t>猪养殖业的发展，该区域预计最大生猪年出栏</w:t>
      </w:r>
      <w:r>
        <w:rPr>
          <w:rFonts w:ascii="宋体" w:hAnsi="宋体" w:eastAsia="宋体" w:cs="宋体"/>
          <w:spacing w:val="1"/>
          <w:sz w:val="24"/>
          <w:szCs w:val="24"/>
        </w:rPr>
        <w:t>量可达</w:t>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万头。</w:t>
      </w:r>
    </w:p>
    <w:p w14:paraId="17EDFD84">
      <w:pPr>
        <w:spacing w:before="129" w:line="327" w:lineRule="auto"/>
        <w:ind w:left="42" w:right="7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）附城－联安－梅陇生猪养殖区。该区以海丰县食品绿色养殖基地、新兴现</w:t>
      </w:r>
      <w:r>
        <w:rPr>
          <w:rFonts w:ascii="宋体" w:hAnsi="宋体" w:eastAsia="宋体" w:cs="宋体"/>
          <w:spacing w:val="16"/>
          <w:sz w:val="24"/>
          <w:szCs w:val="24"/>
        </w:rPr>
        <w:t xml:space="preserve"> </w:t>
      </w:r>
      <w:r>
        <w:rPr>
          <w:rFonts w:ascii="宋体" w:hAnsi="宋体" w:eastAsia="宋体" w:cs="宋体"/>
          <w:spacing w:val="-2"/>
          <w:sz w:val="24"/>
          <w:szCs w:val="24"/>
        </w:rPr>
        <w:t>代农业种养有限公司、祥丰养猪场等为基地，预计最大生猪年出栏量可达</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万头。</w:t>
      </w:r>
    </w:p>
    <w:p w14:paraId="0D002C80">
      <w:pPr>
        <w:spacing w:before="129" w:line="326" w:lineRule="auto"/>
        <w:ind w:left="50" w:right="78"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）城东－公平生猪养殖区。该区以城东裕农养猪场、城东林茂科技种养场、</w:t>
      </w:r>
      <w:r>
        <w:rPr>
          <w:rFonts w:ascii="宋体" w:hAnsi="宋体" w:eastAsia="宋体" w:cs="宋体"/>
          <w:spacing w:val="8"/>
          <w:sz w:val="24"/>
          <w:szCs w:val="24"/>
        </w:rPr>
        <w:t xml:space="preserve"> </w:t>
      </w:r>
      <w:r>
        <w:rPr>
          <w:rFonts w:ascii="宋体" w:hAnsi="宋体" w:eastAsia="宋体" w:cs="宋体"/>
          <w:spacing w:val="-1"/>
          <w:sz w:val="24"/>
          <w:szCs w:val="24"/>
        </w:rPr>
        <w:t>公平丰泉种养场、公平紫微星养猪场为基础，预计最大生猪出栏量可达</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w:t>
      </w:r>
      <w:r>
        <w:rPr>
          <w:rFonts w:ascii="宋体" w:hAnsi="宋体" w:eastAsia="宋体" w:cs="宋体"/>
          <w:spacing w:val="-2"/>
          <w:sz w:val="24"/>
          <w:szCs w:val="24"/>
        </w:rPr>
        <w:t>头。</w:t>
      </w:r>
    </w:p>
    <w:p w14:paraId="256DDEBA">
      <w:pPr>
        <w:spacing w:before="129" w:line="327" w:lineRule="auto"/>
        <w:ind w:left="43" w:right="67"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）可塘－赤坑生猪养殖区。该区以赤坑</w:t>
      </w:r>
      <w:r>
        <w:rPr>
          <w:rFonts w:ascii="宋体" w:hAnsi="宋体" w:eastAsia="宋体" w:cs="宋体"/>
          <w:spacing w:val="-2"/>
          <w:sz w:val="24"/>
          <w:szCs w:val="24"/>
        </w:rPr>
        <w:t>港城种猪场、洪天养猪场、可塘生猪</w:t>
      </w:r>
      <w:r>
        <w:rPr>
          <w:rFonts w:ascii="宋体" w:hAnsi="宋体" w:eastAsia="宋体" w:cs="宋体"/>
          <w:sz w:val="24"/>
          <w:szCs w:val="24"/>
        </w:rPr>
        <w:t xml:space="preserve"> </w:t>
      </w:r>
      <w:r>
        <w:rPr>
          <w:rFonts w:ascii="宋体" w:hAnsi="宋体" w:eastAsia="宋体" w:cs="宋体"/>
          <w:spacing w:val="4"/>
          <w:sz w:val="24"/>
          <w:szCs w:val="24"/>
        </w:rPr>
        <w:t>养殖场、嘉兴农庄养殖场等为基础，预计最大生猪年出栏量可达</w:t>
      </w:r>
      <w:r>
        <w:rPr>
          <w:rFonts w:ascii="Times New Roman" w:hAnsi="Times New Roman" w:eastAsia="Times New Roman" w:cs="Times New Roman"/>
          <w:spacing w:val="4"/>
          <w:sz w:val="24"/>
          <w:szCs w:val="24"/>
        </w:rPr>
        <w:t xml:space="preserve">25 </w:t>
      </w:r>
      <w:r>
        <w:rPr>
          <w:rFonts w:ascii="宋体" w:hAnsi="宋体" w:eastAsia="宋体" w:cs="宋体"/>
          <w:spacing w:val="4"/>
          <w:sz w:val="24"/>
          <w:szCs w:val="24"/>
        </w:rPr>
        <w:t>万</w:t>
      </w:r>
      <w:r>
        <w:rPr>
          <w:rFonts w:ascii="宋体" w:hAnsi="宋体" w:eastAsia="宋体" w:cs="宋体"/>
          <w:spacing w:val="3"/>
          <w:sz w:val="24"/>
          <w:szCs w:val="24"/>
        </w:rPr>
        <w:t>头。</w:t>
      </w:r>
      <w:r>
        <w:rPr>
          <w:rFonts w:ascii="宋体" w:hAnsi="宋体" w:eastAsia="宋体" w:cs="宋体"/>
          <w:spacing w:val="-89"/>
          <w:sz w:val="24"/>
          <w:szCs w:val="24"/>
        </w:rPr>
        <w:t xml:space="preserve"> </w:t>
      </w:r>
      <w:r>
        <w:rPr>
          <w:rFonts w:ascii="宋体" w:hAnsi="宋体" w:eastAsia="宋体" w:cs="宋体"/>
          <w:spacing w:val="3"/>
          <w:sz w:val="24"/>
          <w:szCs w:val="24"/>
        </w:rPr>
        <w:t>”</w:t>
      </w:r>
    </w:p>
    <w:p w14:paraId="5757817A">
      <w:pPr>
        <w:spacing w:before="165" w:line="361" w:lineRule="auto"/>
        <w:ind w:left="44" w:right="70" w:firstLine="479"/>
        <w:jc w:val="both"/>
        <w:rPr>
          <w:rFonts w:ascii="宋体" w:hAnsi="宋体" w:eastAsia="宋体" w:cs="宋体"/>
          <w:sz w:val="24"/>
          <w:szCs w:val="24"/>
        </w:rPr>
      </w:pPr>
      <w:r>
        <w:rPr>
          <w:rFonts w:ascii="宋体" w:hAnsi="宋体" w:eastAsia="宋体" w:cs="宋体"/>
          <w:spacing w:val="2"/>
          <w:sz w:val="24"/>
          <w:szCs w:val="24"/>
        </w:rPr>
        <w:t>本项目选址位于海丰县公平镇龙岗美月姑少山坡地，属于城东－公平生猪养殖</w:t>
      </w:r>
      <w:r>
        <w:rPr>
          <w:rFonts w:ascii="宋体" w:hAnsi="宋体" w:eastAsia="宋体" w:cs="宋体"/>
          <w:spacing w:val="9"/>
          <w:sz w:val="24"/>
          <w:szCs w:val="24"/>
        </w:rPr>
        <w:t xml:space="preserve"> </w:t>
      </w:r>
      <w:r>
        <w:rPr>
          <w:rFonts w:ascii="宋体" w:hAnsi="宋体" w:eastAsia="宋体" w:cs="宋体"/>
          <w:spacing w:val="1"/>
          <w:sz w:val="24"/>
          <w:szCs w:val="24"/>
        </w:rPr>
        <w:t>区内，年上市肉猪约</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15000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头，项目的建设符合海丰县生</w:t>
      </w:r>
      <w:r>
        <w:rPr>
          <w:rFonts w:ascii="宋体" w:hAnsi="宋体" w:eastAsia="宋体" w:cs="宋体"/>
          <w:sz w:val="24"/>
          <w:szCs w:val="24"/>
        </w:rPr>
        <w:t xml:space="preserve">猪生产发展总体规划的要 </w:t>
      </w:r>
      <w:r>
        <w:rPr>
          <w:rFonts w:ascii="宋体" w:hAnsi="宋体" w:eastAsia="宋体" w:cs="宋体"/>
          <w:spacing w:val="-6"/>
          <w:sz w:val="24"/>
          <w:szCs w:val="24"/>
        </w:rPr>
        <w:t>求。</w:t>
      </w:r>
    </w:p>
    <w:p w14:paraId="6896467A">
      <w:pPr>
        <w:spacing w:before="57" w:line="220" w:lineRule="auto"/>
        <w:ind w:left="49"/>
        <w:outlineLvl w:val="2"/>
        <w:rPr>
          <w:rFonts w:ascii="宋体" w:hAnsi="宋体" w:eastAsia="宋体" w:cs="宋体"/>
          <w:sz w:val="24"/>
          <w:szCs w:val="24"/>
        </w:rPr>
      </w:pPr>
      <w:r>
        <w:rPr>
          <w:rFonts w:ascii="Times New Roman" w:hAnsi="Times New Roman" w:eastAsia="Times New Roman" w:cs="Times New Roman"/>
          <w:b/>
          <w:bCs/>
          <w:spacing w:val="-3"/>
          <w:sz w:val="24"/>
          <w:szCs w:val="24"/>
        </w:rPr>
        <w:t>1.4.3</w:t>
      </w:r>
      <w:r>
        <w:rPr>
          <w:rFonts w:ascii="宋体" w:hAnsi="宋体" w:eastAsia="宋体" w:cs="宋体"/>
          <w:b/>
          <w:bCs/>
          <w:spacing w:val="-3"/>
          <w:sz w:val="24"/>
          <w:szCs w:val="24"/>
        </w:rPr>
        <w:t>与环保规划相符性分析</w:t>
      </w:r>
    </w:p>
    <w:p w14:paraId="1A29DC5E">
      <w:pPr>
        <w:spacing w:before="169" w:line="360" w:lineRule="exact"/>
        <w:jc w:val="right"/>
        <w:rPr>
          <w:rFonts w:ascii="宋体" w:hAnsi="宋体" w:eastAsia="宋体" w:cs="宋体"/>
          <w:sz w:val="24"/>
          <w:szCs w:val="24"/>
        </w:rPr>
      </w:pPr>
      <w:r>
        <w:rPr>
          <w:rFonts w:ascii="Times New Roman" w:hAnsi="Times New Roman" w:eastAsia="Times New Roman" w:cs="Times New Roman"/>
          <w:spacing w:val="-2"/>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、与《国务院关于印发土壤污染防治行动计划的</w:t>
      </w:r>
      <w:r>
        <w:rPr>
          <w:rFonts w:ascii="宋体" w:hAnsi="宋体" w:eastAsia="宋体" w:cs="宋体"/>
          <w:spacing w:val="-3"/>
          <w:position w:val="2"/>
          <w:sz w:val="24"/>
          <w:szCs w:val="24"/>
        </w:rPr>
        <w:t>通知》（国发〔</w:t>
      </w:r>
      <w:r>
        <w:rPr>
          <w:rFonts w:ascii="Times New Roman" w:hAnsi="Times New Roman" w:eastAsia="Times New Roman" w:cs="Times New Roman"/>
          <w:spacing w:val="-3"/>
          <w:position w:val="2"/>
          <w:sz w:val="24"/>
          <w:szCs w:val="24"/>
        </w:rPr>
        <w:t>2016</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31</w:t>
      </w:r>
      <w:r>
        <w:rPr>
          <w:rFonts w:ascii="Times New Roman" w:hAnsi="Times New Roman" w:eastAsia="Times New Roman" w:cs="Times New Roman"/>
          <w:spacing w:val="16"/>
          <w:position w:val="2"/>
          <w:sz w:val="24"/>
          <w:szCs w:val="24"/>
        </w:rPr>
        <w:t xml:space="preserve"> </w:t>
      </w:r>
      <w:r>
        <w:rPr>
          <w:rFonts w:ascii="宋体" w:hAnsi="宋体" w:eastAsia="宋体" w:cs="宋体"/>
          <w:spacing w:val="-3"/>
          <w:position w:val="2"/>
          <w:sz w:val="24"/>
          <w:szCs w:val="24"/>
        </w:rPr>
        <w:t>号）</w:t>
      </w:r>
    </w:p>
    <w:p w14:paraId="1666C716">
      <w:pPr>
        <w:spacing w:before="165" w:line="220" w:lineRule="auto"/>
        <w:ind w:left="42"/>
        <w:rPr>
          <w:rFonts w:ascii="宋体" w:hAnsi="宋体" w:eastAsia="宋体" w:cs="宋体"/>
          <w:sz w:val="24"/>
          <w:szCs w:val="24"/>
        </w:rPr>
      </w:pPr>
      <w:r>
        <w:rPr>
          <w:rFonts w:ascii="宋体" w:hAnsi="宋体" w:eastAsia="宋体" w:cs="宋体"/>
          <w:spacing w:val="-3"/>
          <w:sz w:val="24"/>
          <w:szCs w:val="24"/>
        </w:rPr>
        <w:t>相符分析</w:t>
      </w:r>
    </w:p>
    <w:p w14:paraId="4736625A">
      <w:pPr>
        <w:spacing w:before="201" w:line="219" w:lineRule="auto"/>
        <w:ind w:left="523"/>
        <w:rPr>
          <w:rFonts w:ascii="宋体" w:hAnsi="宋体" w:eastAsia="宋体" w:cs="宋体"/>
          <w:sz w:val="24"/>
          <w:szCs w:val="24"/>
        </w:rPr>
      </w:pPr>
      <w:r>
        <w:rPr>
          <w:rFonts w:ascii="宋体" w:hAnsi="宋体" w:eastAsia="宋体" w:cs="宋体"/>
          <w:spacing w:val="2"/>
          <w:sz w:val="24"/>
          <w:szCs w:val="24"/>
        </w:rPr>
        <w:t>土壤是经济社会可持续发展的物质基础，关系人民群众身体健康，关系美丽中</w:t>
      </w:r>
    </w:p>
    <w:p w14:paraId="40AF8E1A">
      <w:pPr>
        <w:spacing w:line="219" w:lineRule="auto"/>
        <w:rPr>
          <w:rFonts w:ascii="宋体" w:hAnsi="宋体" w:eastAsia="宋体" w:cs="宋体"/>
          <w:sz w:val="24"/>
          <w:szCs w:val="24"/>
        </w:rPr>
        <w:sectPr>
          <w:footerReference r:id="rId15" w:type="default"/>
          <w:pgSz w:w="11906" w:h="16839"/>
          <w:pgMar w:top="1418" w:right="1518" w:bottom="1485" w:left="1555" w:header="0" w:footer="1249" w:gutter="0"/>
          <w:cols w:space="720" w:num="1"/>
        </w:sectPr>
      </w:pPr>
    </w:p>
    <w:p w14:paraId="1D8AF55D">
      <w:pPr>
        <w:spacing w:before="111" w:line="376" w:lineRule="auto"/>
        <w:ind w:left="12" w:right="235" w:firstLine="24"/>
        <w:jc w:val="both"/>
        <w:rPr>
          <w:rFonts w:ascii="宋体" w:hAnsi="宋体" w:eastAsia="宋体" w:cs="宋体"/>
          <w:sz w:val="24"/>
          <w:szCs w:val="24"/>
        </w:rPr>
      </w:pPr>
      <w:r>
        <w:rPr>
          <w:rFonts w:ascii="宋体" w:hAnsi="宋体" w:eastAsia="宋体" w:cs="宋体"/>
          <w:spacing w:val="1"/>
          <w:sz w:val="24"/>
          <w:szCs w:val="24"/>
        </w:rPr>
        <w:t>国建设，保护好土壤环境是推进生态文明建设和维护国家生态安全的重要内容。当</w:t>
      </w:r>
      <w:r>
        <w:rPr>
          <w:rFonts w:ascii="宋体" w:hAnsi="宋体" w:eastAsia="宋体" w:cs="宋体"/>
          <w:spacing w:val="18"/>
          <w:sz w:val="24"/>
          <w:szCs w:val="24"/>
        </w:rPr>
        <w:t xml:space="preserve"> </w:t>
      </w:r>
      <w:r>
        <w:rPr>
          <w:rFonts w:ascii="宋体" w:hAnsi="宋体" w:eastAsia="宋体" w:cs="宋体"/>
          <w:spacing w:val="2"/>
          <w:sz w:val="24"/>
          <w:szCs w:val="24"/>
        </w:rPr>
        <w:t>前，我国土壤环境总体状况堪忧，部分地区污染较为严重，已成为全面建成小康社</w:t>
      </w:r>
      <w:r>
        <w:rPr>
          <w:rFonts w:ascii="宋体" w:hAnsi="宋体" w:eastAsia="宋体" w:cs="宋体"/>
          <w:spacing w:val="7"/>
          <w:sz w:val="24"/>
          <w:szCs w:val="24"/>
        </w:rPr>
        <w:t xml:space="preserve"> </w:t>
      </w:r>
      <w:r>
        <w:rPr>
          <w:rFonts w:ascii="宋体" w:hAnsi="宋体" w:eastAsia="宋体" w:cs="宋体"/>
          <w:spacing w:val="2"/>
          <w:sz w:val="24"/>
          <w:szCs w:val="24"/>
        </w:rPr>
        <w:t>会的突出短板之一。为切实加强土壤污染防治，逐步改善土壤环境质量，制定本行</w:t>
      </w:r>
      <w:r>
        <w:rPr>
          <w:rFonts w:ascii="宋体" w:hAnsi="宋体" w:eastAsia="宋体" w:cs="宋体"/>
          <w:spacing w:val="7"/>
          <w:sz w:val="24"/>
          <w:szCs w:val="24"/>
        </w:rPr>
        <w:t xml:space="preserve"> </w:t>
      </w:r>
      <w:r>
        <w:rPr>
          <w:rFonts w:ascii="宋体" w:hAnsi="宋体" w:eastAsia="宋体" w:cs="宋体"/>
          <w:spacing w:val="-3"/>
          <w:sz w:val="24"/>
          <w:szCs w:val="24"/>
        </w:rPr>
        <w:t>动计划。</w:t>
      </w:r>
    </w:p>
    <w:p w14:paraId="7966B772">
      <w:pPr>
        <w:spacing w:line="220" w:lineRule="auto"/>
        <w:ind w:left="495"/>
        <w:rPr>
          <w:rFonts w:ascii="宋体" w:hAnsi="宋体" w:eastAsia="宋体" w:cs="宋体"/>
          <w:sz w:val="24"/>
          <w:szCs w:val="24"/>
        </w:rPr>
      </w:pPr>
      <w:r>
        <w:rPr>
          <w:rFonts w:ascii="宋体" w:hAnsi="宋体" w:eastAsia="宋体" w:cs="宋体"/>
          <w:spacing w:val="-1"/>
          <w:sz w:val="24"/>
          <w:szCs w:val="24"/>
        </w:rPr>
        <w:t>六、加强污染源监管，做好土壤污染预防工作</w:t>
      </w:r>
    </w:p>
    <w:p w14:paraId="088C4B8F">
      <w:pPr>
        <w:spacing w:before="201" w:line="373" w:lineRule="auto"/>
        <w:ind w:left="13" w:right="231" w:firstLine="491"/>
        <w:jc w:val="both"/>
        <w:rPr>
          <w:rFonts w:ascii="宋体" w:hAnsi="宋体" w:eastAsia="宋体" w:cs="宋体"/>
          <w:sz w:val="24"/>
          <w:szCs w:val="24"/>
        </w:rPr>
      </w:pPr>
      <w:r>
        <w:rPr>
          <w:rFonts w:ascii="宋体" w:hAnsi="宋体" w:eastAsia="宋体" w:cs="宋体"/>
          <w:spacing w:val="1"/>
          <w:sz w:val="24"/>
          <w:szCs w:val="24"/>
        </w:rPr>
        <w:t>（十九）控制农业污染。</w:t>
      </w:r>
      <w:r>
        <w:rPr>
          <w:rFonts w:ascii="宋体" w:hAnsi="宋体" w:eastAsia="宋体" w:cs="宋体"/>
          <w:spacing w:val="-88"/>
          <w:sz w:val="24"/>
          <w:szCs w:val="24"/>
        </w:rPr>
        <w:t xml:space="preserve"> </w:t>
      </w:r>
      <w:r>
        <w:rPr>
          <w:rFonts w:ascii="宋体" w:hAnsi="宋体" w:eastAsia="宋体" w:cs="宋体"/>
          <w:spacing w:val="1"/>
          <w:sz w:val="24"/>
          <w:szCs w:val="24"/>
        </w:rPr>
        <w:t>……强化畜禽养殖污染防治。严格规范兽药、饲料添</w:t>
      </w:r>
      <w:r>
        <w:rPr>
          <w:rFonts w:ascii="宋体" w:hAnsi="宋体" w:eastAsia="宋体" w:cs="宋体"/>
          <w:sz w:val="24"/>
          <w:szCs w:val="24"/>
        </w:rPr>
        <w:t xml:space="preserve"> </w:t>
      </w:r>
      <w:r>
        <w:rPr>
          <w:rFonts w:ascii="宋体" w:hAnsi="宋体" w:eastAsia="宋体" w:cs="宋体"/>
          <w:spacing w:val="2"/>
          <w:sz w:val="24"/>
          <w:szCs w:val="24"/>
        </w:rPr>
        <w:t>加剂的生产和使用，防止过量使用，促进源头减量。加强畜禽粪便综合利用，在部</w:t>
      </w:r>
      <w:r>
        <w:rPr>
          <w:rFonts w:ascii="宋体" w:hAnsi="宋体" w:eastAsia="宋体" w:cs="宋体"/>
          <w:spacing w:val="6"/>
          <w:sz w:val="24"/>
          <w:szCs w:val="24"/>
        </w:rPr>
        <w:t xml:space="preserve"> </w:t>
      </w:r>
      <w:r>
        <w:rPr>
          <w:rFonts w:ascii="宋体" w:hAnsi="宋体" w:eastAsia="宋体" w:cs="宋体"/>
          <w:spacing w:val="2"/>
          <w:sz w:val="24"/>
          <w:szCs w:val="24"/>
        </w:rPr>
        <w:t>分生猪大县开展种养业有机结合、循环发展试点。鼓励支持畜禽粪便处理利用设施</w:t>
      </w:r>
      <w:r>
        <w:rPr>
          <w:rFonts w:ascii="宋体" w:hAnsi="宋体" w:eastAsia="宋体" w:cs="宋体"/>
          <w:spacing w:val="6"/>
          <w:sz w:val="24"/>
          <w:szCs w:val="24"/>
        </w:rPr>
        <w:t xml:space="preserve"> </w:t>
      </w:r>
      <w:r>
        <w:rPr>
          <w:rFonts w:ascii="宋体" w:hAnsi="宋体" w:eastAsia="宋体" w:cs="宋体"/>
          <w:spacing w:val="-4"/>
          <w:sz w:val="24"/>
          <w:szCs w:val="24"/>
        </w:rPr>
        <w:t xml:space="preserve">建设，到 </w:t>
      </w:r>
      <w:r>
        <w:rPr>
          <w:rFonts w:ascii="Times New Roman" w:hAnsi="Times New Roman" w:eastAsia="Times New Roman" w:cs="Times New Roman"/>
          <w:spacing w:val="-4"/>
          <w:sz w:val="24"/>
          <w:szCs w:val="24"/>
        </w:rPr>
        <w:t xml:space="preserve">2020 </w:t>
      </w:r>
      <w:r>
        <w:rPr>
          <w:rFonts w:ascii="宋体" w:hAnsi="宋体" w:eastAsia="宋体" w:cs="宋体"/>
          <w:spacing w:val="-4"/>
          <w:sz w:val="24"/>
          <w:szCs w:val="24"/>
        </w:rPr>
        <w:t>年，规模化养殖场、养殖小区配套建设废弃物处</w:t>
      </w:r>
      <w:r>
        <w:rPr>
          <w:rFonts w:ascii="宋体" w:hAnsi="宋体" w:eastAsia="宋体" w:cs="宋体"/>
          <w:spacing w:val="-5"/>
          <w:sz w:val="24"/>
          <w:szCs w:val="24"/>
        </w:rPr>
        <w:t xml:space="preserve">理设施比例达到 </w:t>
      </w:r>
      <w:r>
        <w:rPr>
          <w:rFonts w:ascii="Times New Roman" w:hAnsi="Times New Roman" w:eastAsia="Times New Roman" w:cs="Times New Roman"/>
          <w:spacing w:val="-5"/>
          <w:sz w:val="24"/>
          <w:szCs w:val="24"/>
        </w:rPr>
        <w:t>75%</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以上。</w:t>
      </w:r>
    </w:p>
    <w:p w14:paraId="12A24A6E">
      <w:pPr>
        <w:spacing w:before="22" w:line="376" w:lineRule="auto"/>
        <w:ind w:left="15" w:right="235" w:firstLine="479"/>
        <w:rPr>
          <w:rFonts w:ascii="宋体" w:hAnsi="宋体" w:eastAsia="宋体" w:cs="宋体"/>
          <w:sz w:val="24"/>
          <w:szCs w:val="24"/>
        </w:rPr>
      </w:pPr>
      <w:r>
        <w:rPr>
          <w:rFonts w:ascii="宋体" w:hAnsi="宋体" w:eastAsia="宋体" w:cs="宋体"/>
          <w:spacing w:val="2"/>
          <w:sz w:val="24"/>
          <w:szCs w:val="24"/>
        </w:rPr>
        <w:t>本项目设置有机肥发酵车间，猪场产生的粪便、尿液、猪舍冲洗冲洗水、员工</w:t>
      </w:r>
      <w:r>
        <w:rPr>
          <w:rFonts w:ascii="宋体" w:hAnsi="宋体" w:eastAsia="宋体" w:cs="宋体"/>
          <w:spacing w:val="9"/>
          <w:sz w:val="24"/>
          <w:szCs w:val="24"/>
        </w:rPr>
        <w:t xml:space="preserve"> </w:t>
      </w:r>
      <w:r>
        <w:rPr>
          <w:rFonts w:ascii="宋体" w:hAnsi="宋体" w:eastAsia="宋体" w:cs="宋体"/>
          <w:spacing w:val="-1"/>
          <w:sz w:val="24"/>
          <w:szCs w:val="24"/>
        </w:rPr>
        <w:t>生活污水经发酵制作成有机肥半成品，畜禽粪污资源化利用率非常高。</w:t>
      </w:r>
    </w:p>
    <w:p w14:paraId="7B4C8555">
      <w:pPr>
        <w:spacing w:line="362" w:lineRule="auto"/>
        <w:ind w:left="45" w:right="235" w:firstLine="466"/>
        <w:rPr>
          <w:rFonts w:ascii="宋体" w:hAnsi="宋体" w:eastAsia="宋体" w:cs="宋体"/>
          <w:sz w:val="24"/>
          <w:szCs w:val="24"/>
        </w:rPr>
      </w:pPr>
      <w:r>
        <w:rPr>
          <w:rFonts w:ascii="宋体" w:hAnsi="宋体" w:eastAsia="宋体" w:cs="宋体"/>
          <w:spacing w:val="2"/>
          <w:sz w:val="24"/>
          <w:szCs w:val="24"/>
        </w:rPr>
        <w:t>因此，项目建设符合《国务院关于印发土壤污染防治行动</w:t>
      </w:r>
      <w:r>
        <w:rPr>
          <w:rFonts w:ascii="宋体" w:hAnsi="宋体" w:eastAsia="宋体" w:cs="宋体"/>
          <w:spacing w:val="1"/>
          <w:sz w:val="24"/>
          <w:szCs w:val="24"/>
        </w:rPr>
        <w:t>计划的通知》（国发</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w:t>
      </w:r>
      <w:r>
        <w:rPr>
          <w:rFonts w:ascii="Times New Roman" w:hAnsi="Times New Roman" w:eastAsia="Times New Roman" w:cs="Times New Roman"/>
          <w:spacing w:val="-3"/>
          <w:sz w:val="24"/>
          <w:szCs w:val="24"/>
        </w:rPr>
        <w:t>31</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号）中的污染防治措施要求。</w:t>
      </w:r>
    </w:p>
    <w:p w14:paraId="2BA6FDCB">
      <w:pPr>
        <w:spacing w:line="360" w:lineRule="exact"/>
        <w:ind w:left="489"/>
        <w:rPr>
          <w:rFonts w:ascii="宋体" w:hAnsi="宋体" w:eastAsia="宋体" w:cs="宋体"/>
          <w:sz w:val="24"/>
          <w:szCs w:val="24"/>
        </w:rPr>
      </w:pPr>
      <w:r>
        <w:rPr>
          <w:rFonts w:ascii="Times New Roman" w:hAnsi="Times New Roman" w:eastAsia="Times New Roman" w:cs="Times New Roman"/>
          <w:spacing w:val="-1"/>
          <w:position w:val="2"/>
          <w:sz w:val="24"/>
          <w:szCs w:val="24"/>
        </w:rPr>
        <w:t>2</w:t>
      </w:r>
      <w:r>
        <w:rPr>
          <w:rFonts w:ascii="Times New Roman" w:hAnsi="Times New Roman" w:eastAsia="Times New Roman" w:cs="Times New Roman"/>
          <w:spacing w:val="-33"/>
          <w:position w:val="2"/>
          <w:sz w:val="24"/>
          <w:szCs w:val="24"/>
        </w:rPr>
        <w:t xml:space="preserve"> </w:t>
      </w:r>
      <w:r>
        <w:rPr>
          <w:rFonts w:ascii="宋体" w:hAnsi="宋体" w:eastAsia="宋体" w:cs="宋体"/>
          <w:spacing w:val="-1"/>
          <w:position w:val="2"/>
          <w:sz w:val="24"/>
          <w:szCs w:val="24"/>
        </w:rPr>
        <w:t>、与《广东省环境保护规划纲要（</w:t>
      </w:r>
      <w:r>
        <w:rPr>
          <w:rFonts w:ascii="Times New Roman" w:hAnsi="Times New Roman" w:eastAsia="Times New Roman" w:cs="Times New Roman"/>
          <w:spacing w:val="-1"/>
          <w:position w:val="2"/>
          <w:sz w:val="24"/>
          <w:szCs w:val="24"/>
        </w:rPr>
        <w:t xml:space="preserve">2006-2020 </w:t>
      </w:r>
      <w:r>
        <w:rPr>
          <w:rFonts w:ascii="宋体" w:hAnsi="宋体" w:eastAsia="宋体" w:cs="宋体"/>
          <w:spacing w:val="-1"/>
          <w:position w:val="2"/>
          <w:sz w:val="24"/>
          <w:szCs w:val="24"/>
        </w:rPr>
        <w:t>年）》相符性分析</w:t>
      </w:r>
    </w:p>
    <w:p w14:paraId="5C0380B3">
      <w:pPr>
        <w:spacing w:before="39" w:line="366" w:lineRule="auto"/>
        <w:ind w:left="13" w:right="232" w:firstLine="485"/>
        <w:rPr>
          <w:rFonts w:ascii="宋体" w:hAnsi="宋体" w:eastAsia="宋体" w:cs="宋体"/>
          <w:sz w:val="24"/>
          <w:szCs w:val="24"/>
        </w:rPr>
      </w:pPr>
      <w:r>
        <w:rPr>
          <w:rFonts w:ascii="宋体" w:hAnsi="宋体" w:eastAsia="宋体" w:cs="宋体"/>
          <w:spacing w:val="-2"/>
          <w:sz w:val="24"/>
          <w:szCs w:val="24"/>
        </w:rPr>
        <w:t>《广东省环境保护规划纲要（</w:t>
      </w:r>
      <w:r>
        <w:rPr>
          <w:rFonts w:ascii="Times New Roman" w:hAnsi="Times New Roman" w:eastAsia="Times New Roman" w:cs="Times New Roman"/>
          <w:spacing w:val="-2"/>
          <w:sz w:val="24"/>
          <w:szCs w:val="24"/>
        </w:rPr>
        <w:t xml:space="preserve">2006-2020 </w:t>
      </w:r>
      <w:r>
        <w:rPr>
          <w:rFonts w:ascii="宋体" w:hAnsi="宋体" w:eastAsia="宋体" w:cs="宋体"/>
          <w:spacing w:val="-2"/>
          <w:sz w:val="24"/>
          <w:szCs w:val="24"/>
        </w:rPr>
        <w:t>年）》提出加强畜禽养殖业环境管理的</w:t>
      </w:r>
      <w:r>
        <w:rPr>
          <w:rFonts w:ascii="宋体" w:hAnsi="宋体" w:eastAsia="宋体" w:cs="宋体"/>
          <w:spacing w:val="14"/>
          <w:sz w:val="24"/>
          <w:szCs w:val="24"/>
        </w:rPr>
        <w:t xml:space="preserve"> </w:t>
      </w:r>
      <w:r>
        <w:rPr>
          <w:rFonts w:ascii="宋体" w:hAnsi="宋体" w:eastAsia="宋体" w:cs="宋体"/>
          <w:spacing w:val="2"/>
          <w:sz w:val="24"/>
          <w:szCs w:val="24"/>
        </w:rPr>
        <w:t>要求：“搬迁或关闭位于水源保护区、城市和城镇居民区等人口集中地区的畜禽养</w:t>
      </w:r>
      <w:r>
        <w:rPr>
          <w:rFonts w:ascii="宋体" w:hAnsi="宋体" w:eastAsia="宋体" w:cs="宋体"/>
          <w:spacing w:val="6"/>
          <w:sz w:val="24"/>
          <w:szCs w:val="24"/>
        </w:rPr>
        <w:t xml:space="preserve"> </w:t>
      </w:r>
      <w:r>
        <w:rPr>
          <w:rFonts w:ascii="宋体" w:hAnsi="宋体" w:eastAsia="宋体" w:cs="宋体"/>
          <w:spacing w:val="2"/>
          <w:sz w:val="24"/>
          <w:szCs w:val="24"/>
        </w:rPr>
        <w:t>殖场。适度控制养殖规模，原则上珠江三角洲河网区不得新建、扩建畜禽养殖场，</w:t>
      </w:r>
      <w:r>
        <w:rPr>
          <w:rFonts w:ascii="宋体" w:hAnsi="宋体" w:eastAsia="宋体" w:cs="宋体"/>
          <w:spacing w:val="8"/>
          <w:sz w:val="24"/>
          <w:szCs w:val="24"/>
        </w:rPr>
        <w:t xml:space="preserve"> </w:t>
      </w:r>
      <w:r>
        <w:rPr>
          <w:rFonts w:ascii="宋体" w:hAnsi="宋体" w:eastAsia="宋体" w:cs="宋体"/>
          <w:spacing w:val="2"/>
          <w:sz w:val="24"/>
          <w:szCs w:val="24"/>
        </w:rPr>
        <w:t>引导畜禽养殖业向消纳土地相对充足的山区转移，走生态养殖道路，减少畜禽废水</w:t>
      </w:r>
      <w:r>
        <w:rPr>
          <w:rFonts w:ascii="宋体" w:hAnsi="宋体" w:eastAsia="宋体" w:cs="宋体"/>
          <w:spacing w:val="6"/>
          <w:sz w:val="24"/>
          <w:szCs w:val="24"/>
        </w:rPr>
        <w:t xml:space="preserve"> </w:t>
      </w:r>
      <w:r>
        <w:rPr>
          <w:rFonts w:ascii="宋体" w:hAnsi="宋体" w:eastAsia="宋体" w:cs="宋体"/>
          <w:spacing w:val="2"/>
          <w:sz w:val="24"/>
          <w:szCs w:val="24"/>
        </w:rPr>
        <w:t>直接向环境水体排放。县级以上人民政府应根据环境保护的需要划定畜禽禁养区，</w:t>
      </w:r>
      <w:r>
        <w:rPr>
          <w:rFonts w:ascii="宋体" w:hAnsi="宋体" w:eastAsia="宋体" w:cs="宋体"/>
          <w:spacing w:val="8"/>
          <w:sz w:val="24"/>
          <w:szCs w:val="24"/>
        </w:rPr>
        <w:t xml:space="preserve"> </w:t>
      </w:r>
      <w:r>
        <w:rPr>
          <w:rFonts w:ascii="宋体" w:hAnsi="宋体" w:eastAsia="宋体" w:cs="宋体"/>
          <w:spacing w:val="1"/>
          <w:sz w:val="24"/>
          <w:szCs w:val="24"/>
        </w:rPr>
        <w:t>严禁在畜禽禁养区内从事畜禽养殖业。</w:t>
      </w:r>
      <w:r>
        <w:rPr>
          <w:rFonts w:ascii="宋体" w:hAnsi="宋体" w:eastAsia="宋体" w:cs="宋体"/>
          <w:spacing w:val="-78"/>
          <w:sz w:val="24"/>
          <w:szCs w:val="24"/>
        </w:rPr>
        <w:t xml:space="preserve"> </w:t>
      </w:r>
      <w:r>
        <w:rPr>
          <w:rFonts w:ascii="宋体" w:hAnsi="宋体" w:eastAsia="宋体" w:cs="宋体"/>
          <w:spacing w:val="1"/>
          <w:sz w:val="24"/>
          <w:szCs w:val="24"/>
        </w:rPr>
        <w:t>”并提出通过粪便资源化利用，沼气池建设</w:t>
      </w:r>
      <w:r>
        <w:rPr>
          <w:rFonts w:ascii="宋体" w:hAnsi="宋体" w:eastAsia="宋体" w:cs="宋体"/>
          <w:sz w:val="24"/>
          <w:szCs w:val="24"/>
        </w:rPr>
        <w:t xml:space="preserve"> </w:t>
      </w:r>
      <w:r>
        <w:rPr>
          <w:rFonts w:ascii="宋体" w:hAnsi="宋体" w:eastAsia="宋体" w:cs="宋体"/>
          <w:spacing w:val="1"/>
          <w:sz w:val="24"/>
          <w:szCs w:val="24"/>
        </w:rPr>
        <w:t>等方式“提高畜禽养殖业清洁生产水平及废弃物资源化利用水平</w:t>
      </w:r>
      <w:r>
        <w:rPr>
          <w:rFonts w:ascii="宋体" w:hAnsi="宋体" w:eastAsia="宋体" w:cs="宋体"/>
          <w:spacing w:val="-81"/>
          <w:sz w:val="24"/>
          <w:szCs w:val="24"/>
        </w:rPr>
        <w:t xml:space="preserve"> </w:t>
      </w:r>
      <w:r>
        <w:rPr>
          <w:rFonts w:ascii="宋体" w:hAnsi="宋体" w:eastAsia="宋体" w:cs="宋体"/>
          <w:spacing w:val="1"/>
          <w:sz w:val="24"/>
          <w:szCs w:val="24"/>
        </w:rPr>
        <w:t>”。本项目不属于</w:t>
      </w:r>
      <w:r>
        <w:rPr>
          <w:rFonts w:ascii="宋体" w:hAnsi="宋体" w:eastAsia="宋体" w:cs="宋体"/>
          <w:sz w:val="24"/>
          <w:szCs w:val="24"/>
        </w:rPr>
        <w:t xml:space="preserve"> 珠江三角洲河网区，不在水源保护区、人口密集区、畜禽禁养区内</w:t>
      </w:r>
      <w:r>
        <w:rPr>
          <w:rFonts w:ascii="Times New Roman" w:hAnsi="Times New Roman" w:eastAsia="Times New Roman" w:cs="Times New Roman"/>
          <w:sz w:val="24"/>
          <w:szCs w:val="24"/>
        </w:rPr>
        <w:t>,</w:t>
      </w:r>
      <w:r>
        <w:rPr>
          <w:rFonts w:ascii="宋体" w:hAnsi="宋体" w:eastAsia="宋体" w:cs="宋体"/>
          <w:sz w:val="24"/>
          <w:szCs w:val="24"/>
        </w:rPr>
        <w:t>并通过粪污发酵</w:t>
      </w:r>
      <w:r>
        <w:rPr>
          <w:rFonts w:ascii="宋体" w:hAnsi="宋体" w:eastAsia="宋体" w:cs="宋体"/>
          <w:spacing w:val="18"/>
          <w:sz w:val="24"/>
          <w:szCs w:val="24"/>
        </w:rPr>
        <w:t xml:space="preserve"> </w:t>
      </w:r>
      <w:r>
        <w:rPr>
          <w:rFonts w:ascii="宋体" w:hAnsi="宋体" w:eastAsia="宋体" w:cs="宋体"/>
          <w:spacing w:val="2"/>
          <w:sz w:val="24"/>
          <w:szCs w:val="24"/>
        </w:rPr>
        <w:t>制作肥料工程的建设提高了废物资源化利用水平，因此本项目的建设符合《广东省</w:t>
      </w:r>
      <w:r>
        <w:rPr>
          <w:rFonts w:ascii="宋体" w:hAnsi="宋体" w:eastAsia="宋体" w:cs="宋体"/>
          <w:spacing w:val="6"/>
          <w:sz w:val="24"/>
          <w:szCs w:val="24"/>
        </w:rPr>
        <w:t xml:space="preserve"> </w:t>
      </w:r>
      <w:r>
        <w:rPr>
          <w:rFonts w:ascii="宋体" w:hAnsi="宋体" w:eastAsia="宋体" w:cs="宋体"/>
          <w:spacing w:val="-1"/>
          <w:sz w:val="24"/>
          <w:szCs w:val="24"/>
        </w:rPr>
        <w:t>环境保护规划纲要（</w:t>
      </w:r>
      <w:r>
        <w:rPr>
          <w:rFonts w:ascii="Times New Roman" w:hAnsi="Times New Roman" w:eastAsia="Times New Roman" w:cs="Times New Roman"/>
          <w:spacing w:val="-1"/>
          <w:sz w:val="24"/>
          <w:szCs w:val="24"/>
        </w:rPr>
        <w:t xml:space="preserve">2006-2020 </w:t>
      </w:r>
      <w:r>
        <w:rPr>
          <w:rFonts w:ascii="宋体" w:hAnsi="宋体" w:eastAsia="宋体" w:cs="宋体"/>
          <w:spacing w:val="-1"/>
          <w:sz w:val="24"/>
          <w:szCs w:val="24"/>
        </w:rPr>
        <w:t>年）》。</w:t>
      </w:r>
    </w:p>
    <w:p w14:paraId="445049FD">
      <w:pPr>
        <w:spacing w:line="360" w:lineRule="exact"/>
        <w:ind w:left="494"/>
        <w:rPr>
          <w:rFonts w:ascii="宋体" w:hAnsi="宋体" w:eastAsia="宋体" w:cs="宋体"/>
          <w:sz w:val="24"/>
          <w:szCs w:val="24"/>
        </w:rPr>
      </w:pPr>
      <w:r>
        <w:rPr>
          <w:rFonts w:ascii="Times New Roman" w:hAnsi="Times New Roman" w:eastAsia="Times New Roman" w:cs="Times New Roman"/>
          <w:spacing w:val="-1"/>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1"/>
          <w:position w:val="2"/>
          <w:sz w:val="24"/>
          <w:szCs w:val="24"/>
        </w:rPr>
        <w:t>、与《汕尾市环境保护规划纲要（</w:t>
      </w:r>
      <w:r>
        <w:rPr>
          <w:rFonts w:ascii="Times New Roman" w:hAnsi="Times New Roman" w:eastAsia="Times New Roman" w:cs="Times New Roman"/>
          <w:spacing w:val="-1"/>
          <w:position w:val="2"/>
          <w:sz w:val="24"/>
          <w:szCs w:val="24"/>
        </w:rPr>
        <w:t>2008-2020</w:t>
      </w:r>
      <w:r>
        <w:rPr>
          <w:rFonts w:ascii="宋体" w:hAnsi="宋体" w:eastAsia="宋体" w:cs="宋体"/>
          <w:spacing w:val="-1"/>
          <w:position w:val="2"/>
          <w:sz w:val="24"/>
          <w:szCs w:val="24"/>
        </w:rPr>
        <w:t>）</w:t>
      </w:r>
      <w:r>
        <w:rPr>
          <w:rFonts w:ascii="宋体" w:hAnsi="宋体" w:eastAsia="宋体" w:cs="宋体"/>
          <w:spacing w:val="-2"/>
          <w:position w:val="2"/>
          <w:sz w:val="24"/>
          <w:szCs w:val="24"/>
        </w:rPr>
        <w:t>》相符性分析</w:t>
      </w:r>
    </w:p>
    <w:p w14:paraId="762B83FC">
      <w:pPr>
        <w:spacing w:before="128" w:line="345" w:lineRule="auto"/>
        <w:ind w:firstLine="499"/>
        <w:rPr>
          <w:rFonts w:ascii="宋体" w:hAnsi="宋体" w:eastAsia="宋体" w:cs="宋体"/>
          <w:sz w:val="24"/>
          <w:szCs w:val="24"/>
        </w:rPr>
      </w:pPr>
      <w:r>
        <w:rPr>
          <w:rFonts w:ascii="宋体" w:hAnsi="宋体" w:eastAsia="宋体" w:cs="宋体"/>
          <w:sz w:val="24"/>
          <w:szCs w:val="24"/>
        </w:rPr>
        <w:t>《汕尾市环境保护规划纲要（</w:t>
      </w:r>
      <w:r>
        <w:rPr>
          <w:rFonts w:ascii="Times New Roman" w:hAnsi="Times New Roman" w:eastAsia="Times New Roman" w:cs="Times New Roman"/>
          <w:sz w:val="24"/>
          <w:szCs w:val="24"/>
        </w:rPr>
        <w:t>2008-2020</w:t>
      </w:r>
      <w:r>
        <w:rPr>
          <w:rFonts w:ascii="宋体" w:hAnsi="宋体" w:eastAsia="宋体" w:cs="宋体"/>
          <w:sz w:val="24"/>
          <w:szCs w:val="24"/>
        </w:rPr>
        <w:t>）》中指出“一些规模化</w:t>
      </w:r>
      <w:r>
        <w:rPr>
          <w:rFonts w:ascii="宋体" w:hAnsi="宋体" w:eastAsia="宋体" w:cs="宋体"/>
          <w:spacing w:val="-1"/>
          <w:sz w:val="24"/>
          <w:szCs w:val="24"/>
        </w:rPr>
        <w:t>畜禽养殖场缺</w:t>
      </w:r>
      <w:r>
        <w:rPr>
          <w:rFonts w:ascii="宋体" w:hAnsi="宋体" w:eastAsia="宋体" w:cs="宋体"/>
          <w:sz w:val="24"/>
          <w:szCs w:val="24"/>
        </w:rPr>
        <w:t xml:space="preserve">   </w:t>
      </w:r>
      <w:r>
        <w:rPr>
          <w:rFonts w:ascii="宋体" w:hAnsi="宋体" w:eastAsia="宋体" w:cs="宋体"/>
          <w:spacing w:val="2"/>
          <w:sz w:val="24"/>
          <w:szCs w:val="24"/>
        </w:rPr>
        <w:t>乏有效的畜禽粪便处理设施，规模化养殖或专业化养殖带来的污染问题渐趋突出。”</w:t>
      </w:r>
      <w:r>
        <w:rPr>
          <w:rFonts w:ascii="宋体" w:hAnsi="宋体" w:eastAsia="宋体" w:cs="宋体"/>
          <w:spacing w:val="13"/>
          <w:sz w:val="24"/>
          <w:szCs w:val="24"/>
        </w:rPr>
        <w:t xml:space="preserve"> </w:t>
      </w:r>
      <w:r>
        <w:rPr>
          <w:rFonts w:ascii="宋体" w:hAnsi="宋体" w:eastAsia="宋体" w:cs="宋体"/>
          <w:spacing w:val="2"/>
          <w:sz w:val="24"/>
          <w:szCs w:val="24"/>
        </w:rPr>
        <w:t>“农村环境污染主要表现为畜禽养殖污染、农药、化肥污染和农村生活污染以及工</w:t>
      </w:r>
    </w:p>
    <w:p w14:paraId="79A368F0">
      <w:pPr>
        <w:spacing w:line="345" w:lineRule="auto"/>
        <w:rPr>
          <w:rFonts w:ascii="宋体" w:hAnsi="宋体" w:eastAsia="宋体" w:cs="宋体"/>
          <w:sz w:val="24"/>
          <w:szCs w:val="24"/>
        </w:rPr>
        <w:sectPr>
          <w:footerReference r:id="rId16" w:type="default"/>
          <w:pgSz w:w="11906" w:h="16839"/>
          <w:pgMar w:top="1431" w:right="1353" w:bottom="1485" w:left="1584" w:header="0" w:footer="1249" w:gutter="0"/>
          <w:cols w:space="720" w:num="1"/>
        </w:sectPr>
      </w:pPr>
    </w:p>
    <w:p w14:paraId="60AB7AF7">
      <w:pPr>
        <w:spacing w:before="112" w:line="369" w:lineRule="auto"/>
        <w:jc w:val="both"/>
        <w:rPr>
          <w:rFonts w:ascii="宋体" w:hAnsi="宋体" w:eastAsia="宋体" w:cs="宋体"/>
          <w:sz w:val="24"/>
          <w:szCs w:val="24"/>
        </w:rPr>
      </w:pPr>
      <w:r>
        <w:rPr>
          <w:rFonts w:ascii="宋体" w:hAnsi="宋体" w:eastAsia="宋体" w:cs="宋体"/>
          <w:spacing w:val="2"/>
          <w:sz w:val="24"/>
          <w:szCs w:val="24"/>
        </w:rPr>
        <w:t>业污染，其中农业畜禽养殖、生活垃圾以及不合理使用农药、化肥是目前造成我市</w:t>
      </w:r>
      <w:r>
        <w:rPr>
          <w:rFonts w:ascii="宋体" w:hAnsi="宋体" w:eastAsia="宋体" w:cs="宋体"/>
          <w:spacing w:val="7"/>
          <w:sz w:val="24"/>
          <w:szCs w:val="24"/>
        </w:rPr>
        <w:t xml:space="preserve"> </w:t>
      </w:r>
      <w:r>
        <w:rPr>
          <w:rFonts w:ascii="宋体" w:hAnsi="宋体" w:eastAsia="宋体" w:cs="宋体"/>
          <w:spacing w:val="1"/>
          <w:sz w:val="24"/>
          <w:szCs w:val="24"/>
        </w:rPr>
        <w:t>农村环境日益恶化的主要原因。</w:t>
      </w:r>
      <w:r>
        <w:rPr>
          <w:rFonts w:ascii="宋体" w:hAnsi="宋体" w:eastAsia="宋体" w:cs="宋体"/>
          <w:spacing w:val="-80"/>
          <w:sz w:val="24"/>
          <w:szCs w:val="24"/>
        </w:rPr>
        <w:t xml:space="preserve"> </w:t>
      </w:r>
      <w:r>
        <w:rPr>
          <w:rFonts w:ascii="宋体" w:hAnsi="宋体" w:eastAsia="宋体" w:cs="宋体"/>
          <w:spacing w:val="1"/>
          <w:sz w:val="24"/>
          <w:szCs w:val="24"/>
        </w:rPr>
        <w:t>”本项目针对粪污设有异位发酵床的处理设施，尿</w:t>
      </w:r>
      <w:r>
        <w:rPr>
          <w:rFonts w:ascii="宋体" w:hAnsi="宋体" w:eastAsia="宋体" w:cs="宋体"/>
          <w:sz w:val="24"/>
          <w:szCs w:val="24"/>
        </w:rPr>
        <w:t xml:space="preserve"> </w:t>
      </w:r>
      <w:r>
        <w:rPr>
          <w:rFonts w:ascii="宋体" w:hAnsi="宋体" w:eastAsia="宋体" w:cs="宋体"/>
          <w:spacing w:val="-2"/>
          <w:sz w:val="24"/>
          <w:szCs w:val="24"/>
        </w:rPr>
        <w:t>液、粪便、猪舍冲洗水、员工生活污水经处理后，成为有机肥半成品外</w:t>
      </w:r>
      <w:r>
        <w:rPr>
          <w:rFonts w:ascii="宋体" w:hAnsi="宋体" w:eastAsia="宋体" w:cs="宋体"/>
          <w:spacing w:val="-3"/>
          <w:sz w:val="24"/>
          <w:szCs w:val="24"/>
        </w:rPr>
        <w:t>售，不外排。</w:t>
      </w:r>
      <w:r>
        <w:rPr>
          <w:rFonts w:ascii="宋体" w:hAnsi="宋体" w:eastAsia="宋体" w:cs="宋体"/>
          <w:sz w:val="24"/>
          <w:szCs w:val="24"/>
        </w:rPr>
        <w:t xml:space="preserve"> </w:t>
      </w:r>
      <w:r>
        <w:rPr>
          <w:rFonts w:ascii="宋体" w:hAnsi="宋体" w:eastAsia="宋体" w:cs="宋体"/>
          <w:spacing w:val="-9"/>
          <w:sz w:val="24"/>
          <w:szCs w:val="24"/>
        </w:rPr>
        <w:t>对环境影响较小，因此，本项目建设符合《汕尾市环境保护规划纲要</w:t>
      </w:r>
      <w:r>
        <w:rPr>
          <w:rFonts w:ascii="宋体" w:hAnsi="宋体" w:eastAsia="宋体" w:cs="宋体"/>
          <w:spacing w:val="-10"/>
          <w:sz w:val="24"/>
          <w:szCs w:val="24"/>
        </w:rPr>
        <w:t>（</w:t>
      </w:r>
      <w:r>
        <w:rPr>
          <w:rFonts w:ascii="Times New Roman" w:hAnsi="Times New Roman" w:eastAsia="Times New Roman" w:cs="Times New Roman"/>
          <w:spacing w:val="-10"/>
          <w:sz w:val="24"/>
          <w:szCs w:val="24"/>
        </w:rPr>
        <w:t>2008-2020</w:t>
      </w:r>
      <w:r>
        <w:rPr>
          <w:rFonts w:ascii="宋体" w:hAnsi="宋体" w:eastAsia="宋体" w:cs="宋体"/>
          <w:spacing w:val="-10"/>
          <w:sz w:val="24"/>
          <w:szCs w:val="24"/>
        </w:rPr>
        <w:t>）》。</w:t>
      </w:r>
    </w:p>
    <w:p w14:paraId="7F983616">
      <w:pPr>
        <w:spacing w:line="360" w:lineRule="exact"/>
        <w:ind w:left="475"/>
        <w:rPr>
          <w:rFonts w:ascii="宋体" w:hAnsi="宋体" w:eastAsia="宋体" w:cs="宋体"/>
          <w:sz w:val="24"/>
          <w:szCs w:val="24"/>
        </w:rPr>
      </w:pPr>
      <w:r>
        <w:rPr>
          <w:rFonts w:ascii="Times New Roman" w:hAnsi="Times New Roman" w:eastAsia="Times New Roman" w:cs="Times New Roman"/>
          <w:spacing w:val="-1"/>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1"/>
          <w:position w:val="2"/>
          <w:sz w:val="24"/>
          <w:szCs w:val="24"/>
        </w:rPr>
        <w:t>、与《海丰县环境保护规划（</w:t>
      </w:r>
      <w:r>
        <w:rPr>
          <w:rFonts w:ascii="Times New Roman" w:hAnsi="Times New Roman" w:eastAsia="Times New Roman" w:cs="Times New Roman"/>
          <w:spacing w:val="-1"/>
          <w:position w:val="2"/>
          <w:sz w:val="24"/>
          <w:szCs w:val="24"/>
        </w:rPr>
        <w:t xml:space="preserve">2008-2020 </w:t>
      </w:r>
      <w:r>
        <w:rPr>
          <w:rFonts w:ascii="宋体" w:hAnsi="宋体" w:eastAsia="宋体" w:cs="宋体"/>
          <w:spacing w:val="-1"/>
          <w:position w:val="2"/>
          <w:sz w:val="24"/>
          <w:szCs w:val="24"/>
        </w:rPr>
        <w:t>年）》相符性分析</w:t>
      </w:r>
    </w:p>
    <w:p w14:paraId="1EA516C6">
      <w:pPr>
        <w:spacing w:before="129" w:line="380" w:lineRule="auto"/>
        <w:ind w:right="17" w:firstLine="480"/>
        <w:rPr>
          <w:rFonts w:ascii="宋体" w:hAnsi="宋体" w:eastAsia="宋体" w:cs="宋体"/>
          <w:sz w:val="24"/>
          <w:szCs w:val="24"/>
        </w:rPr>
      </w:pPr>
      <w:r>
        <w:rPr>
          <w:rFonts w:ascii="宋体" w:hAnsi="宋体" w:eastAsia="宋体" w:cs="宋体"/>
          <w:spacing w:val="-6"/>
          <w:sz w:val="24"/>
          <w:szCs w:val="24"/>
        </w:rPr>
        <w:t>根据《海丰县环境保护规划（</w:t>
      </w:r>
      <w:r>
        <w:rPr>
          <w:rFonts w:ascii="Times New Roman" w:hAnsi="Times New Roman" w:eastAsia="Times New Roman" w:cs="Times New Roman"/>
          <w:spacing w:val="-6"/>
          <w:sz w:val="24"/>
          <w:szCs w:val="24"/>
        </w:rPr>
        <w:t xml:space="preserve">2008-2020 </w:t>
      </w:r>
      <w:r>
        <w:rPr>
          <w:rFonts w:ascii="宋体" w:hAnsi="宋体" w:eastAsia="宋体" w:cs="宋体"/>
          <w:spacing w:val="-6"/>
          <w:sz w:val="24"/>
          <w:szCs w:val="24"/>
        </w:rPr>
        <w:t>年）》，从海丰县的实际发展需求出发，</w:t>
      </w:r>
      <w:r>
        <w:rPr>
          <w:rFonts w:ascii="宋体" w:hAnsi="宋体" w:eastAsia="宋体" w:cs="宋体"/>
          <w:spacing w:val="7"/>
          <w:sz w:val="24"/>
          <w:szCs w:val="24"/>
        </w:rPr>
        <w:t xml:space="preserve"> </w:t>
      </w:r>
      <w:r>
        <w:rPr>
          <w:rFonts w:ascii="宋体" w:hAnsi="宋体" w:eastAsia="宋体" w:cs="宋体"/>
          <w:spacing w:val="2"/>
          <w:sz w:val="24"/>
          <w:szCs w:val="24"/>
        </w:rPr>
        <w:t>在综合考虑生态功能区划、水环境功能区划、大气环境功能区划及资源禀赋、环境</w:t>
      </w:r>
      <w:r>
        <w:rPr>
          <w:rFonts w:ascii="宋体" w:hAnsi="宋体" w:eastAsia="宋体" w:cs="宋体"/>
          <w:spacing w:val="7"/>
          <w:sz w:val="24"/>
          <w:szCs w:val="24"/>
        </w:rPr>
        <w:t xml:space="preserve"> </w:t>
      </w:r>
      <w:r>
        <w:rPr>
          <w:rFonts w:ascii="宋体" w:hAnsi="宋体" w:eastAsia="宋体" w:cs="宋体"/>
          <w:spacing w:val="2"/>
          <w:sz w:val="24"/>
          <w:szCs w:val="24"/>
        </w:rPr>
        <w:t>容量、生态状况、人口数量以及区域发展规划和产业政策得知，海丰县生态生态控</w:t>
      </w:r>
      <w:r>
        <w:rPr>
          <w:rFonts w:ascii="宋体" w:hAnsi="宋体" w:eastAsia="宋体" w:cs="宋体"/>
          <w:spacing w:val="7"/>
          <w:sz w:val="24"/>
          <w:szCs w:val="24"/>
        </w:rPr>
        <w:t xml:space="preserve"> </w:t>
      </w:r>
      <w:r>
        <w:rPr>
          <w:rFonts w:ascii="宋体" w:hAnsi="宋体" w:eastAsia="宋体" w:cs="宋体"/>
          <w:spacing w:val="2"/>
          <w:sz w:val="24"/>
          <w:szCs w:val="24"/>
        </w:rPr>
        <w:t>制分区中的有限开发区，可进行适度开发利用，在该区域第一产业的主导产业为优</w:t>
      </w:r>
      <w:r>
        <w:rPr>
          <w:rFonts w:ascii="宋体" w:hAnsi="宋体" w:eastAsia="宋体" w:cs="宋体"/>
          <w:spacing w:val="7"/>
          <w:sz w:val="24"/>
          <w:szCs w:val="24"/>
        </w:rPr>
        <w:t xml:space="preserve"> </w:t>
      </w:r>
      <w:r>
        <w:rPr>
          <w:rFonts w:ascii="宋体" w:hAnsi="宋体" w:eastAsia="宋体" w:cs="宋体"/>
          <w:spacing w:val="-3"/>
          <w:sz w:val="24"/>
          <w:szCs w:val="24"/>
        </w:rPr>
        <w:t>质高效的农业种植业及高附加值的农产品加工业为主，推进农业的产业化和生态化，</w:t>
      </w:r>
      <w:r>
        <w:rPr>
          <w:rFonts w:ascii="宋体" w:hAnsi="宋体" w:eastAsia="宋体" w:cs="宋体"/>
          <w:spacing w:val="13"/>
          <w:sz w:val="24"/>
          <w:szCs w:val="24"/>
        </w:rPr>
        <w:t xml:space="preserve"> </w:t>
      </w:r>
      <w:r>
        <w:rPr>
          <w:rFonts w:ascii="宋体" w:hAnsi="宋体" w:eastAsia="宋体" w:cs="宋体"/>
          <w:spacing w:val="2"/>
          <w:sz w:val="24"/>
          <w:szCs w:val="24"/>
        </w:rPr>
        <w:t>加强各镇设施农业示范基地建设，重点发展水果、茶叶、蔬菜、药材生产基地建设</w:t>
      </w:r>
      <w:r>
        <w:rPr>
          <w:rFonts w:ascii="宋体" w:hAnsi="宋体" w:eastAsia="宋体" w:cs="宋体"/>
          <w:spacing w:val="7"/>
          <w:sz w:val="24"/>
          <w:szCs w:val="24"/>
        </w:rPr>
        <w:t xml:space="preserve"> </w:t>
      </w:r>
      <w:r>
        <w:rPr>
          <w:rFonts w:ascii="宋体" w:hAnsi="宋体" w:eastAsia="宋体" w:cs="宋体"/>
          <w:spacing w:val="-1"/>
          <w:sz w:val="24"/>
          <w:szCs w:val="24"/>
        </w:rPr>
        <w:t>等，发展特色农业、林业和畜牧业加工企业。</w:t>
      </w:r>
    </w:p>
    <w:p w14:paraId="0B1890EB">
      <w:pPr>
        <w:spacing w:before="4" w:line="380" w:lineRule="auto"/>
        <w:ind w:right="45" w:firstLine="480"/>
        <w:jc w:val="both"/>
        <w:rPr>
          <w:rFonts w:ascii="宋体" w:hAnsi="宋体" w:eastAsia="宋体" w:cs="宋体"/>
          <w:sz w:val="24"/>
          <w:szCs w:val="24"/>
        </w:rPr>
      </w:pPr>
      <w:r>
        <w:rPr>
          <w:rFonts w:ascii="宋体" w:hAnsi="宋体" w:eastAsia="宋体" w:cs="宋体"/>
          <w:spacing w:val="2"/>
          <w:sz w:val="24"/>
          <w:szCs w:val="24"/>
        </w:rPr>
        <w:t>本项目位于有限开发区内，项目实施畜禽养殖污染的生态化治理，养殖场产生</w:t>
      </w:r>
      <w:r>
        <w:rPr>
          <w:rFonts w:ascii="宋体" w:hAnsi="宋体" w:eastAsia="宋体" w:cs="宋体"/>
          <w:spacing w:val="9"/>
          <w:sz w:val="24"/>
          <w:szCs w:val="24"/>
        </w:rPr>
        <w:t xml:space="preserve"> </w:t>
      </w:r>
      <w:r>
        <w:rPr>
          <w:rFonts w:ascii="宋体" w:hAnsi="宋体" w:eastAsia="宋体" w:cs="宋体"/>
          <w:spacing w:val="2"/>
          <w:sz w:val="24"/>
          <w:szCs w:val="24"/>
        </w:rPr>
        <w:t>的粪污通过发酵制作有机肥半成品，外售给肥料生产企业进一步加工成有机肥用于</w:t>
      </w:r>
      <w:r>
        <w:rPr>
          <w:rFonts w:ascii="宋体" w:hAnsi="宋体" w:eastAsia="宋体" w:cs="宋体"/>
          <w:spacing w:val="6"/>
          <w:sz w:val="24"/>
          <w:szCs w:val="24"/>
        </w:rPr>
        <w:t xml:space="preserve"> </w:t>
      </w:r>
      <w:r>
        <w:rPr>
          <w:rFonts w:ascii="宋体" w:hAnsi="宋体" w:eastAsia="宋体" w:cs="宋体"/>
          <w:spacing w:val="-1"/>
          <w:sz w:val="24"/>
          <w:szCs w:val="24"/>
        </w:rPr>
        <w:t>农作物，实现能流物流的良性循环，符合《海丰县环境保护规划（</w:t>
      </w:r>
      <w:r>
        <w:rPr>
          <w:rFonts w:ascii="Times New Roman" w:hAnsi="Times New Roman" w:eastAsia="Times New Roman" w:cs="Times New Roman"/>
          <w:spacing w:val="-1"/>
          <w:sz w:val="24"/>
          <w:szCs w:val="24"/>
        </w:rPr>
        <w:t xml:space="preserve">2008-2020 </w:t>
      </w:r>
      <w:r>
        <w:rPr>
          <w:rFonts w:ascii="宋体" w:hAnsi="宋体" w:eastAsia="宋体" w:cs="宋体"/>
          <w:spacing w:val="-1"/>
          <w:sz w:val="24"/>
          <w:szCs w:val="24"/>
        </w:rPr>
        <w:t>年）》</w:t>
      </w:r>
      <w:r>
        <w:rPr>
          <w:rFonts w:ascii="宋体" w:hAnsi="宋体" w:eastAsia="宋体" w:cs="宋体"/>
          <w:spacing w:val="16"/>
          <w:sz w:val="24"/>
          <w:szCs w:val="24"/>
        </w:rPr>
        <w:t xml:space="preserve"> </w:t>
      </w:r>
      <w:r>
        <w:rPr>
          <w:rFonts w:ascii="宋体" w:hAnsi="宋体" w:eastAsia="宋体" w:cs="宋体"/>
          <w:spacing w:val="-2"/>
          <w:sz w:val="24"/>
          <w:szCs w:val="24"/>
        </w:rPr>
        <w:t>的相关要求。见海丰县生态控制分区图</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1.4-1</w:t>
      </w:r>
      <w:r>
        <w:rPr>
          <w:rFonts w:ascii="宋体" w:hAnsi="宋体" w:eastAsia="宋体" w:cs="宋体"/>
          <w:spacing w:val="-2"/>
          <w:sz w:val="24"/>
          <w:szCs w:val="24"/>
        </w:rPr>
        <w:t>。</w:t>
      </w:r>
    </w:p>
    <w:p w14:paraId="5E12E10B">
      <w:pPr>
        <w:spacing w:line="380" w:lineRule="auto"/>
        <w:rPr>
          <w:rFonts w:ascii="宋体" w:hAnsi="宋体" w:eastAsia="宋体" w:cs="宋体"/>
          <w:sz w:val="24"/>
          <w:szCs w:val="24"/>
        </w:rPr>
        <w:sectPr>
          <w:footerReference r:id="rId17" w:type="default"/>
          <w:pgSz w:w="11906" w:h="16839"/>
          <w:pgMar w:top="1431" w:right="1507" w:bottom="1485" w:left="1597" w:header="0" w:footer="1249" w:gutter="0"/>
          <w:cols w:space="720" w:num="1"/>
        </w:sectPr>
      </w:pPr>
    </w:p>
    <w:p w14:paraId="081B34BB">
      <w:pPr>
        <w:spacing w:line="7730" w:lineRule="exact"/>
      </w:pPr>
      <w:r>
        <w:rPr>
          <w:position w:val="-154"/>
        </w:rPr>
        <w:drawing>
          <wp:inline distT="0" distB="0" distL="0" distR="0">
            <wp:extent cx="6182360" cy="49085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96"/>
                    <a:stretch>
                      <a:fillRect/>
                    </a:stretch>
                  </pic:blipFill>
                  <pic:spPr>
                    <a:xfrm>
                      <a:off x="0" y="0"/>
                      <a:ext cx="6182867" cy="4908803"/>
                    </a:xfrm>
                    <a:prstGeom prst="rect">
                      <a:avLst/>
                    </a:prstGeom>
                  </pic:spPr>
                </pic:pic>
              </a:graphicData>
            </a:graphic>
          </wp:inline>
        </w:drawing>
      </w:r>
    </w:p>
    <w:p w14:paraId="0029980F">
      <w:pPr>
        <w:spacing w:before="173" w:line="221" w:lineRule="auto"/>
        <w:ind w:left="3308"/>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7"/>
          <w:sz w:val="24"/>
          <w:szCs w:val="24"/>
        </w:rPr>
        <w:t xml:space="preserve"> </w:t>
      </w:r>
      <w:r>
        <w:rPr>
          <w:rFonts w:ascii="Times New Roman" w:hAnsi="Times New Roman" w:eastAsia="Times New Roman" w:cs="Times New Roman"/>
          <w:b/>
          <w:bCs/>
          <w:spacing w:val="-4"/>
          <w:sz w:val="24"/>
          <w:szCs w:val="24"/>
        </w:rPr>
        <w:t xml:space="preserve">1.4-1    </w:t>
      </w:r>
      <w:r>
        <w:rPr>
          <w:rFonts w:ascii="宋体" w:hAnsi="宋体" w:eastAsia="宋体" w:cs="宋体"/>
          <w:b/>
          <w:bCs/>
          <w:spacing w:val="-4"/>
          <w:sz w:val="24"/>
          <w:szCs w:val="24"/>
        </w:rPr>
        <w:t>海丰县生态控制分区</w:t>
      </w:r>
    </w:p>
    <w:p w14:paraId="43603723">
      <w:pPr>
        <w:spacing w:line="221" w:lineRule="auto"/>
        <w:rPr>
          <w:rFonts w:ascii="宋体" w:hAnsi="宋体" w:eastAsia="宋体" w:cs="宋体"/>
          <w:sz w:val="24"/>
          <w:szCs w:val="24"/>
        </w:rPr>
        <w:sectPr>
          <w:footerReference r:id="rId18" w:type="default"/>
          <w:pgSz w:w="11906" w:h="16839"/>
          <w:pgMar w:top="763" w:right="1091" w:bottom="1485" w:left="1077" w:header="0" w:footer="1249" w:gutter="0"/>
          <w:cols w:space="720" w:num="1"/>
        </w:sectPr>
      </w:pPr>
    </w:p>
    <w:p w14:paraId="4DAB5CB1">
      <w:pPr>
        <w:spacing w:before="110" w:line="221"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1.4.4</w:t>
      </w:r>
      <w:r>
        <w:rPr>
          <w:rFonts w:ascii="宋体" w:hAnsi="宋体" w:eastAsia="宋体" w:cs="宋体"/>
          <w:b/>
          <w:bCs/>
          <w:spacing w:val="-3"/>
          <w:sz w:val="24"/>
          <w:szCs w:val="24"/>
        </w:rPr>
        <w:t>项目选址合理合法性分析</w:t>
      </w:r>
    </w:p>
    <w:p w14:paraId="281DAD0B">
      <w:pPr>
        <w:spacing w:before="167" w:line="360" w:lineRule="exact"/>
        <w:ind w:left="499"/>
        <w:rPr>
          <w:rFonts w:ascii="宋体" w:hAnsi="宋体" w:eastAsia="宋体" w:cs="宋体"/>
          <w:sz w:val="24"/>
          <w:szCs w:val="24"/>
        </w:rPr>
      </w:pPr>
      <w:r>
        <w:rPr>
          <w:rFonts w:ascii="Times New Roman" w:hAnsi="Times New Roman" w:eastAsia="Times New Roman" w:cs="Times New Roman"/>
          <w:spacing w:val="-2"/>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、与《海丰县县城土地利用总体规划（</w:t>
      </w:r>
      <w:r>
        <w:rPr>
          <w:rFonts w:ascii="Times New Roman" w:hAnsi="Times New Roman" w:eastAsia="Times New Roman" w:cs="Times New Roman"/>
          <w:spacing w:val="-2"/>
          <w:position w:val="2"/>
          <w:sz w:val="24"/>
          <w:szCs w:val="24"/>
        </w:rPr>
        <w:t>201</w:t>
      </w:r>
      <w:r>
        <w:rPr>
          <w:rFonts w:ascii="Times New Roman" w:hAnsi="Times New Roman" w:eastAsia="Times New Roman" w:cs="Times New Roman"/>
          <w:spacing w:val="-3"/>
          <w:position w:val="2"/>
          <w:sz w:val="24"/>
          <w:szCs w:val="24"/>
        </w:rPr>
        <w:t>1-2030</w:t>
      </w:r>
      <w:r>
        <w:rPr>
          <w:rFonts w:ascii="宋体" w:hAnsi="宋体" w:eastAsia="宋体" w:cs="宋体"/>
          <w:spacing w:val="-3"/>
          <w:position w:val="2"/>
          <w:sz w:val="24"/>
          <w:szCs w:val="24"/>
        </w:rPr>
        <w:t>）》</w:t>
      </w:r>
    </w:p>
    <w:p w14:paraId="65628873">
      <w:pPr>
        <w:spacing w:before="129" w:line="376" w:lineRule="auto"/>
        <w:ind w:right="10" w:firstLine="480"/>
        <w:rPr>
          <w:rFonts w:ascii="宋体" w:hAnsi="宋体" w:eastAsia="宋体" w:cs="宋体"/>
          <w:sz w:val="24"/>
          <w:szCs w:val="24"/>
        </w:rPr>
      </w:pPr>
      <w:r>
        <w:rPr>
          <w:rFonts w:ascii="宋体" w:hAnsi="宋体" w:eastAsia="宋体" w:cs="宋体"/>
          <w:sz w:val="24"/>
          <w:szCs w:val="24"/>
        </w:rPr>
        <w:t>根据《海丰县县城土地利用总体规划（</w:t>
      </w:r>
      <w:r>
        <w:rPr>
          <w:rFonts w:ascii="Times New Roman" w:hAnsi="Times New Roman" w:eastAsia="Times New Roman" w:cs="Times New Roman"/>
          <w:sz w:val="24"/>
          <w:szCs w:val="24"/>
        </w:rPr>
        <w:t>2011-2030</w:t>
      </w:r>
      <w:r>
        <w:rPr>
          <w:rFonts w:ascii="宋体" w:hAnsi="宋体" w:eastAsia="宋体" w:cs="宋体"/>
          <w:sz w:val="24"/>
          <w:szCs w:val="24"/>
        </w:rPr>
        <w:t>）》知，海丰县基本农田</w:t>
      </w:r>
      <w:r>
        <w:rPr>
          <w:rFonts w:ascii="宋体" w:hAnsi="宋体" w:eastAsia="宋体" w:cs="宋体"/>
          <w:spacing w:val="-1"/>
          <w:sz w:val="24"/>
          <w:szCs w:val="24"/>
        </w:rPr>
        <w:t>保护</w:t>
      </w:r>
      <w:r>
        <w:rPr>
          <w:rFonts w:ascii="宋体" w:hAnsi="宋体" w:eastAsia="宋体" w:cs="宋体"/>
          <w:sz w:val="24"/>
          <w:szCs w:val="24"/>
        </w:rPr>
        <w:t xml:space="preserve"> </w:t>
      </w:r>
      <w:r>
        <w:rPr>
          <w:rFonts w:ascii="宋体" w:hAnsi="宋体" w:eastAsia="宋体" w:cs="宋体"/>
          <w:spacing w:val="2"/>
          <w:sz w:val="24"/>
          <w:szCs w:val="24"/>
        </w:rPr>
        <w:t>区主要分布在梅陇镇、赤坑镇、平东镇、公平镇、可塘镇和黄羌镇等镇。全县划定</w:t>
      </w:r>
      <w:r>
        <w:rPr>
          <w:rFonts w:ascii="宋体" w:hAnsi="宋体" w:eastAsia="宋体" w:cs="宋体"/>
          <w:spacing w:val="6"/>
          <w:sz w:val="24"/>
          <w:szCs w:val="24"/>
        </w:rPr>
        <w:t xml:space="preserve"> </w:t>
      </w:r>
      <w:r>
        <w:rPr>
          <w:rFonts w:ascii="宋体" w:hAnsi="宋体" w:eastAsia="宋体" w:cs="宋体"/>
          <w:spacing w:val="-1"/>
          <w:sz w:val="24"/>
          <w:szCs w:val="24"/>
        </w:rPr>
        <w:t>城镇村建设用地区面积为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10716</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公顷，占</w:t>
      </w:r>
      <w:r>
        <w:rPr>
          <w:rFonts w:ascii="宋体" w:hAnsi="宋体" w:eastAsia="宋体" w:cs="宋体"/>
          <w:spacing w:val="-2"/>
          <w:sz w:val="24"/>
          <w:szCs w:val="24"/>
        </w:rPr>
        <w:t>土地总面积的</w:t>
      </w:r>
      <w:r>
        <w:rPr>
          <w:rFonts w:ascii="Times New Roman" w:hAnsi="Times New Roman" w:eastAsia="Times New Roman" w:cs="Times New Roman"/>
          <w:spacing w:val="-2"/>
          <w:sz w:val="24"/>
          <w:szCs w:val="24"/>
        </w:rPr>
        <w:t>6.01%</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，主要分布在城东镇、</w:t>
      </w:r>
      <w:r>
        <w:rPr>
          <w:rFonts w:ascii="宋体" w:hAnsi="宋体" w:eastAsia="宋体" w:cs="宋体"/>
          <w:sz w:val="24"/>
          <w:szCs w:val="24"/>
        </w:rPr>
        <w:t xml:space="preserve"> </w:t>
      </w:r>
      <w:r>
        <w:rPr>
          <w:rFonts w:ascii="宋体" w:hAnsi="宋体" w:eastAsia="宋体" w:cs="宋体"/>
          <w:spacing w:val="2"/>
          <w:sz w:val="24"/>
          <w:szCs w:val="24"/>
        </w:rPr>
        <w:t>附城镇、海城镇、梅陇镇和公平镇等。本项目位于海丰县公平镇，项目所在地不属</w:t>
      </w:r>
      <w:r>
        <w:rPr>
          <w:rFonts w:ascii="宋体" w:hAnsi="宋体" w:eastAsia="宋体" w:cs="宋体"/>
          <w:spacing w:val="6"/>
          <w:sz w:val="24"/>
          <w:szCs w:val="24"/>
        </w:rPr>
        <w:t xml:space="preserve"> </w:t>
      </w:r>
      <w:r>
        <w:rPr>
          <w:rFonts w:ascii="宋体" w:hAnsi="宋体" w:eastAsia="宋体" w:cs="宋体"/>
          <w:spacing w:val="1"/>
          <w:sz w:val="24"/>
          <w:szCs w:val="24"/>
        </w:rPr>
        <w:t>于基本农田保护区，符合《海丰县县城土地利用总体规划（</w:t>
      </w:r>
      <w:r>
        <w:rPr>
          <w:rFonts w:ascii="Times New Roman" w:hAnsi="Times New Roman" w:eastAsia="Times New Roman" w:cs="Times New Roman"/>
          <w:spacing w:val="1"/>
          <w:sz w:val="24"/>
          <w:szCs w:val="24"/>
        </w:rPr>
        <w:t>2011-</w:t>
      </w:r>
      <w:r>
        <w:rPr>
          <w:rFonts w:ascii="Times New Roman" w:hAnsi="Times New Roman" w:eastAsia="Times New Roman" w:cs="Times New Roman"/>
          <w:sz w:val="24"/>
          <w:szCs w:val="24"/>
        </w:rPr>
        <w:t>2030</w:t>
      </w:r>
      <w:r>
        <w:rPr>
          <w:rFonts w:ascii="宋体" w:hAnsi="宋体" w:eastAsia="宋体" w:cs="宋体"/>
          <w:sz w:val="24"/>
          <w:szCs w:val="24"/>
        </w:rPr>
        <w:t xml:space="preserve">）》的要求。 </w:t>
      </w:r>
      <w:r>
        <w:rPr>
          <w:rFonts w:ascii="宋体" w:hAnsi="宋体" w:eastAsia="宋体" w:cs="宋体"/>
          <w:spacing w:val="-2"/>
          <w:sz w:val="24"/>
          <w:szCs w:val="24"/>
        </w:rPr>
        <w:t>见海丰县县城土地利用总体规划图</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1.4-2</w:t>
      </w:r>
      <w:r>
        <w:rPr>
          <w:rFonts w:ascii="宋体" w:hAnsi="宋体" w:eastAsia="宋体" w:cs="宋体"/>
          <w:spacing w:val="-2"/>
          <w:sz w:val="24"/>
          <w:szCs w:val="24"/>
        </w:rPr>
        <w:t>。</w:t>
      </w:r>
    </w:p>
    <w:p w14:paraId="655F76A7">
      <w:pPr>
        <w:spacing w:line="336" w:lineRule="exact"/>
        <w:ind w:left="476"/>
        <w:rPr>
          <w:rFonts w:ascii="宋体" w:hAnsi="宋体" w:eastAsia="宋体" w:cs="宋体"/>
          <w:sz w:val="24"/>
          <w:szCs w:val="24"/>
        </w:rPr>
      </w:pPr>
      <w:r>
        <w:rPr>
          <w:rFonts w:ascii="Times New Roman" w:hAnsi="Times New Roman" w:eastAsia="Times New Roman" w:cs="Times New Roman"/>
          <w:spacing w:val="-2"/>
          <w:position w:val="3"/>
          <w:sz w:val="24"/>
          <w:szCs w:val="24"/>
        </w:rPr>
        <w:t>2</w:t>
      </w:r>
      <w:r>
        <w:rPr>
          <w:rFonts w:ascii="Times New Roman" w:hAnsi="Times New Roman" w:eastAsia="Times New Roman" w:cs="Times New Roman"/>
          <w:spacing w:val="-33"/>
          <w:position w:val="3"/>
          <w:sz w:val="24"/>
          <w:szCs w:val="24"/>
        </w:rPr>
        <w:t xml:space="preserve"> </w:t>
      </w:r>
      <w:r>
        <w:rPr>
          <w:rFonts w:ascii="宋体" w:hAnsi="宋体" w:eastAsia="宋体" w:cs="宋体"/>
          <w:spacing w:val="-2"/>
          <w:position w:val="3"/>
          <w:sz w:val="24"/>
          <w:szCs w:val="24"/>
        </w:rPr>
        <w:t>、与《关于印发</w:t>
      </w:r>
      <w:r>
        <w:rPr>
          <w:rFonts w:ascii="Times New Roman" w:hAnsi="Times New Roman" w:eastAsia="Times New Roman" w:cs="Times New Roman"/>
          <w:spacing w:val="-2"/>
          <w:position w:val="3"/>
          <w:sz w:val="24"/>
          <w:szCs w:val="24"/>
        </w:rPr>
        <w:t>&lt;</w:t>
      </w:r>
      <w:r>
        <w:rPr>
          <w:rFonts w:ascii="宋体" w:hAnsi="宋体" w:eastAsia="宋体" w:cs="宋体"/>
          <w:spacing w:val="-2"/>
          <w:position w:val="3"/>
          <w:sz w:val="24"/>
          <w:szCs w:val="24"/>
        </w:rPr>
        <w:t>生态保护红线划定指南</w:t>
      </w:r>
      <w:r>
        <w:rPr>
          <w:rFonts w:ascii="Times New Roman" w:hAnsi="Times New Roman" w:eastAsia="Times New Roman" w:cs="Times New Roman"/>
          <w:spacing w:val="-2"/>
          <w:position w:val="3"/>
          <w:sz w:val="24"/>
          <w:szCs w:val="24"/>
        </w:rPr>
        <w:t>&gt;</w:t>
      </w:r>
      <w:r>
        <w:rPr>
          <w:rFonts w:ascii="Times New Roman" w:hAnsi="Times New Roman" w:eastAsia="Times New Roman" w:cs="Times New Roman"/>
          <w:spacing w:val="-32"/>
          <w:position w:val="3"/>
          <w:sz w:val="24"/>
          <w:szCs w:val="24"/>
        </w:rPr>
        <w:t xml:space="preserve"> </w:t>
      </w:r>
      <w:r>
        <w:rPr>
          <w:rFonts w:ascii="宋体" w:hAnsi="宋体" w:eastAsia="宋体" w:cs="宋体"/>
          <w:spacing w:val="-2"/>
          <w:position w:val="3"/>
          <w:sz w:val="24"/>
          <w:szCs w:val="24"/>
        </w:rPr>
        <w:t>的通知》（环办生态</w:t>
      </w:r>
      <w:r>
        <w:rPr>
          <w:rFonts w:ascii="Times New Roman" w:hAnsi="Times New Roman" w:eastAsia="Times New Roman" w:cs="Times New Roman"/>
          <w:spacing w:val="-2"/>
          <w:position w:val="3"/>
          <w:sz w:val="24"/>
          <w:szCs w:val="24"/>
        </w:rPr>
        <w:t>[2017]48</w:t>
      </w:r>
      <w:r>
        <w:rPr>
          <w:rFonts w:ascii="Times New Roman" w:hAnsi="Times New Roman" w:eastAsia="Times New Roman" w:cs="Times New Roman"/>
          <w:spacing w:val="15"/>
          <w:w w:val="101"/>
          <w:position w:val="3"/>
          <w:sz w:val="24"/>
          <w:szCs w:val="24"/>
        </w:rPr>
        <w:t xml:space="preserve"> </w:t>
      </w:r>
      <w:r>
        <w:rPr>
          <w:rFonts w:ascii="宋体" w:hAnsi="宋体" w:eastAsia="宋体" w:cs="宋体"/>
          <w:spacing w:val="-2"/>
          <w:position w:val="3"/>
          <w:sz w:val="24"/>
          <w:szCs w:val="24"/>
        </w:rPr>
        <w:t>号）</w:t>
      </w:r>
    </w:p>
    <w:p w14:paraId="13A1384A">
      <w:pPr>
        <w:spacing w:before="153" w:line="381" w:lineRule="auto"/>
        <w:ind w:firstLine="480"/>
        <w:rPr>
          <w:rFonts w:ascii="宋体" w:hAnsi="宋体" w:eastAsia="宋体" w:cs="宋体"/>
          <w:sz w:val="24"/>
          <w:szCs w:val="24"/>
        </w:rPr>
      </w:pPr>
      <w:r>
        <w:rPr>
          <w:rFonts w:ascii="宋体" w:hAnsi="宋体" w:eastAsia="宋体" w:cs="宋体"/>
          <w:sz w:val="24"/>
          <w:szCs w:val="24"/>
        </w:rPr>
        <w:t>根据《关于印发</w:t>
      </w:r>
      <w:r>
        <w:rPr>
          <w:rFonts w:ascii="Times New Roman" w:hAnsi="Times New Roman" w:eastAsia="Times New Roman" w:cs="Times New Roman"/>
          <w:sz w:val="24"/>
          <w:szCs w:val="24"/>
        </w:rPr>
        <w:t>&lt;</w:t>
      </w:r>
      <w:r>
        <w:rPr>
          <w:rFonts w:ascii="宋体" w:hAnsi="宋体" w:eastAsia="宋体" w:cs="宋体"/>
          <w:sz w:val="24"/>
          <w:szCs w:val="24"/>
        </w:rPr>
        <w:t>生态保护红线划定指南</w:t>
      </w:r>
      <w:r>
        <w:rPr>
          <w:rFonts w:ascii="Times New Roman" w:hAnsi="Times New Roman" w:eastAsia="Times New Roman" w:cs="Times New Roman"/>
          <w:sz w:val="24"/>
          <w:szCs w:val="24"/>
        </w:rPr>
        <w:t>&gt;</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的通知》（环办生态</w:t>
      </w:r>
      <w:r>
        <w:rPr>
          <w:rFonts w:ascii="Times New Roman" w:hAnsi="Times New Roman" w:eastAsia="Times New Roman" w:cs="Times New Roman"/>
          <w:sz w:val="24"/>
          <w:szCs w:val="24"/>
        </w:rPr>
        <w:t>[2017]48</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号</w:t>
      </w:r>
      <w:r>
        <w:rPr>
          <w:rFonts w:ascii="宋体" w:hAnsi="宋体" w:eastAsia="宋体" w:cs="宋体"/>
          <w:spacing w:val="22"/>
          <w:sz w:val="24"/>
          <w:szCs w:val="24"/>
        </w:rPr>
        <w:t>），</w:t>
      </w:r>
      <w:r>
        <w:rPr>
          <w:rFonts w:ascii="宋体" w:hAnsi="宋体" w:eastAsia="宋体" w:cs="宋体"/>
          <w:sz w:val="24"/>
          <w:szCs w:val="24"/>
        </w:rPr>
        <w:t xml:space="preserve"> </w:t>
      </w:r>
      <w:r>
        <w:rPr>
          <w:rFonts w:ascii="宋体" w:hAnsi="宋体" w:eastAsia="宋体" w:cs="宋体"/>
          <w:spacing w:val="3"/>
          <w:sz w:val="24"/>
          <w:szCs w:val="24"/>
        </w:rPr>
        <w:t>该发文中将生态空间范围内具有特殊重要生态功能、必须强制性严格保护的</w:t>
      </w:r>
      <w:r>
        <w:rPr>
          <w:rFonts w:ascii="宋体" w:hAnsi="宋体" w:eastAsia="宋体" w:cs="宋体"/>
          <w:spacing w:val="2"/>
          <w:sz w:val="24"/>
          <w:szCs w:val="24"/>
        </w:rPr>
        <w:t>区域，</w:t>
      </w:r>
      <w:r>
        <w:rPr>
          <w:rFonts w:ascii="宋体" w:hAnsi="宋体" w:eastAsia="宋体" w:cs="宋体"/>
          <w:sz w:val="24"/>
          <w:szCs w:val="24"/>
        </w:rPr>
        <w:t xml:space="preserve"> </w:t>
      </w:r>
      <w:r>
        <w:rPr>
          <w:rFonts w:ascii="宋体" w:hAnsi="宋体" w:eastAsia="宋体" w:cs="宋体"/>
          <w:spacing w:val="2"/>
          <w:sz w:val="24"/>
          <w:szCs w:val="24"/>
        </w:rPr>
        <w:t>是保障和维护国家生态安全的底线和生命线，通常包括具有重要水源涵养、生物多</w:t>
      </w:r>
      <w:r>
        <w:rPr>
          <w:rFonts w:ascii="宋体" w:hAnsi="宋体" w:eastAsia="宋体" w:cs="宋体"/>
          <w:spacing w:val="7"/>
          <w:sz w:val="24"/>
          <w:szCs w:val="24"/>
        </w:rPr>
        <w:t xml:space="preserve"> </w:t>
      </w:r>
      <w:r>
        <w:rPr>
          <w:rFonts w:ascii="宋体" w:hAnsi="宋体" w:eastAsia="宋体" w:cs="宋体"/>
          <w:spacing w:val="2"/>
          <w:sz w:val="24"/>
          <w:szCs w:val="24"/>
        </w:rPr>
        <w:t>样性维护、水土保持、防风固沙、海岸生态稳定等功能的生态功能重要区域，以及</w:t>
      </w:r>
      <w:r>
        <w:rPr>
          <w:rFonts w:ascii="宋体" w:hAnsi="宋体" w:eastAsia="宋体" w:cs="宋体"/>
          <w:spacing w:val="7"/>
          <w:sz w:val="24"/>
          <w:szCs w:val="24"/>
        </w:rPr>
        <w:t xml:space="preserve"> </w:t>
      </w:r>
      <w:r>
        <w:rPr>
          <w:rFonts w:ascii="宋体" w:hAnsi="宋体" w:eastAsia="宋体" w:cs="宋体"/>
          <w:spacing w:val="-2"/>
          <w:sz w:val="24"/>
          <w:szCs w:val="24"/>
        </w:rPr>
        <w:t>水土流失、土地沙化、石漠化、盐渍化等生态环境敏感脆弱区域划为生</w:t>
      </w:r>
      <w:r>
        <w:rPr>
          <w:rFonts w:ascii="宋体" w:hAnsi="宋体" w:eastAsia="宋体" w:cs="宋体"/>
          <w:spacing w:val="-3"/>
          <w:sz w:val="24"/>
          <w:szCs w:val="24"/>
        </w:rPr>
        <w:t>态保护红线。</w:t>
      </w:r>
    </w:p>
    <w:p w14:paraId="3271F695">
      <w:pPr>
        <w:spacing w:before="4" w:line="362" w:lineRule="auto"/>
        <w:ind w:left="1" w:right="81" w:firstLine="480"/>
        <w:rPr>
          <w:rFonts w:ascii="宋体" w:hAnsi="宋体" w:eastAsia="宋体" w:cs="宋体"/>
          <w:sz w:val="24"/>
          <w:szCs w:val="24"/>
        </w:rPr>
      </w:pPr>
      <w:r>
        <w:rPr>
          <w:rFonts w:ascii="宋体" w:hAnsi="宋体" w:eastAsia="宋体" w:cs="宋体"/>
          <w:spacing w:val="2"/>
          <w:sz w:val="24"/>
          <w:szCs w:val="24"/>
        </w:rPr>
        <w:t>本项目所在区域不属于以上提及的区域，因此，本项目符合《关于加强资源环</w:t>
      </w:r>
      <w:r>
        <w:rPr>
          <w:rFonts w:ascii="宋体" w:hAnsi="宋体" w:eastAsia="宋体" w:cs="宋体"/>
          <w:spacing w:val="9"/>
          <w:sz w:val="24"/>
          <w:szCs w:val="24"/>
        </w:rPr>
        <w:t xml:space="preserve"> </w:t>
      </w:r>
      <w:r>
        <w:rPr>
          <w:rFonts w:ascii="宋体" w:hAnsi="宋体" w:eastAsia="宋体" w:cs="宋体"/>
          <w:spacing w:val="-1"/>
          <w:sz w:val="24"/>
          <w:szCs w:val="24"/>
        </w:rPr>
        <w:t>境生态红线管控的指导意见》。</w:t>
      </w:r>
    </w:p>
    <w:p w14:paraId="79801BD6">
      <w:pPr>
        <w:spacing w:line="360" w:lineRule="exact"/>
        <w:ind w:left="481"/>
        <w:rPr>
          <w:rFonts w:ascii="宋体" w:hAnsi="宋体" w:eastAsia="宋体" w:cs="宋体"/>
          <w:sz w:val="24"/>
          <w:szCs w:val="24"/>
        </w:rPr>
      </w:pPr>
      <w:r>
        <w:rPr>
          <w:rFonts w:ascii="Times New Roman" w:hAnsi="Times New Roman" w:eastAsia="Times New Roman" w:cs="Times New Roman"/>
          <w:spacing w:val="-1"/>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1"/>
          <w:position w:val="2"/>
          <w:sz w:val="24"/>
          <w:szCs w:val="24"/>
        </w:rPr>
        <w:t>、与《畜禽养殖业污染防治技术规范》（</w:t>
      </w:r>
      <w:r>
        <w:rPr>
          <w:rFonts w:ascii="Times New Roman" w:hAnsi="Times New Roman" w:eastAsia="Times New Roman" w:cs="Times New Roman"/>
          <w:spacing w:val="-1"/>
          <w:position w:val="2"/>
          <w:sz w:val="24"/>
          <w:szCs w:val="24"/>
        </w:rPr>
        <w:t>HJ/T8</w:t>
      </w:r>
      <w:r>
        <w:rPr>
          <w:rFonts w:ascii="Times New Roman" w:hAnsi="Times New Roman" w:eastAsia="Times New Roman" w:cs="Times New Roman"/>
          <w:spacing w:val="-2"/>
          <w:position w:val="2"/>
          <w:sz w:val="24"/>
          <w:szCs w:val="24"/>
        </w:rPr>
        <w:t>1-2001</w:t>
      </w:r>
      <w:r>
        <w:rPr>
          <w:rFonts w:ascii="宋体" w:hAnsi="宋体" w:eastAsia="宋体" w:cs="宋体"/>
          <w:spacing w:val="-2"/>
          <w:position w:val="2"/>
          <w:sz w:val="24"/>
          <w:szCs w:val="24"/>
        </w:rPr>
        <w:t>）</w:t>
      </w:r>
    </w:p>
    <w:p w14:paraId="2440996E">
      <w:pPr>
        <w:spacing w:before="45" w:line="364" w:lineRule="auto"/>
        <w:ind w:right="76" w:firstLine="485"/>
        <w:rPr>
          <w:rFonts w:ascii="宋体" w:hAnsi="宋体" w:eastAsia="宋体" w:cs="宋体"/>
          <w:sz w:val="24"/>
          <w:szCs w:val="24"/>
        </w:rPr>
      </w:pPr>
      <w:r>
        <w:rPr>
          <w:rFonts w:ascii="宋体" w:hAnsi="宋体" w:eastAsia="宋体" w:cs="宋体"/>
          <w:sz w:val="24"/>
          <w:szCs w:val="24"/>
        </w:rPr>
        <w:t>《畜禽养殖业污染防治技术规范》（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）规定畜禽养殖</w:t>
      </w:r>
      <w:r>
        <w:rPr>
          <w:rFonts w:ascii="宋体" w:hAnsi="宋体" w:eastAsia="宋体" w:cs="宋体"/>
          <w:spacing w:val="-1"/>
          <w:sz w:val="24"/>
          <w:szCs w:val="24"/>
        </w:rPr>
        <w:t>场选址应设在</w:t>
      </w:r>
      <w:r>
        <w:rPr>
          <w:rFonts w:ascii="宋体" w:hAnsi="宋体" w:eastAsia="宋体" w:cs="宋体"/>
          <w:sz w:val="24"/>
          <w:szCs w:val="24"/>
        </w:rPr>
        <w:t xml:space="preserve"> </w:t>
      </w:r>
      <w:r>
        <w:rPr>
          <w:rFonts w:ascii="宋体" w:hAnsi="宋体" w:eastAsia="宋体" w:cs="宋体"/>
          <w:spacing w:val="2"/>
          <w:sz w:val="24"/>
          <w:szCs w:val="24"/>
        </w:rPr>
        <w:t>禁建区域常年主导风向的下风向或侧风向处。结合本项目实际情况及大气预测结果</w:t>
      </w:r>
      <w:r>
        <w:rPr>
          <w:rFonts w:ascii="宋体" w:hAnsi="宋体" w:eastAsia="宋体" w:cs="宋体"/>
          <w:spacing w:val="6"/>
          <w:sz w:val="24"/>
          <w:szCs w:val="24"/>
        </w:rPr>
        <w:t xml:space="preserve"> </w:t>
      </w:r>
      <w:r>
        <w:rPr>
          <w:rFonts w:ascii="宋体" w:hAnsi="宋体" w:eastAsia="宋体" w:cs="宋体"/>
          <w:spacing w:val="2"/>
          <w:sz w:val="24"/>
          <w:szCs w:val="24"/>
        </w:rPr>
        <w:t>来看，项目位于附近居民点主导风向的侧风向处，养殖区域边界距离最近的居民点</w:t>
      </w:r>
      <w:r>
        <w:rPr>
          <w:rFonts w:ascii="宋体" w:hAnsi="宋体" w:eastAsia="宋体" w:cs="宋体"/>
          <w:spacing w:val="6"/>
          <w:sz w:val="24"/>
          <w:szCs w:val="24"/>
        </w:rPr>
        <w:t xml:space="preserve"> </w:t>
      </w:r>
      <w:r>
        <w:rPr>
          <w:rFonts w:ascii="宋体" w:hAnsi="宋体" w:eastAsia="宋体" w:cs="宋体"/>
          <w:spacing w:val="-2"/>
          <w:sz w:val="24"/>
          <w:szCs w:val="24"/>
        </w:rPr>
        <w:t>约</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292m</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，位于本项目主导风向（东风）的侧风向，符合《畜禽养殖业污染防治技术</w:t>
      </w:r>
      <w:r>
        <w:rPr>
          <w:rFonts w:ascii="宋体" w:hAnsi="宋体" w:eastAsia="宋体" w:cs="宋体"/>
          <w:sz w:val="24"/>
          <w:szCs w:val="24"/>
        </w:rPr>
        <w:t xml:space="preserve"> 规范》（</w:t>
      </w:r>
      <w:r>
        <w:rPr>
          <w:rFonts w:ascii="Times New Roman" w:hAnsi="Times New Roman" w:eastAsia="Times New Roman" w:cs="Times New Roman"/>
          <w:sz w:val="24"/>
          <w:szCs w:val="24"/>
        </w:rPr>
        <w:t>HJ/T81-2001</w:t>
      </w:r>
      <w:r>
        <w:rPr>
          <w:rFonts w:ascii="宋体" w:hAnsi="宋体" w:eastAsia="宋体" w:cs="宋体"/>
          <w:sz w:val="24"/>
          <w:szCs w:val="24"/>
        </w:rPr>
        <w:t>）要求以及卫生防护距离的要求。本项目东北面为有机肥发酵</w:t>
      </w:r>
      <w:r>
        <w:rPr>
          <w:rFonts w:ascii="宋体" w:hAnsi="宋体" w:eastAsia="宋体" w:cs="宋体"/>
          <w:spacing w:val="3"/>
          <w:sz w:val="24"/>
          <w:szCs w:val="24"/>
        </w:rPr>
        <w:t xml:space="preserve"> </w:t>
      </w:r>
      <w:r>
        <w:rPr>
          <w:rFonts w:ascii="宋体" w:hAnsi="宋体" w:eastAsia="宋体" w:cs="宋体"/>
          <w:spacing w:val="2"/>
          <w:sz w:val="24"/>
          <w:szCs w:val="24"/>
        </w:rPr>
        <w:t>车间，项目产生的畜禽粪便、尿液、猪舍冲洗水经刮粪系统收集到有机肥发酵车间</w:t>
      </w:r>
      <w:r>
        <w:rPr>
          <w:rFonts w:ascii="宋体" w:hAnsi="宋体" w:eastAsia="宋体" w:cs="宋体"/>
          <w:spacing w:val="6"/>
          <w:sz w:val="24"/>
          <w:szCs w:val="24"/>
        </w:rPr>
        <w:t xml:space="preserve"> </w:t>
      </w:r>
      <w:r>
        <w:rPr>
          <w:rFonts w:ascii="宋体" w:hAnsi="宋体" w:eastAsia="宋体" w:cs="宋体"/>
          <w:spacing w:val="2"/>
          <w:sz w:val="24"/>
          <w:szCs w:val="24"/>
        </w:rPr>
        <w:t>后，马上进行发酵加工，加工为有机肥半成品，符合《畜禽养殖业污染防治技术规</w:t>
      </w:r>
      <w:r>
        <w:rPr>
          <w:rFonts w:ascii="宋体" w:hAnsi="宋体" w:eastAsia="宋体" w:cs="宋体"/>
          <w:spacing w:val="6"/>
          <w:sz w:val="24"/>
          <w:szCs w:val="24"/>
        </w:rPr>
        <w:t xml:space="preserve"> </w:t>
      </w:r>
      <w:r>
        <w:rPr>
          <w:rFonts w:ascii="宋体" w:hAnsi="宋体" w:eastAsia="宋体" w:cs="宋体"/>
          <w:sz w:val="24"/>
          <w:szCs w:val="24"/>
        </w:rPr>
        <w:t>范》（</w:t>
      </w:r>
      <w:r>
        <w:rPr>
          <w:rFonts w:ascii="Times New Roman" w:hAnsi="Times New Roman" w:eastAsia="Times New Roman" w:cs="Times New Roman"/>
          <w:sz w:val="24"/>
          <w:szCs w:val="24"/>
        </w:rPr>
        <w:t>HJ/T81-2001</w:t>
      </w:r>
      <w:r>
        <w:rPr>
          <w:rFonts w:ascii="宋体" w:hAnsi="宋体" w:eastAsia="宋体" w:cs="宋体"/>
          <w:sz w:val="24"/>
          <w:szCs w:val="24"/>
        </w:rPr>
        <w:t>）要求。本项目产生的病死猪尸体经安全填埋井填埋处理，符合 《畜禽养殖业污染防治技术规范》（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T81-2001</w:t>
      </w:r>
      <w:r>
        <w:rPr>
          <w:rFonts w:ascii="宋体" w:hAnsi="宋体" w:eastAsia="宋体" w:cs="宋体"/>
          <w:spacing w:val="-1"/>
          <w:sz w:val="24"/>
          <w:szCs w:val="24"/>
        </w:rPr>
        <w:t>）要求。</w:t>
      </w:r>
    </w:p>
    <w:p w14:paraId="19412644">
      <w:pPr>
        <w:spacing w:line="364" w:lineRule="auto"/>
        <w:rPr>
          <w:rFonts w:ascii="宋体" w:hAnsi="宋体" w:eastAsia="宋体" w:cs="宋体"/>
          <w:sz w:val="24"/>
          <w:szCs w:val="24"/>
        </w:rPr>
        <w:sectPr>
          <w:footerReference r:id="rId19" w:type="default"/>
          <w:pgSz w:w="11906" w:h="16839"/>
          <w:pgMar w:top="1431" w:right="1507" w:bottom="1485" w:left="1597" w:header="0" w:footer="1249" w:gutter="0"/>
          <w:cols w:space="720" w:num="1"/>
        </w:sectPr>
      </w:pPr>
    </w:p>
    <w:p w14:paraId="33973CAD">
      <w:pPr>
        <w:spacing w:before="125" w:line="228" w:lineRule="auto"/>
        <w:ind w:left="232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1.4-2 </w:t>
      </w:r>
      <w:r>
        <w:rPr>
          <w:rFonts w:ascii="宋体" w:hAnsi="宋体" w:eastAsia="宋体" w:cs="宋体"/>
          <w:b/>
          <w:bCs/>
          <w:spacing w:val="6"/>
          <w:sz w:val="20"/>
          <w:szCs w:val="20"/>
        </w:rPr>
        <w:t>场址建设条件与规范要求对比分析结果</w:t>
      </w:r>
    </w:p>
    <w:p w14:paraId="4FE83EA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3827"/>
        <w:gridCol w:w="3117"/>
        <w:gridCol w:w="1328"/>
      </w:tblGrid>
      <w:tr w14:paraId="14100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8" w:type="dxa"/>
            <w:vAlign w:val="top"/>
          </w:tcPr>
          <w:p w14:paraId="3A263703">
            <w:pPr>
              <w:pStyle w:val="6"/>
              <w:spacing w:before="62" w:line="230" w:lineRule="auto"/>
              <w:ind w:left="135"/>
            </w:pPr>
            <w:r>
              <w:rPr>
                <w:b/>
                <w:bCs/>
                <w:spacing w:val="4"/>
              </w:rPr>
              <w:t>序号</w:t>
            </w:r>
          </w:p>
        </w:tc>
        <w:tc>
          <w:tcPr>
            <w:tcW w:w="3827" w:type="dxa"/>
            <w:vAlign w:val="top"/>
          </w:tcPr>
          <w:p w14:paraId="51D4E612">
            <w:pPr>
              <w:pStyle w:val="6"/>
              <w:spacing w:before="62" w:line="230" w:lineRule="auto"/>
              <w:ind w:left="1498"/>
            </w:pPr>
            <w:r>
              <w:rPr>
                <w:b/>
                <w:bCs/>
                <w:spacing w:val="6"/>
              </w:rPr>
              <w:t>规范要求</w:t>
            </w:r>
          </w:p>
        </w:tc>
        <w:tc>
          <w:tcPr>
            <w:tcW w:w="3117" w:type="dxa"/>
            <w:vAlign w:val="top"/>
          </w:tcPr>
          <w:p w14:paraId="4D33475C">
            <w:pPr>
              <w:pStyle w:val="6"/>
              <w:spacing w:before="62" w:line="228" w:lineRule="auto"/>
              <w:ind w:left="1142"/>
            </w:pPr>
            <w:r>
              <w:rPr>
                <w:b/>
                <w:bCs/>
                <w:spacing w:val="6"/>
              </w:rPr>
              <w:t>选址条件</w:t>
            </w:r>
          </w:p>
        </w:tc>
        <w:tc>
          <w:tcPr>
            <w:tcW w:w="1328" w:type="dxa"/>
            <w:vAlign w:val="top"/>
          </w:tcPr>
          <w:p w14:paraId="1AE2F4B3">
            <w:pPr>
              <w:pStyle w:val="6"/>
              <w:spacing w:before="62" w:line="228" w:lineRule="auto"/>
              <w:ind w:left="147"/>
            </w:pPr>
            <w:r>
              <w:rPr>
                <w:b/>
                <w:bCs/>
                <w:spacing w:val="6"/>
              </w:rPr>
              <w:t>符合性分析</w:t>
            </w:r>
          </w:p>
        </w:tc>
      </w:tr>
      <w:tr w14:paraId="49CF6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678" w:type="dxa"/>
            <w:vAlign w:val="top"/>
          </w:tcPr>
          <w:p w14:paraId="414D5474">
            <w:pPr>
              <w:spacing w:line="294" w:lineRule="auto"/>
              <w:rPr>
                <w:rFonts w:ascii="Arial"/>
                <w:sz w:val="21"/>
              </w:rPr>
            </w:pPr>
          </w:p>
          <w:p w14:paraId="5CC7C75C">
            <w:pPr>
              <w:spacing w:before="5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827" w:type="dxa"/>
            <w:vAlign w:val="top"/>
          </w:tcPr>
          <w:p w14:paraId="6BBF87EB">
            <w:pPr>
              <w:pStyle w:val="6"/>
              <w:spacing w:before="58" w:line="228" w:lineRule="auto"/>
              <w:ind w:left="132"/>
            </w:pPr>
            <w:r>
              <w:rPr>
                <w:spacing w:val="9"/>
              </w:rPr>
              <w:t>禁止在生活饮用水水源保护区、风景名</w:t>
            </w:r>
          </w:p>
          <w:p w14:paraId="3D4D043A">
            <w:pPr>
              <w:pStyle w:val="6"/>
              <w:spacing w:before="79" w:line="228" w:lineRule="auto"/>
              <w:ind w:left="132"/>
            </w:pPr>
            <w:r>
              <w:rPr>
                <w:spacing w:val="6"/>
              </w:rPr>
              <w:t>胜区、</w:t>
            </w:r>
            <w:r>
              <w:rPr>
                <w:spacing w:val="-43"/>
              </w:rPr>
              <w:t xml:space="preserve"> </w:t>
            </w:r>
            <w:r>
              <w:rPr>
                <w:spacing w:val="6"/>
              </w:rPr>
              <w:t>自然保护区的核心区及缓冲区建</w:t>
            </w:r>
          </w:p>
          <w:p w14:paraId="51060087">
            <w:pPr>
              <w:pStyle w:val="6"/>
              <w:spacing w:before="79" w:line="228" w:lineRule="auto"/>
              <w:ind w:left="1290"/>
            </w:pPr>
            <w:r>
              <w:rPr>
                <w:spacing w:val="7"/>
              </w:rPr>
              <w:t>设畜禽养殖场</w:t>
            </w:r>
          </w:p>
        </w:tc>
        <w:tc>
          <w:tcPr>
            <w:tcW w:w="3117" w:type="dxa"/>
            <w:vAlign w:val="top"/>
          </w:tcPr>
          <w:p w14:paraId="3C80540F">
            <w:pPr>
              <w:pStyle w:val="6"/>
              <w:spacing w:before="57" w:line="228" w:lineRule="auto"/>
              <w:ind w:left="203"/>
            </w:pPr>
            <w:r>
              <w:rPr>
                <w:spacing w:val="9"/>
              </w:rPr>
              <w:t>项目建设场地附近无生活饮用</w:t>
            </w:r>
          </w:p>
          <w:p w14:paraId="70460626">
            <w:pPr>
              <w:pStyle w:val="6"/>
              <w:spacing w:before="80" w:line="228" w:lineRule="auto"/>
              <w:ind w:left="116"/>
            </w:pPr>
            <w:r>
              <w:rPr>
                <w:spacing w:val="8"/>
              </w:rPr>
              <w:t>水水源保护区、风景名胜区、自</w:t>
            </w:r>
          </w:p>
          <w:p w14:paraId="44266BC1">
            <w:pPr>
              <w:pStyle w:val="6"/>
              <w:spacing w:before="79" w:line="228" w:lineRule="auto"/>
              <w:ind w:left="621"/>
            </w:pPr>
            <w:r>
              <w:rPr>
                <w:spacing w:val="8"/>
              </w:rPr>
              <w:t>然保护区等敏感地区</w:t>
            </w:r>
          </w:p>
        </w:tc>
        <w:tc>
          <w:tcPr>
            <w:tcW w:w="1328" w:type="dxa"/>
            <w:vAlign w:val="top"/>
          </w:tcPr>
          <w:p w14:paraId="5A816467">
            <w:pPr>
              <w:spacing w:line="318" w:lineRule="auto"/>
              <w:rPr>
                <w:rFonts w:ascii="Arial"/>
                <w:sz w:val="21"/>
              </w:rPr>
            </w:pPr>
          </w:p>
          <w:p w14:paraId="71FA7FAD">
            <w:pPr>
              <w:pStyle w:val="6"/>
              <w:spacing w:before="65" w:line="228" w:lineRule="auto"/>
              <w:ind w:left="462"/>
            </w:pPr>
            <w:r>
              <w:rPr>
                <w:spacing w:val="3"/>
              </w:rPr>
              <w:t>符合</w:t>
            </w:r>
          </w:p>
        </w:tc>
      </w:tr>
      <w:tr w14:paraId="565A2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678" w:type="dxa"/>
            <w:vAlign w:val="top"/>
          </w:tcPr>
          <w:p w14:paraId="1B386FEE">
            <w:pPr>
              <w:spacing w:line="296" w:lineRule="auto"/>
              <w:rPr>
                <w:rFonts w:ascii="Arial"/>
                <w:sz w:val="21"/>
              </w:rPr>
            </w:pPr>
          </w:p>
          <w:p w14:paraId="2AE8FDD7">
            <w:pPr>
              <w:spacing w:before="57" w:line="275"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827" w:type="dxa"/>
            <w:vAlign w:val="top"/>
          </w:tcPr>
          <w:p w14:paraId="43B6C7D7">
            <w:pPr>
              <w:pStyle w:val="6"/>
              <w:spacing w:before="59" w:line="228" w:lineRule="auto"/>
              <w:ind w:left="132"/>
            </w:pPr>
            <w:r>
              <w:rPr>
                <w:spacing w:val="9"/>
              </w:rPr>
              <w:t>禁止在城市和城镇居民区，包括文教科</w:t>
            </w:r>
          </w:p>
          <w:p w14:paraId="53D48494">
            <w:pPr>
              <w:pStyle w:val="6"/>
              <w:spacing w:before="79" w:line="229" w:lineRule="auto"/>
              <w:ind w:left="132"/>
            </w:pPr>
            <w:r>
              <w:rPr>
                <w:spacing w:val="9"/>
              </w:rPr>
              <w:t>研区、医疗区、商业区、工业区、游览</w:t>
            </w:r>
          </w:p>
          <w:p w14:paraId="3A250936">
            <w:pPr>
              <w:pStyle w:val="6"/>
              <w:spacing w:before="78" w:line="228" w:lineRule="auto"/>
              <w:ind w:left="359"/>
            </w:pPr>
            <w:r>
              <w:rPr>
                <w:spacing w:val="8"/>
              </w:rPr>
              <w:t>区等人口集中地区建设畜禽养殖场</w:t>
            </w:r>
          </w:p>
        </w:tc>
        <w:tc>
          <w:tcPr>
            <w:tcW w:w="3117" w:type="dxa"/>
            <w:vAlign w:val="top"/>
          </w:tcPr>
          <w:p w14:paraId="5076EE5B">
            <w:pPr>
              <w:pStyle w:val="6"/>
              <w:spacing w:before="223" w:line="228" w:lineRule="auto"/>
              <w:ind w:left="203"/>
            </w:pPr>
            <w:r>
              <w:rPr>
                <w:spacing w:val="9"/>
              </w:rPr>
              <w:t>项目所在地不属于人口集中地</w:t>
            </w:r>
          </w:p>
          <w:p w14:paraId="5051B8F2">
            <w:pPr>
              <w:pStyle w:val="6"/>
              <w:spacing w:before="79" w:line="233" w:lineRule="auto"/>
              <w:ind w:left="1476"/>
            </w:pPr>
            <w:r>
              <w:t>区</w:t>
            </w:r>
          </w:p>
        </w:tc>
        <w:tc>
          <w:tcPr>
            <w:tcW w:w="1328" w:type="dxa"/>
            <w:vAlign w:val="top"/>
          </w:tcPr>
          <w:p w14:paraId="701CF0E4">
            <w:pPr>
              <w:spacing w:line="319" w:lineRule="auto"/>
              <w:rPr>
                <w:rFonts w:ascii="Arial"/>
                <w:sz w:val="21"/>
              </w:rPr>
            </w:pPr>
          </w:p>
          <w:p w14:paraId="05A577DB">
            <w:pPr>
              <w:pStyle w:val="6"/>
              <w:spacing w:before="65" w:line="228" w:lineRule="auto"/>
              <w:ind w:left="462"/>
            </w:pPr>
            <w:r>
              <w:rPr>
                <w:spacing w:val="3"/>
              </w:rPr>
              <w:t>符合</w:t>
            </w:r>
          </w:p>
        </w:tc>
      </w:tr>
      <w:tr w14:paraId="5B4BC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678" w:type="dxa"/>
            <w:vAlign w:val="top"/>
          </w:tcPr>
          <w:p w14:paraId="67A9650D">
            <w:pPr>
              <w:spacing w:before="195"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3827" w:type="dxa"/>
            <w:vAlign w:val="top"/>
          </w:tcPr>
          <w:p w14:paraId="1D687185">
            <w:pPr>
              <w:pStyle w:val="6"/>
              <w:spacing w:before="62" w:line="228" w:lineRule="auto"/>
              <w:ind w:left="132"/>
            </w:pPr>
            <w:r>
              <w:rPr>
                <w:spacing w:val="9"/>
              </w:rPr>
              <w:t>禁止在县级人民政府依法划定的禁养区</w:t>
            </w:r>
          </w:p>
          <w:p w14:paraId="34C15DBE">
            <w:pPr>
              <w:pStyle w:val="6"/>
              <w:spacing w:before="80" w:line="228" w:lineRule="auto"/>
              <w:ind w:left="1078"/>
            </w:pPr>
            <w:r>
              <w:rPr>
                <w:spacing w:val="8"/>
              </w:rPr>
              <w:t>域建设畜禽养殖场</w:t>
            </w:r>
          </w:p>
        </w:tc>
        <w:tc>
          <w:tcPr>
            <w:tcW w:w="3117" w:type="dxa"/>
            <w:vAlign w:val="top"/>
          </w:tcPr>
          <w:p w14:paraId="5FAA53D6">
            <w:pPr>
              <w:pStyle w:val="6"/>
              <w:spacing w:before="226" w:line="228" w:lineRule="auto"/>
              <w:ind w:left="938"/>
            </w:pPr>
            <w:r>
              <w:rPr>
                <w:spacing w:val="7"/>
              </w:rPr>
              <w:t>不属于禁养区</w:t>
            </w:r>
          </w:p>
        </w:tc>
        <w:tc>
          <w:tcPr>
            <w:tcW w:w="1328" w:type="dxa"/>
            <w:vAlign w:val="top"/>
          </w:tcPr>
          <w:p w14:paraId="13D97C3C">
            <w:pPr>
              <w:pStyle w:val="6"/>
              <w:spacing w:before="226" w:line="228" w:lineRule="auto"/>
              <w:ind w:left="462"/>
            </w:pPr>
            <w:r>
              <w:rPr>
                <w:spacing w:val="3"/>
              </w:rPr>
              <w:t>符合</w:t>
            </w:r>
          </w:p>
        </w:tc>
      </w:tr>
      <w:tr w14:paraId="111BC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78" w:type="dxa"/>
            <w:vAlign w:val="top"/>
          </w:tcPr>
          <w:p w14:paraId="2A1AF751">
            <w:pPr>
              <w:spacing w:before="196"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827" w:type="dxa"/>
            <w:vAlign w:val="top"/>
          </w:tcPr>
          <w:p w14:paraId="7B9CBD3D">
            <w:pPr>
              <w:pStyle w:val="6"/>
              <w:spacing w:before="63" w:line="271" w:lineRule="auto"/>
              <w:ind w:left="343" w:right="128" w:hanging="211"/>
            </w:pPr>
            <w:r>
              <w:rPr>
                <w:spacing w:val="9"/>
              </w:rPr>
              <w:t>禁止在国家或地方法律、法规规定需特</w:t>
            </w:r>
            <w:r>
              <w:rPr>
                <w:spacing w:val="6"/>
              </w:rPr>
              <w:t xml:space="preserve"> </w:t>
            </w:r>
            <w:r>
              <w:rPr>
                <w:spacing w:val="9"/>
              </w:rPr>
              <w:t>殊保护的其他区域建设畜禽养殖场</w:t>
            </w:r>
          </w:p>
        </w:tc>
        <w:tc>
          <w:tcPr>
            <w:tcW w:w="3117" w:type="dxa"/>
            <w:vAlign w:val="top"/>
          </w:tcPr>
          <w:p w14:paraId="1E577BE3">
            <w:pPr>
              <w:pStyle w:val="6"/>
              <w:spacing w:before="227" w:line="228" w:lineRule="auto"/>
              <w:ind w:left="515"/>
            </w:pPr>
            <w:r>
              <w:rPr>
                <w:spacing w:val="8"/>
              </w:rPr>
              <w:t>周边无特殊保护的区域</w:t>
            </w:r>
          </w:p>
        </w:tc>
        <w:tc>
          <w:tcPr>
            <w:tcW w:w="1328" w:type="dxa"/>
            <w:vAlign w:val="top"/>
          </w:tcPr>
          <w:p w14:paraId="3A3792E0">
            <w:pPr>
              <w:pStyle w:val="6"/>
              <w:spacing w:before="227" w:line="228" w:lineRule="auto"/>
              <w:ind w:left="462"/>
            </w:pPr>
            <w:r>
              <w:rPr>
                <w:spacing w:val="3"/>
              </w:rPr>
              <w:t>符合</w:t>
            </w:r>
          </w:p>
        </w:tc>
      </w:tr>
    </w:tbl>
    <w:p w14:paraId="54554693">
      <w:pPr>
        <w:spacing w:before="125" w:line="328" w:lineRule="auto"/>
        <w:ind w:left="134" w:right="127" w:firstLine="471"/>
        <w:rPr>
          <w:rFonts w:ascii="宋体" w:hAnsi="宋体" w:eastAsia="宋体" w:cs="宋体"/>
          <w:sz w:val="24"/>
          <w:szCs w:val="24"/>
        </w:rPr>
      </w:pPr>
      <w:r>
        <w:rPr>
          <w:rFonts w:ascii="宋体" w:hAnsi="宋体" w:eastAsia="宋体" w:cs="宋体"/>
          <w:spacing w:val="21"/>
          <w:sz w:val="24"/>
          <w:szCs w:val="24"/>
        </w:rPr>
        <w:t>从上表中分析可见</w:t>
      </w:r>
      <w:r>
        <w:rPr>
          <w:rFonts w:ascii="宋体" w:hAnsi="宋体" w:eastAsia="宋体" w:cs="宋体"/>
          <w:spacing w:val="-67"/>
          <w:sz w:val="24"/>
          <w:szCs w:val="24"/>
        </w:rPr>
        <w:t xml:space="preserve"> </w:t>
      </w:r>
      <w:r>
        <w:rPr>
          <w:rFonts w:ascii="宋体" w:hAnsi="宋体" w:eastAsia="宋体" w:cs="宋体"/>
          <w:spacing w:val="21"/>
          <w:sz w:val="24"/>
          <w:szCs w:val="24"/>
        </w:rPr>
        <w:t>，本项</w:t>
      </w:r>
      <w:r>
        <w:rPr>
          <w:rFonts w:ascii="宋体" w:hAnsi="宋体" w:eastAsia="宋体" w:cs="宋体"/>
          <w:spacing w:val="-36"/>
          <w:sz w:val="24"/>
          <w:szCs w:val="24"/>
        </w:rPr>
        <w:t xml:space="preserve"> </w:t>
      </w:r>
      <w:r>
        <w:rPr>
          <w:rFonts w:ascii="宋体" w:hAnsi="宋体" w:eastAsia="宋体" w:cs="宋体"/>
          <w:spacing w:val="21"/>
          <w:sz w:val="24"/>
          <w:szCs w:val="24"/>
        </w:rPr>
        <w:t>目选址符合《畜禽养殖业污染</w:t>
      </w:r>
      <w:r>
        <w:rPr>
          <w:rFonts w:ascii="宋体" w:hAnsi="宋体" w:eastAsia="宋体" w:cs="宋体"/>
          <w:spacing w:val="20"/>
          <w:sz w:val="24"/>
          <w:szCs w:val="24"/>
        </w:rPr>
        <w:t>防治技术规范》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HJ/T81-2001</w:t>
      </w:r>
      <w:r>
        <w:rPr>
          <w:rFonts w:ascii="宋体" w:hAnsi="宋体" w:eastAsia="宋体" w:cs="宋体"/>
          <w:spacing w:val="-2"/>
          <w:sz w:val="24"/>
          <w:szCs w:val="24"/>
        </w:rPr>
        <w:t>）的相关要求。</w:t>
      </w:r>
    </w:p>
    <w:p w14:paraId="009479BC">
      <w:pPr>
        <w:spacing w:line="6530" w:lineRule="exact"/>
        <w:ind w:firstLine="113"/>
      </w:pPr>
      <w:r>
        <w:rPr>
          <w:position w:val="-130"/>
        </w:rPr>
        <w:drawing>
          <wp:inline distT="0" distB="0" distL="0" distR="0">
            <wp:extent cx="5594350" cy="41465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7"/>
                    <a:stretch>
                      <a:fillRect/>
                    </a:stretch>
                  </pic:blipFill>
                  <pic:spPr>
                    <a:xfrm>
                      <a:off x="0" y="0"/>
                      <a:ext cx="5594603" cy="4146803"/>
                    </a:xfrm>
                    <a:prstGeom prst="rect">
                      <a:avLst/>
                    </a:prstGeom>
                  </pic:spPr>
                </pic:pic>
              </a:graphicData>
            </a:graphic>
          </wp:inline>
        </w:drawing>
      </w:r>
    </w:p>
    <w:p w14:paraId="77F5AA8E">
      <w:pPr>
        <w:spacing w:before="183" w:line="222" w:lineRule="auto"/>
        <w:ind w:left="2450"/>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27"/>
          <w:sz w:val="24"/>
          <w:szCs w:val="24"/>
        </w:rPr>
        <w:t xml:space="preserve"> </w:t>
      </w:r>
      <w:r>
        <w:rPr>
          <w:rFonts w:ascii="Times New Roman" w:hAnsi="Times New Roman" w:eastAsia="Times New Roman" w:cs="Times New Roman"/>
          <w:b/>
          <w:bCs/>
          <w:spacing w:val="-3"/>
          <w:sz w:val="24"/>
          <w:szCs w:val="24"/>
        </w:rPr>
        <w:t xml:space="preserve">1.4-2    </w:t>
      </w:r>
      <w:r>
        <w:rPr>
          <w:rFonts w:ascii="宋体" w:hAnsi="宋体" w:eastAsia="宋体" w:cs="宋体"/>
          <w:b/>
          <w:bCs/>
          <w:spacing w:val="-3"/>
          <w:sz w:val="24"/>
          <w:szCs w:val="24"/>
        </w:rPr>
        <w:t>土地利用总体规划图（</w:t>
      </w:r>
      <w:r>
        <w:rPr>
          <w:rFonts w:ascii="Times New Roman" w:hAnsi="Times New Roman" w:eastAsia="Times New Roman" w:cs="Times New Roman"/>
          <w:b/>
          <w:bCs/>
          <w:spacing w:val="-3"/>
          <w:sz w:val="24"/>
          <w:szCs w:val="24"/>
        </w:rPr>
        <w:t>1:300000</w:t>
      </w:r>
      <w:r>
        <w:rPr>
          <w:rFonts w:ascii="宋体" w:hAnsi="宋体" w:eastAsia="宋体" w:cs="宋体"/>
          <w:b/>
          <w:bCs/>
          <w:spacing w:val="-3"/>
          <w:sz w:val="24"/>
          <w:szCs w:val="24"/>
        </w:rPr>
        <w:t>）</w:t>
      </w:r>
    </w:p>
    <w:p w14:paraId="15D4FFBB">
      <w:pPr>
        <w:pStyle w:val="2"/>
        <w:spacing w:line="337" w:lineRule="auto"/>
      </w:pPr>
    </w:p>
    <w:p w14:paraId="55AACE51">
      <w:pPr>
        <w:pStyle w:val="2"/>
        <w:spacing w:line="337" w:lineRule="auto"/>
      </w:pPr>
    </w:p>
    <w:p w14:paraId="4BBC66AF">
      <w:pPr>
        <w:spacing w:before="78" w:line="219" w:lineRule="auto"/>
        <w:ind w:left="129"/>
        <w:outlineLvl w:val="2"/>
        <w:rPr>
          <w:rFonts w:ascii="宋体" w:hAnsi="宋体" w:eastAsia="宋体" w:cs="宋体"/>
          <w:sz w:val="24"/>
          <w:szCs w:val="24"/>
        </w:rPr>
      </w:pPr>
      <w:r>
        <w:rPr>
          <w:rFonts w:ascii="Times New Roman" w:hAnsi="Times New Roman" w:eastAsia="Times New Roman" w:cs="Times New Roman"/>
          <w:b/>
          <w:bCs/>
          <w:spacing w:val="-3"/>
          <w:sz w:val="24"/>
          <w:szCs w:val="24"/>
        </w:rPr>
        <w:t>1.4.5</w:t>
      </w:r>
      <w:r>
        <w:rPr>
          <w:rFonts w:ascii="宋体" w:hAnsi="宋体" w:eastAsia="宋体" w:cs="宋体"/>
          <w:b/>
          <w:bCs/>
          <w:spacing w:val="-3"/>
          <w:sz w:val="24"/>
          <w:szCs w:val="24"/>
        </w:rPr>
        <w:t>平面布置合理性分析</w:t>
      </w:r>
    </w:p>
    <w:p w14:paraId="522E89B7">
      <w:pPr>
        <w:spacing w:before="205" w:line="219" w:lineRule="auto"/>
        <w:ind w:left="603"/>
        <w:rPr>
          <w:rFonts w:ascii="宋体" w:hAnsi="宋体" w:eastAsia="宋体" w:cs="宋体"/>
          <w:sz w:val="24"/>
          <w:szCs w:val="24"/>
        </w:rPr>
      </w:pPr>
      <w:r>
        <w:rPr>
          <w:rFonts w:ascii="宋体" w:hAnsi="宋体" w:eastAsia="宋体" w:cs="宋体"/>
          <w:spacing w:val="2"/>
          <w:sz w:val="24"/>
          <w:szCs w:val="24"/>
        </w:rPr>
        <w:t>本项目区域总体分为养殖区、办公生活区及有机肥发酵车间。养殖区位于项目</w:t>
      </w:r>
    </w:p>
    <w:p w14:paraId="724E7D8A">
      <w:pPr>
        <w:spacing w:line="219" w:lineRule="auto"/>
        <w:rPr>
          <w:rFonts w:ascii="宋体" w:hAnsi="宋体" w:eastAsia="宋体" w:cs="宋体"/>
          <w:sz w:val="24"/>
          <w:szCs w:val="24"/>
        </w:rPr>
        <w:sectPr>
          <w:footerReference r:id="rId20" w:type="default"/>
          <w:pgSz w:w="11906" w:h="16839"/>
          <w:pgMar w:top="1431" w:right="1475" w:bottom="1485" w:left="1475" w:header="0" w:footer="1249" w:gutter="0"/>
          <w:cols w:space="720" w:num="1"/>
        </w:sectPr>
      </w:pPr>
    </w:p>
    <w:p w14:paraId="724485C2">
      <w:pPr>
        <w:spacing w:before="111" w:line="367" w:lineRule="auto"/>
        <w:ind w:firstLine="18"/>
        <w:rPr>
          <w:rFonts w:ascii="宋体" w:hAnsi="宋体" w:eastAsia="宋体" w:cs="宋体"/>
          <w:sz w:val="24"/>
          <w:szCs w:val="24"/>
        </w:rPr>
      </w:pPr>
      <w:r>
        <w:rPr>
          <w:rFonts w:ascii="宋体" w:hAnsi="宋体" w:eastAsia="宋体" w:cs="宋体"/>
          <w:spacing w:val="-3"/>
          <w:sz w:val="24"/>
          <w:szCs w:val="24"/>
        </w:rPr>
        <w:t>的中间，有机肥发酵车间位于养殖区的东北面，办公生活区域位于养</w:t>
      </w:r>
      <w:r>
        <w:rPr>
          <w:rFonts w:ascii="宋体" w:hAnsi="宋体" w:eastAsia="宋体" w:cs="宋体"/>
          <w:spacing w:val="-4"/>
          <w:sz w:val="24"/>
          <w:szCs w:val="24"/>
        </w:rPr>
        <w:t>殖区域西南角，</w:t>
      </w:r>
      <w:r>
        <w:rPr>
          <w:rFonts w:ascii="宋体" w:hAnsi="宋体" w:eastAsia="宋体" w:cs="宋体"/>
          <w:sz w:val="24"/>
          <w:szCs w:val="24"/>
        </w:rPr>
        <w:t xml:space="preserve"> </w:t>
      </w:r>
      <w:r>
        <w:rPr>
          <w:rFonts w:ascii="宋体" w:hAnsi="宋体" w:eastAsia="宋体" w:cs="宋体"/>
          <w:spacing w:val="-2"/>
          <w:sz w:val="24"/>
          <w:szCs w:val="24"/>
        </w:rPr>
        <w:t>其余区域为绿化区域。项目具体平面布置图见图</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1.4-3</w:t>
      </w:r>
      <w:r>
        <w:rPr>
          <w:rFonts w:ascii="宋体" w:hAnsi="宋体" w:eastAsia="宋体" w:cs="宋体"/>
          <w:spacing w:val="-2"/>
          <w:sz w:val="24"/>
          <w:szCs w:val="24"/>
        </w:rPr>
        <w:t>。</w:t>
      </w:r>
    </w:p>
    <w:p w14:paraId="4B450BFB">
      <w:pPr>
        <w:pStyle w:val="2"/>
        <w:spacing w:line="7634" w:lineRule="exact"/>
        <w:ind w:firstLine="289"/>
      </w:pPr>
      <w:r>
        <w:rPr>
          <w:position w:val="-152"/>
        </w:rPr>
        <w:pict>
          <v:group id="_x0000_s1027" o:spid="_x0000_s1027" o:spt="203" style="height:381.75pt;width:405.75pt;" coordsize="8115,7635">
            <o:lock v:ext="edit"/>
            <v:shape id="_x0000_s1028" o:spid="_x0000_s1028" o:spt="75" type="#_x0000_t75" style="position:absolute;left:30;top:30;height:7575;width:8055;" filled="f" stroked="f" coordsize="21600,21600">
              <v:path/>
              <v:fill on="f" focussize="0,0"/>
              <v:stroke on="f"/>
              <v:imagedata r:id="rId198" o:title=""/>
              <o:lock v:ext="edit" aspectratio="t"/>
            </v:shape>
            <v:shape id="_x0000_s1029" o:spid="_x0000_s1029" o:spt="202" type="#_x0000_t202" style="position:absolute;left:-20;top:-20;height:7675;width:8155;" filled="f" stroked="f" coordsize="21600,21600">
              <v:path/>
              <v:fill on="f" focussize="0,0"/>
              <v:stroke on="f"/>
              <v:imagedata o:title=""/>
              <o:lock v:ext="edit" aspectratio="f"/>
              <v:textbox inset="0mm,0mm,0mm,0mm">
                <w:txbxContent>
                  <w:p w14:paraId="0CC600C5">
                    <w:pPr>
                      <w:spacing w:line="20" w:lineRule="exact"/>
                    </w:pPr>
                  </w:p>
                  <w:tbl>
                    <w:tblPr>
                      <w:tblStyle w:val="5"/>
                      <w:tblW w:w="810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104"/>
                    </w:tblGrid>
                    <w:tr w14:paraId="60402E3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614" w:hRule="atLeast"/>
                      </w:trPr>
                      <w:tc>
                        <w:tcPr>
                          <w:tcW w:w="8104" w:type="dxa"/>
                          <w:vAlign w:val="top"/>
                        </w:tcPr>
                        <w:p w14:paraId="36B5E92F">
                          <w:pPr>
                            <w:rPr>
                              <w:rFonts w:ascii="Arial"/>
                              <w:sz w:val="21"/>
                            </w:rPr>
                          </w:pPr>
                        </w:p>
                      </w:tc>
                    </w:tr>
                  </w:tbl>
                  <w:p w14:paraId="2C1BEA00">
                    <w:pPr>
                      <w:rPr>
                        <w:rFonts w:ascii="Arial"/>
                        <w:sz w:val="21"/>
                      </w:rPr>
                    </w:pPr>
                  </w:p>
                </w:txbxContent>
              </v:textbox>
            </v:shape>
            <w10:wrap type="none"/>
            <w10:anchorlock/>
          </v:group>
        </w:pict>
      </w:r>
    </w:p>
    <w:p w14:paraId="69852E8F">
      <w:pPr>
        <w:spacing w:before="125" w:line="219" w:lineRule="auto"/>
        <w:ind w:left="2867"/>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6"/>
          <w:sz w:val="24"/>
          <w:szCs w:val="24"/>
        </w:rPr>
        <w:t xml:space="preserve"> </w:t>
      </w:r>
      <w:r>
        <w:rPr>
          <w:rFonts w:ascii="Times New Roman" w:hAnsi="Times New Roman" w:eastAsia="Times New Roman" w:cs="Times New Roman"/>
          <w:b/>
          <w:bCs/>
          <w:spacing w:val="-3"/>
          <w:sz w:val="24"/>
          <w:szCs w:val="24"/>
        </w:rPr>
        <w:t xml:space="preserve">1.4-3    </w:t>
      </w:r>
      <w:r>
        <w:rPr>
          <w:rFonts w:ascii="宋体" w:hAnsi="宋体" w:eastAsia="宋体" w:cs="宋体"/>
          <w:b/>
          <w:bCs/>
          <w:spacing w:val="-3"/>
          <w:sz w:val="24"/>
          <w:szCs w:val="24"/>
        </w:rPr>
        <w:t>项目平面布置图（</w:t>
      </w:r>
      <w:r>
        <w:rPr>
          <w:rFonts w:ascii="Times New Roman" w:hAnsi="Times New Roman" w:eastAsia="Times New Roman" w:cs="Times New Roman"/>
          <w:b/>
          <w:bCs/>
          <w:spacing w:val="-3"/>
          <w:sz w:val="24"/>
          <w:szCs w:val="24"/>
        </w:rPr>
        <w:t>1:1800</w:t>
      </w:r>
      <w:r>
        <w:rPr>
          <w:rFonts w:ascii="宋体" w:hAnsi="宋体" w:eastAsia="宋体" w:cs="宋体"/>
          <w:b/>
          <w:bCs/>
          <w:spacing w:val="-3"/>
          <w:sz w:val="24"/>
          <w:szCs w:val="24"/>
        </w:rPr>
        <w:t>）</w:t>
      </w:r>
    </w:p>
    <w:p w14:paraId="22B0F771">
      <w:pPr>
        <w:spacing w:before="179" w:line="360" w:lineRule="auto"/>
        <w:ind w:left="3" w:firstLine="476"/>
        <w:rPr>
          <w:rFonts w:ascii="宋体" w:hAnsi="宋体" w:eastAsia="宋体" w:cs="宋体"/>
          <w:sz w:val="24"/>
          <w:szCs w:val="24"/>
        </w:rPr>
      </w:pPr>
      <w:r>
        <w:rPr>
          <w:rFonts w:ascii="宋体" w:hAnsi="宋体" w:eastAsia="宋体" w:cs="宋体"/>
          <w:spacing w:val="-3"/>
          <w:sz w:val="24"/>
          <w:szCs w:val="24"/>
        </w:rPr>
        <w:t>根据本项目平面布置情况，本项目生产单元布置合理，整个厂区功能分区明确，</w:t>
      </w:r>
      <w:r>
        <w:rPr>
          <w:rFonts w:ascii="宋体" w:hAnsi="宋体" w:eastAsia="宋体" w:cs="宋体"/>
          <w:spacing w:val="6"/>
          <w:sz w:val="24"/>
          <w:szCs w:val="24"/>
        </w:rPr>
        <w:t xml:space="preserve"> </w:t>
      </w:r>
      <w:r>
        <w:rPr>
          <w:rFonts w:ascii="宋体" w:hAnsi="宋体" w:eastAsia="宋体" w:cs="宋体"/>
          <w:spacing w:val="-2"/>
          <w:sz w:val="24"/>
          <w:szCs w:val="24"/>
        </w:rPr>
        <w:t>项目平面布置合理性如下：</w:t>
      </w:r>
    </w:p>
    <w:p w14:paraId="35DA3C85">
      <w:pPr>
        <w:spacing w:before="52" w:line="359" w:lineRule="exact"/>
        <w:ind w:left="498"/>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27"/>
          <w:position w:val="2"/>
          <w:sz w:val="24"/>
          <w:szCs w:val="24"/>
        </w:rPr>
        <w:t xml:space="preserve"> </w:t>
      </w:r>
      <w:r>
        <w:rPr>
          <w:rFonts w:ascii="宋体" w:hAnsi="宋体" w:eastAsia="宋体" w:cs="宋体"/>
          <w:spacing w:val="-7"/>
          <w:position w:val="2"/>
          <w:sz w:val="24"/>
          <w:szCs w:val="24"/>
        </w:rPr>
        <w:t>、内环境角度分析</w:t>
      </w:r>
    </w:p>
    <w:p w14:paraId="222ACE06">
      <w:pPr>
        <w:spacing w:before="168" w:line="370" w:lineRule="auto"/>
        <w:ind w:right="63" w:firstLine="482"/>
        <w:rPr>
          <w:rFonts w:ascii="宋体" w:hAnsi="宋体" w:eastAsia="宋体" w:cs="宋体"/>
          <w:sz w:val="24"/>
          <w:szCs w:val="24"/>
        </w:rPr>
      </w:pPr>
      <w:r>
        <w:rPr>
          <w:rFonts w:ascii="宋体" w:hAnsi="宋体" w:eastAsia="宋体" w:cs="宋体"/>
          <w:spacing w:val="2"/>
          <w:sz w:val="24"/>
          <w:szCs w:val="24"/>
        </w:rPr>
        <w:t>从本项目厂区的平面布局来看，办公生活区位于养殖区、有机肥发酵区的西南</w:t>
      </w:r>
      <w:r>
        <w:rPr>
          <w:rFonts w:ascii="宋体" w:hAnsi="宋体" w:eastAsia="宋体" w:cs="宋体"/>
          <w:spacing w:val="7"/>
          <w:sz w:val="24"/>
          <w:szCs w:val="24"/>
        </w:rPr>
        <w:t xml:space="preserve"> </w:t>
      </w:r>
      <w:r>
        <w:rPr>
          <w:rFonts w:ascii="宋体" w:hAnsi="宋体" w:eastAsia="宋体" w:cs="宋体"/>
          <w:spacing w:val="2"/>
          <w:sz w:val="24"/>
          <w:szCs w:val="24"/>
        </w:rPr>
        <w:t>面。养殖区与办公生活区之间由绿化带分隔开来，保证了一定的缓冲距离，进一步</w:t>
      </w:r>
      <w:r>
        <w:rPr>
          <w:rFonts w:ascii="宋体" w:hAnsi="宋体" w:eastAsia="宋体" w:cs="宋体"/>
          <w:spacing w:val="6"/>
          <w:sz w:val="24"/>
          <w:szCs w:val="24"/>
        </w:rPr>
        <w:t xml:space="preserve"> </w:t>
      </w:r>
      <w:r>
        <w:rPr>
          <w:rFonts w:ascii="宋体" w:hAnsi="宋体" w:eastAsia="宋体" w:cs="宋体"/>
          <w:spacing w:val="2"/>
          <w:sz w:val="24"/>
          <w:szCs w:val="24"/>
        </w:rPr>
        <w:t>减轻了养殖过程中噪声、臭气等对办公人员的健康危害。同时，将环保设施有机肥</w:t>
      </w:r>
      <w:r>
        <w:rPr>
          <w:rFonts w:ascii="宋体" w:hAnsi="宋体" w:eastAsia="宋体" w:cs="宋体"/>
          <w:spacing w:val="6"/>
          <w:sz w:val="24"/>
          <w:szCs w:val="24"/>
        </w:rPr>
        <w:t xml:space="preserve"> </w:t>
      </w:r>
      <w:r>
        <w:rPr>
          <w:rFonts w:ascii="宋体" w:hAnsi="宋体" w:eastAsia="宋体" w:cs="宋体"/>
          <w:spacing w:val="2"/>
          <w:sz w:val="24"/>
          <w:szCs w:val="24"/>
        </w:rPr>
        <w:t>生产间、应急池等布置紧挨养殖区，有利于生产原料、产品的运输，也减少了恶臭</w:t>
      </w:r>
      <w:r>
        <w:rPr>
          <w:rFonts w:ascii="宋体" w:hAnsi="宋体" w:eastAsia="宋体" w:cs="宋体"/>
          <w:spacing w:val="3"/>
          <w:sz w:val="24"/>
          <w:szCs w:val="24"/>
        </w:rPr>
        <w:t xml:space="preserve"> </w:t>
      </w:r>
      <w:r>
        <w:rPr>
          <w:rFonts w:ascii="宋体" w:hAnsi="宋体" w:eastAsia="宋体" w:cs="宋体"/>
          <w:spacing w:val="-1"/>
          <w:sz w:val="24"/>
          <w:szCs w:val="24"/>
        </w:rPr>
        <w:t>气体的影响范围。项目总体布局是基本合理的。</w:t>
      </w:r>
    </w:p>
    <w:p w14:paraId="782FF555">
      <w:pPr>
        <w:spacing w:line="360" w:lineRule="exact"/>
        <w:ind w:left="475"/>
        <w:rPr>
          <w:rFonts w:ascii="宋体" w:hAnsi="宋体" w:eastAsia="宋体" w:cs="宋体"/>
          <w:sz w:val="24"/>
          <w:szCs w:val="24"/>
        </w:rPr>
      </w:pP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、外环境对本项目的影响角度分析</w:t>
      </w:r>
    </w:p>
    <w:p w14:paraId="23F368B4">
      <w:pPr>
        <w:spacing w:line="360" w:lineRule="exact"/>
        <w:rPr>
          <w:rFonts w:ascii="宋体" w:hAnsi="宋体" w:eastAsia="宋体" w:cs="宋体"/>
          <w:sz w:val="24"/>
          <w:szCs w:val="24"/>
        </w:rPr>
        <w:sectPr>
          <w:footerReference r:id="rId21" w:type="default"/>
          <w:pgSz w:w="11906" w:h="16839"/>
          <w:pgMar w:top="1431" w:right="1525" w:bottom="1485" w:left="1598" w:header="0" w:footer="1249" w:gutter="0"/>
          <w:cols w:space="720" w:num="1"/>
        </w:sectPr>
      </w:pPr>
    </w:p>
    <w:p w14:paraId="443263DC">
      <w:pPr>
        <w:spacing w:before="74" w:line="367" w:lineRule="auto"/>
        <w:ind w:left="123" w:right="110" w:firstLine="479"/>
        <w:rPr>
          <w:rFonts w:ascii="宋体" w:hAnsi="宋体" w:eastAsia="宋体" w:cs="宋体"/>
          <w:sz w:val="24"/>
          <w:szCs w:val="24"/>
        </w:rPr>
      </w:pPr>
      <w:r>
        <w:rPr>
          <w:rFonts w:ascii="宋体" w:hAnsi="宋体" w:eastAsia="宋体" w:cs="宋体"/>
          <w:spacing w:val="-4"/>
          <w:sz w:val="24"/>
          <w:szCs w:val="24"/>
        </w:rPr>
        <w:t>根据现场调查，项目所在地周围环境质量状况良好，养殖区周围</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范围内没</w:t>
      </w:r>
      <w:r>
        <w:rPr>
          <w:rFonts w:ascii="宋体" w:hAnsi="宋体" w:eastAsia="宋体" w:cs="宋体"/>
          <w:sz w:val="24"/>
          <w:szCs w:val="24"/>
        </w:rPr>
        <w:t xml:space="preserve"> </w:t>
      </w:r>
      <w:r>
        <w:rPr>
          <w:rFonts w:ascii="宋体" w:hAnsi="宋体" w:eastAsia="宋体" w:cs="宋体"/>
          <w:spacing w:val="-1"/>
          <w:sz w:val="24"/>
          <w:szCs w:val="24"/>
        </w:rPr>
        <w:t>有其他工业污染源，能够保障项目生产所必须的防疫环境。</w:t>
      </w:r>
    </w:p>
    <w:p w14:paraId="6EEA9540">
      <w:pPr>
        <w:spacing w:before="23" w:line="359" w:lineRule="exact"/>
        <w:ind w:left="603"/>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20"/>
          <w:position w:val="2"/>
          <w:sz w:val="24"/>
          <w:szCs w:val="24"/>
        </w:rPr>
        <w:t xml:space="preserve"> </w:t>
      </w:r>
      <w:r>
        <w:rPr>
          <w:rFonts w:ascii="宋体" w:hAnsi="宋体" w:eastAsia="宋体" w:cs="宋体"/>
          <w:spacing w:val="-3"/>
          <w:position w:val="2"/>
          <w:sz w:val="24"/>
          <w:szCs w:val="24"/>
        </w:rPr>
        <w:t>、从周边环境敏感目标影响角度分析</w:t>
      </w:r>
    </w:p>
    <w:p w14:paraId="5C7442F9">
      <w:pPr>
        <w:spacing w:before="168" w:line="361" w:lineRule="auto"/>
        <w:ind w:left="123" w:right="110" w:firstLine="480"/>
        <w:rPr>
          <w:rFonts w:ascii="宋体" w:hAnsi="宋体" w:eastAsia="宋体" w:cs="宋体"/>
          <w:sz w:val="24"/>
          <w:szCs w:val="24"/>
        </w:rPr>
      </w:pPr>
      <w:r>
        <w:rPr>
          <w:rFonts w:ascii="宋体" w:hAnsi="宋体" w:eastAsia="宋体" w:cs="宋体"/>
          <w:spacing w:val="2"/>
          <w:sz w:val="24"/>
          <w:szCs w:val="24"/>
        </w:rPr>
        <w:t>本项目对外界环境的影响主要为恶臭气体。根据大气环境影响预测，本项目污</w:t>
      </w:r>
      <w:r>
        <w:rPr>
          <w:rFonts w:ascii="宋体" w:hAnsi="宋体" w:eastAsia="宋体" w:cs="宋体"/>
          <w:spacing w:val="9"/>
          <w:sz w:val="24"/>
          <w:szCs w:val="24"/>
        </w:rPr>
        <w:t xml:space="preserve"> </w:t>
      </w:r>
      <w:r>
        <w:rPr>
          <w:rFonts w:ascii="宋体" w:hAnsi="宋体" w:eastAsia="宋体" w:cs="宋体"/>
          <w:spacing w:val="-4"/>
          <w:sz w:val="24"/>
          <w:szCs w:val="24"/>
        </w:rPr>
        <w:t>染物最大落地浓度在</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范围内，本项目区域下风向</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范围内没有环境敏感目</w:t>
      </w:r>
      <w:r>
        <w:rPr>
          <w:rFonts w:ascii="宋体" w:hAnsi="宋体" w:eastAsia="宋体" w:cs="宋体"/>
          <w:sz w:val="24"/>
          <w:szCs w:val="24"/>
        </w:rPr>
        <w:t xml:space="preserve"> </w:t>
      </w:r>
      <w:r>
        <w:rPr>
          <w:rFonts w:ascii="宋体" w:hAnsi="宋体" w:eastAsia="宋体" w:cs="宋体"/>
          <w:spacing w:val="-6"/>
          <w:sz w:val="24"/>
          <w:szCs w:val="24"/>
        </w:rPr>
        <w:t>标。</w:t>
      </w:r>
    </w:p>
    <w:p w14:paraId="5731BF74">
      <w:pPr>
        <w:spacing w:before="20" w:line="368" w:lineRule="exact"/>
        <w:ind w:left="597"/>
        <w:rPr>
          <w:rFonts w:ascii="宋体" w:hAnsi="宋体" w:eastAsia="宋体" w:cs="宋体"/>
          <w:sz w:val="24"/>
          <w:szCs w:val="24"/>
        </w:rPr>
      </w:pPr>
      <w:r>
        <w:rPr>
          <w:rFonts w:ascii="Times New Roman" w:hAnsi="Times New Roman" w:eastAsia="Times New Roman" w:cs="Times New Roman"/>
          <w:spacing w:val="-8"/>
          <w:position w:val="2"/>
          <w:sz w:val="24"/>
          <w:szCs w:val="24"/>
        </w:rPr>
        <w:t>4</w:t>
      </w:r>
      <w:r>
        <w:rPr>
          <w:rFonts w:ascii="Times New Roman" w:hAnsi="Times New Roman" w:eastAsia="Times New Roman" w:cs="Times New Roman"/>
          <w:spacing w:val="-33"/>
          <w:position w:val="2"/>
          <w:sz w:val="24"/>
          <w:szCs w:val="24"/>
        </w:rPr>
        <w:t xml:space="preserve"> </w:t>
      </w:r>
      <w:r>
        <w:rPr>
          <w:rFonts w:ascii="宋体" w:hAnsi="宋体" w:eastAsia="宋体" w:cs="宋体"/>
          <w:spacing w:val="-8"/>
          <w:position w:val="2"/>
          <w:sz w:val="24"/>
          <w:szCs w:val="24"/>
        </w:rPr>
        <w:t>、汇总</w:t>
      </w:r>
    </w:p>
    <w:p w14:paraId="6AB5F559">
      <w:pPr>
        <w:spacing w:before="159" w:line="219" w:lineRule="auto"/>
        <w:ind w:left="606"/>
        <w:rPr>
          <w:rFonts w:ascii="宋体" w:hAnsi="宋体" w:eastAsia="宋体" w:cs="宋体"/>
          <w:sz w:val="24"/>
          <w:szCs w:val="24"/>
        </w:rPr>
      </w:pPr>
      <w:r>
        <w:rPr>
          <w:rFonts w:ascii="宋体" w:hAnsi="宋体" w:eastAsia="宋体" w:cs="宋体"/>
          <w:spacing w:val="-1"/>
          <w:sz w:val="24"/>
          <w:szCs w:val="24"/>
        </w:rPr>
        <w:t>项目平面布置合理性分析见下表。</w:t>
      </w:r>
    </w:p>
    <w:p w14:paraId="3761CC4F">
      <w:pPr>
        <w:spacing w:before="217" w:line="228" w:lineRule="auto"/>
        <w:ind w:left="219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5"/>
          <w:sz w:val="20"/>
          <w:szCs w:val="20"/>
        </w:rPr>
        <w:t xml:space="preserve"> </w:t>
      </w:r>
      <w:r>
        <w:rPr>
          <w:rFonts w:ascii="Times New Roman" w:hAnsi="Times New Roman" w:eastAsia="Times New Roman" w:cs="Times New Roman"/>
          <w:b/>
          <w:bCs/>
          <w:spacing w:val="6"/>
          <w:sz w:val="20"/>
          <w:szCs w:val="20"/>
        </w:rPr>
        <w:t xml:space="preserve">1.4-3 </w:t>
      </w:r>
      <w:r>
        <w:rPr>
          <w:rFonts w:ascii="宋体" w:hAnsi="宋体" w:eastAsia="宋体" w:cs="宋体"/>
          <w:b/>
          <w:bCs/>
          <w:spacing w:val="6"/>
          <w:sz w:val="20"/>
          <w:szCs w:val="20"/>
        </w:rPr>
        <w:t>平面布置与（</w:t>
      </w:r>
      <w:r>
        <w:rPr>
          <w:rFonts w:ascii="Times New Roman" w:hAnsi="Times New Roman" w:eastAsia="Times New Roman" w:cs="Times New Roman"/>
          <w:b/>
          <w:bCs/>
          <w:sz w:val="20"/>
          <w:szCs w:val="20"/>
        </w:rPr>
        <w:t>HJ</w:t>
      </w:r>
      <w:r>
        <w:rPr>
          <w:rFonts w:ascii="Times New Roman" w:hAnsi="Times New Roman" w:eastAsia="Times New Roman" w:cs="Times New Roman"/>
          <w:b/>
          <w:bCs/>
          <w:spacing w:val="6"/>
          <w:sz w:val="20"/>
          <w:szCs w:val="20"/>
        </w:rPr>
        <w:t>/T81-2001</w:t>
      </w:r>
      <w:r>
        <w:rPr>
          <w:rFonts w:ascii="宋体" w:hAnsi="宋体" w:eastAsia="宋体" w:cs="宋体"/>
          <w:b/>
          <w:bCs/>
          <w:spacing w:val="6"/>
          <w:sz w:val="20"/>
          <w:szCs w:val="20"/>
        </w:rPr>
        <w:t>）要求对比分析结果</w:t>
      </w:r>
    </w:p>
    <w:p w14:paraId="533248E5">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4422"/>
        <w:gridCol w:w="2806"/>
        <w:gridCol w:w="1044"/>
      </w:tblGrid>
      <w:tr w14:paraId="00F01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78" w:type="dxa"/>
            <w:vAlign w:val="top"/>
          </w:tcPr>
          <w:p w14:paraId="6A297506">
            <w:pPr>
              <w:pStyle w:val="6"/>
              <w:spacing w:before="225" w:line="230" w:lineRule="auto"/>
              <w:ind w:left="135"/>
            </w:pPr>
            <w:r>
              <w:rPr>
                <w:spacing w:val="5"/>
              </w:rPr>
              <w:t>序号</w:t>
            </w:r>
          </w:p>
        </w:tc>
        <w:tc>
          <w:tcPr>
            <w:tcW w:w="4422" w:type="dxa"/>
            <w:vAlign w:val="top"/>
          </w:tcPr>
          <w:p w14:paraId="4956C17D">
            <w:pPr>
              <w:pStyle w:val="6"/>
              <w:spacing w:before="225" w:line="230" w:lineRule="auto"/>
              <w:ind w:left="1796"/>
            </w:pPr>
            <w:r>
              <w:rPr>
                <w:spacing w:val="7"/>
              </w:rPr>
              <w:t>规范要求</w:t>
            </w:r>
          </w:p>
        </w:tc>
        <w:tc>
          <w:tcPr>
            <w:tcW w:w="2806" w:type="dxa"/>
            <w:vAlign w:val="top"/>
          </w:tcPr>
          <w:p w14:paraId="58ECE309">
            <w:pPr>
              <w:pStyle w:val="6"/>
              <w:spacing w:before="225" w:line="228" w:lineRule="auto"/>
              <w:ind w:left="989"/>
            </w:pPr>
            <w:r>
              <w:rPr>
                <w:spacing w:val="7"/>
              </w:rPr>
              <w:t>选址条件</w:t>
            </w:r>
          </w:p>
        </w:tc>
        <w:tc>
          <w:tcPr>
            <w:tcW w:w="1044" w:type="dxa"/>
            <w:vAlign w:val="top"/>
          </w:tcPr>
          <w:p w14:paraId="13A61348">
            <w:pPr>
              <w:pStyle w:val="6"/>
              <w:spacing w:before="61" w:line="272" w:lineRule="auto"/>
              <w:ind w:left="320" w:right="205" w:hanging="106"/>
            </w:pPr>
            <w:r>
              <w:rPr>
                <w:spacing w:val="6"/>
              </w:rPr>
              <w:t>符合性</w:t>
            </w:r>
            <w:r>
              <w:t xml:space="preserve"> </w:t>
            </w:r>
            <w:r>
              <w:rPr>
                <w:spacing w:val="3"/>
              </w:rPr>
              <w:t>分析</w:t>
            </w:r>
          </w:p>
        </w:tc>
      </w:tr>
      <w:tr w14:paraId="31BBA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678" w:type="dxa"/>
            <w:vAlign w:val="top"/>
          </w:tcPr>
          <w:p w14:paraId="1CB389DA">
            <w:pPr>
              <w:spacing w:line="457" w:lineRule="auto"/>
              <w:rPr>
                <w:rFonts w:ascii="Arial"/>
                <w:sz w:val="21"/>
              </w:rPr>
            </w:pPr>
          </w:p>
          <w:p w14:paraId="714DAE92">
            <w:pPr>
              <w:spacing w:before="57"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422" w:type="dxa"/>
            <w:vAlign w:val="top"/>
          </w:tcPr>
          <w:p w14:paraId="2DAC091E">
            <w:pPr>
              <w:pStyle w:val="6"/>
              <w:spacing w:before="58" w:line="286" w:lineRule="auto"/>
              <w:ind w:left="111" w:right="36"/>
              <w:jc w:val="both"/>
            </w:pPr>
            <w:r>
              <w:rPr>
                <w:spacing w:val="3"/>
              </w:rPr>
              <w:t>新建、改建、扩建的畜禽养殖场应实现生产区、</w:t>
            </w:r>
            <w:r>
              <w:rPr>
                <w:spacing w:val="5"/>
              </w:rPr>
              <w:t xml:space="preserve"> </w:t>
            </w:r>
            <w:r>
              <w:rPr>
                <w:spacing w:val="9"/>
              </w:rPr>
              <w:t>生活管理区的隔离，粪便污水处理设施和禽畜</w:t>
            </w:r>
            <w:r>
              <w:rPr>
                <w:spacing w:val="16"/>
              </w:rPr>
              <w:t xml:space="preserve"> </w:t>
            </w:r>
            <w:r>
              <w:rPr>
                <w:spacing w:val="9"/>
              </w:rPr>
              <w:t>尸体焚烧炉应设在养殖场的生产区、生活管理</w:t>
            </w:r>
            <w:r>
              <w:rPr>
                <w:spacing w:val="16"/>
              </w:rPr>
              <w:t xml:space="preserve"> </w:t>
            </w:r>
            <w:r>
              <w:rPr>
                <w:spacing w:val="8"/>
              </w:rPr>
              <w:t>区的常年主导风向的下风向或侧风向处。</w:t>
            </w:r>
          </w:p>
        </w:tc>
        <w:tc>
          <w:tcPr>
            <w:tcW w:w="2806" w:type="dxa"/>
            <w:vAlign w:val="top"/>
          </w:tcPr>
          <w:p w14:paraId="05C40A5D">
            <w:pPr>
              <w:pStyle w:val="6"/>
              <w:spacing w:before="59" w:line="228" w:lineRule="auto"/>
              <w:ind w:left="153"/>
            </w:pPr>
            <w:r>
              <w:rPr>
                <w:spacing w:val="8"/>
              </w:rPr>
              <w:t>项目生产区、生活管理区分</w:t>
            </w:r>
          </w:p>
          <w:p w14:paraId="6E808519">
            <w:pPr>
              <w:pStyle w:val="6"/>
              <w:spacing w:before="79" w:line="228" w:lineRule="auto"/>
              <w:ind w:left="151"/>
            </w:pPr>
            <w:r>
              <w:rPr>
                <w:spacing w:val="9"/>
              </w:rPr>
              <w:t>开设置，污水处理位于生活</w:t>
            </w:r>
          </w:p>
          <w:p w14:paraId="712AD124">
            <w:pPr>
              <w:pStyle w:val="6"/>
              <w:spacing w:before="79" w:line="228" w:lineRule="auto"/>
              <w:ind w:left="154"/>
            </w:pPr>
            <w:r>
              <w:rPr>
                <w:spacing w:val="8"/>
              </w:rPr>
              <w:t>管理区的常年主导风向的侧</w:t>
            </w:r>
          </w:p>
          <w:p w14:paraId="767525B1">
            <w:pPr>
              <w:pStyle w:val="6"/>
              <w:spacing w:before="79" w:line="229" w:lineRule="auto"/>
              <w:ind w:left="991"/>
            </w:pPr>
            <w:r>
              <w:rPr>
                <w:spacing w:val="4"/>
              </w:rPr>
              <w:t>风向处。</w:t>
            </w:r>
          </w:p>
        </w:tc>
        <w:tc>
          <w:tcPr>
            <w:tcW w:w="1044" w:type="dxa"/>
            <w:vAlign w:val="top"/>
          </w:tcPr>
          <w:p w14:paraId="575E2741">
            <w:pPr>
              <w:rPr>
                <w:rFonts w:ascii="Arial"/>
                <w:sz w:val="21"/>
              </w:rPr>
            </w:pPr>
          </w:p>
          <w:p w14:paraId="6CED1FBB">
            <w:pPr>
              <w:rPr>
                <w:rFonts w:ascii="Arial"/>
                <w:sz w:val="21"/>
              </w:rPr>
            </w:pPr>
          </w:p>
          <w:p w14:paraId="242E7BF8">
            <w:pPr>
              <w:pStyle w:val="6"/>
              <w:spacing w:before="65" w:line="228" w:lineRule="auto"/>
              <w:ind w:left="319"/>
            </w:pPr>
            <w:r>
              <w:rPr>
                <w:spacing w:val="3"/>
              </w:rPr>
              <w:t>符合</w:t>
            </w:r>
          </w:p>
        </w:tc>
      </w:tr>
      <w:tr w14:paraId="0EF8C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678" w:type="dxa"/>
            <w:vAlign w:val="top"/>
          </w:tcPr>
          <w:p w14:paraId="68213C4F">
            <w:pPr>
              <w:spacing w:line="309" w:lineRule="auto"/>
              <w:rPr>
                <w:rFonts w:ascii="Arial"/>
                <w:sz w:val="21"/>
              </w:rPr>
            </w:pPr>
          </w:p>
          <w:p w14:paraId="1C40C6F6">
            <w:pPr>
              <w:spacing w:line="310" w:lineRule="auto"/>
              <w:rPr>
                <w:rFonts w:ascii="Arial"/>
                <w:sz w:val="21"/>
              </w:rPr>
            </w:pPr>
          </w:p>
          <w:p w14:paraId="3EEE8FE8">
            <w:pPr>
              <w:spacing w:before="57"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4422" w:type="dxa"/>
            <w:vAlign w:val="top"/>
          </w:tcPr>
          <w:p w14:paraId="6E791EF0">
            <w:pPr>
              <w:pStyle w:val="6"/>
              <w:spacing w:before="58" w:line="289" w:lineRule="auto"/>
              <w:ind w:left="109" w:right="107"/>
            </w:pPr>
            <w:r>
              <w:rPr>
                <w:spacing w:val="9"/>
              </w:rPr>
              <w:t>平面布置应以污水处理系统、固体粪便处理系</w:t>
            </w:r>
            <w:r>
              <w:rPr>
                <w:spacing w:val="18"/>
              </w:rPr>
              <w:t xml:space="preserve"> </w:t>
            </w:r>
            <w:r>
              <w:rPr>
                <w:spacing w:val="9"/>
              </w:rPr>
              <w:t>统、恶臭集中处理系统为主体，其他各项设施</w:t>
            </w:r>
            <w:r>
              <w:rPr>
                <w:spacing w:val="18"/>
              </w:rPr>
              <w:t xml:space="preserve"> </w:t>
            </w:r>
            <w:r>
              <w:rPr>
                <w:spacing w:val="9"/>
              </w:rPr>
              <w:t>应按粪污处理流程合理安排，确保相关设备充</w:t>
            </w:r>
            <w:r>
              <w:rPr>
                <w:spacing w:val="18"/>
              </w:rPr>
              <w:t xml:space="preserve"> </w:t>
            </w:r>
            <w:r>
              <w:rPr>
                <w:spacing w:val="9"/>
              </w:rPr>
              <w:t>分发挥功能，保证设施运行稳定、维修方便、</w:t>
            </w:r>
            <w:r>
              <w:rPr>
                <w:spacing w:val="18"/>
              </w:rPr>
              <w:t xml:space="preserve"> </w:t>
            </w:r>
            <w:r>
              <w:rPr>
                <w:spacing w:val="8"/>
              </w:rPr>
              <w:t>经济合理、安全卫生。</w:t>
            </w:r>
          </w:p>
        </w:tc>
        <w:tc>
          <w:tcPr>
            <w:tcW w:w="2806" w:type="dxa"/>
            <w:vAlign w:val="top"/>
          </w:tcPr>
          <w:p w14:paraId="547CFB9E">
            <w:pPr>
              <w:pStyle w:val="6"/>
              <w:spacing w:before="223" w:line="228" w:lineRule="auto"/>
              <w:ind w:left="151"/>
            </w:pPr>
            <w:r>
              <w:rPr>
                <w:spacing w:val="9"/>
              </w:rPr>
              <w:t>本项目污染治理工程以粪污</w:t>
            </w:r>
          </w:p>
          <w:p w14:paraId="6F6AB8C1">
            <w:pPr>
              <w:pStyle w:val="6"/>
              <w:spacing w:before="79" w:line="229" w:lineRule="auto"/>
              <w:ind w:left="154"/>
            </w:pPr>
            <w:r>
              <w:rPr>
                <w:spacing w:val="8"/>
              </w:rPr>
              <w:t>处理系统为主体，其他各项</w:t>
            </w:r>
          </w:p>
          <w:p w14:paraId="7BDF7B3D">
            <w:pPr>
              <w:pStyle w:val="6"/>
              <w:spacing w:before="76" w:line="228" w:lineRule="auto"/>
              <w:ind w:left="153"/>
            </w:pPr>
            <w:r>
              <w:rPr>
                <w:spacing w:val="8"/>
              </w:rPr>
              <w:t>设施按粪污处理流程合理安</w:t>
            </w:r>
          </w:p>
          <w:p w14:paraId="391FA188">
            <w:pPr>
              <w:pStyle w:val="6"/>
              <w:spacing w:before="78" w:line="231" w:lineRule="auto"/>
              <w:ind w:left="1199"/>
            </w:pPr>
            <w:r>
              <w:t>排。</w:t>
            </w:r>
          </w:p>
        </w:tc>
        <w:tc>
          <w:tcPr>
            <w:tcW w:w="1044" w:type="dxa"/>
            <w:vAlign w:val="top"/>
          </w:tcPr>
          <w:p w14:paraId="7FA8919E">
            <w:pPr>
              <w:spacing w:line="321" w:lineRule="auto"/>
              <w:rPr>
                <w:rFonts w:ascii="Arial"/>
                <w:sz w:val="21"/>
              </w:rPr>
            </w:pPr>
          </w:p>
          <w:p w14:paraId="64B6810F">
            <w:pPr>
              <w:spacing w:line="321" w:lineRule="auto"/>
              <w:rPr>
                <w:rFonts w:ascii="Arial"/>
                <w:sz w:val="21"/>
              </w:rPr>
            </w:pPr>
          </w:p>
          <w:p w14:paraId="67CA5D0E">
            <w:pPr>
              <w:pStyle w:val="6"/>
              <w:spacing w:before="65" w:line="228" w:lineRule="auto"/>
              <w:ind w:left="319"/>
            </w:pPr>
            <w:r>
              <w:rPr>
                <w:spacing w:val="3"/>
              </w:rPr>
              <w:t>符合</w:t>
            </w:r>
          </w:p>
        </w:tc>
      </w:tr>
      <w:tr w14:paraId="19B5A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678" w:type="dxa"/>
            <w:vAlign w:val="top"/>
          </w:tcPr>
          <w:p w14:paraId="2B16CD86">
            <w:pPr>
              <w:spacing w:line="459" w:lineRule="auto"/>
              <w:rPr>
                <w:rFonts w:ascii="Arial"/>
                <w:sz w:val="21"/>
              </w:rPr>
            </w:pPr>
          </w:p>
          <w:p w14:paraId="53E76DB7">
            <w:pPr>
              <w:spacing w:before="58"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4422" w:type="dxa"/>
            <w:vAlign w:val="top"/>
          </w:tcPr>
          <w:p w14:paraId="339AC2DC">
            <w:pPr>
              <w:pStyle w:val="6"/>
              <w:spacing w:before="62" w:line="285" w:lineRule="auto"/>
              <w:ind w:left="109" w:right="107" w:firstLine="14"/>
            </w:pPr>
            <w:r>
              <w:rPr>
                <w:spacing w:val="9"/>
              </w:rPr>
              <w:t>畜禽养殖业污染治理工程应与养殖场生产区、</w:t>
            </w:r>
            <w:r>
              <w:rPr>
                <w:spacing w:val="4"/>
              </w:rPr>
              <w:t xml:space="preserve"> </w:t>
            </w:r>
            <w:r>
              <w:rPr>
                <w:spacing w:val="9"/>
              </w:rPr>
              <w:t>居民区等建筑保持一定的卫生防护距离，设置</w:t>
            </w:r>
            <w:r>
              <w:rPr>
                <w:spacing w:val="18"/>
              </w:rPr>
              <w:t xml:space="preserve"> </w:t>
            </w:r>
            <w:r>
              <w:rPr>
                <w:spacing w:val="9"/>
              </w:rPr>
              <w:t>在畜禽养殖场的生产区、生活区主导风向的下</w:t>
            </w:r>
            <w:r>
              <w:rPr>
                <w:spacing w:val="18"/>
              </w:rPr>
              <w:t xml:space="preserve"> </w:t>
            </w:r>
            <w:r>
              <w:rPr>
                <w:spacing w:val="7"/>
              </w:rPr>
              <w:t>风向或侧风向处。</w:t>
            </w:r>
          </w:p>
        </w:tc>
        <w:tc>
          <w:tcPr>
            <w:tcW w:w="2806" w:type="dxa"/>
            <w:vAlign w:val="top"/>
          </w:tcPr>
          <w:p w14:paraId="3A5006A7">
            <w:pPr>
              <w:pStyle w:val="6"/>
              <w:spacing w:before="60" w:line="228" w:lineRule="auto"/>
              <w:ind w:left="151"/>
            </w:pPr>
            <w:r>
              <w:rPr>
                <w:spacing w:val="9"/>
              </w:rPr>
              <w:t>本项目污染治理工程与养殖</w:t>
            </w:r>
          </w:p>
          <w:p w14:paraId="0567435B">
            <w:pPr>
              <w:pStyle w:val="6"/>
              <w:spacing w:before="49" w:line="274" w:lineRule="exact"/>
              <w:ind w:left="120"/>
            </w:pPr>
            <w:r>
              <w:rPr>
                <w:spacing w:val="6"/>
                <w:position w:val="1"/>
              </w:rPr>
              <w:t>场生产区距离</w:t>
            </w:r>
            <w:r>
              <w:rPr>
                <w:rFonts w:ascii="Times New Roman" w:hAnsi="Times New Roman" w:eastAsia="Times New Roman" w:cs="Times New Roman"/>
                <w:spacing w:val="6"/>
                <w:position w:val="1"/>
              </w:rPr>
              <w:t>8m</w:t>
            </w:r>
            <w:r>
              <w:rPr>
                <w:rFonts w:ascii="Times New Roman" w:hAnsi="Times New Roman" w:eastAsia="Times New Roman" w:cs="Times New Roman"/>
                <w:spacing w:val="-17"/>
                <w:position w:val="1"/>
              </w:rPr>
              <w:t xml:space="preserve"> </w:t>
            </w:r>
            <w:r>
              <w:rPr>
                <w:spacing w:val="6"/>
                <w:position w:val="1"/>
              </w:rPr>
              <w:t>，生活区距</w:t>
            </w:r>
          </w:p>
          <w:p w14:paraId="096B9152">
            <w:pPr>
              <w:pStyle w:val="6"/>
              <w:spacing w:before="52" w:line="274" w:lineRule="exact"/>
              <w:ind w:left="127"/>
            </w:pPr>
            <w:r>
              <w:rPr>
                <w:spacing w:val="5"/>
                <w:position w:val="1"/>
              </w:rPr>
              <w:t>离</w:t>
            </w:r>
            <w:r>
              <w:rPr>
                <w:rFonts w:ascii="Times New Roman" w:hAnsi="Times New Roman" w:eastAsia="Times New Roman" w:cs="Times New Roman"/>
                <w:spacing w:val="5"/>
                <w:position w:val="1"/>
              </w:rPr>
              <w:t>115m</w:t>
            </w:r>
            <w:r>
              <w:rPr>
                <w:rFonts w:ascii="Times New Roman" w:hAnsi="Times New Roman" w:eastAsia="Times New Roman" w:cs="Times New Roman"/>
                <w:spacing w:val="-18"/>
                <w:position w:val="1"/>
              </w:rPr>
              <w:t xml:space="preserve"> </w:t>
            </w:r>
            <w:r>
              <w:rPr>
                <w:spacing w:val="5"/>
                <w:position w:val="1"/>
              </w:rPr>
              <w:t>，与周围最近下风向</w:t>
            </w:r>
          </w:p>
          <w:p w14:paraId="67A21ACD">
            <w:pPr>
              <w:pStyle w:val="6"/>
              <w:spacing w:before="52" w:line="274" w:lineRule="exact"/>
              <w:ind w:left="543"/>
            </w:pPr>
            <w:r>
              <w:rPr>
                <w:spacing w:val="6"/>
                <w:position w:val="1"/>
              </w:rPr>
              <w:t>居民区距离</w:t>
            </w:r>
            <w:r>
              <w:rPr>
                <w:rFonts w:ascii="Times New Roman" w:hAnsi="Times New Roman" w:eastAsia="Times New Roman" w:cs="Times New Roman"/>
                <w:spacing w:val="6"/>
                <w:position w:val="1"/>
              </w:rPr>
              <w:t>292m</w:t>
            </w:r>
            <w:r>
              <w:rPr>
                <w:spacing w:val="6"/>
                <w:position w:val="1"/>
              </w:rPr>
              <w:t>。</w:t>
            </w:r>
          </w:p>
        </w:tc>
        <w:tc>
          <w:tcPr>
            <w:tcW w:w="1044" w:type="dxa"/>
            <w:vAlign w:val="top"/>
          </w:tcPr>
          <w:p w14:paraId="5137C2D8">
            <w:pPr>
              <w:spacing w:line="241" w:lineRule="auto"/>
              <w:rPr>
                <w:rFonts w:ascii="Arial"/>
                <w:sz w:val="21"/>
              </w:rPr>
            </w:pPr>
          </w:p>
          <w:p w14:paraId="673A7DE7">
            <w:pPr>
              <w:spacing w:line="242" w:lineRule="auto"/>
              <w:rPr>
                <w:rFonts w:ascii="Arial"/>
                <w:sz w:val="21"/>
              </w:rPr>
            </w:pPr>
          </w:p>
          <w:p w14:paraId="6D725447">
            <w:pPr>
              <w:pStyle w:val="6"/>
              <w:spacing w:before="65" w:line="228" w:lineRule="auto"/>
              <w:ind w:left="319"/>
            </w:pPr>
            <w:r>
              <w:rPr>
                <w:spacing w:val="3"/>
              </w:rPr>
              <w:t>符合</w:t>
            </w:r>
          </w:p>
        </w:tc>
      </w:tr>
      <w:tr w14:paraId="0EC4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678" w:type="dxa"/>
            <w:vAlign w:val="top"/>
          </w:tcPr>
          <w:p w14:paraId="48B90A95">
            <w:pPr>
              <w:spacing w:line="310" w:lineRule="auto"/>
              <w:rPr>
                <w:rFonts w:ascii="Arial"/>
                <w:sz w:val="21"/>
              </w:rPr>
            </w:pPr>
          </w:p>
          <w:p w14:paraId="5347D183">
            <w:pPr>
              <w:spacing w:line="311" w:lineRule="auto"/>
              <w:rPr>
                <w:rFonts w:ascii="Arial"/>
                <w:sz w:val="21"/>
              </w:rPr>
            </w:pPr>
          </w:p>
          <w:p w14:paraId="6F703576">
            <w:pPr>
              <w:spacing w:before="58"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4422" w:type="dxa"/>
            <w:vAlign w:val="top"/>
          </w:tcPr>
          <w:p w14:paraId="1E4189B0">
            <w:pPr>
              <w:pStyle w:val="6"/>
              <w:spacing w:before="226" w:line="295" w:lineRule="auto"/>
              <w:ind w:left="109" w:right="104" w:firstLine="1"/>
              <w:jc w:val="both"/>
            </w:pPr>
            <w:r>
              <w:rPr>
                <w:spacing w:val="20"/>
              </w:rPr>
              <w:t>贮存设施的位置必须远离各类功能地表水体</w:t>
            </w:r>
            <w:r>
              <w:rPr>
                <w:spacing w:val="17"/>
              </w:rPr>
              <w:t xml:space="preserve"> </w:t>
            </w:r>
            <w:r>
              <w:rPr>
                <w:spacing w:val="8"/>
              </w:rPr>
              <w:t>（距离不得小于</w:t>
            </w:r>
            <w:r>
              <w:rPr>
                <w:rFonts w:ascii="Times New Roman" w:hAnsi="Times New Roman" w:eastAsia="Times New Roman" w:cs="Times New Roman"/>
                <w:spacing w:val="8"/>
              </w:rPr>
              <w:t>400m</w:t>
            </w:r>
            <w:r>
              <w:rPr>
                <w:rFonts w:ascii="Times New Roman" w:hAnsi="Times New Roman" w:eastAsia="Times New Roman" w:cs="Times New Roman"/>
                <w:spacing w:val="-19"/>
              </w:rPr>
              <w:t xml:space="preserve"> </w:t>
            </w:r>
            <w:r>
              <w:rPr>
                <w:spacing w:val="-23"/>
              </w:rPr>
              <w:t>），</w:t>
            </w:r>
            <w:r>
              <w:rPr>
                <w:spacing w:val="8"/>
              </w:rPr>
              <w:t>并应设在养殖场生产</w:t>
            </w:r>
            <w:r>
              <w:t xml:space="preserve"> </w:t>
            </w:r>
            <w:r>
              <w:rPr>
                <w:spacing w:val="9"/>
              </w:rPr>
              <w:t>及生活管理区的常年主导风向的下风向或侧风</w:t>
            </w:r>
            <w:r>
              <w:rPr>
                <w:spacing w:val="18"/>
              </w:rPr>
              <w:t xml:space="preserve"> </w:t>
            </w:r>
            <w:r>
              <w:rPr>
                <w:spacing w:val="3"/>
              </w:rPr>
              <w:t>向处。</w:t>
            </w:r>
          </w:p>
        </w:tc>
        <w:tc>
          <w:tcPr>
            <w:tcW w:w="2806" w:type="dxa"/>
            <w:vAlign w:val="top"/>
          </w:tcPr>
          <w:p w14:paraId="6C9515B1">
            <w:pPr>
              <w:pStyle w:val="6"/>
              <w:spacing w:before="62" w:line="228" w:lineRule="auto"/>
              <w:ind w:left="151"/>
            </w:pPr>
            <w:r>
              <w:rPr>
                <w:spacing w:val="9"/>
              </w:rPr>
              <w:t>本项目猪粪贮存设施（有机</w:t>
            </w:r>
          </w:p>
          <w:p w14:paraId="22485A3C">
            <w:pPr>
              <w:pStyle w:val="6"/>
              <w:spacing w:before="77" w:line="228" w:lineRule="auto"/>
              <w:ind w:left="255"/>
            </w:pPr>
            <w:r>
              <w:rPr>
                <w:spacing w:val="9"/>
              </w:rPr>
              <w:t>肥生产车间）距离黄江约</w:t>
            </w:r>
          </w:p>
          <w:p w14:paraId="4385FE40">
            <w:pPr>
              <w:pStyle w:val="6"/>
              <w:spacing w:before="48" w:line="275" w:lineRule="exact"/>
              <w:ind w:left="193"/>
            </w:pPr>
            <w:r>
              <w:rPr>
                <w:rFonts w:ascii="Times New Roman" w:hAnsi="Times New Roman" w:eastAsia="Times New Roman" w:cs="Times New Roman"/>
                <w:spacing w:val="4"/>
                <w:position w:val="1"/>
              </w:rPr>
              <w:t>1160m</w:t>
            </w:r>
            <w:r>
              <w:rPr>
                <w:rFonts w:ascii="Times New Roman" w:hAnsi="Times New Roman" w:eastAsia="Times New Roman" w:cs="Times New Roman"/>
                <w:spacing w:val="-23"/>
                <w:position w:val="1"/>
              </w:rPr>
              <w:t xml:space="preserve"> </w:t>
            </w:r>
            <w:r>
              <w:rPr>
                <w:spacing w:val="4"/>
                <w:position w:val="1"/>
              </w:rPr>
              <w:t>，位于生活区的东北</w:t>
            </w:r>
          </w:p>
          <w:p w14:paraId="73986477">
            <w:pPr>
              <w:pStyle w:val="6"/>
              <w:spacing w:before="83" w:line="228" w:lineRule="auto"/>
              <w:ind w:left="151"/>
            </w:pPr>
            <w:r>
              <w:rPr>
                <w:spacing w:val="9"/>
              </w:rPr>
              <w:t>面，属于主导风向东风的侧</w:t>
            </w:r>
          </w:p>
          <w:p w14:paraId="24137588">
            <w:pPr>
              <w:pStyle w:val="6"/>
              <w:spacing w:before="79" w:line="229" w:lineRule="auto"/>
              <w:ind w:left="1199"/>
            </w:pPr>
            <w:r>
              <w:rPr>
                <w:spacing w:val="4"/>
              </w:rPr>
              <w:t>风向</w:t>
            </w:r>
          </w:p>
        </w:tc>
        <w:tc>
          <w:tcPr>
            <w:tcW w:w="1044" w:type="dxa"/>
            <w:vAlign w:val="top"/>
          </w:tcPr>
          <w:p w14:paraId="7347E7DA">
            <w:pPr>
              <w:spacing w:line="322" w:lineRule="auto"/>
              <w:rPr>
                <w:rFonts w:ascii="Arial"/>
                <w:sz w:val="21"/>
              </w:rPr>
            </w:pPr>
          </w:p>
          <w:p w14:paraId="57B15F6B">
            <w:pPr>
              <w:spacing w:line="323" w:lineRule="auto"/>
              <w:rPr>
                <w:rFonts w:ascii="Arial"/>
                <w:sz w:val="21"/>
              </w:rPr>
            </w:pPr>
          </w:p>
          <w:p w14:paraId="2D645EA0">
            <w:pPr>
              <w:pStyle w:val="6"/>
              <w:spacing w:before="65" w:line="228" w:lineRule="auto"/>
              <w:ind w:left="319"/>
            </w:pPr>
            <w:r>
              <w:rPr>
                <w:spacing w:val="3"/>
              </w:rPr>
              <w:t>符合</w:t>
            </w:r>
          </w:p>
        </w:tc>
      </w:tr>
      <w:tr w14:paraId="599D8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8" w:type="dxa"/>
            <w:vAlign w:val="top"/>
          </w:tcPr>
          <w:p w14:paraId="19026D9E">
            <w:pPr>
              <w:spacing w:line="368" w:lineRule="auto"/>
              <w:rPr>
                <w:rFonts w:ascii="Arial"/>
                <w:sz w:val="21"/>
              </w:rPr>
            </w:pPr>
          </w:p>
          <w:p w14:paraId="28E8B147">
            <w:pPr>
              <w:spacing w:before="58"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22" w:type="dxa"/>
            <w:vAlign w:val="top"/>
          </w:tcPr>
          <w:p w14:paraId="313769DD">
            <w:pPr>
              <w:pStyle w:val="6"/>
              <w:spacing w:before="63" w:line="281" w:lineRule="auto"/>
              <w:ind w:left="114" w:right="107" w:hanging="3"/>
              <w:jc w:val="both"/>
            </w:pPr>
            <w:r>
              <w:rPr>
                <w:spacing w:val="9"/>
              </w:rPr>
              <w:t>养殖场的排水系统应实行雨水和污水收集输送</w:t>
            </w:r>
            <w:r>
              <w:rPr>
                <w:spacing w:val="17"/>
              </w:rPr>
              <w:t xml:space="preserve"> </w:t>
            </w:r>
            <w:r>
              <w:rPr>
                <w:spacing w:val="9"/>
              </w:rPr>
              <w:t>系统分离，在场区内外设置的污水收集输送系</w:t>
            </w:r>
            <w:r>
              <w:rPr>
                <w:spacing w:val="13"/>
              </w:rPr>
              <w:t xml:space="preserve"> </w:t>
            </w:r>
            <w:r>
              <w:rPr>
                <w:spacing w:val="7"/>
              </w:rPr>
              <w:t>统，不得采取明沟布设。</w:t>
            </w:r>
          </w:p>
        </w:tc>
        <w:tc>
          <w:tcPr>
            <w:tcW w:w="2806" w:type="dxa"/>
            <w:vAlign w:val="top"/>
          </w:tcPr>
          <w:p w14:paraId="74B1320F">
            <w:pPr>
              <w:pStyle w:val="6"/>
              <w:spacing w:before="225" w:line="303" w:lineRule="auto"/>
              <w:ind w:left="886" w:right="141" w:hanging="733"/>
            </w:pPr>
            <w:r>
              <w:rPr>
                <w:spacing w:val="8"/>
              </w:rPr>
              <w:t>项目雨污分流，污水采用污</w:t>
            </w:r>
            <w:r>
              <w:rPr>
                <w:spacing w:val="9"/>
              </w:rPr>
              <w:t xml:space="preserve"> </w:t>
            </w:r>
            <w:r>
              <w:rPr>
                <w:spacing w:val="7"/>
              </w:rPr>
              <w:t>水管网收集</w:t>
            </w:r>
          </w:p>
        </w:tc>
        <w:tc>
          <w:tcPr>
            <w:tcW w:w="1044" w:type="dxa"/>
            <w:vAlign w:val="top"/>
          </w:tcPr>
          <w:p w14:paraId="7173FB53">
            <w:pPr>
              <w:spacing w:line="323" w:lineRule="auto"/>
              <w:rPr>
                <w:rFonts w:ascii="Arial"/>
                <w:sz w:val="21"/>
              </w:rPr>
            </w:pPr>
          </w:p>
          <w:p w14:paraId="1CD006E9">
            <w:pPr>
              <w:pStyle w:val="6"/>
              <w:spacing w:before="65" w:line="228" w:lineRule="auto"/>
              <w:ind w:left="319"/>
            </w:pPr>
            <w:r>
              <w:rPr>
                <w:spacing w:val="3"/>
              </w:rPr>
              <w:t>符合</w:t>
            </w:r>
          </w:p>
        </w:tc>
      </w:tr>
    </w:tbl>
    <w:p w14:paraId="688BC58B">
      <w:pPr>
        <w:spacing w:before="125" w:line="378" w:lineRule="auto"/>
        <w:ind w:left="127" w:right="113" w:firstLine="478"/>
        <w:rPr>
          <w:rFonts w:ascii="宋体" w:hAnsi="宋体" w:eastAsia="宋体" w:cs="宋体"/>
          <w:sz w:val="24"/>
          <w:szCs w:val="24"/>
        </w:rPr>
      </w:pPr>
      <w:r>
        <w:rPr>
          <w:rFonts w:ascii="宋体" w:hAnsi="宋体" w:eastAsia="宋体" w:cs="宋体"/>
          <w:spacing w:val="2"/>
          <w:sz w:val="24"/>
          <w:szCs w:val="24"/>
        </w:rPr>
        <w:t>综上所述，本工程总平面布置充分利用现有地势，按照功能和工艺流程，生活</w:t>
      </w:r>
      <w:r>
        <w:rPr>
          <w:rFonts w:ascii="宋体" w:hAnsi="宋体" w:eastAsia="宋体" w:cs="宋体"/>
          <w:spacing w:val="7"/>
          <w:sz w:val="24"/>
          <w:szCs w:val="24"/>
        </w:rPr>
        <w:t xml:space="preserve"> </w:t>
      </w:r>
      <w:r>
        <w:rPr>
          <w:rFonts w:ascii="宋体" w:hAnsi="宋体" w:eastAsia="宋体" w:cs="宋体"/>
          <w:spacing w:val="-1"/>
          <w:sz w:val="24"/>
          <w:szCs w:val="24"/>
        </w:rPr>
        <w:t>办公区与养殖区分开。从整体布局和环境影响上看，工程总平面布置较合理。</w:t>
      </w:r>
    </w:p>
    <w:p w14:paraId="7AC28A40">
      <w:pPr>
        <w:spacing w:line="378" w:lineRule="auto"/>
        <w:rPr>
          <w:rFonts w:ascii="宋体" w:hAnsi="宋体" w:eastAsia="宋体" w:cs="宋体"/>
          <w:sz w:val="24"/>
          <w:szCs w:val="24"/>
        </w:rPr>
        <w:sectPr>
          <w:footerReference r:id="rId22" w:type="default"/>
          <w:pgSz w:w="11906" w:h="16839"/>
          <w:pgMar w:top="1431" w:right="1475" w:bottom="1485" w:left="1475" w:header="0" w:footer="1249" w:gutter="0"/>
          <w:cols w:space="720" w:num="1"/>
        </w:sectPr>
      </w:pPr>
    </w:p>
    <w:p w14:paraId="0DB7E448">
      <w:pPr>
        <w:spacing w:before="149" w:line="220" w:lineRule="auto"/>
        <w:ind w:left="158"/>
        <w:outlineLvl w:val="2"/>
        <w:rPr>
          <w:rFonts w:ascii="宋体" w:hAnsi="宋体" w:eastAsia="宋体" w:cs="宋体"/>
          <w:sz w:val="24"/>
          <w:szCs w:val="24"/>
        </w:rPr>
      </w:pPr>
      <w:r>
        <w:rPr>
          <w:rFonts w:ascii="Times New Roman" w:hAnsi="Times New Roman" w:eastAsia="Times New Roman" w:cs="Times New Roman"/>
          <w:b/>
          <w:bCs/>
          <w:spacing w:val="-2"/>
          <w:sz w:val="24"/>
          <w:szCs w:val="24"/>
        </w:rPr>
        <w:t>1.4.6</w:t>
      </w:r>
      <w:r>
        <w:rPr>
          <w:rFonts w:ascii="Calibri" w:hAnsi="Calibri" w:eastAsia="Calibri" w:cs="Calibri"/>
          <w:b/>
          <w:bCs/>
          <w:spacing w:val="-2"/>
          <w:sz w:val="24"/>
          <w:szCs w:val="24"/>
        </w:rPr>
        <w:t>“</w:t>
      </w:r>
      <w:r>
        <w:rPr>
          <w:rFonts w:ascii="宋体" w:hAnsi="宋体" w:eastAsia="宋体" w:cs="宋体"/>
          <w:b/>
          <w:bCs/>
          <w:spacing w:val="-2"/>
          <w:sz w:val="24"/>
          <w:szCs w:val="24"/>
        </w:rPr>
        <w:t>三线一单</w:t>
      </w:r>
      <w:r>
        <w:rPr>
          <w:rFonts w:ascii="Calibri" w:hAnsi="Calibri" w:eastAsia="Calibri" w:cs="Calibri"/>
          <w:b/>
          <w:bCs/>
          <w:spacing w:val="-2"/>
          <w:sz w:val="24"/>
          <w:szCs w:val="24"/>
        </w:rPr>
        <w:t>”</w:t>
      </w:r>
      <w:r>
        <w:rPr>
          <w:rFonts w:ascii="宋体" w:hAnsi="宋体" w:eastAsia="宋体" w:cs="宋体"/>
          <w:b/>
          <w:bCs/>
          <w:spacing w:val="-2"/>
          <w:sz w:val="24"/>
          <w:szCs w:val="24"/>
        </w:rPr>
        <w:t>相符性分析</w:t>
      </w:r>
    </w:p>
    <w:p w14:paraId="2A015A89">
      <w:pPr>
        <w:pStyle w:val="2"/>
        <w:spacing w:line="280" w:lineRule="auto"/>
      </w:pPr>
    </w:p>
    <w:p w14:paraId="3A17E612">
      <w:pPr>
        <w:spacing w:before="78" w:line="219" w:lineRule="auto"/>
        <w:ind w:left="490"/>
        <w:rPr>
          <w:rFonts w:ascii="宋体" w:hAnsi="宋体" w:eastAsia="宋体" w:cs="宋体"/>
          <w:sz w:val="24"/>
          <w:szCs w:val="24"/>
        </w:rPr>
      </w:pPr>
      <w:r>
        <w:rPr>
          <w:rFonts w:ascii="宋体" w:hAnsi="宋体" w:eastAsia="宋体" w:cs="宋体"/>
          <w:spacing w:val="-1"/>
          <w:sz w:val="24"/>
          <w:szCs w:val="24"/>
        </w:rPr>
        <w:t>本项目与</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的符合性详见下表：</w:t>
      </w:r>
    </w:p>
    <w:p w14:paraId="07D064D4">
      <w:pPr>
        <w:spacing w:before="219" w:line="228" w:lineRule="auto"/>
        <w:ind w:left="2866"/>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2"/>
          <w:sz w:val="20"/>
          <w:szCs w:val="20"/>
        </w:rPr>
        <w:t xml:space="preserve"> </w:t>
      </w:r>
      <w:r>
        <w:rPr>
          <w:rFonts w:ascii="Times New Roman" w:hAnsi="Times New Roman" w:eastAsia="Times New Roman" w:cs="Times New Roman"/>
          <w:b/>
          <w:bCs/>
          <w:spacing w:val="5"/>
          <w:sz w:val="20"/>
          <w:szCs w:val="20"/>
        </w:rPr>
        <w:t>1.4-4“</w:t>
      </w:r>
      <w:r>
        <w:rPr>
          <w:rFonts w:ascii="宋体" w:hAnsi="宋体" w:eastAsia="宋体" w:cs="宋体"/>
          <w:b/>
          <w:bCs/>
          <w:spacing w:val="5"/>
          <w:sz w:val="20"/>
          <w:szCs w:val="20"/>
        </w:rPr>
        <w:t>三线一单</w:t>
      </w:r>
      <w:r>
        <w:rPr>
          <w:rFonts w:ascii="Times New Roman" w:hAnsi="Times New Roman" w:eastAsia="Times New Roman" w:cs="Times New Roman"/>
          <w:b/>
          <w:bCs/>
          <w:spacing w:val="5"/>
          <w:sz w:val="20"/>
          <w:szCs w:val="20"/>
        </w:rPr>
        <w:t>”</w:t>
      </w:r>
      <w:r>
        <w:rPr>
          <w:rFonts w:ascii="宋体" w:hAnsi="宋体" w:eastAsia="宋体" w:cs="宋体"/>
          <w:b/>
          <w:bCs/>
          <w:spacing w:val="5"/>
          <w:sz w:val="20"/>
          <w:szCs w:val="20"/>
        </w:rPr>
        <w:t>相符性分析表</w:t>
      </w:r>
    </w:p>
    <w:p w14:paraId="339B8940">
      <w:pPr>
        <w:spacing w:line="102"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7732"/>
      </w:tblGrid>
      <w:tr w14:paraId="4B382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92" w:type="dxa"/>
            <w:vAlign w:val="top"/>
          </w:tcPr>
          <w:p w14:paraId="7C8B03EE">
            <w:pPr>
              <w:pStyle w:val="6"/>
              <w:spacing w:before="63" w:line="228" w:lineRule="auto"/>
              <w:ind w:left="317"/>
            </w:pPr>
            <w:r>
              <w:rPr>
                <w:b/>
                <w:bCs/>
                <w:spacing w:val="-9"/>
              </w:rPr>
              <w:t>内容</w:t>
            </w:r>
          </w:p>
        </w:tc>
        <w:tc>
          <w:tcPr>
            <w:tcW w:w="7732" w:type="dxa"/>
            <w:vAlign w:val="top"/>
          </w:tcPr>
          <w:p w14:paraId="272A3AB3">
            <w:pPr>
              <w:pStyle w:val="6"/>
              <w:spacing w:before="62" w:line="231" w:lineRule="auto"/>
              <w:ind w:left="3663"/>
            </w:pPr>
            <w:r>
              <w:rPr>
                <w:b/>
                <w:bCs/>
                <w:spacing w:val="2"/>
              </w:rPr>
              <w:t>名称</w:t>
            </w:r>
          </w:p>
        </w:tc>
      </w:tr>
      <w:tr w14:paraId="7242A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92" w:type="dxa"/>
            <w:vAlign w:val="top"/>
          </w:tcPr>
          <w:p w14:paraId="22111BE7">
            <w:pPr>
              <w:pStyle w:val="6"/>
              <w:spacing w:before="102" w:line="229" w:lineRule="auto"/>
              <w:ind w:left="118"/>
            </w:pPr>
            <w:r>
              <w:t>生</w:t>
            </w:r>
            <w:r>
              <w:rPr>
                <w:spacing w:val="-21"/>
              </w:rPr>
              <w:t xml:space="preserve"> </w:t>
            </w:r>
            <w:r>
              <w:t>态</w:t>
            </w:r>
            <w:r>
              <w:rPr>
                <w:spacing w:val="-20"/>
              </w:rPr>
              <w:t xml:space="preserve"> </w:t>
            </w:r>
            <w:r>
              <w:t>保</w:t>
            </w:r>
          </w:p>
          <w:p w14:paraId="7CD9B932">
            <w:pPr>
              <w:pStyle w:val="6"/>
              <w:spacing w:before="78" w:line="229" w:lineRule="auto"/>
              <w:ind w:left="117"/>
            </w:pPr>
            <w:r>
              <w:rPr>
                <w:spacing w:val="6"/>
              </w:rPr>
              <w:t>护红线</w:t>
            </w:r>
          </w:p>
        </w:tc>
        <w:tc>
          <w:tcPr>
            <w:tcW w:w="7732" w:type="dxa"/>
            <w:vAlign w:val="top"/>
          </w:tcPr>
          <w:p w14:paraId="5F0053E6">
            <w:pPr>
              <w:pStyle w:val="6"/>
              <w:spacing w:before="265" w:line="228" w:lineRule="auto"/>
              <w:ind w:left="114"/>
            </w:pPr>
            <w:r>
              <w:rPr>
                <w:spacing w:val="8"/>
              </w:rPr>
              <w:t>项目不在生态保护红线范围内。</w:t>
            </w:r>
          </w:p>
        </w:tc>
      </w:tr>
      <w:tr w14:paraId="09F06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92" w:type="dxa"/>
            <w:vAlign w:val="top"/>
          </w:tcPr>
          <w:p w14:paraId="2701402D">
            <w:pPr>
              <w:pStyle w:val="6"/>
              <w:spacing w:before="58" w:line="230" w:lineRule="auto"/>
              <w:ind w:left="125"/>
            </w:pPr>
            <w:r>
              <w:rPr>
                <w:spacing w:val="-3"/>
              </w:rPr>
              <w:t>资</w:t>
            </w:r>
            <w:r>
              <w:rPr>
                <w:spacing w:val="-20"/>
              </w:rPr>
              <w:t xml:space="preserve"> </w:t>
            </w:r>
            <w:r>
              <w:rPr>
                <w:spacing w:val="-3"/>
              </w:rPr>
              <w:t>源</w:t>
            </w:r>
            <w:r>
              <w:rPr>
                <w:spacing w:val="-19"/>
              </w:rPr>
              <w:t xml:space="preserve"> </w:t>
            </w:r>
            <w:r>
              <w:rPr>
                <w:spacing w:val="-3"/>
              </w:rPr>
              <w:t>利</w:t>
            </w:r>
          </w:p>
          <w:p w14:paraId="5F755130">
            <w:pPr>
              <w:pStyle w:val="6"/>
              <w:spacing w:before="77" w:line="229" w:lineRule="auto"/>
              <w:ind w:left="118"/>
            </w:pPr>
            <w:r>
              <w:rPr>
                <w:spacing w:val="6"/>
              </w:rPr>
              <w:t>用上线</w:t>
            </w:r>
          </w:p>
        </w:tc>
        <w:tc>
          <w:tcPr>
            <w:tcW w:w="7732" w:type="dxa"/>
            <w:vAlign w:val="top"/>
          </w:tcPr>
          <w:p w14:paraId="56953655">
            <w:pPr>
              <w:pStyle w:val="6"/>
              <w:spacing w:before="58" w:line="271" w:lineRule="auto"/>
              <w:ind w:left="111" w:right="109"/>
            </w:pPr>
            <w:r>
              <w:rPr>
                <w:spacing w:val="8"/>
              </w:rPr>
              <w:t>本项目运营过程中消耗一定量的电能和水能，项目资源消耗量相对区域利用总量较</w:t>
            </w:r>
            <w:r>
              <w:rPr>
                <w:spacing w:val="16"/>
              </w:rPr>
              <w:t xml:space="preserve"> </w:t>
            </w:r>
            <w:r>
              <w:rPr>
                <w:spacing w:val="8"/>
              </w:rPr>
              <w:t>少，因此符合资源利用上限要求。</w:t>
            </w:r>
          </w:p>
        </w:tc>
      </w:tr>
      <w:tr w14:paraId="0738F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992" w:type="dxa"/>
            <w:vAlign w:val="top"/>
          </w:tcPr>
          <w:p w14:paraId="0C157215">
            <w:pPr>
              <w:pStyle w:val="6"/>
              <w:spacing w:before="223" w:line="229" w:lineRule="auto"/>
              <w:ind w:left="116"/>
            </w:pPr>
            <w:r>
              <w:t>环</w:t>
            </w:r>
            <w:r>
              <w:rPr>
                <w:spacing w:val="-20"/>
              </w:rPr>
              <w:t xml:space="preserve"> </w:t>
            </w:r>
            <w:r>
              <w:t>境</w:t>
            </w:r>
            <w:r>
              <w:rPr>
                <w:spacing w:val="-19"/>
              </w:rPr>
              <w:t xml:space="preserve"> </w:t>
            </w:r>
            <w:r>
              <w:t>质</w:t>
            </w:r>
          </w:p>
          <w:p w14:paraId="5B64CC94">
            <w:pPr>
              <w:pStyle w:val="6"/>
              <w:spacing w:before="78" w:line="229" w:lineRule="auto"/>
              <w:ind w:left="116"/>
            </w:pPr>
            <w:r>
              <w:rPr>
                <w:spacing w:val="6"/>
              </w:rPr>
              <w:t>量底线</w:t>
            </w:r>
          </w:p>
        </w:tc>
        <w:tc>
          <w:tcPr>
            <w:tcW w:w="7732" w:type="dxa"/>
            <w:vAlign w:val="top"/>
          </w:tcPr>
          <w:p w14:paraId="10110697">
            <w:pPr>
              <w:pStyle w:val="6"/>
              <w:spacing w:before="60" w:line="280" w:lineRule="auto"/>
              <w:ind w:left="110" w:right="107"/>
              <w:jc w:val="both"/>
            </w:pPr>
            <w:r>
              <w:rPr>
                <w:spacing w:val="8"/>
              </w:rPr>
              <w:t>本项目所在区域环境空气、地表水、声环境均满足环境功能区划要求，尚有一定的</w:t>
            </w:r>
            <w:r>
              <w:rPr>
                <w:spacing w:val="18"/>
              </w:rPr>
              <w:t xml:space="preserve"> </w:t>
            </w:r>
            <w:r>
              <w:rPr>
                <w:spacing w:val="9"/>
              </w:rPr>
              <w:t>剩余环境容量，项目实施后，其污染物排放</w:t>
            </w:r>
            <w:r>
              <w:rPr>
                <w:spacing w:val="8"/>
              </w:rPr>
              <w:t>对周围环境的影响不会改变所在地及其</w:t>
            </w:r>
            <w:r>
              <w:t xml:space="preserve"> </w:t>
            </w:r>
            <w:r>
              <w:rPr>
                <w:spacing w:val="9"/>
              </w:rPr>
              <w:t>周围居民区的环境功能，其对周围环境无明显的环境影响，符合环境底线要求。</w:t>
            </w:r>
          </w:p>
        </w:tc>
      </w:tr>
      <w:tr w14:paraId="42D78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92" w:type="dxa"/>
            <w:vAlign w:val="top"/>
          </w:tcPr>
          <w:p w14:paraId="7BA01257">
            <w:pPr>
              <w:pStyle w:val="6"/>
              <w:spacing w:before="61" w:line="272" w:lineRule="auto"/>
              <w:ind w:left="118" w:right="108" w:firstLine="6"/>
            </w:pPr>
            <w:r>
              <w:rPr>
                <w:spacing w:val="-3"/>
              </w:rPr>
              <w:t>负</w:t>
            </w:r>
            <w:r>
              <w:rPr>
                <w:spacing w:val="-18"/>
              </w:rPr>
              <w:t xml:space="preserve"> </w:t>
            </w:r>
            <w:r>
              <w:rPr>
                <w:spacing w:val="-3"/>
              </w:rPr>
              <w:t>面</w:t>
            </w:r>
            <w:r>
              <w:rPr>
                <w:spacing w:val="-20"/>
              </w:rPr>
              <w:t xml:space="preserve"> </w:t>
            </w:r>
            <w:r>
              <w:rPr>
                <w:spacing w:val="-3"/>
              </w:rPr>
              <w:t>清</w:t>
            </w:r>
            <w:r>
              <w:t xml:space="preserve"> 单</w:t>
            </w:r>
          </w:p>
        </w:tc>
        <w:tc>
          <w:tcPr>
            <w:tcW w:w="7732" w:type="dxa"/>
            <w:vAlign w:val="top"/>
          </w:tcPr>
          <w:p w14:paraId="5E268917">
            <w:pPr>
              <w:pStyle w:val="6"/>
              <w:spacing w:before="31" w:line="286" w:lineRule="auto"/>
              <w:ind w:left="110" w:right="107"/>
            </w:pPr>
            <w:r>
              <w:rPr>
                <w:spacing w:val="9"/>
              </w:rPr>
              <w:t>对照《市场准入负面清单（</w:t>
            </w:r>
            <w:r>
              <w:rPr>
                <w:rFonts w:ascii="Times New Roman" w:hAnsi="Times New Roman" w:eastAsia="Times New Roman" w:cs="Times New Roman"/>
                <w:spacing w:val="9"/>
              </w:rPr>
              <w:t xml:space="preserve">2019  </w:t>
            </w:r>
            <w:r>
              <w:rPr>
                <w:spacing w:val="9"/>
              </w:rPr>
              <w:t>年本）》，本项目属于</w:t>
            </w:r>
            <w:r>
              <w:rPr>
                <w:spacing w:val="-29"/>
              </w:rPr>
              <w:t xml:space="preserve"> </w:t>
            </w:r>
            <w:r>
              <w:rPr>
                <w:rFonts w:ascii="Times New Roman" w:hAnsi="Times New Roman" w:eastAsia="Times New Roman" w:cs="Times New Roman"/>
                <w:spacing w:val="9"/>
              </w:rPr>
              <w:t xml:space="preserve">2010009 </w:t>
            </w:r>
            <w:r>
              <w:rPr>
                <w:spacing w:val="9"/>
              </w:rPr>
              <w:t>设立动物饲养场</w:t>
            </w:r>
            <w:r>
              <w:t xml:space="preserve"> </w:t>
            </w:r>
            <w:r>
              <w:rPr>
                <w:spacing w:val="8"/>
              </w:rPr>
              <w:t>所（养殖小区</w:t>
            </w:r>
            <w:r>
              <w:rPr>
                <w:spacing w:val="23"/>
              </w:rPr>
              <w:t>），</w:t>
            </w:r>
            <w:r>
              <w:rPr>
                <w:spacing w:val="8"/>
              </w:rPr>
              <w:t>属于许可准入类，因此本项目符合要求。</w:t>
            </w:r>
          </w:p>
        </w:tc>
      </w:tr>
    </w:tbl>
    <w:p w14:paraId="569781B4">
      <w:pPr>
        <w:spacing w:before="124" w:line="369" w:lineRule="auto"/>
        <w:ind w:left="11" w:firstLine="479"/>
        <w:jc w:val="both"/>
        <w:rPr>
          <w:rFonts w:ascii="宋体" w:hAnsi="宋体" w:eastAsia="宋体" w:cs="宋体"/>
          <w:sz w:val="24"/>
          <w:szCs w:val="24"/>
        </w:rPr>
      </w:pPr>
      <w:r>
        <w:rPr>
          <w:rFonts w:ascii="宋体" w:hAnsi="宋体" w:eastAsia="宋体" w:cs="宋体"/>
          <w:spacing w:val="2"/>
          <w:sz w:val="24"/>
          <w:szCs w:val="24"/>
        </w:rPr>
        <w:t>本项目位于海丰县公平镇龙岗美月姑少山坡地，属于《广东省人民政府关于印</w:t>
      </w:r>
      <w:r>
        <w:rPr>
          <w:rFonts w:ascii="宋体" w:hAnsi="宋体" w:eastAsia="宋体" w:cs="宋体"/>
          <w:spacing w:val="9"/>
          <w:sz w:val="24"/>
          <w:szCs w:val="24"/>
        </w:rPr>
        <w:t xml:space="preserve"> </w:t>
      </w:r>
      <w:r>
        <w:rPr>
          <w:rFonts w:ascii="宋体" w:hAnsi="宋体" w:eastAsia="宋体" w:cs="宋体"/>
          <w:spacing w:val="1"/>
          <w:sz w:val="24"/>
          <w:szCs w:val="24"/>
        </w:rPr>
        <w:t>发广东省</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生态环境分区管控方案的通知》（粤府〔</w:t>
      </w:r>
      <w:r>
        <w:rPr>
          <w:rFonts w:ascii="Times New Roman" w:hAnsi="Times New Roman" w:eastAsia="Times New Roman" w:cs="Times New Roman"/>
          <w:sz w:val="24"/>
          <w:szCs w:val="24"/>
        </w:rPr>
        <w:t>2020</w:t>
      </w:r>
      <w:r>
        <w:rPr>
          <w:rFonts w:ascii="宋体" w:hAnsi="宋体" w:eastAsia="宋体" w:cs="宋体"/>
          <w:sz w:val="24"/>
          <w:szCs w:val="24"/>
        </w:rPr>
        <w:t>〕</w:t>
      </w:r>
      <w:r>
        <w:rPr>
          <w:rFonts w:ascii="Times New Roman" w:hAnsi="Times New Roman" w:eastAsia="Times New Roman" w:cs="Times New Roman"/>
          <w:sz w:val="24"/>
          <w:szCs w:val="24"/>
        </w:rPr>
        <w:t>71</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 xml:space="preserve">号）划分单 </w:t>
      </w:r>
      <w:r>
        <w:rPr>
          <w:rFonts w:ascii="宋体" w:hAnsi="宋体" w:eastAsia="宋体" w:cs="宋体"/>
          <w:spacing w:val="2"/>
          <w:sz w:val="24"/>
          <w:szCs w:val="24"/>
        </w:rPr>
        <w:t>元中的重点管控单元。重点管控单元主要推进产业布局优化、转型升级，不断提高</w:t>
      </w:r>
      <w:r>
        <w:rPr>
          <w:rFonts w:ascii="宋体" w:hAnsi="宋体" w:eastAsia="宋体" w:cs="宋体"/>
          <w:spacing w:val="4"/>
          <w:sz w:val="24"/>
          <w:szCs w:val="24"/>
        </w:rPr>
        <w:t xml:space="preserve"> </w:t>
      </w:r>
      <w:r>
        <w:rPr>
          <w:rFonts w:ascii="宋体" w:hAnsi="宋体" w:eastAsia="宋体" w:cs="宋体"/>
          <w:sz w:val="24"/>
          <w:szCs w:val="24"/>
        </w:rPr>
        <w:t>资源利用效率，加强污染物排放控制和环境风险防</w:t>
      </w:r>
      <w:r>
        <w:rPr>
          <w:rFonts w:ascii="宋体" w:hAnsi="宋体" w:eastAsia="宋体" w:cs="宋体"/>
          <w:spacing w:val="-1"/>
          <w:sz w:val="24"/>
          <w:szCs w:val="24"/>
        </w:rPr>
        <w:t>控，解决突出生态环境问题。</w:t>
      </w:r>
    </w:p>
    <w:p w14:paraId="77BA91C1">
      <w:pPr>
        <w:spacing w:before="37" w:line="376" w:lineRule="auto"/>
        <w:ind w:left="8" w:right="2" w:firstLine="482"/>
        <w:jc w:val="both"/>
        <w:rPr>
          <w:rFonts w:ascii="宋体" w:hAnsi="宋体" w:eastAsia="宋体" w:cs="宋体"/>
          <w:sz w:val="24"/>
          <w:szCs w:val="24"/>
        </w:rPr>
      </w:pPr>
      <w:r>
        <w:rPr>
          <w:rFonts w:ascii="宋体" w:hAnsi="宋体" w:eastAsia="宋体" w:cs="宋体"/>
          <w:spacing w:val="2"/>
          <w:sz w:val="24"/>
          <w:szCs w:val="24"/>
        </w:rPr>
        <w:t>本项目为牲畜饲养，符合国家及地方产业政策。本项目对废水进行收集集中治</w:t>
      </w:r>
      <w:r>
        <w:rPr>
          <w:rFonts w:ascii="宋体" w:hAnsi="宋体" w:eastAsia="宋体" w:cs="宋体"/>
          <w:spacing w:val="9"/>
          <w:sz w:val="24"/>
          <w:szCs w:val="24"/>
        </w:rPr>
        <w:t xml:space="preserve"> </w:t>
      </w:r>
      <w:r>
        <w:rPr>
          <w:rFonts w:ascii="宋体" w:hAnsi="宋体" w:eastAsia="宋体" w:cs="宋体"/>
          <w:spacing w:val="2"/>
          <w:sz w:val="24"/>
          <w:szCs w:val="24"/>
        </w:rPr>
        <w:t>理，不外排；产生的饲料加工粉尘废气能达标排放；项目产生的固废均得到妥善处</w:t>
      </w:r>
      <w:r>
        <w:rPr>
          <w:rFonts w:ascii="宋体" w:hAnsi="宋体" w:eastAsia="宋体" w:cs="宋体"/>
          <w:spacing w:val="8"/>
          <w:sz w:val="24"/>
          <w:szCs w:val="24"/>
        </w:rPr>
        <w:t xml:space="preserve"> </w:t>
      </w:r>
      <w:r>
        <w:rPr>
          <w:rFonts w:ascii="宋体" w:hAnsi="宋体" w:eastAsia="宋体" w:cs="宋体"/>
          <w:spacing w:val="-4"/>
          <w:sz w:val="24"/>
          <w:szCs w:val="24"/>
        </w:rPr>
        <w:t>置。</w:t>
      </w:r>
    </w:p>
    <w:p w14:paraId="466C96ED">
      <w:pPr>
        <w:spacing w:before="1" w:line="387" w:lineRule="auto"/>
        <w:ind w:left="10" w:firstLine="481"/>
        <w:rPr>
          <w:rFonts w:ascii="宋体" w:hAnsi="宋体" w:eastAsia="宋体" w:cs="宋体"/>
          <w:sz w:val="24"/>
          <w:szCs w:val="24"/>
        </w:rPr>
      </w:pPr>
      <w:r>
        <w:rPr>
          <w:rFonts w:ascii="宋体" w:hAnsi="宋体" w:eastAsia="宋体" w:cs="宋体"/>
          <w:spacing w:val="3"/>
          <w:sz w:val="24"/>
          <w:szCs w:val="24"/>
        </w:rPr>
        <w:t>综上，本项目的建设符合《广东省人民政府关于印发广东省</w:t>
      </w:r>
      <w:r>
        <w:rPr>
          <w:rFonts w:ascii="Times New Roman" w:hAnsi="Times New Roman" w:eastAsia="Times New Roman" w:cs="Times New Roman"/>
          <w:spacing w:val="3"/>
          <w:sz w:val="24"/>
          <w:szCs w:val="24"/>
        </w:rPr>
        <w:t>“</w:t>
      </w:r>
      <w:r>
        <w:rPr>
          <w:rFonts w:ascii="宋体" w:hAnsi="宋体" w:eastAsia="宋体" w:cs="宋体"/>
          <w:spacing w:val="3"/>
          <w:sz w:val="24"/>
          <w:szCs w:val="24"/>
        </w:rPr>
        <w:t>三线一单</w:t>
      </w:r>
      <w:r>
        <w:rPr>
          <w:rFonts w:ascii="Times New Roman" w:hAnsi="Times New Roman" w:eastAsia="Times New Roman" w:cs="Times New Roman"/>
          <w:spacing w:val="3"/>
          <w:sz w:val="24"/>
          <w:szCs w:val="24"/>
        </w:rPr>
        <w:t>”</w:t>
      </w:r>
      <w:r>
        <w:rPr>
          <w:rFonts w:ascii="宋体" w:hAnsi="宋体" w:eastAsia="宋体" w:cs="宋体"/>
          <w:spacing w:val="3"/>
          <w:sz w:val="24"/>
          <w:szCs w:val="24"/>
        </w:rPr>
        <w:t>生态环</w:t>
      </w:r>
      <w:r>
        <w:rPr>
          <w:rFonts w:ascii="宋体" w:hAnsi="宋体" w:eastAsia="宋体" w:cs="宋体"/>
          <w:sz w:val="24"/>
          <w:szCs w:val="24"/>
        </w:rPr>
        <w:t xml:space="preserve"> </w:t>
      </w:r>
      <w:r>
        <w:rPr>
          <w:rFonts w:ascii="宋体" w:hAnsi="宋体" w:eastAsia="宋体" w:cs="宋体"/>
          <w:spacing w:val="-1"/>
          <w:sz w:val="24"/>
          <w:szCs w:val="24"/>
        </w:rPr>
        <w:t>境分区管控方案的通知》（粤府〔</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w:t>
      </w:r>
      <w:r>
        <w:rPr>
          <w:rFonts w:ascii="Times New Roman" w:hAnsi="Times New Roman" w:eastAsia="Times New Roman" w:cs="Times New Roman"/>
          <w:spacing w:val="-1"/>
          <w:sz w:val="24"/>
          <w:szCs w:val="24"/>
        </w:rPr>
        <w:t>71</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号）的要求。</w:t>
      </w:r>
    </w:p>
    <w:p w14:paraId="551638A0">
      <w:pPr>
        <w:spacing w:line="387" w:lineRule="auto"/>
        <w:rPr>
          <w:rFonts w:ascii="宋体" w:hAnsi="宋体" w:eastAsia="宋体" w:cs="宋体"/>
          <w:sz w:val="24"/>
          <w:szCs w:val="24"/>
        </w:rPr>
        <w:sectPr>
          <w:footerReference r:id="rId23" w:type="default"/>
          <w:pgSz w:w="11906" w:h="16839"/>
          <w:pgMar w:top="1431" w:right="1586" w:bottom="1485" w:left="1588" w:header="0" w:footer="1249" w:gutter="0"/>
          <w:cols w:space="720" w:num="1"/>
        </w:sectPr>
      </w:pPr>
    </w:p>
    <w:p w14:paraId="3E481EB2">
      <w:pPr>
        <w:pStyle w:val="2"/>
        <w:spacing w:line="243" w:lineRule="auto"/>
      </w:pPr>
    </w:p>
    <w:p w14:paraId="3724893A">
      <w:pPr>
        <w:pStyle w:val="2"/>
        <w:spacing w:line="243" w:lineRule="auto"/>
      </w:pPr>
    </w:p>
    <w:p w14:paraId="26B19522">
      <w:pPr>
        <w:pStyle w:val="2"/>
        <w:spacing w:line="243" w:lineRule="auto"/>
      </w:pPr>
    </w:p>
    <w:p w14:paraId="07F53A17">
      <w:pPr>
        <w:pStyle w:val="2"/>
        <w:spacing w:line="243" w:lineRule="auto"/>
      </w:pPr>
    </w:p>
    <w:p w14:paraId="1D82F0BB">
      <w:pPr>
        <w:pStyle w:val="2"/>
        <w:spacing w:line="243" w:lineRule="auto"/>
      </w:pPr>
    </w:p>
    <w:p w14:paraId="0E76A5BF">
      <w:pPr>
        <w:pStyle w:val="2"/>
        <w:spacing w:line="243" w:lineRule="auto"/>
      </w:pPr>
    </w:p>
    <w:p w14:paraId="673CCB64">
      <w:pPr>
        <w:pStyle w:val="2"/>
        <w:spacing w:line="243" w:lineRule="auto"/>
      </w:pPr>
    </w:p>
    <w:p w14:paraId="73925F5C">
      <w:pPr>
        <w:pStyle w:val="2"/>
        <w:spacing w:line="243" w:lineRule="auto"/>
      </w:pPr>
    </w:p>
    <w:p w14:paraId="107E3C78">
      <w:pPr>
        <w:pStyle w:val="2"/>
        <w:spacing w:line="243" w:lineRule="auto"/>
      </w:pPr>
    </w:p>
    <w:p w14:paraId="360EAB76">
      <w:pPr>
        <w:pStyle w:val="2"/>
        <w:spacing w:line="244" w:lineRule="auto"/>
      </w:pPr>
    </w:p>
    <w:p w14:paraId="21567BD3">
      <w:pPr>
        <w:pStyle w:val="2"/>
        <w:spacing w:line="244" w:lineRule="auto"/>
      </w:pPr>
    </w:p>
    <w:p w14:paraId="355D8946">
      <w:pPr>
        <w:pStyle w:val="2"/>
        <w:spacing w:line="244" w:lineRule="auto"/>
      </w:pPr>
    </w:p>
    <w:p w14:paraId="4767D0ED">
      <w:pPr>
        <w:pStyle w:val="2"/>
        <w:spacing w:line="244" w:lineRule="auto"/>
      </w:pPr>
    </w:p>
    <w:p w14:paraId="395357AD">
      <w:pPr>
        <w:spacing w:before="59" w:line="219" w:lineRule="auto"/>
        <w:ind w:left="5438"/>
        <w:rPr>
          <w:rFonts w:ascii="宋体" w:hAnsi="宋体" w:eastAsia="宋体" w:cs="宋体"/>
          <w:sz w:val="18"/>
          <w:szCs w:val="18"/>
        </w:rPr>
      </w:pPr>
      <w:r>
        <w:drawing>
          <wp:anchor distT="0" distB="0" distL="0" distR="0" simplePos="0" relativeHeight="251663360" behindDoc="1" locked="0" layoutInCell="1" allowOverlap="1">
            <wp:simplePos x="0" y="0"/>
            <wp:positionH relativeFrom="column">
              <wp:posOffset>3346450</wp:posOffset>
            </wp:positionH>
            <wp:positionV relativeFrom="paragraph">
              <wp:posOffset>-41910</wp:posOffset>
            </wp:positionV>
            <wp:extent cx="701675" cy="34353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99"/>
                    <a:stretch>
                      <a:fillRect/>
                    </a:stretch>
                  </pic:blipFill>
                  <pic:spPr>
                    <a:xfrm>
                      <a:off x="0" y="0"/>
                      <a:ext cx="701510" cy="343420"/>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0</wp:posOffset>
            </wp:positionH>
            <wp:positionV relativeFrom="paragraph">
              <wp:posOffset>-1961515</wp:posOffset>
            </wp:positionV>
            <wp:extent cx="5544185" cy="441515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0"/>
                    <a:stretch>
                      <a:fillRect/>
                    </a:stretch>
                  </pic:blipFill>
                  <pic:spPr>
                    <a:xfrm>
                      <a:off x="0" y="0"/>
                      <a:ext cx="5544311" cy="4415028"/>
                    </a:xfrm>
                    <a:prstGeom prst="rect">
                      <a:avLst/>
                    </a:prstGeom>
                  </pic:spPr>
                </pic:pic>
              </a:graphicData>
            </a:graphic>
          </wp:anchor>
        </w:drawing>
      </w:r>
      <w:r>
        <w:rPr>
          <w:rFonts w:ascii="宋体" w:hAnsi="宋体" w:eastAsia="宋体" w:cs="宋体"/>
          <w:b/>
          <w:bCs/>
          <w:spacing w:val="-4"/>
          <w:sz w:val="18"/>
          <w:szCs w:val="18"/>
        </w:rPr>
        <w:t>本项目</w:t>
      </w:r>
    </w:p>
    <w:p w14:paraId="5D0BEE67">
      <w:pPr>
        <w:pStyle w:val="2"/>
        <w:spacing w:line="250" w:lineRule="auto"/>
      </w:pPr>
      <w:r>
        <mc:AlternateContent>
          <mc:Choice Requires="wps">
            <w:drawing>
              <wp:anchor distT="0" distB="0" distL="0" distR="0" simplePos="0" relativeHeight="251662336" behindDoc="1" locked="0" layoutInCell="1" allowOverlap="1">
                <wp:simplePos x="0" y="0"/>
                <wp:positionH relativeFrom="column">
                  <wp:posOffset>3982085</wp:posOffset>
                </wp:positionH>
                <wp:positionV relativeFrom="paragraph">
                  <wp:posOffset>73025</wp:posOffset>
                </wp:positionV>
                <wp:extent cx="71120" cy="71755"/>
                <wp:effectExtent l="0" t="0" r="0" b="0"/>
                <wp:wrapNone/>
                <wp:docPr id="14" name="Rect 14"/>
                <wp:cNvGraphicFramePr/>
                <a:graphic xmlns:a="http://schemas.openxmlformats.org/drawingml/2006/main">
                  <a:graphicData uri="http://schemas.microsoft.com/office/word/2010/wordprocessingShape">
                    <wps:wsp>
                      <wps:cNvSpPr/>
                      <wps:spPr>
                        <a:xfrm>
                          <a:off x="3982262" y="73527"/>
                          <a:ext cx="71119" cy="71755"/>
                        </a:xfrm>
                        <a:prstGeom prst="rect">
                          <a:avLst/>
                        </a:prstGeom>
                        <a:solidFill>
                          <a:srgbClr val="FF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313.55pt;margin-top:5.75pt;height:5.65pt;width:5.6pt;z-index:-251654144;mso-width-relative:page;mso-height-relative:page;" fillcolor="#FF0000" filled="t" stroked="f" coordsize="21600,21600" o:gfxdata="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ys5LnVAAAACQEAAA8AAAAAAAAAAQAgAAAAIgAAAGRycy9kb3ducmV2LnhtbFBLAQIU&#10;ABQAAAAIAIdO4kDft5BbLwIAAGsEAAAOAAAAAAAAAAEAIAAAACQBAABkcnMvZTJvRG9jLnhtbFBL&#10;BQYAAAAABgAGAFkBAADFBQAAAAA=&#10;">
                <v:fill on="t" focussize="0,0"/>
                <v:stroke on="f" weight="0pt"/>
                <v:imagedata o:title=""/>
                <o:lock v:ext="edit" aspectratio="f"/>
                <v:textbox inset="0mm,0mm,0mm,0mm"/>
              </v:rect>
            </w:pict>
          </mc:Fallback>
        </mc:AlternateContent>
      </w:r>
    </w:p>
    <w:p w14:paraId="3A2DDD6E">
      <w:pPr>
        <w:pStyle w:val="2"/>
        <w:spacing w:line="250" w:lineRule="auto"/>
      </w:pPr>
    </w:p>
    <w:p w14:paraId="0E4D0CFD">
      <w:pPr>
        <w:pStyle w:val="2"/>
        <w:spacing w:line="250" w:lineRule="auto"/>
      </w:pPr>
    </w:p>
    <w:p w14:paraId="731BA078">
      <w:pPr>
        <w:pStyle w:val="2"/>
        <w:spacing w:line="250" w:lineRule="auto"/>
      </w:pPr>
    </w:p>
    <w:p w14:paraId="281C7104">
      <w:pPr>
        <w:pStyle w:val="2"/>
        <w:spacing w:line="250" w:lineRule="auto"/>
      </w:pPr>
    </w:p>
    <w:p w14:paraId="4992703F">
      <w:pPr>
        <w:pStyle w:val="2"/>
        <w:spacing w:line="250" w:lineRule="auto"/>
      </w:pPr>
    </w:p>
    <w:p w14:paraId="1A426171">
      <w:pPr>
        <w:pStyle w:val="2"/>
        <w:spacing w:line="250" w:lineRule="auto"/>
      </w:pPr>
    </w:p>
    <w:p w14:paraId="57B2117E">
      <w:pPr>
        <w:pStyle w:val="2"/>
        <w:spacing w:line="250" w:lineRule="auto"/>
      </w:pPr>
    </w:p>
    <w:p w14:paraId="6AF90E08">
      <w:pPr>
        <w:pStyle w:val="2"/>
        <w:spacing w:line="250" w:lineRule="auto"/>
      </w:pPr>
    </w:p>
    <w:p w14:paraId="32E2CED5">
      <w:pPr>
        <w:pStyle w:val="2"/>
        <w:spacing w:line="250" w:lineRule="auto"/>
      </w:pPr>
    </w:p>
    <w:p w14:paraId="3963285A">
      <w:pPr>
        <w:pStyle w:val="2"/>
        <w:spacing w:line="251" w:lineRule="auto"/>
      </w:pPr>
    </w:p>
    <w:p w14:paraId="0D82BFC7">
      <w:pPr>
        <w:pStyle w:val="2"/>
        <w:spacing w:line="251" w:lineRule="auto"/>
      </w:pPr>
    </w:p>
    <w:p w14:paraId="6DEE94F1">
      <w:pPr>
        <w:pStyle w:val="2"/>
        <w:spacing w:line="251" w:lineRule="auto"/>
      </w:pPr>
    </w:p>
    <w:p w14:paraId="15087F3A">
      <w:pPr>
        <w:pStyle w:val="2"/>
        <w:spacing w:line="251" w:lineRule="auto"/>
      </w:pPr>
    </w:p>
    <w:p w14:paraId="130C0260">
      <w:pPr>
        <w:pStyle w:val="2"/>
        <w:spacing w:line="251" w:lineRule="auto"/>
      </w:pPr>
    </w:p>
    <w:p w14:paraId="142ACCF1">
      <w:pPr>
        <w:spacing w:before="65" w:line="228" w:lineRule="auto"/>
        <w:ind w:left="2966"/>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1.4-4 </w:t>
      </w:r>
      <w:r>
        <w:rPr>
          <w:rFonts w:ascii="宋体" w:hAnsi="宋体" w:eastAsia="宋体" w:cs="宋体"/>
          <w:b/>
          <w:bCs/>
          <w:spacing w:val="4"/>
          <w:sz w:val="20"/>
          <w:szCs w:val="20"/>
        </w:rPr>
        <w:t>广东省环境管控单元图</w:t>
      </w:r>
    </w:p>
    <w:p w14:paraId="24EEC39C">
      <w:pPr>
        <w:spacing w:before="224" w:line="222" w:lineRule="auto"/>
        <w:ind w:left="15"/>
        <w:outlineLvl w:val="2"/>
        <w:rPr>
          <w:rFonts w:ascii="宋体" w:hAnsi="宋体" w:eastAsia="宋体" w:cs="宋体"/>
          <w:sz w:val="24"/>
          <w:szCs w:val="24"/>
        </w:rPr>
      </w:pPr>
      <w:r>
        <w:rPr>
          <w:rFonts w:ascii="Times New Roman" w:hAnsi="Times New Roman" w:eastAsia="Times New Roman" w:cs="Times New Roman"/>
          <w:b/>
          <w:bCs/>
          <w:spacing w:val="-3"/>
          <w:sz w:val="24"/>
          <w:szCs w:val="24"/>
        </w:rPr>
        <w:t>1.4.7</w:t>
      </w:r>
      <w:r>
        <w:rPr>
          <w:rFonts w:ascii="宋体" w:hAnsi="宋体" w:eastAsia="宋体" w:cs="宋体"/>
          <w:b/>
          <w:bCs/>
          <w:spacing w:val="-3"/>
          <w:sz w:val="24"/>
          <w:szCs w:val="24"/>
        </w:rPr>
        <w:t>小结</w:t>
      </w:r>
    </w:p>
    <w:p w14:paraId="249110D3">
      <w:pPr>
        <w:spacing w:before="113" w:line="360" w:lineRule="auto"/>
        <w:ind w:left="10" w:right="2" w:firstLine="481"/>
        <w:jc w:val="both"/>
        <w:rPr>
          <w:rFonts w:ascii="宋体" w:hAnsi="宋体" w:eastAsia="宋体" w:cs="宋体"/>
          <w:sz w:val="24"/>
          <w:szCs w:val="24"/>
        </w:rPr>
      </w:pPr>
      <w:r>
        <w:rPr>
          <w:rFonts w:ascii="宋体" w:hAnsi="宋体" w:eastAsia="宋体" w:cs="宋体"/>
          <w:spacing w:val="2"/>
          <w:sz w:val="24"/>
          <w:szCs w:val="24"/>
        </w:rPr>
        <w:t>综上所述，本项目建设内容符合国家及地方产业政策；项目建设符合相关法律</w:t>
      </w:r>
      <w:r>
        <w:rPr>
          <w:rFonts w:ascii="宋体" w:hAnsi="宋体" w:eastAsia="宋体" w:cs="宋体"/>
          <w:spacing w:val="7"/>
          <w:sz w:val="24"/>
          <w:szCs w:val="24"/>
        </w:rPr>
        <w:t xml:space="preserve"> </w:t>
      </w:r>
      <w:r>
        <w:rPr>
          <w:rFonts w:ascii="宋体" w:hAnsi="宋体" w:eastAsia="宋体" w:cs="宋体"/>
          <w:spacing w:val="2"/>
          <w:sz w:val="24"/>
          <w:szCs w:val="24"/>
        </w:rPr>
        <w:t>法规的要求；符合地方相关规划；选址符合相关法律法规；平面布置较为合理。因</w:t>
      </w:r>
      <w:r>
        <w:rPr>
          <w:rFonts w:ascii="宋体" w:hAnsi="宋体" w:eastAsia="宋体" w:cs="宋体"/>
          <w:spacing w:val="5"/>
          <w:sz w:val="24"/>
          <w:szCs w:val="24"/>
        </w:rPr>
        <w:t xml:space="preserve"> </w:t>
      </w:r>
      <w:r>
        <w:rPr>
          <w:rFonts w:ascii="宋体" w:hAnsi="宋体" w:eastAsia="宋体" w:cs="宋体"/>
          <w:spacing w:val="-1"/>
          <w:sz w:val="24"/>
          <w:szCs w:val="24"/>
        </w:rPr>
        <w:t>此，本项目的建设具有规划合理性和环境可行性。</w:t>
      </w:r>
    </w:p>
    <w:p w14:paraId="4C85869F">
      <w:pPr>
        <w:spacing w:line="360" w:lineRule="auto"/>
        <w:rPr>
          <w:rFonts w:ascii="宋体" w:hAnsi="宋体" w:eastAsia="宋体" w:cs="宋体"/>
          <w:sz w:val="24"/>
          <w:szCs w:val="24"/>
        </w:rPr>
        <w:sectPr>
          <w:footerReference r:id="rId24" w:type="default"/>
          <w:pgSz w:w="11906" w:h="16839"/>
          <w:pgMar w:top="1431" w:right="1585" w:bottom="1485" w:left="1588" w:header="0" w:footer="1249" w:gutter="0"/>
          <w:cols w:space="720" w:num="1"/>
        </w:sectPr>
      </w:pPr>
    </w:p>
    <w:p w14:paraId="213854F0">
      <w:pPr>
        <w:pStyle w:val="2"/>
        <w:spacing w:line="312" w:lineRule="auto"/>
      </w:pPr>
    </w:p>
    <w:p w14:paraId="7F5F530F">
      <w:pPr>
        <w:spacing w:before="101" w:line="226" w:lineRule="auto"/>
        <w:ind w:left="23"/>
        <w:outlineLvl w:val="1"/>
        <w:rPr>
          <w:rFonts w:ascii="宋体" w:hAnsi="宋体" w:eastAsia="宋体" w:cs="宋体"/>
          <w:sz w:val="31"/>
          <w:szCs w:val="31"/>
        </w:rPr>
      </w:pPr>
      <w:bookmarkStart w:id="6" w:name="bookmark6"/>
      <w:bookmarkEnd w:id="6"/>
      <w:r>
        <w:rPr>
          <w:rFonts w:ascii="Times New Roman" w:hAnsi="Times New Roman" w:eastAsia="Times New Roman" w:cs="Times New Roman"/>
          <w:b/>
          <w:bCs/>
          <w:spacing w:val="5"/>
          <w:sz w:val="31"/>
          <w:szCs w:val="31"/>
        </w:rPr>
        <w:t>1.5</w:t>
      </w:r>
      <w:r>
        <w:rPr>
          <w:rFonts w:ascii="宋体" w:hAnsi="宋体" w:eastAsia="宋体" w:cs="宋体"/>
          <w:b/>
          <w:bCs/>
          <w:spacing w:val="5"/>
          <w:sz w:val="31"/>
          <w:szCs w:val="31"/>
        </w:rPr>
        <w:t>项目主要环境问题及环境影响</w:t>
      </w:r>
    </w:p>
    <w:p w14:paraId="686D2DDD">
      <w:pPr>
        <w:pStyle w:val="2"/>
        <w:spacing w:line="409" w:lineRule="auto"/>
      </w:pPr>
    </w:p>
    <w:p w14:paraId="3BB1A8A8">
      <w:pPr>
        <w:spacing w:before="78" w:line="362" w:lineRule="auto"/>
        <w:ind w:left="11" w:right="81" w:firstLine="481"/>
        <w:rPr>
          <w:rFonts w:ascii="宋体" w:hAnsi="宋体" w:eastAsia="宋体" w:cs="宋体"/>
          <w:sz w:val="24"/>
          <w:szCs w:val="24"/>
        </w:rPr>
      </w:pPr>
      <w:r>
        <w:rPr>
          <w:rFonts w:ascii="宋体" w:hAnsi="宋体" w:eastAsia="宋体" w:cs="宋体"/>
          <w:spacing w:val="2"/>
          <w:sz w:val="24"/>
          <w:szCs w:val="24"/>
        </w:rPr>
        <w:t>本项目施工期建筑物的建设，主要环境问题为施工期的废水、粉尘、噪声及固</w:t>
      </w:r>
      <w:r>
        <w:rPr>
          <w:rFonts w:ascii="宋体" w:hAnsi="宋体" w:eastAsia="宋体" w:cs="宋体"/>
          <w:spacing w:val="9"/>
          <w:sz w:val="24"/>
          <w:szCs w:val="24"/>
        </w:rPr>
        <w:t xml:space="preserve"> </w:t>
      </w:r>
      <w:r>
        <w:rPr>
          <w:rFonts w:ascii="宋体" w:hAnsi="宋体" w:eastAsia="宋体" w:cs="宋体"/>
          <w:spacing w:val="-1"/>
          <w:sz w:val="24"/>
          <w:szCs w:val="24"/>
        </w:rPr>
        <w:t>废的排放。营运期主要环境问题为废气、固废及噪声的排放。</w:t>
      </w:r>
    </w:p>
    <w:p w14:paraId="21CC8539">
      <w:pPr>
        <w:spacing w:before="1" w:line="350" w:lineRule="auto"/>
        <w:ind w:right="15" w:firstLine="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）施工期废水，主要来源于开挖和钻孔产生的泥浆水、机械设备运转的冷却</w:t>
      </w:r>
      <w:r>
        <w:rPr>
          <w:rFonts w:ascii="宋体" w:hAnsi="宋体" w:eastAsia="宋体" w:cs="宋体"/>
          <w:spacing w:val="16"/>
          <w:sz w:val="24"/>
          <w:szCs w:val="24"/>
        </w:rPr>
        <w:t xml:space="preserve"> </w:t>
      </w:r>
      <w:r>
        <w:rPr>
          <w:rFonts w:ascii="宋体" w:hAnsi="宋体" w:eastAsia="宋体" w:cs="宋体"/>
          <w:spacing w:val="2"/>
          <w:sz w:val="24"/>
          <w:szCs w:val="24"/>
        </w:rPr>
        <w:t>水和洗涤水、工程养护用水、施工机械跑、冒、滴、漏的污油和露天施工机械被雨</w:t>
      </w:r>
      <w:r>
        <w:rPr>
          <w:rFonts w:ascii="宋体" w:hAnsi="宋体" w:eastAsia="宋体" w:cs="宋体"/>
          <w:spacing w:val="18"/>
          <w:sz w:val="24"/>
          <w:szCs w:val="24"/>
        </w:rPr>
        <w:t xml:space="preserve"> </w:t>
      </w:r>
      <w:r>
        <w:rPr>
          <w:rFonts w:ascii="宋体" w:hAnsi="宋体" w:eastAsia="宋体" w:cs="宋体"/>
          <w:spacing w:val="-1"/>
          <w:sz w:val="24"/>
          <w:szCs w:val="24"/>
        </w:rPr>
        <w:t>水等冲刷后产生一定量的含油污水及生活污水，主要污染物为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r>
        <w:rPr>
          <w:rFonts w:ascii="Times New Roman" w:hAnsi="Times New Roman" w:eastAsia="Times New Roman" w:cs="Times New Roman"/>
          <w:spacing w:val="-11"/>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 xml:space="preserve">5 </w:t>
      </w:r>
      <w:r>
        <w:rPr>
          <w:rFonts w:ascii="宋体" w:hAnsi="宋体" w:eastAsia="宋体" w:cs="宋体"/>
          <w:spacing w:val="-1"/>
          <w:sz w:val="24"/>
          <w:szCs w:val="24"/>
        </w:rPr>
        <w:t>、</w:t>
      </w:r>
      <w:r>
        <w:rPr>
          <w:rFonts w:ascii="Times New Roman" w:hAnsi="Times New Roman" w:eastAsia="Times New Roman" w:cs="Times New Roman"/>
          <w:spacing w:val="-1"/>
          <w:sz w:val="24"/>
          <w:szCs w:val="24"/>
        </w:rPr>
        <w:t>SS</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等；营运期废水，生活污水，主要污染物为</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Cr</w:t>
      </w:r>
      <w:r>
        <w:rPr>
          <w:rFonts w:ascii="Times New Roman" w:hAnsi="Times New Roman" w:eastAsia="Times New Roman" w:cs="Times New Roman"/>
          <w:spacing w:val="-12"/>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0"/>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等，</w:t>
      </w:r>
      <w:r>
        <w:rPr>
          <w:rFonts w:ascii="宋体" w:hAnsi="宋体" w:eastAsia="宋体" w:cs="宋体"/>
          <w:sz w:val="24"/>
          <w:szCs w:val="24"/>
        </w:rPr>
        <w:t xml:space="preserve"> 养殖废水不单独收集，与猪只粪便一起收集 ，形成粪污，用于发酵有机肥。</w:t>
      </w:r>
    </w:p>
    <w:p w14:paraId="4856BA14">
      <w:pPr>
        <w:spacing w:before="164" w:line="350" w:lineRule="auto"/>
        <w:ind w:left="11" w:right="58"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）施工期废气，主要来源于施工扬尘废气和各类施工机械和运输车辆所排放</w:t>
      </w:r>
      <w:r>
        <w:rPr>
          <w:rFonts w:ascii="宋体" w:hAnsi="宋体" w:eastAsia="宋体" w:cs="宋体"/>
          <w:spacing w:val="16"/>
          <w:sz w:val="24"/>
          <w:szCs w:val="24"/>
        </w:rPr>
        <w:t xml:space="preserve"> </w:t>
      </w:r>
      <w:r>
        <w:rPr>
          <w:rFonts w:ascii="宋体" w:hAnsi="宋体" w:eastAsia="宋体" w:cs="宋体"/>
          <w:spacing w:val="2"/>
          <w:sz w:val="24"/>
          <w:szCs w:val="24"/>
        </w:rPr>
        <w:t>的废气，主要污染物为颗粒物、</w:t>
      </w:r>
      <w:r>
        <w:rPr>
          <w:rFonts w:ascii="Times New Roman" w:hAnsi="Times New Roman" w:eastAsia="Times New Roman" w:cs="Times New Roman"/>
          <w:sz w:val="24"/>
          <w:szCs w:val="24"/>
        </w:rPr>
        <w:t>NO</w:t>
      </w:r>
      <w:r>
        <w:rPr>
          <w:rFonts w:ascii="Times New Roman" w:hAnsi="Times New Roman" w:eastAsia="Times New Roman" w:cs="Times New Roman"/>
          <w:spacing w:val="2"/>
          <w:position w:val="-4"/>
          <w:sz w:val="15"/>
          <w:szCs w:val="15"/>
        </w:rPr>
        <w:t>2</w:t>
      </w:r>
      <w:r>
        <w:rPr>
          <w:rFonts w:ascii="Times New Roman" w:hAnsi="Times New Roman" w:eastAsia="Times New Roman" w:cs="Times New Roman"/>
          <w:spacing w:val="32"/>
          <w:w w:val="101"/>
          <w:position w:val="-4"/>
          <w:sz w:val="15"/>
          <w:szCs w:val="15"/>
        </w:rPr>
        <w:t xml:space="preserve"> </w:t>
      </w:r>
      <w:r>
        <w:rPr>
          <w:rFonts w:ascii="宋体" w:hAnsi="宋体" w:eastAsia="宋体" w:cs="宋体"/>
          <w:spacing w:val="2"/>
          <w:sz w:val="24"/>
          <w:szCs w:val="24"/>
        </w:rPr>
        <w:t>等；营运期废气，主要来源于养殖场猪舍、有</w:t>
      </w:r>
      <w:r>
        <w:rPr>
          <w:rFonts w:ascii="宋体" w:hAnsi="宋体" w:eastAsia="宋体" w:cs="宋体"/>
          <w:sz w:val="24"/>
          <w:szCs w:val="24"/>
        </w:rPr>
        <w:t xml:space="preserve"> </w:t>
      </w:r>
      <w:r>
        <w:rPr>
          <w:rFonts w:ascii="宋体" w:hAnsi="宋体" w:eastAsia="宋体" w:cs="宋体"/>
          <w:spacing w:val="-2"/>
          <w:sz w:val="24"/>
          <w:szCs w:val="24"/>
        </w:rPr>
        <w:t>机肥发酵车间等臭气、饲料加工粉尘及备用发电机尾气，主要污染物为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3</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4"/>
          <w:sz w:val="24"/>
          <w:szCs w:val="24"/>
        </w:rPr>
        <w:t>臭气浓度、</w:t>
      </w:r>
      <w:r>
        <w:rPr>
          <w:rFonts w:ascii="Times New Roman" w:hAnsi="Times New Roman" w:eastAsia="Times New Roman" w:cs="Times New Roman"/>
          <w:spacing w:val="-4"/>
          <w:sz w:val="24"/>
          <w:szCs w:val="24"/>
        </w:rPr>
        <w:t>TSP</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4"/>
          <w:sz w:val="24"/>
          <w:szCs w:val="24"/>
        </w:rPr>
        <w:t>、烟尘等。</w:t>
      </w:r>
    </w:p>
    <w:p w14:paraId="71DB18D9">
      <w:pPr>
        <w:spacing w:before="137" w:line="312" w:lineRule="auto"/>
        <w:ind w:left="15"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）施工期噪声，主要来自施工现场的各类机械设备和物料运输的交通；营运</w:t>
      </w:r>
      <w:r>
        <w:rPr>
          <w:rFonts w:ascii="宋体" w:hAnsi="宋体" w:eastAsia="宋体" w:cs="宋体"/>
          <w:spacing w:val="16"/>
          <w:sz w:val="24"/>
          <w:szCs w:val="24"/>
        </w:rPr>
        <w:t xml:space="preserve"> </w:t>
      </w:r>
      <w:r>
        <w:rPr>
          <w:rFonts w:ascii="宋体" w:hAnsi="宋体" w:eastAsia="宋体" w:cs="宋体"/>
          <w:spacing w:val="-2"/>
          <w:sz w:val="24"/>
          <w:szCs w:val="24"/>
        </w:rPr>
        <w:t>期噪声，主要来自猪舍排气扇、水泵、饲料加工设备、发电机</w:t>
      </w:r>
      <w:r>
        <w:rPr>
          <w:rFonts w:ascii="宋体" w:hAnsi="宋体" w:eastAsia="宋体" w:cs="宋体"/>
          <w:spacing w:val="-3"/>
          <w:sz w:val="24"/>
          <w:szCs w:val="24"/>
        </w:rPr>
        <w:t>等设备和猪只叫声等。</w:t>
      </w:r>
    </w:p>
    <w:p w14:paraId="6C0C44F3">
      <w:pPr>
        <w:spacing w:before="166" w:line="312" w:lineRule="auto"/>
        <w:ind w:left="12" w:right="89"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）施工期固废，主要为建筑垃圾、生活垃圾；营运期固废，包括生活垃圾、</w:t>
      </w:r>
      <w:r>
        <w:rPr>
          <w:rFonts w:ascii="宋体" w:hAnsi="宋体" w:eastAsia="宋体" w:cs="宋体"/>
          <w:spacing w:val="8"/>
          <w:sz w:val="24"/>
          <w:szCs w:val="24"/>
        </w:rPr>
        <w:t xml:space="preserve"> </w:t>
      </w:r>
      <w:r>
        <w:rPr>
          <w:rFonts w:ascii="宋体" w:hAnsi="宋体" w:eastAsia="宋体" w:cs="宋体"/>
          <w:spacing w:val="-1"/>
          <w:sz w:val="24"/>
          <w:szCs w:val="24"/>
        </w:rPr>
        <w:t>猪只粪便、病死猪尸体、医疗废物、废包装物等。</w:t>
      </w:r>
    </w:p>
    <w:p w14:paraId="4E40E4E1">
      <w:pPr>
        <w:pStyle w:val="2"/>
        <w:spacing w:line="402" w:lineRule="auto"/>
      </w:pPr>
    </w:p>
    <w:p w14:paraId="4D2F4AA7">
      <w:pPr>
        <w:spacing w:before="100" w:line="224" w:lineRule="auto"/>
        <w:ind w:left="23"/>
        <w:outlineLvl w:val="1"/>
        <w:rPr>
          <w:rFonts w:ascii="宋体" w:hAnsi="宋体" w:eastAsia="宋体" w:cs="宋体"/>
          <w:sz w:val="31"/>
          <w:szCs w:val="31"/>
        </w:rPr>
      </w:pPr>
      <w:bookmarkStart w:id="7" w:name="bookmark7"/>
      <w:bookmarkEnd w:id="7"/>
      <w:r>
        <w:rPr>
          <w:rFonts w:ascii="Times New Roman" w:hAnsi="Times New Roman" w:eastAsia="Times New Roman" w:cs="Times New Roman"/>
          <w:b/>
          <w:bCs/>
          <w:spacing w:val="5"/>
          <w:sz w:val="31"/>
          <w:szCs w:val="31"/>
        </w:rPr>
        <w:t>1.6</w:t>
      </w:r>
      <w:r>
        <w:rPr>
          <w:rFonts w:ascii="宋体" w:hAnsi="宋体" w:eastAsia="宋体" w:cs="宋体"/>
          <w:b/>
          <w:bCs/>
          <w:spacing w:val="5"/>
          <w:sz w:val="31"/>
          <w:szCs w:val="31"/>
        </w:rPr>
        <w:t>环境影响评价主要结论</w:t>
      </w:r>
    </w:p>
    <w:p w14:paraId="2557BD3F">
      <w:pPr>
        <w:pStyle w:val="2"/>
        <w:spacing w:line="450" w:lineRule="auto"/>
      </w:pPr>
    </w:p>
    <w:p w14:paraId="613BC141">
      <w:pPr>
        <w:spacing w:before="79" w:line="219" w:lineRule="auto"/>
        <w:ind w:left="18"/>
        <w:outlineLvl w:val="2"/>
        <w:rPr>
          <w:rFonts w:ascii="宋体" w:hAnsi="宋体" w:eastAsia="宋体" w:cs="宋体"/>
          <w:sz w:val="24"/>
          <w:szCs w:val="24"/>
        </w:rPr>
      </w:pPr>
      <w:r>
        <w:rPr>
          <w:rFonts w:ascii="Times New Roman" w:hAnsi="Times New Roman" w:eastAsia="Times New Roman" w:cs="Times New Roman"/>
          <w:b/>
          <w:bCs/>
          <w:spacing w:val="-3"/>
          <w:sz w:val="24"/>
          <w:szCs w:val="24"/>
        </w:rPr>
        <w:t>1.6.1</w:t>
      </w:r>
      <w:r>
        <w:rPr>
          <w:rFonts w:ascii="宋体" w:hAnsi="宋体" w:eastAsia="宋体" w:cs="宋体"/>
          <w:b/>
          <w:bCs/>
          <w:spacing w:val="-3"/>
          <w:sz w:val="24"/>
          <w:szCs w:val="24"/>
        </w:rPr>
        <w:t>运营期地表水环境影响评价结论</w:t>
      </w:r>
    </w:p>
    <w:p w14:paraId="0A150F30">
      <w:pPr>
        <w:pStyle w:val="2"/>
        <w:spacing w:line="280" w:lineRule="auto"/>
      </w:pPr>
    </w:p>
    <w:p w14:paraId="3CD09FDB">
      <w:pPr>
        <w:spacing w:before="79" w:line="377" w:lineRule="auto"/>
        <w:ind w:left="14" w:firstLine="479"/>
        <w:rPr>
          <w:rFonts w:ascii="宋体" w:hAnsi="宋体" w:eastAsia="宋体" w:cs="宋体"/>
          <w:sz w:val="24"/>
          <w:szCs w:val="24"/>
        </w:rPr>
      </w:pPr>
      <w:r>
        <w:rPr>
          <w:rFonts w:ascii="宋体" w:hAnsi="宋体" w:eastAsia="宋体" w:cs="宋体"/>
          <w:spacing w:val="-2"/>
          <w:sz w:val="24"/>
          <w:szCs w:val="24"/>
        </w:rPr>
        <w:t>本项目养殖废水（猪只尿液、猪舍冲洗水）与猪只粪</w:t>
      </w:r>
      <w:r>
        <w:rPr>
          <w:rFonts w:ascii="宋体" w:hAnsi="宋体" w:eastAsia="宋体" w:cs="宋体"/>
          <w:spacing w:val="-3"/>
          <w:sz w:val="24"/>
          <w:szCs w:val="24"/>
        </w:rPr>
        <w:t>便一起收集，不单独收集，</w:t>
      </w:r>
      <w:r>
        <w:rPr>
          <w:rFonts w:ascii="宋体" w:hAnsi="宋体" w:eastAsia="宋体" w:cs="宋体"/>
          <w:sz w:val="24"/>
          <w:szCs w:val="24"/>
        </w:rPr>
        <w:t xml:space="preserve"> </w:t>
      </w:r>
      <w:r>
        <w:rPr>
          <w:rFonts w:ascii="宋体" w:hAnsi="宋体" w:eastAsia="宋体" w:cs="宋体"/>
          <w:spacing w:val="-2"/>
          <w:sz w:val="24"/>
          <w:szCs w:val="24"/>
        </w:rPr>
        <w:t>收集的粪污传至有机肥发酵处理系统进行好氧发酵成为有机肥半</w:t>
      </w:r>
      <w:r>
        <w:rPr>
          <w:rFonts w:ascii="宋体" w:hAnsi="宋体" w:eastAsia="宋体" w:cs="宋体"/>
          <w:spacing w:val="-3"/>
          <w:sz w:val="24"/>
          <w:szCs w:val="24"/>
        </w:rPr>
        <w:t>成品外售，不外排。</w:t>
      </w:r>
      <w:r>
        <w:rPr>
          <w:rFonts w:ascii="宋体" w:hAnsi="宋体" w:eastAsia="宋体" w:cs="宋体"/>
          <w:sz w:val="24"/>
          <w:szCs w:val="24"/>
        </w:rPr>
        <w:t xml:space="preserve"> </w:t>
      </w:r>
      <w:r>
        <w:rPr>
          <w:rFonts w:ascii="宋体" w:hAnsi="宋体" w:eastAsia="宋体" w:cs="宋体"/>
          <w:spacing w:val="3"/>
          <w:sz w:val="24"/>
          <w:szCs w:val="24"/>
        </w:rPr>
        <w:t>生活污水也经有机肥发酵处理系统进行好氧发酵成为有机肥半成品外售，不外排。</w:t>
      </w:r>
      <w:r>
        <w:rPr>
          <w:rFonts w:ascii="宋体" w:hAnsi="宋体" w:eastAsia="宋体" w:cs="宋体"/>
          <w:spacing w:val="1"/>
          <w:sz w:val="24"/>
          <w:szCs w:val="24"/>
        </w:rPr>
        <w:t xml:space="preserve"> </w:t>
      </w:r>
      <w:r>
        <w:rPr>
          <w:rFonts w:ascii="宋体" w:hAnsi="宋体" w:eastAsia="宋体" w:cs="宋体"/>
          <w:spacing w:val="-1"/>
          <w:sz w:val="24"/>
          <w:szCs w:val="24"/>
        </w:rPr>
        <w:t>因此本项目不会对区域地表水环境造成影响。</w:t>
      </w:r>
    </w:p>
    <w:p w14:paraId="7520696B">
      <w:pPr>
        <w:spacing w:before="293" w:line="219" w:lineRule="auto"/>
        <w:ind w:left="18"/>
        <w:outlineLvl w:val="2"/>
        <w:rPr>
          <w:rFonts w:ascii="宋体" w:hAnsi="宋体" w:eastAsia="宋体" w:cs="宋体"/>
          <w:sz w:val="24"/>
          <w:szCs w:val="24"/>
        </w:rPr>
      </w:pPr>
      <w:r>
        <w:rPr>
          <w:rFonts w:ascii="Times New Roman" w:hAnsi="Times New Roman" w:eastAsia="Times New Roman" w:cs="Times New Roman"/>
          <w:b/>
          <w:bCs/>
          <w:spacing w:val="-3"/>
          <w:sz w:val="24"/>
          <w:szCs w:val="24"/>
        </w:rPr>
        <w:t>1.6.2</w:t>
      </w:r>
      <w:r>
        <w:rPr>
          <w:rFonts w:ascii="宋体" w:hAnsi="宋体" w:eastAsia="宋体" w:cs="宋体"/>
          <w:b/>
          <w:bCs/>
          <w:spacing w:val="-3"/>
          <w:sz w:val="24"/>
          <w:szCs w:val="24"/>
        </w:rPr>
        <w:t>营运期地下水环境评价结论</w:t>
      </w:r>
    </w:p>
    <w:p w14:paraId="2CC12E73">
      <w:pPr>
        <w:pStyle w:val="2"/>
        <w:spacing w:line="282" w:lineRule="auto"/>
      </w:pPr>
    </w:p>
    <w:p w14:paraId="79D61389">
      <w:pPr>
        <w:spacing w:before="78" w:line="219" w:lineRule="auto"/>
        <w:ind w:left="491"/>
        <w:rPr>
          <w:rFonts w:ascii="宋体" w:hAnsi="宋体" w:eastAsia="宋体" w:cs="宋体"/>
          <w:sz w:val="24"/>
          <w:szCs w:val="24"/>
        </w:rPr>
      </w:pPr>
      <w:r>
        <w:rPr>
          <w:rFonts w:ascii="宋体" w:hAnsi="宋体" w:eastAsia="宋体" w:cs="宋体"/>
          <w:spacing w:val="2"/>
          <w:sz w:val="24"/>
          <w:szCs w:val="24"/>
        </w:rPr>
        <w:t>在企业严格落实对污水明渠硬底化、环保处理设施采用防渗漏措施以及加强管</w:t>
      </w:r>
    </w:p>
    <w:p w14:paraId="7578BA9E">
      <w:pPr>
        <w:spacing w:line="219" w:lineRule="auto"/>
        <w:rPr>
          <w:rFonts w:ascii="宋体" w:hAnsi="宋体" w:eastAsia="宋体" w:cs="宋体"/>
          <w:sz w:val="24"/>
          <w:szCs w:val="24"/>
        </w:rPr>
        <w:sectPr>
          <w:footerReference r:id="rId25" w:type="default"/>
          <w:pgSz w:w="11906" w:h="16839"/>
          <w:pgMar w:top="1431" w:right="1507" w:bottom="1485" w:left="1585" w:header="0" w:footer="1249" w:gutter="0"/>
          <w:cols w:space="720" w:num="1"/>
        </w:sectPr>
      </w:pPr>
    </w:p>
    <w:p w14:paraId="6ED47AFB">
      <w:pPr>
        <w:spacing w:before="109" w:line="379" w:lineRule="auto"/>
        <w:ind w:left="7" w:right="81" w:hanging="4"/>
        <w:rPr>
          <w:rFonts w:ascii="宋体" w:hAnsi="宋体" w:eastAsia="宋体" w:cs="宋体"/>
          <w:sz w:val="24"/>
          <w:szCs w:val="24"/>
        </w:rPr>
      </w:pPr>
      <w:r>
        <w:rPr>
          <w:rFonts w:ascii="宋体" w:hAnsi="宋体" w:eastAsia="宋体" w:cs="宋体"/>
          <w:spacing w:val="2"/>
          <w:sz w:val="24"/>
          <w:szCs w:val="24"/>
        </w:rPr>
        <w:t>理下，项目养殖粪污不会对地下水环境造成不良影响，可认为，本项目的建设对地</w:t>
      </w:r>
      <w:r>
        <w:rPr>
          <w:rFonts w:ascii="宋体" w:hAnsi="宋体" w:eastAsia="宋体" w:cs="宋体"/>
          <w:spacing w:val="3"/>
          <w:sz w:val="24"/>
          <w:szCs w:val="24"/>
        </w:rPr>
        <w:t xml:space="preserve"> </w:t>
      </w:r>
      <w:r>
        <w:rPr>
          <w:rFonts w:ascii="宋体" w:hAnsi="宋体" w:eastAsia="宋体" w:cs="宋体"/>
          <w:spacing w:val="-3"/>
          <w:sz w:val="24"/>
          <w:szCs w:val="24"/>
        </w:rPr>
        <w:t>下水的影响不大。</w:t>
      </w:r>
    </w:p>
    <w:p w14:paraId="24F24518">
      <w:pPr>
        <w:spacing w:before="291" w:line="219"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1.6.3</w:t>
      </w:r>
      <w:r>
        <w:rPr>
          <w:rFonts w:ascii="宋体" w:hAnsi="宋体" w:eastAsia="宋体" w:cs="宋体"/>
          <w:b/>
          <w:bCs/>
          <w:spacing w:val="-3"/>
          <w:sz w:val="24"/>
          <w:szCs w:val="24"/>
        </w:rPr>
        <w:t>运营期大气环境影响评价结论</w:t>
      </w:r>
    </w:p>
    <w:p w14:paraId="4B98EC3B">
      <w:pPr>
        <w:pStyle w:val="2"/>
        <w:spacing w:line="244" w:lineRule="auto"/>
      </w:pPr>
    </w:p>
    <w:p w14:paraId="77DFF541">
      <w:pPr>
        <w:spacing w:before="78" w:line="360" w:lineRule="exact"/>
        <w:ind w:left="499"/>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、臭气</w:t>
      </w:r>
    </w:p>
    <w:p w14:paraId="713E04DE">
      <w:pPr>
        <w:spacing w:before="164" w:line="362" w:lineRule="auto"/>
        <w:ind w:firstLine="481"/>
        <w:rPr>
          <w:rFonts w:ascii="宋体" w:hAnsi="宋体" w:eastAsia="宋体" w:cs="宋体"/>
          <w:sz w:val="24"/>
          <w:szCs w:val="24"/>
        </w:rPr>
      </w:pPr>
      <w:r>
        <w:rPr>
          <w:rFonts w:ascii="宋体" w:hAnsi="宋体" w:eastAsia="宋体" w:cs="宋体"/>
          <w:spacing w:val="2"/>
          <w:sz w:val="24"/>
          <w:szCs w:val="24"/>
        </w:rPr>
        <w:t>本项目猪只养殖区、有机肥发酵车间的臭气经过预测，各种污染物的最大落地</w:t>
      </w:r>
      <w:r>
        <w:rPr>
          <w:rFonts w:ascii="宋体" w:hAnsi="宋体" w:eastAsia="宋体" w:cs="宋体"/>
          <w:spacing w:val="9"/>
          <w:sz w:val="24"/>
          <w:szCs w:val="24"/>
        </w:rPr>
        <w:t xml:space="preserve"> </w:t>
      </w:r>
      <w:r>
        <w:rPr>
          <w:rFonts w:ascii="宋体" w:hAnsi="宋体" w:eastAsia="宋体" w:cs="宋体"/>
          <w:spacing w:val="-6"/>
          <w:sz w:val="24"/>
          <w:szCs w:val="24"/>
        </w:rPr>
        <w:t>浓度占标率均小于</w:t>
      </w:r>
      <w:r>
        <w:rPr>
          <w:rFonts w:ascii="宋体" w:hAnsi="宋体" w:eastAsia="宋体" w:cs="宋体"/>
          <w:spacing w:val="-14"/>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，且最大落地浓度出现点均在距源中心</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100m</w:t>
      </w:r>
      <w:r>
        <w:rPr>
          <w:rFonts w:ascii="Times New Roman" w:hAnsi="Times New Roman" w:eastAsia="Times New Roman" w:cs="Times New Roman"/>
          <w:spacing w:val="38"/>
          <w:sz w:val="24"/>
          <w:szCs w:val="24"/>
        </w:rPr>
        <w:t xml:space="preserve"> </w:t>
      </w:r>
      <w:r>
        <w:rPr>
          <w:rFonts w:ascii="宋体" w:hAnsi="宋体" w:eastAsia="宋体" w:cs="宋体"/>
          <w:spacing w:val="-6"/>
          <w:sz w:val="24"/>
          <w:szCs w:val="24"/>
        </w:rPr>
        <w:t>以内。项目下风</w:t>
      </w:r>
      <w:r>
        <w:rPr>
          <w:rFonts w:ascii="宋体" w:hAnsi="宋体" w:eastAsia="宋体" w:cs="宋体"/>
          <w:sz w:val="24"/>
          <w:szCs w:val="24"/>
        </w:rPr>
        <w:t xml:space="preserve"> </w:t>
      </w:r>
      <w:r>
        <w:rPr>
          <w:rFonts w:ascii="宋体" w:hAnsi="宋体" w:eastAsia="宋体" w:cs="宋体"/>
          <w:spacing w:val="-3"/>
          <w:sz w:val="24"/>
          <w:szCs w:val="24"/>
        </w:rPr>
        <w:t>向</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100m </w:t>
      </w:r>
      <w:r>
        <w:rPr>
          <w:rFonts w:ascii="宋体" w:hAnsi="宋体" w:eastAsia="宋体" w:cs="宋体"/>
          <w:spacing w:val="-3"/>
          <w:sz w:val="24"/>
          <w:szCs w:val="24"/>
        </w:rPr>
        <w:t>范围内无敏感目标，因此本项目大气污</w:t>
      </w:r>
      <w:r>
        <w:rPr>
          <w:rFonts w:ascii="宋体" w:hAnsi="宋体" w:eastAsia="宋体" w:cs="宋体"/>
          <w:spacing w:val="-4"/>
          <w:sz w:val="24"/>
          <w:szCs w:val="24"/>
        </w:rPr>
        <w:t>染物对周围环境影响较小。猪舍、有</w:t>
      </w:r>
      <w:r>
        <w:rPr>
          <w:rFonts w:ascii="宋体" w:hAnsi="宋体" w:eastAsia="宋体" w:cs="宋体"/>
          <w:sz w:val="24"/>
          <w:szCs w:val="24"/>
        </w:rPr>
        <w:t xml:space="preserve"> </w:t>
      </w:r>
      <w:r>
        <w:rPr>
          <w:rFonts w:ascii="宋体" w:hAnsi="宋体" w:eastAsia="宋体" w:cs="宋体"/>
          <w:spacing w:val="-2"/>
          <w:sz w:val="24"/>
          <w:szCs w:val="24"/>
        </w:rPr>
        <w:t>机肥发酵车间设有绿化带且喷洒除臭剂，排放的臭气较少，对周围环境</w:t>
      </w:r>
      <w:r>
        <w:rPr>
          <w:rFonts w:ascii="宋体" w:hAnsi="宋体" w:eastAsia="宋体" w:cs="宋体"/>
          <w:spacing w:val="-3"/>
          <w:sz w:val="24"/>
          <w:szCs w:val="24"/>
        </w:rPr>
        <w:t>的影响较小。</w:t>
      </w:r>
    </w:p>
    <w:p w14:paraId="54C52DF8">
      <w:pPr>
        <w:spacing w:before="39" w:line="360" w:lineRule="exact"/>
        <w:ind w:left="476"/>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、饲料加工粉尘</w:t>
      </w:r>
    </w:p>
    <w:p w14:paraId="5F6FD314">
      <w:pPr>
        <w:spacing w:before="164" w:line="362" w:lineRule="auto"/>
        <w:ind w:right="15" w:firstLine="481"/>
        <w:jc w:val="both"/>
        <w:rPr>
          <w:rFonts w:ascii="宋体" w:hAnsi="宋体" w:eastAsia="宋体" w:cs="宋体"/>
          <w:sz w:val="24"/>
          <w:szCs w:val="24"/>
        </w:rPr>
      </w:pPr>
      <w:r>
        <w:rPr>
          <w:rFonts w:ascii="宋体" w:hAnsi="宋体" w:eastAsia="宋体" w:cs="宋体"/>
          <w:spacing w:val="2"/>
          <w:sz w:val="24"/>
          <w:szCs w:val="24"/>
        </w:rPr>
        <w:t>本项目饲料加工设备为密闭设备，产生的粉尘较小，呈无组织排放，其排放符</w:t>
      </w:r>
      <w:r>
        <w:rPr>
          <w:rFonts w:ascii="宋体" w:hAnsi="宋体" w:eastAsia="宋体" w:cs="宋体"/>
          <w:spacing w:val="9"/>
          <w:sz w:val="24"/>
          <w:szCs w:val="24"/>
        </w:rPr>
        <w:t xml:space="preserve"> </w:t>
      </w:r>
      <w:r>
        <w:rPr>
          <w:rFonts w:ascii="宋体" w:hAnsi="宋体" w:eastAsia="宋体" w:cs="宋体"/>
          <w:spacing w:val="-2"/>
          <w:sz w:val="24"/>
          <w:szCs w:val="24"/>
        </w:rPr>
        <w:t>合广东省《大气污染物排放限值》（</w:t>
      </w:r>
      <w:r>
        <w:rPr>
          <w:rFonts w:ascii="Times New Roman" w:hAnsi="Times New Roman" w:eastAsia="Times New Roman" w:cs="Times New Roman"/>
          <w:spacing w:val="-2"/>
          <w:sz w:val="24"/>
          <w:szCs w:val="24"/>
        </w:rPr>
        <w:t>DB44/27-2001</w:t>
      </w:r>
      <w:r>
        <w:rPr>
          <w:rFonts w:ascii="宋体" w:hAnsi="宋体" w:eastAsia="宋体" w:cs="宋体"/>
          <w:spacing w:val="-2"/>
          <w:sz w:val="24"/>
          <w:szCs w:val="24"/>
        </w:rPr>
        <w:t>）第二时段二</w:t>
      </w:r>
      <w:r>
        <w:rPr>
          <w:rFonts w:ascii="宋体" w:hAnsi="宋体" w:eastAsia="宋体" w:cs="宋体"/>
          <w:spacing w:val="-3"/>
          <w:sz w:val="24"/>
          <w:szCs w:val="24"/>
        </w:rPr>
        <w:t>级无组织排放标准，</w:t>
      </w:r>
      <w:r>
        <w:rPr>
          <w:rFonts w:ascii="宋体" w:hAnsi="宋体" w:eastAsia="宋体" w:cs="宋体"/>
          <w:sz w:val="24"/>
          <w:szCs w:val="24"/>
        </w:rPr>
        <w:t xml:space="preserve"> </w:t>
      </w:r>
      <w:r>
        <w:rPr>
          <w:rFonts w:ascii="宋体" w:hAnsi="宋体" w:eastAsia="宋体" w:cs="宋体"/>
          <w:spacing w:val="-2"/>
          <w:sz w:val="24"/>
          <w:szCs w:val="24"/>
        </w:rPr>
        <w:t>达标排放。</w:t>
      </w:r>
    </w:p>
    <w:p w14:paraId="58CF89E8">
      <w:pPr>
        <w:spacing w:before="56" w:line="219" w:lineRule="auto"/>
        <w:ind w:left="481"/>
        <w:rPr>
          <w:rFonts w:ascii="宋体" w:hAnsi="宋体" w:eastAsia="宋体" w:cs="宋体"/>
          <w:sz w:val="24"/>
          <w:szCs w:val="24"/>
        </w:rPr>
      </w:pPr>
      <w:r>
        <w:rPr>
          <w:rFonts w:ascii="宋体" w:hAnsi="宋体" w:eastAsia="宋体" w:cs="宋体"/>
          <w:sz w:val="24"/>
          <w:szCs w:val="24"/>
        </w:rPr>
        <w:t>本项目产生的饲料加工粉尘废气能达标排放</w:t>
      </w:r>
      <w:r>
        <w:rPr>
          <w:rFonts w:ascii="宋体" w:hAnsi="宋体" w:eastAsia="宋体" w:cs="宋体"/>
          <w:spacing w:val="-1"/>
          <w:sz w:val="24"/>
          <w:szCs w:val="24"/>
        </w:rPr>
        <w:t>，对周围环境的影响较小。</w:t>
      </w:r>
    </w:p>
    <w:p w14:paraId="0B1DA737">
      <w:pPr>
        <w:spacing w:before="169" w:line="359" w:lineRule="exact"/>
        <w:ind w:left="481"/>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、备用发电机尾气</w:t>
      </w:r>
    </w:p>
    <w:p w14:paraId="3D0F71EA">
      <w:pPr>
        <w:spacing w:before="131" w:line="366" w:lineRule="auto"/>
        <w:ind w:left="1" w:right="15" w:firstLine="480"/>
        <w:rPr>
          <w:rFonts w:ascii="宋体" w:hAnsi="宋体" w:eastAsia="宋体" w:cs="宋体"/>
          <w:sz w:val="24"/>
          <w:szCs w:val="24"/>
        </w:rPr>
      </w:pPr>
      <w:r>
        <w:rPr>
          <w:rFonts w:ascii="宋体" w:hAnsi="宋体" w:eastAsia="宋体" w:cs="宋体"/>
          <w:sz w:val="24"/>
          <w:szCs w:val="24"/>
        </w:rPr>
        <w:t>本项目柴油发电机房使用时间短暂，且使用含硫量低于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的柴油，项目设</w:t>
      </w:r>
      <w:r>
        <w:rPr>
          <w:rFonts w:ascii="宋体" w:hAnsi="宋体" w:eastAsia="宋体" w:cs="宋体"/>
          <w:sz w:val="24"/>
          <w:szCs w:val="24"/>
        </w:rPr>
        <w:t xml:space="preserve"> </w:t>
      </w:r>
      <w:r>
        <w:rPr>
          <w:rFonts w:ascii="宋体" w:hAnsi="宋体" w:eastAsia="宋体" w:cs="宋体"/>
          <w:spacing w:val="-5"/>
          <w:sz w:val="24"/>
          <w:szCs w:val="24"/>
        </w:rPr>
        <w:t>有尾气收集设备，柴油发电机尾气收集后引至高空排放（建</w:t>
      </w:r>
      <w:r>
        <w:rPr>
          <w:rFonts w:ascii="宋体" w:hAnsi="宋体" w:eastAsia="宋体" w:cs="宋体"/>
          <w:spacing w:val="-6"/>
          <w:sz w:val="24"/>
          <w:szCs w:val="24"/>
        </w:rPr>
        <w:t>议排放高度不低于</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15m</w:t>
      </w:r>
      <w:r>
        <w:rPr>
          <w:rFonts w:ascii="宋体" w:hAnsi="宋体" w:eastAsia="宋体" w:cs="宋体"/>
          <w:spacing w:val="-54"/>
          <w:w w:val="85"/>
          <w:sz w:val="24"/>
          <w:szCs w:val="24"/>
        </w:rPr>
        <w:t>），</w:t>
      </w:r>
      <w:r>
        <w:rPr>
          <w:rFonts w:ascii="宋体" w:hAnsi="宋体" w:eastAsia="宋体" w:cs="宋体"/>
          <w:sz w:val="24"/>
          <w:szCs w:val="24"/>
        </w:rPr>
        <w:t xml:space="preserve"> </w:t>
      </w:r>
      <w:r>
        <w:rPr>
          <w:rFonts w:ascii="宋体" w:hAnsi="宋体" w:eastAsia="宋体" w:cs="宋体"/>
          <w:spacing w:val="2"/>
          <w:sz w:val="24"/>
          <w:szCs w:val="24"/>
        </w:rPr>
        <w:t>其污染物浓度能够达到广东省《大气污染物排放限值》（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w:t>
      </w:r>
      <w:r>
        <w:rPr>
          <w:rFonts w:ascii="宋体" w:hAnsi="宋体" w:eastAsia="宋体" w:cs="宋体"/>
          <w:sz w:val="24"/>
          <w:szCs w:val="24"/>
        </w:rPr>
        <w:t xml:space="preserve"> 二级标准限值，因此，本项目备用发电机尾</w:t>
      </w:r>
      <w:r>
        <w:rPr>
          <w:rFonts w:ascii="宋体" w:hAnsi="宋体" w:eastAsia="宋体" w:cs="宋体"/>
          <w:spacing w:val="-1"/>
          <w:sz w:val="24"/>
          <w:szCs w:val="24"/>
        </w:rPr>
        <w:t>气对周围环境的影响较小。</w:t>
      </w:r>
    </w:p>
    <w:p w14:paraId="483D6AAF">
      <w:pPr>
        <w:pStyle w:val="2"/>
        <w:spacing w:line="304" w:lineRule="auto"/>
      </w:pPr>
    </w:p>
    <w:p w14:paraId="4C7486AE">
      <w:pPr>
        <w:spacing w:before="79" w:line="219" w:lineRule="auto"/>
        <w:ind w:left="7"/>
        <w:outlineLvl w:val="1"/>
        <w:rPr>
          <w:rFonts w:ascii="宋体" w:hAnsi="宋体" w:eastAsia="宋体" w:cs="宋体"/>
          <w:sz w:val="24"/>
          <w:szCs w:val="24"/>
        </w:rPr>
      </w:pPr>
      <w:r>
        <w:rPr>
          <w:rFonts w:ascii="Times New Roman" w:hAnsi="Times New Roman" w:eastAsia="Times New Roman" w:cs="Times New Roman"/>
          <w:b/>
          <w:bCs/>
          <w:spacing w:val="-3"/>
          <w:sz w:val="24"/>
          <w:szCs w:val="24"/>
        </w:rPr>
        <w:t>1.6.4</w:t>
      </w:r>
      <w:r>
        <w:rPr>
          <w:rFonts w:ascii="宋体" w:hAnsi="宋体" w:eastAsia="宋体" w:cs="宋体"/>
          <w:b/>
          <w:bCs/>
          <w:spacing w:val="-3"/>
          <w:sz w:val="24"/>
          <w:szCs w:val="24"/>
        </w:rPr>
        <w:t>运营期声环境影响评价结论</w:t>
      </w:r>
    </w:p>
    <w:p w14:paraId="28445248">
      <w:pPr>
        <w:pStyle w:val="2"/>
        <w:spacing w:line="280" w:lineRule="auto"/>
      </w:pPr>
    </w:p>
    <w:p w14:paraId="22B2E76B">
      <w:pPr>
        <w:spacing w:before="78" w:line="379" w:lineRule="auto"/>
        <w:ind w:left="5" w:right="81" w:firstLine="476"/>
        <w:rPr>
          <w:rFonts w:ascii="宋体" w:hAnsi="宋体" w:eastAsia="宋体" w:cs="宋体"/>
          <w:sz w:val="24"/>
          <w:szCs w:val="24"/>
        </w:rPr>
      </w:pPr>
      <w:r>
        <w:rPr>
          <w:rFonts w:ascii="宋体" w:hAnsi="宋体" w:eastAsia="宋体" w:cs="宋体"/>
          <w:spacing w:val="2"/>
          <w:sz w:val="24"/>
          <w:szCs w:val="24"/>
        </w:rPr>
        <w:t>本项目对各噪声源采取有效的隔声、消声、减震措施，再经自然衰减，对周边</w:t>
      </w:r>
      <w:r>
        <w:rPr>
          <w:rFonts w:ascii="宋体" w:hAnsi="宋体" w:eastAsia="宋体" w:cs="宋体"/>
          <w:spacing w:val="9"/>
          <w:sz w:val="24"/>
          <w:szCs w:val="24"/>
        </w:rPr>
        <w:t xml:space="preserve"> </w:t>
      </w:r>
      <w:r>
        <w:rPr>
          <w:rFonts w:ascii="宋体" w:hAnsi="宋体" w:eastAsia="宋体" w:cs="宋体"/>
          <w:spacing w:val="-2"/>
          <w:sz w:val="24"/>
          <w:szCs w:val="24"/>
        </w:rPr>
        <w:t>声环境影响不明显。</w:t>
      </w:r>
    </w:p>
    <w:p w14:paraId="7B6B71F0">
      <w:pPr>
        <w:spacing w:before="292" w:line="219" w:lineRule="auto"/>
        <w:ind w:left="7"/>
        <w:outlineLvl w:val="1"/>
        <w:rPr>
          <w:rFonts w:ascii="宋体" w:hAnsi="宋体" w:eastAsia="宋体" w:cs="宋体"/>
          <w:sz w:val="24"/>
          <w:szCs w:val="24"/>
        </w:rPr>
      </w:pPr>
      <w:r>
        <w:rPr>
          <w:rFonts w:ascii="Times New Roman" w:hAnsi="Times New Roman" w:eastAsia="Times New Roman" w:cs="Times New Roman"/>
          <w:b/>
          <w:bCs/>
          <w:spacing w:val="-3"/>
          <w:sz w:val="24"/>
          <w:szCs w:val="24"/>
        </w:rPr>
        <w:t>1.6.5</w:t>
      </w:r>
      <w:r>
        <w:rPr>
          <w:rFonts w:ascii="宋体" w:hAnsi="宋体" w:eastAsia="宋体" w:cs="宋体"/>
          <w:b/>
          <w:bCs/>
          <w:spacing w:val="-3"/>
          <w:sz w:val="24"/>
          <w:szCs w:val="24"/>
        </w:rPr>
        <w:t>运营期固废环境影响评价结论</w:t>
      </w:r>
    </w:p>
    <w:p w14:paraId="03587895">
      <w:pPr>
        <w:pStyle w:val="2"/>
        <w:spacing w:line="282" w:lineRule="auto"/>
      </w:pPr>
    </w:p>
    <w:p w14:paraId="7A677DC2">
      <w:pPr>
        <w:spacing w:before="79" w:line="392" w:lineRule="auto"/>
        <w:ind w:left="1" w:right="81" w:firstLine="480"/>
        <w:jc w:val="both"/>
        <w:rPr>
          <w:rFonts w:ascii="宋体" w:hAnsi="宋体" w:eastAsia="宋体" w:cs="宋体"/>
          <w:sz w:val="24"/>
          <w:szCs w:val="24"/>
        </w:rPr>
      </w:pPr>
      <w:r>
        <w:rPr>
          <w:rFonts w:ascii="宋体" w:hAnsi="宋体" w:eastAsia="宋体" w:cs="宋体"/>
          <w:spacing w:val="2"/>
          <w:sz w:val="24"/>
          <w:szCs w:val="24"/>
        </w:rPr>
        <w:t>本项目养殖场的猪只粪便与猪只尿液、猪舍冲洗水一起收集，经异位发酵床好</w:t>
      </w:r>
      <w:r>
        <w:rPr>
          <w:rFonts w:ascii="宋体" w:hAnsi="宋体" w:eastAsia="宋体" w:cs="宋体"/>
          <w:spacing w:val="9"/>
          <w:sz w:val="24"/>
          <w:szCs w:val="24"/>
        </w:rPr>
        <w:t xml:space="preserve"> </w:t>
      </w:r>
      <w:r>
        <w:rPr>
          <w:rFonts w:ascii="宋体" w:hAnsi="宋体" w:eastAsia="宋体" w:cs="宋体"/>
          <w:spacing w:val="2"/>
          <w:sz w:val="24"/>
          <w:szCs w:val="24"/>
        </w:rPr>
        <w:t>氧高温发酵制成有机肥半成品，外售给肥料生产企业进行进一步加工成有机肥。病</w:t>
      </w:r>
      <w:r>
        <w:rPr>
          <w:rFonts w:ascii="宋体" w:hAnsi="宋体" w:eastAsia="宋体" w:cs="宋体"/>
          <w:spacing w:val="5"/>
          <w:sz w:val="24"/>
          <w:szCs w:val="24"/>
        </w:rPr>
        <w:t xml:space="preserve"> </w:t>
      </w:r>
      <w:r>
        <w:rPr>
          <w:rFonts w:ascii="宋体" w:hAnsi="宋体" w:eastAsia="宋体" w:cs="宋体"/>
          <w:spacing w:val="-6"/>
          <w:sz w:val="24"/>
          <w:szCs w:val="24"/>
        </w:rPr>
        <w:t>死猪尸体按《病死及病害动物无害化处理技术规范》（农医发〔</w:t>
      </w:r>
      <w:r>
        <w:rPr>
          <w:rFonts w:ascii="Times New Roman" w:hAnsi="Times New Roman" w:eastAsia="Times New Roman" w:cs="Times New Roman"/>
          <w:spacing w:val="-6"/>
          <w:sz w:val="24"/>
          <w:szCs w:val="24"/>
        </w:rPr>
        <w:t>2017</w:t>
      </w:r>
      <w:r>
        <w:rPr>
          <w:rFonts w:ascii="宋体" w:hAnsi="宋体" w:eastAsia="宋体" w:cs="宋体"/>
          <w:spacing w:val="-6"/>
          <w:sz w:val="24"/>
          <w:szCs w:val="24"/>
        </w:rPr>
        <w:t>〕</w:t>
      </w:r>
      <w:r>
        <w:rPr>
          <w:rFonts w:ascii="Times New Roman" w:hAnsi="Times New Roman" w:eastAsia="Times New Roman" w:cs="Times New Roman"/>
          <w:spacing w:val="-6"/>
          <w:sz w:val="24"/>
          <w:szCs w:val="24"/>
        </w:rPr>
        <w:t>25</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号）和《畜</w:t>
      </w:r>
    </w:p>
    <w:p w14:paraId="69232763">
      <w:pPr>
        <w:spacing w:line="392" w:lineRule="auto"/>
        <w:rPr>
          <w:rFonts w:ascii="宋体" w:hAnsi="宋体" w:eastAsia="宋体" w:cs="宋体"/>
          <w:sz w:val="24"/>
          <w:szCs w:val="24"/>
        </w:rPr>
        <w:sectPr>
          <w:footerReference r:id="rId26" w:type="default"/>
          <w:pgSz w:w="11906" w:h="16839"/>
          <w:pgMar w:top="1431" w:right="1507" w:bottom="1485" w:left="1597" w:header="0" w:footer="1249" w:gutter="0"/>
          <w:cols w:space="720" w:num="1"/>
        </w:sectPr>
      </w:pPr>
    </w:p>
    <w:p w14:paraId="10CB28E3">
      <w:pPr>
        <w:spacing w:before="73" w:line="382" w:lineRule="auto"/>
        <w:ind w:right="63" w:firstLine="1"/>
        <w:jc w:val="both"/>
        <w:rPr>
          <w:rFonts w:ascii="宋体" w:hAnsi="宋体" w:eastAsia="宋体" w:cs="宋体"/>
          <w:sz w:val="24"/>
          <w:szCs w:val="24"/>
        </w:rPr>
      </w:pPr>
      <w:r>
        <w:rPr>
          <w:rFonts w:ascii="宋体" w:hAnsi="宋体" w:eastAsia="宋体" w:cs="宋体"/>
          <w:sz w:val="24"/>
          <w:szCs w:val="24"/>
        </w:rPr>
        <w:t>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）进行填埋处理。生活垃圾设置固</w:t>
      </w:r>
      <w:r>
        <w:rPr>
          <w:rFonts w:ascii="宋体" w:hAnsi="宋体" w:eastAsia="宋体" w:cs="宋体"/>
          <w:spacing w:val="-1"/>
          <w:sz w:val="24"/>
          <w:szCs w:val="24"/>
        </w:rPr>
        <w:t>定的</w:t>
      </w:r>
      <w:r>
        <w:rPr>
          <w:rFonts w:ascii="宋体" w:hAnsi="宋体" w:eastAsia="宋体" w:cs="宋体"/>
          <w:sz w:val="24"/>
          <w:szCs w:val="24"/>
        </w:rPr>
        <w:t xml:space="preserve"> </w:t>
      </w:r>
      <w:r>
        <w:rPr>
          <w:rFonts w:ascii="宋体" w:hAnsi="宋体" w:eastAsia="宋体" w:cs="宋体"/>
          <w:spacing w:val="2"/>
          <w:sz w:val="24"/>
          <w:szCs w:val="24"/>
        </w:rPr>
        <w:t>垃圾堆放点，定期由环卫部门清运处理。疫苗针头等医疗废物设置专用储存容器，</w:t>
      </w:r>
      <w:r>
        <w:rPr>
          <w:rFonts w:ascii="宋体" w:hAnsi="宋体" w:eastAsia="宋体" w:cs="宋体"/>
          <w:spacing w:val="8"/>
          <w:sz w:val="24"/>
          <w:szCs w:val="24"/>
        </w:rPr>
        <w:t xml:space="preserve"> </w:t>
      </w:r>
      <w:r>
        <w:rPr>
          <w:rFonts w:ascii="宋体" w:hAnsi="宋体" w:eastAsia="宋体" w:cs="宋体"/>
          <w:spacing w:val="2"/>
          <w:sz w:val="24"/>
          <w:szCs w:val="24"/>
        </w:rPr>
        <w:t>并存放于医疗废物暂存间，收集到一定数量后交由有资质单位进行安全处置。废包</w:t>
      </w:r>
      <w:r>
        <w:rPr>
          <w:rFonts w:ascii="宋体" w:hAnsi="宋体" w:eastAsia="宋体" w:cs="宋体"/>
          <w:spacing w:val="6"/>
          <w:sz w:val="24"/>
          <w:szCs w:val="24"/>
        </w:rPr>
        <w:t xml:space="preserve"> </w:t>
      </w:r>
      <w:r>
        <w:rPr>
          <w:rFonts w:ascii="宋体" w:hAnsi="宋体" w:eastAsia="宋体" w:cs="宋体"/>
          <w:spacing w:val="2"/>
          <w:sz w:val="24"/>
          <w:szCs w:val="24"/>
        </w:rPr>
        <w:t>装收集后交由供应商处理。经上述处理后，本项目产生固体废物不会对环境造成明</w:t>
      </w:r>
      <w:r>
        <w:rPr>
          <w:rFonts w:ascii="宋体" w:hAnsi="宋体" w:eastAsia="宋体" w:cs="宋体"/>
          <w:spacing w:val="6"/>
          <w:sz w:val="24"/>
          <w:szCs w:val="24"/>
        </w:rPr>
        <w:t xml:space="preserve"> </w:t>
      </w:r>
      <w:r>
        <w:rPr>
          <w:rFonts w:ascii="宋体" w:hAnsi="宋体" w:eastAsia="宋体" w:cs="宋体"/>
          <w:spacing w:val="-2"/>
          <w:sz w:val="24"/>
          <w:szCs w:val="24"/>
        </w:rPr>
        <w:t>显不良影响。</w:t>
      </w:r>
    </w:p>
    <w:p w14:paraId="10C33AB3">
      <w:pPr>
        <w:spacing w:before="297" w:line="219" w:lineRule="auto"/>
        <w:ind w:left="6"/>
        <w:outlineLvl w:val="1"/>
        <w:rPr>
          <w:rFonts w:ascii="宋体" w:hAnsi="宋体" w:eastAsia="宋体" w:cs="宋体"/>
          <w:sz w:val="24"/>
          <w:szCs w:val="24"/>
        </w:rPr>
      </w:pPr>
      <w:r>
        <w:rPr>
          <w:rFonts w:ascii="Times New Roman" w:hAnsi="Times New Roman" w:eastAsia="Times New Roman" w:cs="Times New Roman"/>
          <w:b/>
          <w:bCs/>
          <w:spacing w:val="-3"/>
          <w:sz w:val="24"/>
          <w:szCs w:val="24"/>
        </w:rPr>
        <w:t>1.6.6</w:t>
      </w:r>
      <w:r>
        <w:rPr>
          <w:rFonts w:ascii="宋体" w:hAnsi="宋体" w:eastAsia="宋体" w:cs="宋体"/>
          <w:b/>
          <w:bCs/>
          <w:spacing w:val="-3"/>
          <w:sz w:val="24"/>
          <w:szCs w:val="24"/>
        </w:rPr>
        <w:t>施工期大气环境影响评价结论</w:t>
      </w:r>
    </w:p>
    <w:p w14:paraId="5A162A38">
      <w:pPr>
        <w:pStyle w:val="2"/>
        <w:spacing w:line="247" w:lineRule="auto"/>
      </w:pPr>
    </w:p>
    <w:p w14:paraId="506A544E">
      <w:pPr>
        <w:spacing w:before="78" w:line="378" w:lineRule="auto"/>
        <w:ind w:firstLine="480"/>
        <w:jc w:val="both"/>
        <w:rPr>
          <w:rFonts w:ascii="宋体" w:hAnsi="宋体" w:eastAsia="宋体" w:cs="宋体"/>
          <w:sz w:val="24"/>
          <w:szCs w:val="24"/>
        </w:rPr>
      </w:pPr>
      <w:r>
        <w:rPr>
          <w:rFonts w:ascii="宋体" w:hAnsi="宋体" w:eastAsia="宋体" w:cs="宋体"/>
          <w:spacing w:val="-5"/>
          <w:sz w:val="24"/>
          <w:szCs w:val="24"/>
        </w:rPr>
        <w:t>根据项目工程分析，施工期无组织排放扬尘影响的范围主要集中在</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以内，</w:t>
      </w:r>
      <w:r>
        <w:rPr>
          <w:rFonts w:ascii="宋体" w:hAnsi="宋体" w:eastAsia="宋体" w:cs="宋体"/>
          <w:sz w:val="24"/>
          <w:szCs w:val="24"/>
        </w:rPr>
        <w:t xml:space="preserve"> </w:t>
      </w:r>
      <w:r>
        <w:rPr>
          <w:rFonts w:ascii="宋体" w:hAnsi="宋体" w:eastAsia="宋体" w:cs="宋体"/>
          <w:spacing w:val="3"/>
          <w:sz w:val="24"/>
          <w:szCs w:val="24"/>
        </w:rPr>
        <w:t>本项目场区地势开阔，距离本项目主体工程最近的敏感点为东南侧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w:t>
      </w:r>
      <w:r>
        <w:rPr>
          <w:rFonts w:ascii="宋体" w:hAnsi="宋体" w:eastAsia="宋体" w:cs="宋体"/>
          <w:spacing w:val="14"/>
          <w:sz w:val="24"/>
          <w:szCs w:val="24"/>
        </w:rPr>
        <w:t xml:space="preserve"> </w:t>
      </w:r>
      <w:r>
        <w:rPr>
          <w:rFonts w:ascii="宋体" w:hAnsi="宋体" w:eastAsia="宋体" w:cs="宋体"/>
          <w:spacing w:val="2"/>
          <w:sz w:val="24"/>
          <w:szCs w:val="24"/>
        </w:rPr>
        <w:t>村，在采取洒水降尘等措施后，项目施工扬尘对周围环境的影响很小，且施工期扬</w:t>
      </w:r>
      <w:r>
        <w:rPr>
          <w:rFonts w:ascii="宋体" w:hAnsi="宋体" w:eastAsia="宋体" w:cs="宋体"/>
          <w:spacing w:val="6"/>
          <w:sz w:val="24"/>
          <w:szCs w:val="24"/>
        </w:rPr>
        <w:t xml:space="preserve"> </w:t>
      </w:r>
      <w:r>
        <w:rPr>
          <w:rFonts w:ascii="宋体" w:hAnsi="宋体" w:eastAsia="宋体" w:cs="宋体"/>
          <w:spacing w:val="2"/>
          <w:sz w:val="24"/>
          <w:szCs w:val="24"/>
        </w:rPr>
        <w:t>尘污染是短期影响，会随施工活动的结束而消除。项目机械燃油废气，污染物排放</w:t>
      </w:r>
      <w:r>
        <w:rPr>
          <w:rFonts w:ascii="宋体" w:hAnsi="宋体" w:eastAsia="宋体" w:cs="宋体"/>
          <w:spacing w:val="6"/>
          <w:sz w:val="24"/>
          <w:szCs w:val="24"/>
        </w:rPr>
        <w:t xml:space="preserve"> </w:t>
      </w:r>
      <w:r>
        <w:rPr>
          <w:rFonts w:ascii="宋体" w:hAnsi="宋体" w:eastAsia="宋体" w:cs="宋体"/>
          <w:spacing w:val="2"/>
          <w:sz w:val="24"/>
          <w:szCs w:val="24"/>
        </w:rPr>
        <w:t>量不大，且表现为间歇特征。装修时油漆废气产生量较少，装修阶段的油漆废气排</w:t>
      </w:r>
      <w:r>
        <w:rPr>
          <w:rFonts w:ascii="宋体" w:hAnsi="宋体" w:eastAsia="宋体" w:cs="宋体"/>
          <w:spacing w:val="6"/>
          <w:sz w:val="24"/>
          <w:szCs w:val="24"/>
        </w:rPr>
        <w:t xml:space="preserve"> </w:t>
      </w:r>
      <w:r>
        <w:rPr>
          <w:rFonts w:ascii="宋体" w:hAnsi="宋体" w:eastAsia="宋体" w:cs="宋体"/>
          <w:spacing w:val="2"/>
          <w:sz w:val="24"/>
          <w:szCs w:val="24"/>
        </w:rPr>
        <w:t>放周期短，且作业分散，在装修期间应加强室内的通风换气。建设项目施工期大气</w:t>
      </w:r>
      <w:r>
        <w:rPr>
          <w:rFonts w:ascii="宋体" w:hAnsi="宋体" w:eastAsia="宋体" w:cs="宋体"/>
          <w:spacing w:val="6"/>
          <w:sz w:val="24"/>
          <w:szCs w:val="24"/>
        </w:rPr>
        <w:t xml:space="preserve"> </w:t>
      </w:r>
      <w:r>
        <w:rPr>
          <w:rFonts w:ascii="宋体" w:hAnsi="宋体" w:eastAsia="宋体" w:cs="宋体"/>
          <w:spacing w:val="-1"/>
          <w:sz w:val="24"/>
          <w:szCs w:val="24"/>
        </w:rPr>
        <w:t>污染对评价区域环境空气质量和周围关心点的影响较小。</w:t>
      </w:r>
    </w:p>
    <w:p w14:paraId="16BAB773">
      <w:pPr>
        <w:spacing w:before="314" w:line="219" w:lineRule="auto"/>
        <w:ind w:left="6"/>
        <w:outlineLvl w:val="1"/>
        <w:rPr>
          <w:rFonts w:ascii="宋体" w:hAnsi="宋体" w:eastAsia="宋体" w:cs="宋体"/>
          <w:sz w:val="24"/>
          <w:szCs w:val="24"/>
        </w:rPr>
      </w:pPr>
      <w:r>
        <w:rPr>
          <w:rFonts w:ascii="Times New Roman" w:hAnsi="Times New Roman" w:eastAsia="Times New Roman" w:cs="Times New Roman"/>
          <w:b/>
          <w:bCs/>
          <w:spacing w:val="-3"/>
          <w:sz w:val="24"/>
          <w:szCs w:val="24"/>
        </w:rPr>
        <w:t>1.6.7</w:t>
      </w:r>
      <w:r>
        <w:rPr>
          <w:rFonts w:ascii="宋体" w:hAnsi="宋体" w:eastAsia="宋体" w:cs="宋体"/>
          <w:b/>
          <w:bCs/>
          <w:spacing w:val="-3"/>
          <w:sz w:val="24"/>
          <w:szCs w:val="24"/>
        </w:rPr>
        <w:t>施工期地表水环境影响评价结论</w:t>
      </w:r>
    </w:p>
    <w:p w14:paraId="24CDE9D8">
      <w:pPr>
        <w:pStyle w:val="2"/>
        <w:spacing w:line="283" w:lineRule="auto"/>
      </w:pPr>
    </w:p>
    <w:p w14:paraId="46DCDBE6">
      <w:pPr>
        <w:spacing w:before="78" w:line="377" w:lineRule="auto"/>
        <w:ind w:right="66" w:firstLine="479"/>
        <w:jc w:val="both"/>
        <w:rPr>
          <w:rFonts w:ascii="宋体" w:hAnsi="宋体" w:eastAsia="宋体" w:cs="宋体"/>
          <w:sz w:val="24"/>
          <w:szCs w:val="24"/>
        </w:rPr>
      </w:pPr>
      <w:r>
        <w:rPr>
          <w:rFonts w:ascii="宋体" w:hAnsi="宋体" w:eastAsia="宋体" w:cs="宋体"/>
          <w:spacing w:val="2"/>
          <w:sz w:val="24"/>
          <w:szCs w:val="24"/>
        </w:rPr>
        <w:t>施工期废水通过沟渠收集排入沉淀池进行沉淀等处理，处理后的废水全部回用</w:t>
      </w:r>
      <w:r>
        <w:rPr>
          <w:rFonts w:ascii="宋体" w:hAnsi="宋体" w:eastAsia="宋体" w:cs="宋体"/>
          <w:spacing w:val="11"/>
          <w:sz w:val="24"/>
          <w:szCs w:val="24"/>
        </w:rPr>
        <w:t xml:space="preserve"> </w:t>
      </w:r>
      <w:r>
        <w:rPr>
          <w:rFonts w:ascii="宋体" w:hAnsi="宋体" w:eastAsia="宋体" w:cs="宋体"/>
          <w:spacing w:val="2"/>
          <w:sz w:val="24"/>
          <w:szCs w:val="24"/>
        </w:rPr>
        <w:t>于施工过程和场地洒水抑尘，不外排。本项目施工场区面积较大，施工场地抑尘需</w:t>
      </w:r>
      <w:r>
        <w:rPr>
          <w:rFonts w:ascii="宋体" w:hAnsi="宋体" w:eastAsia="宋体" w:cs="宋体"/>
          <w:spacing w:val="6"/>
          <w:sz w:val="24"/>
          <w:szCs w:val="24"/>
        </w:rPr>
        <w:t xml:space="preserve"> </w:t>
      </w:r>
      <w:r>
        <w:rPr>
          <w:rFonts w:ascii="宋体" w:hAnsi="宋体" w:eastAsia="宋体" w:cs="宋体"/>
          <w:spacing w:val="2"/>
          <w:sz w:val="24"/>
          <w:szCs w:val="24"/>
        </w:rPr>
        <w:t>要消耗大量的水，施工废水、机械车辆清洗废水和施工人员清洁废水等水量较小，</w:t>
      </w:r>
      <w:r>
        <w:rPr>
          <w:rFonts w:ascii="宋体" w:hAnsi="宋体" w:eastAsia="宋体" w:cs="宋体"/>
          <w:spacing w:val="6"/>
          <w:sz w:val="24"/>
          <w:szCs w:val="24"/>
        </w:rPr>
        <w:t xml:space="preserve"> </w:t>
      </w:r>
      <w:r>
        <w:rPr>
          <w:rFonts w:ascii="宋体" w:hAnsi="宋体" w:eastAsia="宋体" w:cs="宋体"/>
          <w:spacing w:val="2"/>
          <w:sz w:val="24"/>
          <w:szCs w:val="24"/>
        </w:rPr>
        <w:t>通过沉淀池沉淀、澄清处理后可全部回用。施工期生活污水经临时化粪池处理后，</w:t>
      </w:r>
      <w:r>
        <w:rPr>
          <w:rFonts w:ascii="宋体" w:hAnsi="宋体" w:eastAsia="宋体" w:cs="宋体"/>
          <w:spacing w:val="6"/>
          <w:sz w:val="24"/>
          <w:szCs w:val="24"/>
        </w:rPr>
        <w:t xml:space="preserve"> </w:t>
      </w:r>
      <w:r>
        <w:rPr>
          <w:rFonts w:ascii="宋体" w:hAnsi="宋体" w:eastAsia="宋体" w:cs="宋体"/>
          <w:sz w:val="24"/>
          <w:szCs w:val="24"/>
        </w:rPr>
        <w:t>用于周边林地灌溉，不外排。项目施工期废水对</w:t>
      </w:r>
      <w:r>
        <w:rPr>
          <w:rFonts w:ascii="宋体" w:hAnsi="宋体" w:eastAsia="宋体" w:cs="宋体"/>
          <w:spacing w:val="-1"/>
          <w:sz w:val="24"/>
          <w:szCs w:val="24"/>
        </w:rPr>
        <w:t>周围水环境的影响不大。</w:t>
      </w:r>
    </w:p>
    <w:p w14:paraId="3829433F">
      <w:pPr>
        <w:spacing w:before="290" w:line="219" w:lineRule="auto"/>
        <w:ind w:left="6"/>
        <w:outlineLvl w:val="1"/>
        <w:rPr>
          <w:rFonts w:ascii="宋体" w:hAnsi="宋体" w:eastAsia="宋体" w:cs="宋体"/>
          <w:sz w:val="24"/>
          <w:szCs w:val="24"/>
        </w:rPr>
      </w:pPr>
      <w:r>
        <w:rPr>
          <w:rFonts w:ascii="Times New Roman" w:hAnsi="Times New Roman" w:eastAsia="Times New Roman" w:cs="Times New Roman"/>
          <w:b/>
          <w:bCs/>
          <w:spacing w:val="-3"/>
          <w:sz w:val="24"/>
          <w:szCs w:val="24"/>
        </w:rPr>
        <w:t>1.6.8</w:t>
      </w:r>
      <w:r>
        <w:rPr>
          <w:rFonts w:ascii="宋体" w:hAnsi="宋体" w:eastAsia="宋体" w:cs="宋体"/>
          <w:b/>
          <w:bCs/>
          <w:spacing w:val="-3"/>
          <w:sz w:val="24"/>
          <w:szCs w:val="24"/>
        </w:rPr>
        <w:t>施工期地下水环境影响评价结论</w:t>
      </w:r>
    </w:p>
    <w:p w14:paraId="751AC5F7">
      <w:pPr>
        <w:pStyle w:val="2"/>
        <w:spacing w:line="283" w:lineRule="auto"/>
      </w:pPr>
    </w:p>
    <w:p w14:paraId="001303DA">
      <w:pPr>
        <w:spacing w:before="78" w:line="377" w:lineRule="auto"/>
        <w:ind w:right="66" w:firstLine="479"/>
        <w:rPr>
          <w:rFonts w:ascii="宋体" w:hAnsi="宋体" w:eastAsia="宋体" w:cs="宋体"/>
          <w:sz w:val="24"/>
          <w:szCs w:val="24"/>
        </w:rPr>
      </w:pPr>
      <w:r>
        <w:rPr>
          <w:rFonts w:ascii="宋体" w:hAnsi="宋体" w:eastAsia="宋体" w:cs="宋体"/>
          <w:spacing w:val="2"/>
          <w:sz w:val="24"/>
          <w:szCs w:val="24"/>
        </w:rPr>
        <w:t>施工期车辆冲洗在地面进行混凝土硬化，产生的废水汇集到沉淀池沉淀，并且</w:t>
      </w:r>
      <w:r>
        <w:rPr>
          <w:rFonts w:ascii="宋体" w:hAnsi="宋体" w:eastAsia="宋体" w:cs="宋体"/>
          <w:spacing w:val="11"/>
          <w:sz w:val="24"/>
          <w:szCs w:val="24"/>
        </w:rPr>
        <w:t xml:space="preserve"> </w:t>
      </w:r>
      <w:r>
        <w:rPr>
          <w:rFonts w:ascii="宋体" w:hAnsi="宋体" w:eastAsia="宋体" w:cs="宋体"/>
          <w:spacing w:val="2"/>
          <w:sz w:val="24"/>
          <w:szCs w:val="24"/>
        </w:rPr>
        <w:t>沉淀后回用，减少污水产生量，同事采用混凝土对沉淀池壁及底面进行硬化，及时</w:t>
      </w:r>
      <w:r>
        <w:rPr>
          <w:rFonts w:ascii="宋体" w:hAnsi="宋体" w:eastAsia="宋体" w:cs="宋体"/>
          <w:spacing w:val="6"/>
          <w:sz w:val="24"/>
          <w:szCs w:val="24"/>
        </w:rPr>
        <w:t xml:space="preserve"> </w:t>
      </w:r>
      <w:r>
        <w:rPr>
          <w:rFonts w:ascii="宋体" w:hAnsi="宋体" w:eastAsia="宋体" w:cs="宋体"/>
          <w:spacing w:val="2"/>
          <w:sz w:val="24"/>
          <w:szCs w:val="24"/>
        </w:rPr>
        <w:t>清运沉淀池内的泥沙。及时对建筑垃圾及生活垃圾进行清运，避免其成为污染源。</w:t>
      </w:r>
      <w:r>
        <w:rPr>
          <w:rFonts w:ascii="宋体" w:hAnsi="宋体" w:eastAsia="宋体" w:cs="宋体"/>
          <w:spacing w:val="6"/>
          <w:sz w:val="24"/>
          <w:szCs w:val="24"/>
        </w:rPr>
        <w:t xml:space="preserve"> </w:t>
      </w:r>
      <w:r>
        <w:rPr>
          <w:rFonts w:ascii="宋体" w:hAnsi="宋体" w:eastAsia="宋体" w:cs="宋体"/>
          <w:spacing w:val="2"/>
          <w:sz w:val="24"/>
          <w:szCs w:val="24"/>
        </w:rPr>
        <w:t>车辆维修点地面进行硬化，滴漏在底面的油污及时进行清理，加强机械设备维护。</w:t>
      </w:r>
      <w:r>
        <w:rPr>
          <w:rFonts w:ascii="宋体" w:hAnsi="宋体" w:eastAsia="宋体" w:cs="宋体"/>
          <w:spacing w:val="6"/>
          <w:sz w:val="24"/>
          <w:szCs w:val="24"/>
        </w:rPr>
        <w:t xml:space="preserve"> </w:t>
      </w:r>
      <w:r>
        <w:rPr>
          <w:rFonts w:ascii="宋体" w:hAnsi="宋体" w:eastAsia="宋体" w:cs="宋体"/>
          <w:spacing w:val="-1"/>
          <w:sz w:val="24"/>
          <w:szCs w:val="24"/>
        </w:rPr>
        <w:t>因此，项目施工期对地下水环境影响不大。</w:t>
      </w:r>
    </w:p>
    <w:p w14:paraId="51884B83">
      <w:pPr>
        <w:spacing w:line="377" w:lineRule="auto"/>
        <w:rPr>
          <w:rFonts w:ascii="宋体" w:hAnsi="宋体" w:eastAsia="宋体" w:cs="宋体"/>
          <w:sz w:val="24"/>
          <w:szCs w:val="24"/>
        </w:rPr>
        <w:sectPr>
          <w:footerReference r:id="rId27" w:type="default"/>
          <w:pgSz w:w="11906" w:h="16839"/>
          <w:pgMar w:top="1431" w:right="1522" w:bottom="1485" w:left="1598" w:header="0" w:footer="1249" w:gutter="0"/>
          <w:cols w:space="720" w:num="1"/>
        </w:sectPr>
      </w:pPr>
    </w:p>
    <w:p w14:paraId="22D7B529">
      <w:pPr>
        <w:spacing w:before="148" w:line="219"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1.6.9</w:t>
      </w:r>
      <w:r>
        <w:rPr>
          <w:rFonts w:ascii="宋体" w:hAnsi="宋体" w:eastAsia="宋体" w:cs="宋体"/>
          <w:b/>
          <w:bCs/>
          <w:spacing w:val="-3"/>
          <w:sz w:val="24"/>
          <w:szCs w:val="24"/>
        </w:rPr>
        <w:t>施工期声环境影响评价结论</w:t>
      </w:r>
    </w:p>
    <w:p w14:paraId="400CA7CD">
      <w:pPr>
        <w:pStyle w:val="2"/>
        <w:spacing w:line="279" w:lineRule="auto"/>
      </w:pPr>
    </w:p>
    <w:p w14:paraId="270F1F09">
      <w:pPr>
        <w:spacing w:before="78" w:line="371" w:lineRule="auto"/>
        <w:ind w:right="101" w:firstLine="480"/>
        <w:jc w:val="both"/>
        <w:rPr>
          <w:rFonts w:ascii="宋体" w:hAnsi="宋体" w:eastAsia="宋体" w:cs="宋体"/>
          <w:sz w:val="24"/>
          <w:szCs w:val="24"/>
        </w:rPr>
      </w:pPr>
      <w:r>
        <w:rPr>
          <w:rFonts w:ascii="宋体" w:hAnsi="宋体" w:eastAsia="宋体" w:cs="宋体"/>
          <w:spacing w:val="2"/>
          <w:sz w:val="24"/>
          <w:szCs w:val="24"/>
        </w:rPr>
        <w:t>施工机械的噪声较高，根据估算，白天施工噪声不能满足《建筑施工场界噪声</w:t>
      </w:r>
      <w:r>
        <w:rPr>
          <w:rFonts w:ascii="宋体" w:hAnsi="宋体" w:eastAsia="宋体" w:cs="宋体"/>
          <w:spacing w:val="11"/>
          <w:sz w:val="24"/>
          <w:szCs w:val="24"/>
        </w:rPr>
        <w:t xml:space="preserve"> </w:t>
      </w:r>
      <w:r>
        <w:rPr>
          <w:rFonts w:ascii="宋体" w:hAnsi="宋体" w:eastAsia="宋体" w:cs="宋体"/>
          <w:spacing w:val="-1"/>
          <w:sz w:val="24"/>
          <w:szCs w:val="24"/>
        </w:rPr>
        <w:t>排放标准限值》（</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 xml:space="preserve">）的点出现在距声源 </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的范围内，夜间项目不</w:t>
      </w:r>
      <w:r>
        <w:rPr>
          <w:rFonts w:ascii="宋体" w:hAnsi="宋体" w:eastAsia="宋体" w:cs="宋体"/>
          <w:sz w:val="24"/>
          <w:szCs w:val="24"/>
        </w:rPr>
        <w:t xml:space="preserve"> </w:t>
      </w:r>
      <w:r>
        <w:rPr>
          <w:rFonts w:ascii="宋体" w:hAnsi="宋体" w:eastAsia="宋体" w:cs="宋体"/>
          <w:spacing w:val="3"/>
          <w:sz w:val="24"/>
          <w:szCs w:val="24"/>
        </w:rPr>
        <w:t>进行施工。距离本项目主体工程最近的敏感点为西北侧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处的龙岗村，距离较</w:t>
      </w:r>
      <w:r>
        <w:rPr>
          <w:rFonts w:ascii="宋体" w:hAnsi="宋体" w:eastAsia="宋体" w:cs="宋体"/>
          <w:spacing w:val="16"/>
          <w:sz w:val="24"/>
          <w:szCs w:val="24"/>
        </w:rPr>
        <w:t xml:space="preserve"> </w:t>
      </w:r>
      <w:r>
        <w:rPr>
          <w:rFonts w:ascii="宋体" w:hAnsi="宋体" w:eastAsia="宋体" w:cs="宋体"/>
          <w:spacing w:val="2"/>
          <w:sz w:val="24"/>
          <w:szCs w:val="24"/>
        </w:rPr>
        <w:t>远，且项目于村民住宅之间为林地，能够一定程度的阻隔噪声，因此评价认为拟建</w:t>
      </w:r>
      <w:r>
        <w:rPr>
          <w:rFonts w:ascii="宋体" w:hAnsi="宋体" w:eastAsia="宋体" w:cs="宋体"/>
          <w:spacing w:val="8"/>
          <w:sz w:val="24"/>
          <w:szCs w:val="24"/>
        </w:rPr>
        <w:t xml:space="preserve"> </w:t>
      </w:r>
      <w:r>
        <w:rPr>
          <w:rFonts w:ascii="宋体" w:hAnsi="宋体" w:eastAsia="宋体" w:cs="宋体"/>
          <w:spacing w:val="2"/>
          <w:sz w:val="24"/>
          <w:szCs w:val="24"/>
        </w:rPr>
        <w:t>工程施工期间，施工噪声对周边声环境的影响可接受，不会发生噪声扰民现象，且</w:t>
      </w:r>
      <w:r>
        <w:rPr>
          <w:rFonts w:ascii="宋体" w:hAnsi="宋体" w:eastAsia="宋体" w:cs="宋体"/>
          <w:spacing w:val="8"/>
          <w:sz w:val="24"/>
          <w:szCs w:val="24"/>
        </w:rPr>
        <w:t xml:space="preserve"> </w:t>
      </w:r>
      <w:r>
        <w:rPr>
          <w:rFonts w:ascii="宋体" w:hAnsi="宋体" w:eastAsia="宋体" w:cs="宋体"/>
          <w:spacing w:val="-1"/>
          <w:sz w:val="24"/>
          <w:szCs w:val="24"/>
        </w:rPr>
        <w:t>随着施工期的结束，噪声的影响也随之结束。</w:t>
      </w:r>
    </w:p>
    <w:p w14:paraId="576D05B8">
      <w:pPr>
        <w:spacing w:before="41" w:line="378" w:lineRule="auto"/>
        <w:ind w:left="2" w:right="104" w:firstLine="480"/>
        <w:jc w:val="both"/>
        <w:rPr>
          <w:rFonts w:ascii="宋体" w:hAnsi="宋体" w:eastAsia="宋体" w:cs="宋体"/>
          <w:sz w:val="24"/>
          <w:szCs w:val="24"/>
        </w:rPr>
      </w:pPr>
      <w:r>
        <w:rPr>
          <w:rFonts w:ascii="宋体" w:hAnsi="宋体" w:eastAsia="宋体" w:cs="宋体"/>
          <w:spacing w:val="2"/>
          <w:sz w:val="24"/>
          <w:szCs w:val="24"/>
        </w:rPr>
        <w:t>本工程建筑物料从厂区附近的乡道输送进场，运输车辆产生的流动噪声可能对</w:t>
      </w:r>
      <w:r>
        <w:rPr>
          <w:rFonts w:ascii="宋体" w:hAnsi="宋体" w:eastAsia="宋体" w:cs="宋体"/>
          <w:spacing w:val="9"/>
          <w:sz w:val="24"/>
          <w:szCs w:val="24"/>
        </w:rPr>
        <w:t xml:space="preserve"> </w:t>
      </w:r>
      <w:r>
        <w:rPr>
          <w:rFonts w:ascii="宋体" w:hAnsi="宋体" w:eastAsia="宋体" w:cs="宋体"/>
          <w:spacing w:val="2"/>
          <w:sz w:val="24"/>
          <w:szCs w:val="24"/>
        </w:rPr>
        <w:t>周围村庄的居民产生影响。评价要求车辆经过村庄时应减速慢行，禁止鸣笛，禁止</w:t>
      </w:r>
      <w:r>
        <w:rPr>
          <w:rFonts w:ascii="宋体" w:hAnsi="宋体" w:eastAsia="宋体" w:cs="宋体"/>
          <w:spacing w:val="5"/>
          <w:sz w:val="24"/>
          <w:szCs w:val="24"/>
        </w:rPr>
        <w:t xml:space="preserve"> </w:t>
      </w:r>
      <w:r>
        <w:rPr>
          <w:rFonts w:ascii="宋体" w:hAnsi="宋体" w:eastAsia="宋体" w:cs="宋体"/>
          <w:spacing w:val="-1"/>
          <w:sz w:val="24"/>
          <w:szCs w:val="24"/>
        </w:rPr>
        <w:t>夜间运输，尽量减少对居民的噪声影响。</w:t>
      </w:r>
    </w:p>
    <w:p w14:paraId="276951E9">
      <w:pPr>
        <w:spacing w:before="291" w:line="219"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1.6.10</w:t>
      </w:r>
      <w:r>
        <w:rPr>
          <w:rFonts w:ascii="宋体" w:hAnsi="宋体" w:eastAsia="宋体" w:cs="宋体"/>
          <w:b/>
          <w:bCs/>
          <w:spacing w:val="-2"/>
          <w:sz w:val="24"/>
          <w:szCs w:val="24"/>
        </w:rPr>
        <w:t>施工期固废环境影响评价结论</w:t>
      </w:r>
    </w:p>
    <w:p w14:paraId="5A1BF639">
      <w:pPr>
        <w:pStyle w:val="2"/>
        <w:spacing w:line="283" w:lineRule="auto"/>
      </w:pPr>
    </w:p>
    <w:p w14:paraId="1DCF5C23">
      <w:pPr>
        <w:spacing w:before="79" w:line="378" w:lineRule="auto"/>
        <w:ind w:right="113" w:firstLine="504"/>
        <w:jc w:val="both"/>
        <w:rPr>
          <w:rFonts w:ascii="宋体" w:hAnsi="宋体" w:eastAsia="宋体" w:cs="宋体"/>
          <w:sz w:val="24"/>
          <w:szCs w:val="24"/>
        </w:rPr>
      </w:pPr>
      <w:r>
        <w:rPr>
          <w:rFonts w:ascii="宋体" w:hAnsi="宋体" w:eastAsia="宋体" w:cs="宋体"/>
          <w:spacing w:val="9"/>
          <w:sz w:val="24"/>
          <w:szCs w:val="24"/>
        </w:rPr>
        <w:t>施工期建筑垃圾部分回收利用，不能回收利</w:t>
      </w:r>
      <w:r>
        <w:rPr>
          <w:rFonts w:ascii="宋体" w:hAnsi="宋体" w:eastAsia="宋体" w:cs="宋体"/>
          <w:spacing w:val="8"/>
          <w:sz w:val="24"/>
          <w:szCs w:val="24"/>
        </w:rPr>
        <w:t>用部分主要为废弃沙石、废包装</w:t>
      </w:r>
      <w:r>
        <w:rPr>
          <w:rFonts w:ascii="宋体" w:hAnsi="宋体" w:eastAsia="宋体" w:cs="宋体"/>
          <w:sz w:val="24"/>
          <w:szCs w:val="24"/>
        </w:rPr>
        <w:t xml:space="preserve"> </w:t>
      </w:r>
      <w:r>
        <w:rPr>
          <w:rFonts w:ascii="宋体" w:hAnsi="宋体" w:eastAsia="宋体" w:cs="宋体"/>
          <w:spacing w:val="9"/>
          <w:sz w:val="24"/>
          <w:szCs w:val="24"/>
        </w:rPr>
        <w:t>等，均不含有毒有害物质，向相关市政管理部门申报，妥善弃置消纳</w:t>
      </w:r>
      <w:r>
        <w:rPr>
          <w:rFonts w:ascii="宋体" w:hAnsi="宋体" w:eastAsia="宋体" w:cs="宋体"/>
          <w:spacing w:val="8"/>
          <w:sz w:val="24"/>
          <w:szCs w:val="24"/>
        </w:rPr>
        <w:t>，防止污染</w:t>
      </w:r>
      <w:r>
        <w:rPr>
          <w:rFonts w:ascii="宋体" w:hAnsi="宋体" w:eastAsia="宋体" w:cs="宋体"/>
          <w:sz w:val="24"/>
          <w:szCs w:val="24"/>
        </w:rPr>
        <w:t xml:space="preserve"> </w:t>
      </w:r>
      <w:r>
        <w:rPr>
          <w:rFonts w:ascii="宋体" w:hAnsi="宋体" w:eastAsia="宋体" w:cs="宋体"/>
          <w:spacing w:val="9"/>
          <w:sz w:val="24"/>
          <w:szCs w:val="24"/>
        </w:rPr>
        <w:t>环境；施工人员生活垃圾集中后运至乡镇垃圾收集点，委托环卫</w:t>
      </w:r>
      <w:r>
        <w:rPr>
          <w:rFonts w:ascii="宋体" w:hAnsi="宋体" w:eastAsia="宋体" w:cs="宋体"/>
          <w:spacing w:val="8"/>
          <w:sz w:val="24"/>
          <w:szCs w:val="24"/>
        </w:rPr>
        <w:t>部门统一清运处</w:t>
      </w:r>
      <w:r>
        <w:rPr>
          <w:rFonts w:ascii="宋体" w:hAnsi="宋体" w:eastAsia="宋体" w:cs="宋体"/>
          <w:sz w:val="24"/>
          <w:szCs w:val="24"/>
        </w:rPr>
        <w:t xml:space="preserve"> </w:t>
      </w:r>
      <w:r>
        <w:rPr>
          <w:rFonts w:ascii="宋体" w:hAnsi="宋体" w:eastAsia="宋体" w:cs="宋体"/>
          <w:spacing w:val="-4"/>
          <w:sz w:val="24"/>
          <w:szCs w:val="24"/>
        </w:rPr>
        <w:t>置。</w:t>
      </w:r>
    </w:p>
    <w:p w14:paraId="01413FB1">
      <w:pPr>
        <w:spacing w:before="285" w:line="219"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1.6.11</w:t>
      </w:r>
      <w:r>
        <w:rPr>
          <w:rFonts w:ascii="宋体" w:hAnsi="宋体" w:eastAsia="宋体" w:cs="宋体"/>
          <w:b/>
          <w:bCs/>
          <w:spacing w:val="-3"/>
          <w:sz w:val="24"/>
          <w:szCs w:val="24"/>
        </w:rPr>
        <w:t>施工期生态环境影响评价结论</w:t>
      </w:r>
    </w:p>
    <w:p w14:paraId="1F44163B">
      <w:pPr>
        <w:pStyle w:val="2"/>
        <w:spacing w:line="281" w:lineRule="auto"/>
      </w:pPr>
    </w:p>
    <w:p w14:paraId="3B150F0B">
      <w:pPr>
        <w:spacing w:before="79" w:line="377" w:lineRule="auto"/>
        <w:ind w:right="104" w:firstLine="484"/>
        <w:jc w:val="both"/>
        <w:rPr>
          <w:rFonts w:ascii="宋体" w:hAnsi="宋体" w:eastAsia="宋体" w:cs="宋体"/>
          <w:sz w:val="24"/>
          <w:szCs w:val="24"/>
        </w:rPr>
      </w:pPr>
      <w:r>
        <w:rPr>
          <w:rFonts w:ascii="宋体" w:hAnsi="宋体" w:eastAsia="宋体" w:cs="宋体"/>
          <w:spacing w:val="2"/>
          <w:sz w:val="24"/>
          <w:szCs w:val="24"/>
        </w:rPr>
        <w:t>项目的施工建设，会对周围的生态环境带来一定的破坏影响，使现有的土地利</w:t>
      </w:r>
      <w:r>
        <w:rPr>
          <w:rFonts w:ascii="宋体" w:hAnsi="宋体" w:eastAsia="宋体" w:cs="宋体"/>
          <w:spacing w:val="6"/>
          <w:sz w:val="24"/>
          <w:szCs w:val="24"/>
        </w:rPr>
        <w:t xml:space="preserve"> </w:t>
      </w:r>
      <w:r>
        <w:rPr>
          <w:rFonts w:ascii="宋体" w:hAnsi="宋体" w:eastAsia="宋体" w:cs="宋体"/>
          <w:spacing w:val="2"/>
          <w:sz w:val="24"/>
          <w:szCs w:val="24"/>
        </w:rPr>
        <w:t>用类型发生变化，许多地表植被会消失，同时各种机械车辆碾压和施工人员的践踏</w:t>
      </w:r>
      <w:r>
        <w:rPr>
          <w:rFonts w:ascii="宋体" w:hAnsi="宋体" w:eastAsia="宋体" w:cs="宋体"/>
          <w:spacing w:val="7"/>
          <w:sz w:val="24"/>
          <w:szCs w:val="24"/>
        </w:rPr>
        <w:t xml:space="preserve"> </w:t>
      </w:r>
      <w:r>
        <w:rPr>
          <w:rFonts w:ascii="宋体" w:hAnsi="宋体" w:eastAsia="宋体" w:cs="宋体"/>
          <w:spacing w:val="2"/>
          <w:sz w:val="24"/>
          <w:szCs w:val="24"/>
        </w:rPr>
        <w:t>及土石的堆放，也会对植被造成较为严重的破坏和影响。随着施工期的进行，用地</w:t>
      </w:r>
      <w:r>
        <w:rPr>
          <w:rFonts w:ascii="宋体" w:hAnsi="宋体" w:eastAsia="宋体" w:cs="宋体"/>
          <w:spacing w:val="7"/>
          <w:sz w:val="24"/>
          <w:szCs w:val="24"/>
        </w:rPr>
        <w:t xml:space="preserve"> </w:t>
      </w:r>
      <w:r>
        <w:rPr>
          <w:rFonts w:ascii="宋体" w:hAnsi="宋体" w:eastAsia="宋体" w:cs="宋体"/>
          <w:spacing w:val="2"/>
          <w:sz w:val="24"/>
          <w:szCs w:val="24"/>
        </w:rPr>
        <w:t>范围内的一些植物种类将会消失，绝大部分的植物种类数量将会大大减少。随着施</w:t>
      </w:r>
      <w:r>
        <w:rPr>
          <w:rFonts w:ascii="宋体" w:hAnsi="宋体" w:eastAsia="宋体" w:cs="宋体"/>
          <w:spacing w:val="7"/>
          <w:sz w:val="24"/>
          <w:szCs w:val="24"/>
        </w:rPr>
        <w:t xml:space="preserve"> </w:t>
      </w:r>
      <w:r>
        <w:rPr>
          <w:rFonts w:ascii="宋体" w:hAnsi="宋体" w:eastAsia="宋体" w:cs="宋体"/>
          <w:spacing w:val="2"/>
          <w:sz w:val="24"/>
          <w:szCs w:val="24"/>
        </w:rPr>
        <w:t>工期的建设，经过绿化建设，植被会得到逐步恢复。因此，项目施工期对周围生态</w:t>
      </w:r>
      <w:r>
        <w:rPr>
          <w:rFonts w:ascii="宋体" w:hAnsi="宋体" w:eastAsia="宋体" w:cs="宋体"/>
          <w:spacing w:val="7"/>
          <w:sz w:val="24"/>
          <w:szCs w:val="24"/>
        </w:rPr>
        <w:t xml:space="preserve"> </w:t>
      </w:r>
      <w:r>
        <w:rPr>
          <w:rFonts w:ascii="宋体" w:hAnsi="宋体" w:eastAsia="宋体" w:cs="宋体"/>
          <w:spacing w:val="-2"/>
          <w:sz w:val="24"/>
          <w:szCs w:val="24"/>
        </w:rPr>
        <w:t>环境影响较小。</w:t>
      </w:r>
    </w:p>
    <w:p w14:paraId="1B32AA05">
      <w:pPr>
        <w:spacing w:before="291" w:line="219"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1.6.12</w:t>
      </w:r>
      <w:r>
        <w:rPr>
          <w:rFonts w:ascii="宋体" w:hAnsi="宋体" w:eastAsia="宋体" w:cs="宋体"/>
          <w:b/>
          <w:bCs/>
          <w:spacing w:val="-3"/>
          <w:sz w:val="24"/>
          <w:szCs w:val="24"/>
        </w:rPr>
        <w:t>环境影响评价总结论</w:t>
      </w:r>
    </w:p>
    <w:p w14:paraId="35C76F57">
      <w:pPr>
        <w:spacing w:before="273" w:line="368" w:lineRule="auto"/>
        <w:ind w:left="21" w:firstLine="461"/>
        <w:rPr>
          <w:rFonts w:ascii="宋体" w:hAnsi="宋体" w:eastAsia="宋体" w:cs="宋体"/>
          <w:sz w:val="24"/>
          <w:szCs w:val="24"/>
        </w:rPr>
      </w:pPr>
      <w:r>
        <w:rPr>
          <w:rFonts w:ascii="宋体" w:hAnsi="宋体" w:eastAsia="宋体" w:cs="宋体"/>
          <w:spacing w:val="2"/>
          <w:sz w:val="24"/>
          <w:szCs w:val="24"/>
        </w:rPr>
        <w:t>本项目选址基本合理，项目建设性质、规模，所采用的生产工艺符合产业政策</w:t>
      </w:r>
      <w:r>
        <w:rPr>
          <w:rFonts w:ascii="宋体" w:hAnsi="宋体" w:eastAsia="宋体" w:cs="宋体"/>
          <w:spacing w:val="3"/>
          <w:sz w:val="24"/>
          <w:szCs w:val="24"/>
        </w:rPr>
        <w:t xml:space="preserve">  </w:t>
      </w:r>
      <w:r>
        <w:rPr>
          <w:rFonts w:ascii="宋体" w:hAnsi="宋体" w:eastAsia="宋体" w:cs="宋体"/>
          <w:spacing w:val="-10"/>
          <w:sz w:val="24"/>
          <w:szCs w:val="24"/>
        </w:rPr>
        <w:t>的要求，拟采取的污染防治措施符合《畜禽养殖业污染防治技术规范》（</w:t>
      </w:r>
      <w:r>
        <w:rPr>
          <w:rFonts w:ascii="Times New Roman" w:hAnsi="Times New Roman" w:eastAsia="Times New Roman" w:cs="Times New Roman"/>
          <w:spacing w:val="-10"/>
          <w:sz w:val="24"/>
          <w:szCs w:val="24"/>
        </w:rPr>
        <w:t xml:space="preserve">HJ/T </w:t>
      </w:r>
      <w:r>
        <w:rPr>
          <w:rFonts w:ascii="Times New Roman" w:hAnsi="Times New Roman" w:eastAsia="Times New Roman" w:cs="Times New Roman"/>
          <w:spacing w:val="-11"/>
          <w:sz w:val="24"/>
          <w:szCs w:val="24"/>
        </w:rPr>
        <w:t>81-2001</w:t>
      </w:r>
      <w:r>
        <w:rPr>
          <w:rFonts w:ascii="宋体" w:hAnsi="宋体" w:eastAsia="宋体" w:cs="宋体"/>
          <w:spacing w:val="-11"/>
          <w:sz w:val="24"/>
          <w:szCs w:val="24"/>
        </w:rPr>
        <w:t>）</w:t>
      </w:r>
    </w:p>
    <w:p w14:paraId="2AEC6401">
      <w:pPr>
        <w:spacing w:line="368" w:lineRule="auto"/>
        <w:rPr>
          <w:rFonts w:ascii="宋体" w:hAnsi="宋体" w:eastAsia="宋体" w:cs="宋体"/>
          <w:sz w:val="24"/>
          <w:szCs w:val="24"/>
        </w:rPr>
        <w:sectPr>
          <w:footerReference r:id="rId28" w:type="default"/>
          <w:pgSz w:w="11906" w:h="16839"/>
          <w:pgMar w:top="1431" w:right="1484" w:bottom="1485" w:left="1596" w:header="0" w:footer="1249" w:gutter="0"/>
          <w:cols w:space="720" w:num="1"/>
        </w:sectPr>
      </w:pPr>
    </w:p>
    <w:p w14:paraId="06F66A7F">
      <w:pPr>
        <w:spacing w:before="62" w:line="361" w:lineRule="exact"/>
        <w:rPr>
          <w:rFonts w:ascii="宋体" w:hAnsi="宋体" w:eastAsia="宋体" w:cs="宋体"/>
          <w:sz w:val="24"/>
          <w:szCs w:val="24"/>
        </w:rPr>
      </w:pPr>
      <w:r>
        <w:rPr>
          <w:rFonts w:ascii="宋体" w:hAnsi="宋体" w:eastAsia="宋体" w:cs="宋体"/>
          <w:spacing w:val="-1"/>
          <w:position w:val="2"/>
          <w:sz w:val="24"/>
          <w:szCs w:val="24"/>
        </w:rPr>
        <w:t>和《粪便无害化卫生标准》（</w:t>
      </w:r>
      <w:r>
        <w:rPr>
          <w:rFonts w:ascii="Times New Roman" w:hAnsi="Times New Roman" w:eastAsia="Times New Roman" w:cs="Times New Roman"/>
          <w:spacing w:val="-1"/>
          <w:position w:val="2"/>
          <w:sz w:val="24"/>
          <w:szCs w:val="24"/>
        </w:rPr>
        <w:t>GB7959-87</w:t>
      </w:r>
      <w:r>
        <w:rPr>
          <w:rFonts w:ascii="宋体" w:hAnsi="宋体" w:eastAsia="宋体" w:cs="宋体"/>
          <w:spacing w:val="-1"/>
          <w:position w:val="2"/>
          <w:sz w:val="24"/>
          <w:szCs w:val="24"/>
        </w:rPr>
        <w:t>）的要求。</w:t>
      </w:r>
    </w:p>
    <w:p w14:paraId="5619248F">
      <w:pPr>
        <w:spacing w:before="139" w:line="360" w:lineRule="auto"/>
        <w:ind w:firstLine="481"/>
        <w:jc w:val="both"/>
        <w:rPr>
          <w:rFonts w:ascii="宋体" w:hAnsi="宋体" w:eastAsia="宋体" w:cs="宋体"/>
          <w:sz w:val="24"/>
          <w:szCs w:val="24"/>
        </w:rPr>
      </w:pPr>
      <w:r>
        <w:rPr>
          <w:rFonts w:ascii="宋体" w:hAnsi="宋体" w:eastAsia="宋体" w:cs="宋体"/>
          <w:spacing w:val="1"/>
          <w:sz w:val="24"/>
          <w:szCs w:val="24"/>
        </w:rPr>
        <w:t>建设单位必须严格遵守“三同时</w:t>
      </w:r>
      <w:r>
        <w:rPr>
          <w:rFonts w:ascii="宋体" w:hAnsi="宋体" w:eastAsia="宋体" w:cs="宋体"/>
          <w:spacing w:val="-82"/>
          <w:sz w:val="24"/>
          <w:szCs w:val="24"/>
        </w:rPr>
        <w:t xml:space="preserve"> </w:t>
      </w:r>
      <w:r>
        <w:rPr>
          <w:rFonts w:ascii="宋体" w:hAnsi="宋体" w:eastAsia="宋体" w:cs="宋体"/>
          <w:spacing w:val="1"/>
          <w:sz w:val="24"/>
          <w:szCs w:val="24"/>
        </w:rPr>
        <w:t>”的管理规定，完成各项报建手续，确实保证</w:t>
      </w:r>
      <w:r>
        <w:rPr>
          <w:rFonts w:ascii="宋体" w:hAnsi="宋体" w:eastAsia="宋体" w:cs="宋体"/>
          <w:sz w:val="24"/>
          <w:szCs w:val="24"/>
        </w:rPr>
        <w:t xml:space="preserve"> </w:t>
      </w:r>
      <w:r>
        <w:rPr>
          <w:rFonts w:ascii="宋体" w:hAnsi="宋体" w:eastAsia="宋体" w:cs="宋体"/>
          <w:spacing w:val="2"/>
          <w:sz w:val="24"/>
          <w:szCs w:val="24"/>
        </w:rPr>
        <w:t>本报告提出的各项环保措施的落实，并尽一切可能确保本项目所在区域的环境质量</w:t>
      </w:r>
      <w:r>
        <w:rPr>
          <w:rFonts w:ascii="宋体" w:hAnsi="宋体" w:eastAsia="宋体" w:cs="宋体"/>
          <w:spacing w:val="5"/>
          <w:sz w:val="24"/>
          <w:szCs w:val="24"/>
        </w:rPr>
        <w:t xml:space="preserve"> </w:t>
      </w:r>
      <w:r>
        <w:rPr>
          <w:rFonts w:ascii="宋体" w:hAnsi="宋体" w:eastAsia="宋体" w:cs="宋体"/>
          <w:spacing w:val="2"/>
          <w:sz w:val="24"/>
          <w:szCs w:val="24"/>
        </w:rPr>
        <w:t>不因本项目的建设而受到不良影响，真正实现环境保护与经济建设的可持续协调发</w:t>
      </w:r>
      <w:r>
        <w:rPr>
          <w:rFonts w:ascii="宋体" w:hAnsi="宋体" w:eastAsia="宋体" w:cs="宋体"/>
          <w:spacing w:val="5"/>
          <w:sz w:val="24"/>
          <w:szCs w:val="24"/>
        </w:rPr>
        <w:t xml:space="preserve"> </w:t>
      </w:r>
      <w:r>
        <w:rPr>
          <w:rFonts w:ascii="宋体" w:hAnsi="宋体" w:eastAsia="宋体" w:cs="宋体"/>
          <w:spacing w:val="2"/>
          <w:sz w:val="24"/>
          <w:szCs w:val="24"/>
        </w:rPr>
        <w:t>展。项目建成后，须经过环境保护主管部门验收合格后方可投入使用，在投入使用</w:t>
      </w:r>
      <w:r>
        <w:rPr>
          <w:rFonts w:ascii="宋体" w:hAnsi="宋体" w:eastAsia="宋体" w:cs="宋体"/>
          <w:spacing w:val="5"/>
          <w:sz w:val="24"/>
          <w:szCs w:val="24"/>
        </w:rPr>
        <w:t xml:space="preserve"> </w:t>
      </w:r>
      <w:r>
        <w:rPr>
          <w:rFonts w:ascii="宋体" w:hAnsi="宋体" w:eastAsia="宋体" w:cs="宋体"/>
          <w:spacing w:val="2"/>
          <w:sz w:val="24"/>
          <w:szCs w:val="24"/>
        </w:rPr>
        <w:t>后，应加强对设备的维修保养，确保环保设施的正常运转。在达到本报告所提出的</w:t>
      </w:r>
      <w:r>
        <w:rPr>
          <w:rFonts w:ascii="宋体" w:hAnsi="宋体" w:eastAsia="宋体" w:cs="宋体"/>
          <w:spacing w:val="5"/>
          <w:sz w:val="24"/>
          <w:szCs w:val="24"/>
        </w:rPr>
        <w:t xml:space="preserve"> </w:t>
      </w:r>
      <w:r>
        <w:rPr>
          <w:rFonts w:ascii="宋体" w:hAnsi="宋体" w:eastAsia="宋体" w:cs="宋体"/>
          <w:spacing w:val="-1"/>
          <w:sz w:val="24"/>
          <w:szCs w:val="24"/>
        </w:rPr>
        <w:t>各项要求后，该项目对周围环境将不会产生明显的不利影响。</w:t>
      </w:r>
    </w:p>
    <w:p w14:paraId="49D9E8B2">
      <w:pPr>
        <w:spacing w:before="85" w:line="219" w:lineRule="auto"/>
        <w:ind w:left="481"/>
        <w:rPr>
          <w:rFonts w:ascii="宋体" w:hAnsi="宋体" w:eastAsia="宋体" w:cs="宋体"/>
          <w:sz w:val="24"/>
          <w:szCs w:val="24"/>
        </w:rPr>
      </w:pPr>
      <w:r>
        <w:rPr>
          <w:rFonts w:ascii="宋体" w:hAnsi="宋体" w:eastAsia="宋体" w:cs="宋体"/>
          <w:spacing w:val="-1"/>
          <w:sz w:val="24"/>
          <w:szCs w:val="24"/>
        </w:rPr>
        <w:t>从环保的角度看，该项目的建设是可行的。</w:t>
      </w:r>
    </w:p>
    <w:p w14:paraId="2125FD6D">
      <w:pPr>
        <w:spacing w:line="219" w:lineRule="auto"/>
        <w:rPr>
          <w:rFonts w:ascii="宋体" w:hAnsi="宋体" w:eastAsia="宋体" w:cs="宋体"/>
          <w:sz w:val="24"/>
          <w:szCs w:val="24"/>
        </w:rPr>
        <w:sectPr>
          <w:footerReference r:id="rId29" w:type="default"/>
          <w:pgSz w:w="11906" w:h="16839"/>
          <w:pgMar w:top="1354" w:right="1588" w:bottom="1485" w:left="1599" w:header="0" w:footer="1249" w:gutter="0"/>
          <w:cols w:space="720" w:num="1"/>
        </w:sectPr>
      </w:pPr>
    </w:p>
    <w:p w14:paraId="1B7DC65F">
      <w:pPr>
        <w:spacing w:before="115" w:line="637" w:lineRule="exact"/>
        <w:ind w:left="3830"/>
        <w:outlineLvl w:val="0"/>
        <w:rPr>
          <w:rFonts w:ascii="黑体" w:hAnsi="黑体" w:eastAsia="黑体" w:cs="黑体"/>
          <w:sz w:val="43"/>
          <w:szCs w:val="43"/>
        </w:rPr>
      </w:pPr>
      <w:bookmarkStart w:id="8" w:name="bookmark9"/>
      <w:bookmarkEnd w:id="8"/>
      <w:bookmarkStart w:id="9" w:name="bookmark8"/>
      <w:bookmarkEnd w:id="9"/>
      <w:r>
        <w:rPr>
          <w:rFonts w:ascii="Calibri" w:hAnsi="Calibri" w:eastAsia="Calibri" w:cs="Calibri"/>
          <w:spacing w:val="-1"/>
          <w:position w:val="4"/>
          <w:sz w:val="43"/>
          <w:szCs w:val="43"/>
        </w:rPr>
        <w:t>2</w:t>
      </w:r>
      <w:r>
        <w:rPr>
          <w:rFonts w:ascii="黑体" w:hAnsi="黑体" w:eastAsia="黑体" w:cs="黑体"/>
          <w:spacing w:val="-1"/>
          <w:position w:val="4"/>
          <w:sz w:val="43"/>
          <w:szCs w:val="43"/>
        </w:rPr>
        <w:t>总则</w:t>
      </w:r>
    </w:p>
    <w:p w14:paraId="5E1CE98D">
      <w:pPr>
        <w:pStyle w:val="2"/>
        <w:spacing w:line="413" w:lineRule="auto"/>
      </w:pPr>
    </w:p>
    <w:p w14:paraId="06BA983B">
      <w:pPr>
        <w:spacing w:before="101" w:line="225" w:lineRule="auto"/>
        <w:ind w:left="2"/>
        <w:outlineLvl w:val="1"/>
        <w:rPr>
          <w:rFonts w:ascii="宋体" w:hAnsi="宋体" w:eastAsia="宋体" w:cs="宋体"/>
          <w:sz w:val="31"/>
          <w:szCs w:val="31"/>
        </w:rPr>
      </w:pPr>
      <w:bookmarkStart w:id="10" w:name="bookmark58"/>
      <w:bookmarkEnd w:id="10"/>
      <w:r>
        <w:rPr>
          <w:rFonts w:ascii="Times New Roman" w:hAnsi="Times New Roman" w:eastAsia="Times New Roman" w:cs="Times New Roman"/>
          <w:b/>
          <w:bCs/>
          <w:spacing w:val="4"/>
          <w:sz w:val="31"/>
          <w:szCs w:val="31"/>
        </w:rPr>
        <w:t>2.1</w:t>
      </w:r>
      <w:r>
        <w:rPr>
          <w:rFonts w:ascii="宋体" w:hAnsi="宋体" w:eastAsia="宋体" w:cs="宋体"/>
          <w:b/>
          <w:bCs/>
          <w:spacing w:val="4"/>
          <w:sz w:val="31"/>
          <w:szCs w:val="31"/>
        </w:rPr>
        <w:t>编制依据</w:t>
      </w:r>
    </w:p>
    <w:p w14:paraId="656CDCBE">
      <w:pPr>
        <w:pStyle w:val="2"/>
        <w:spacing w:line="411" w:lineRule="auto"/>
      </w:pPr>
    </w:p>
    <w:p w14:paraId="06C5CDB4">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2.1.1</w:t>
      </w:r>
      <w:r>
        <w:rPr>
          <w:rFonts w:ascii="宋体" w:hAnsi="宋体" w:eastAsia="宋体" w:cs="宋体"/>
          <w:b/>
          <w:bCs/>
          <w:spacing w:val="-2"/>
          <w:sz w:val="24"/>
          <w:szCs w:val="24"/>
        </w:rPr>
        <w:t>国家法律、法规及相关政策</w:t>
      </w:r>
    </w:p>
    <w:p w14:paraId="1CC35513">
      <w:pPr>
        <w:spacing w:before="165" w:line="359" w:lineRule="exact"/>
        <w:ind w:left="495"/>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1</w:t>
      </w:r>
      <w:r>
        <w:rPr>
          <w:rFonts w:ascii="宋体" w:hAnsi="宋体" w:eastAsia="宋体" w:cs="宋体"/>
          <w:spacing w:val="-4"/>
          <w:position w:val="2"/>
          <w:sz w:val="24"/>
          <w:szCs w:val="24"/>
        </w:rPr>
        <w:t>）《中华人民共和国环境影响评价法》（</w:t>
      </w:r>
      <w:r>
        <w:rPr>
          <w:rFonts w:ascii="Times New Roman" w:hAnsi="Times New Roman" w:eastAsia="Times New Roman" w:cs="Times New Roman"/>
          <w:spacing w:val="-4"/>
          <w:position w:val="2"/>
          <w:sz w:val="24"/>
          <w:szCs w:val="24"/>
        </w:rPr>
        <w:t xml:space="preserve">2018 </w:t>
      </w:r>
      <w:r>
        <w:rPr>
          <w:rFonts w:ascii="宋体" w:hAnsi="宋体" w:eastAsia="宋体" w:cs="宋体"/>
          <w:spacing w:val="-4"/>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4"/>
          <w:position w:val="2"/>
          <w:sz w:val="24"/>
          <w:szCs w:val="24"/>
        </w:rPr>
        <w:t>12</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 xml:space="preserve">29  </w:t>
      </w:r>
      <w:r>
        <w:rPr>
          <w:rFonts w:ascii="宋体" w:hAnsi="宋体" w:eastAsia="宋体" w:cs="宋体"/>
          <w:spacing w:val="-4"/>
          <w:position w:val="2"/>
          <w:sz w:val="24"/>
          <w:szCs w:val="24"/>
        </w:rPr>
        <w:t>日修订</w:t>
      </w:r>
      <w:r>
        <w:rPr>
          <w:rFonts w:ascii="宋体" w:hAnsi="宋体" w:eastAsia="宋体" w:cs="宋体"/>
          <w:spacing w:val="6"/>
          <w:position w:val="2"/>
          <w:sz w:val="24"/>
          <w:szCs w:val="24"/>
        </w:rPr>
        <w:t>）；</w:t>
      </w:r>
    </w:p>
    <w:p w14:paraId="2523E00A">
      <w:pPr>
        <w:spacing w:before="131" w:line="312" w:lineRule="auto"/>
        <w:ind w:left="45" w:right="104" w:firstLine="45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）《中华人民共和国环境保护法》（</w:t>
      </w:r>
      <w:r>
        <w:rPr>
          <w:rFonts w:ascii="Times New Roman" w:hAnsi="Times New Roman" w:eastAsia="Times New Roman" w:cs="Times New Roman"/>
          <w:spacing w:val="-4"/>
          <w:sz w:val="24"/>
          <w:szCs w:val="24"/>
        </w:rPr>
        <w:t xml:space="preserve">2014 </w:t>
      </w:r>
      <w:r>
        <w:rPr>
          <w:rFonts w:ascii="宋体" w:hAnsi="宋体" w:eastAsia="宋体" w:cs="宋体"/>
          <w:spacing w:val="-4"/>
          <w:sz w:val="24"/>
          <w:szCs w:val="24"/>
        </w:rPr>
        <w:t>年</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24  </w:t>
      </w:r>
      <w:r>
        <w:rPr>
          <w:rFonts w:ascii="宋体" w:hAnsi="宋体" w:eastAsia="宋体" w:cs="宋体"/>
          <w:spacing w:val="-4"/>
          <w:sz w:val="24"/>
          <w:szCs w:val="24"/>
        </w:rPr>
        <w:t>日修订，</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5"/>
          <w:sz w:val="24"/>
          <w:szCs w:val="24"/>
        </w:rPr>
        <w:t xml:space="preserve">15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7"/>
          <w:sz w:val="24"/>
          <w:szCs w:val="24"/>
        </w:rPr>
        <w:t>日施行</w:t>
      </w:r>
      <w:r>
        <w:rPr>
          <w:rFonts w:ascii="宋体" w:hAnsi="宋体" w:eastAsia="宋体" w:cs="宋体"/>
          <w:sz w:val="24"/>
          <w:szCs w:val="24"/>
        </w:rPr>
        <w:t>）；</w:t>
      </w:r>
    </w:p>
    <w:p w14:paraId="52B4CD1F">
      <w:pPr>
        <w:spacing w:before="165" w:line="358" w:lineRule="exact"/>
        <w:ind w:left="495"/>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）《建设项目环境影响评价分类管理名录》（部令第</w:t>
      </w:r>
      <w:r>
        <w:rPr>
          <w:rFonts w:ascii="宋体" w:hAnsi="宋体" w:eastAsia="宋体" w:cs="宋体"/>
          <w:spacing w:val="-31"/>
          <w:position w:val="2"/>
          <w:sz w:val="24"/>
          <w:szCs w:val="24"/>
        </w:rPr>
        <w:t xml:space="preserve"> </w:t>
      </w:r>
      <w:r>
        <w:rPr>
          <w:rFonts w:ascii="Times New Roman" w:hAnsi="Times New Roman" w:eastAsia="Times New Roman" w:cs="Times New Roman"/>
          <w:spacing w:val="-3"/>
          <w:position w:val="2"/>
          <w:sz w:val="24"/>
          <w:szCs w:val="24"/>
        </w:rPr>
        <w:t>16</w:t>
      </w:r>
      <w:r>
        <w:rPr>
          <w:rFonts w:ascii="Times New Roman" w:hAnsi="Times New Roman" w:eastAsia="Times New Roman" w:cs="Times New Roman"/>
          <w:spacing w:val="15"/>
          <w:position w:val="2"/>
          <w:sz w:val="24"/>
          <w:szCs w:val="24"/>
        </w:rPr>
        <w:t xml:space="preserve"> </w:t>
      </w:r>
      <w:r>
        <w:rPr>
          <w:rFonts w:ascii="宋体" w:hAnsi="宋体" w:eastAsia="宋体" w:cs="宋体"/>
          <w:spacing w:val="-3"/>
          <w:position w:val="2"/>
          <w:sz w:val="24"/>
          <w:szCs w:val="24"/>
        </w:rPr>
        <w:t>号</w:t>
      </w:r>
      <w:r>
        <w:rPr>
          <w:rFonts w:ascii="宋体" w:hAnsi="宋体" w:eastAsia="宋体" w:cs="宋体"/>
          <w:spacing w:val="9"/>
          <w:position w:val="2"/>
          <w:sz w:val="24"/>
          <w:szCs w:val="24"/>
        </w:rPr>
        <w:t>）；</w:t>
      </w:r>
    </w:p>
    <w:p w14:paraId="143A0C13">
      <w:pPr>
        <w:spacing w:before="131" w:line="359" w:lineRule="exact"/>
        <w:ind w:left="495"/>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4</w:t>
      </w:r>
      <w:r>
        <w:rPr>
          <w:rFonts w:ascii="宋体" w:hAnsi="宋体" w:eastAsia="宋体" w:cs="宋体"/>
          <w:spacing w:val="-4"/>
          <w:position w:val="2"/>
          <w:sz w:val="24"/>
          <w:szCs w:val="24"/>
        </w:rPr>
        <w:t>）《中华人民共和国清洁生产促进法》（</w:t>
      </w:r>
      <w:r>
        <w:rPr>
          <w:rFonts w:ascii="Times New Roman" w:hAnsi="Times New Roman" w:eastAsia="Times New Roman" w:cs="Times New Roman"/>
          <w:spacing w:val="-4"/>
          <w:position w:val="2"/>
          <w:sz w:val="24"/>
          <w:szCs w:val="24"/>
        </w:rPr>
        <w:t xml:space="preserve">2012 </w:t>
      </w:r>
      <w:r>
        <w:rPr>
          <w:rFonts w:ascii="宋体" w:hAnsi="宋体" w:eastAsia="宋体" w:cs="宋体"/>
          <w:spacing w:val="-4"/>
          <w:position w:val="2"/>
          <w:sz w:val="24"/>
          <w:szCs w:val="24"/>
        </w:rPr>
        <w:t>年</w:t>
      </w:r>
      <w:r>
        <w:rPr>
          <w:rFonts w:ascii="宋体" w:hAnsi="宋体" w:eastAsia="宋体" w:cs="宋体"/>
          <w:spacing w:val="-52"/>
          <w:position w:val="2"/>
          <w:sz w:val="24"/>
          <w:szCs w:val="24"/>
        </w:rPr>
        <w:t xml:space="preserve"> </w:t>
      </w:r>
      <w:r>
        <w:rPr>
          <w:rFonts w:ascii="Times New Roman" w:hAnsi="Times New Roman" w:eastAsia="Times New Roman" w:cs="Times New Roman"/>
          <w:spacing w:val="-4"/>
          <w:position w:val="2"/>
          <w:sz w:val="24"/>
          <w:szCs w:val="24"/>
        </w:rPr>
        <w:t>7</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 xml:space="preserve">1  </w:t>
      </w:r>
      <w:r>
        <w:rPr>
          <w:rFonts w:ascii="宋体" w:hAnsi="宋体" w:eastAsia="宋体" w:cs="宋体"/>
          <w:spacing w:val="-4"/>
          <w:position w:val="2"/>
          <w:sz w:val="24"/>
          <w:szCs w:val="24"/>
        </w:rPr>
        <w:t>日施行</w:t>
      </w:r>
      <w:r>
        <w:rPr>
          <w:rFonts w:ascii="宋体" w:hAnsi="宋体" w:eastAsia="宋体" w:cs="宋体"/>
          <w:spacing w:val="1"/>
          <w:position w:val="2"/>
          <w:sz w:val="24"/>
          <w:szCs w:val="24"/>
        </w:rPr>
        <w:t>）；</w:t>
      </w:r>
    </w:p>
    <w:p w14:paraId="1D230C57">
      <w:pPr>
        <w:spacing w:before="131" w:line="359"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5</w:t>
      </w:r>
      <w:r>
        <w:rPr>
          <w:rFonts w:ascii="宋体" w:hAnsi="宋体" w:eastAsia="宋体" w:cs="宋体"/>
          <w:spacing w:val="-2"/>
          <w:position w:val="2"/>
          <w:sz w:val="24"/>
          <w:szCs w:val="24"/>
        </w:rPr>
        <w:t>）《中华人民共和国循环经济促进法》（</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2"/>
          <w:position w:val="2"/>
          <w:sz w:val="24"/>
          <w:szCs w:val="24"/>
        </w:rPr>
        <w:t>10</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月</w:t>
      </w:r>
      <w:r>
        <w:rPr>
          <w:rFonts w:ascii="Times New Roman" w:hAnsi="Times New Roman" w:eastAsia="Times New Roman" w:cs="Times New Roman"/>
          <w:spacing w:val="-2"/>
          <w:position w:val="2"/>
          <w:sz w:val="24"/>
          <w:szCs w:val="24"/>
        </w:rPr>
        <w:t xml:space="preserve">26  </w:t>
      </w:r>
      <w:r>
        <w:rPr>
          <w:rFonts w:ascii="宋体" w:hAnsi="宋体" w:eastAsia="宋体" w:cs="宋体"/>
          <w:spacing w:val="-2"/>
          <w:position w:val="2"/>
          <w:sz w:val="24"/>
          <w:szCs w:val="24"/>
        </w:rPr>
        <w:t>日修正</w:t>
      </w:r>
      <w:r>
        <w:rPr>
          <w:rFonts w:ascii="宋体" w:hAnsi="宋体" w:eastAsia="宋体" w:cs="宋体"/>
          <w:spacing w:val="3"/>
          <w:position w:val="2"/>
          <w:sz w:val="24"/>
          <w:szCs w:val="24"/>
        </w:rPr>
        <w:t>）；</w:t>
      </w:r>
    </w:p>
    <w:p w14:paraId="6B219F5D">
      <w:pPr>
        <w:spacing w:before="130" w:line="361" w:lineRule="exact"/>
        <w:ind w:left="495"/>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6</w:t>
      </w:r>
      <w:r>
        <w:rPr>
          <w:rFonts w:ascii="宋体" w:hAnsi="宋体" w:eastAsia="宋体" w:cs="宋体"/>
          <w:spacing w:val="-4"/>
          <w:position w:val="2"/>
          <w:sz w:val="24"/>
          <w:szCs w:val="24"/>
        </w:rPr>
        <w:t>）《中华人民共和国节约能源法》（</w:t>
      </w:r>
      <w:r>
        <w:rPr>
          <w:rFonts w:ascii="Times New Roman" w:hAnsi="Times New Roman" w:eastAsia="Times New Roman" w:cs="Times New Roman"/>
          <w:spacing w:val="-4"/>
          <w:position w:val="2"/>
          <w:sz w:val="24"/>
          <w:szCs w:val="24"/>
        </w:rPr>
        <w:t xml:space="preserve">2018 </w:t>
      </w:r>
      <w:r>
        <w:rPr>
          <w:rFonts w:ascii="宋体" w:hAnsi="宋体" w:eastAsia="宋体" w:cs="宋体"/>
          <w:spacing w:val="-4"/>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4"/>
          <w:position w:val="2"/>
          <w:sz w:val="24"/>
          <w:szCs w:val="24"/>
        </w:rPr>
        <w:t>10</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 xml:space="preserve">26  </w:t>
      </w:r>
      <w:r>
        <w:rPr>
          <w:rFonts w:ascii="宋体" w:hAnsi="宋体" w:eastAsia="宋体" w:cs="宋体"/>
          <w:spacing w:val="-4"/>
          <w:position w:val="2"/>
          <w:sz w:val="24"/>
          <w:szCs w:val="24"/>
        </w:rPr>
        <w:t>日修正</w:t>
      </w:r>
      <w:r>
        <w:rPr>
          <w:rFonts w:ascii="宋体" w:hAnsi="宋体" w:eastAsia="宋体" w:cs="宋体"/>
          <w:spacing w:val="2"/>
          <w:position w:val="2"/>
          <w:sz w:val="24"/>
          <w:szCs w:val="24"/>
        </w:rPr>
        <w:t>）；</w:t>
      </w:r>
    </w:p>
    <w:p w14:paraId="71B76253">
      <w:pPr>
        <w:spacing w:before="127" w:line="360" w:lineRule="exact"/>
        <w:jc w:val="right"/>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7</w:t>
      </w:r>
      <w:r>
        <w:rPr>
          <w:rFonts w:ascii="宋体" w:hAnsi="宋体" w:eastAsia="宋体" w:cs="宋体"/>
          <w:spacing w:val="-2"/>
          <w:position w:val="2"/>
          <w:sz w:val="24"/>
          <w:szCs w:val="24"/>
        </w:rPr>
        <w:t>）《中华人民共和国大气污染防治法》（</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2"/>
          <w:position w:val="2"/>
          <w:sz w:val="24"/>
          <w:szCs w:val="24"/>
        </w:rPr>
        <w:t>10</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2"/>
          <w:position w:val="2"/>
          <w:sz w:val="24"/>
          <w:szCs w:val="24"/>
        </w:rPr>
        <w:t>月</w:t>
      </w:r>
      <w:r>
        <w:rPr>
          <w:rFonts w:ascii="Times New Roman" w:hAnsi="Times New Roman" w:eastAsia="Times New Roman" w:cs="Times New Roman"/>
          <w:spacing w:val="-2"/>
          <w:position w:val="2"/>
          <w:sz w:val="24"/>
          <w:szCs w:val="24"/>
        </w:rPr>
        <w:t xml:space="preserve">26  </w:t>
      </w:r>
      <w:r>
        <w:rPr>
          <w:rFonts w:ascii="宋体" w:hAnsi="宋体" w:eastAsia="宋体" w:cs="宋体"/>
          <w:spacing w:val="-2"/>
          <w:position w:val="2"/>
          <w:sz w:val="24"/>
          <w:szCs w:val="24"/>
        </w:rPr>
        <w:t>日第二次修正</w:t>
      </w:r>
      <w:r>
        <w:rPr>
          <w:rFonts w:ascii="宋体" w:hAnsi="宋体" w:eastAsia="宋体" w:cs="宋体"/>
          <w:spacing w:val="-24"/>
          <w:position w:val="2"/>
          <w:sz w:val="24"/>
          <w:szCs w:val="24"/>
        </w:rPr>
        <w:t>）；</w:t>
      </w:r>
    </w:p>
    <w:p w14:paraId="04EEB5CF">
      <w:pPr>
        <w:spacing w:before="129"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8</w:t>
      </w:r>
      <w:r>
        <w:rPr>
          <w:rFonts w:ascii="宋体" w:hAnsi="宋体" w:eastAsia="宋体" w:cs="宋体"/>
          <w:spacing w:val="-2"/>
          <w:position w:val="2"/>
          <w:sz w:val="24"/>
          <w:szCs w:val="24"/>
        </w:rPr>
        <w:t>）《中华人民共和国水污染防治法》（</w:t>
      </w:r>
      <w:r>
        <w:rPr>
          <w:rFonts w:ascii="Times New Roman" w:hAnsi="Times New Roman" w:eastAsia="Times New Roman" w:cs="Times New Roman"/>
          <w:spacing w:val="-2"/>
          <w:position w:val="2"/>
          <w:sz w:val="24"/>
          <w:szCs w:val="24"/>
        </w:rPr>
        <w:t xml:space="preserve">2017 </w:t>
      </w:r>
      <w:r>
        <w:rPr>
          <w:rFonts w:ascii="宋体" w:hAnsi="宋体" w:eastAsia="宋体" w:cs="宋体"/>
          <w:spacing w:val="-2"/>
          <w:position w:val="2"/>
          <w:sz w:val="24"/>
          <w:szCs w:val="24"/>
        </w:rPr>
        <w:t>年</w:t>
      </w:r>
      <w:r>
        <w:rPr>
          <w:rFonts w:ascii="宋体" w:hAnsi="宋体" w:eastAsia="宋体" w:cs="宋体"/>
          <w:spacing w:val="-49"/>
          <w:position w:val="2"/>
          <w:sz w:val="24"/>
          <w:szCs w:val="24"/>
        </w:rPr>
        <w:t xml:space="preserve"> </w:t>
      </w:r>
      <w:r>
        <w:rPr>
          <w:rFonts w:ascii="Times New Roman" w:hAnsi="Times New Roman" w:eastAsia="Times New Roman" w:cs="Times New Roman"/>
          <w:spacing w:val="-2"/>
          <w:position w:val="2"/>
          <w:sz w:val="24"/>
          <w:szCs w:val="24"/>
        </w:rPr>
        <w:t>6</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月修订</w:t>
      </w:r>
      <w:r>
        <w:rPr>
          <w:rFonts w:ascii="宋体" w:hAnsi="宋体" w:eastAsia="宋体" w:cs="宋体"/>
          <w:spacing w:val="5"/>
          <w:position w:val="2"/>
          <w:sz w:val="24"/>
          <w:szCs w:val="24"/>
        </w:rPr>
        <w:t>）；</w:t>
      </w:r>
    </w:p>
    <w:p w14:paraId="00CAEF3E">
      <w:pPr>
        <w:spacing w:before="130" w:line="360" w:lineRule="exact"/>
        <w:jc w:val="right"/>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9</w:t>
      </w:r>
      <w:r>
        <w:rPr>
          <w:rFonts w:ascii="宋体" w:hAnsi="宋体" w:eastAsia="宋体" w:cs="宋体"/>
          <w:spacing w:val="-3"/>
          <w:position w:val="2"/>
          <w:sz w:val="24"/>
          <w:szCs w:val="24"/>
        </w:rPr>
        <w:t>）《中华人民共和国固体废物污染环境防治法》（</w:t>
      </w:r>
      <w:r>
        <w:rPr>
          <w:rFonts w:ascii="Times New Roman" w:hAnsi="Times New Roman" w:eastAsia="Times New Roman" w:cs="Times New Roman"/>
          <w:spacing w:val="-3"/>
          <w:position w:val="2"/>
          <w:sz w:val="24"/>
          <w:szCs w:val="24"/>
        </w:rPr>
        <w:t xml:space="preserve">2020 </w:t>
      </w:r>
      <w:r>
        <w:rPr>
          <w:rFonts w:ascii="宋体" w:hAnsi="宋体" w:eastAsia="宋体" w:cs="宋体"/>
          <w:spacing w:val="-3"/>
          <w:position w:val="2"/>
          <w:sz w:val="24"/>
          <w:szCs w:val="24"/>
        </w:rPr>
        <w:t>年</w:t>
      </w:r>
      <w:r>
        <w:rPr>
          <w:rFonts w:ascii="宋体" w:hAnsi="宋体" w:eastAsia="宋体" w:cs="宋体"/>
          <w:spacing w:val="-56"/>
          <w:position w:val="2"/>
          <w:sz w:val="24"/>
          <w:szCs w:val="24"/>
        </w:rPr>
        <w:t xml:space="preserve"> </w:t>
      </w: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3"/>
          <w:position w:val="2"/>
          <w:sz w:val="24"/>
          <w:szCs w:val="24"/>
        </w:rPr>
        <w:t>月</w:t>
      </w:r>
      <w:r>
        <w:rPr>
          <w:rFonts w:ascii="Times New Roman" w:hAnsi="Times New Roman" w:eastAsia="Times New Roman" w:cs="Times New Roman"/>
          <w:spacing w:val="-3"/>
          <w:position w:val="2"/>
          <w:sz w:val="24"/>
          <w:szCs w:val="24"/>
        </w:rPr>
        <w:t xml:space="preserve">29  </w:t>
      </w:r>
      <w:r>
        <w:rPr>
          <w:rFonts w:ascii="宋体" w:hAnsi="宋体" w:eastAsia="宋体" w:cs="宋体"/>
          <w:spacing w:val="-3"/>
          <w:position w:val="2"/>
          <w:sz w:val="24"/>
          <w:szCs w:val="24"/>
        </w:rPr>
        <w:t>日修订</w:t>
      </w:r>
      <w:r>
        <w:rPr>
          <w:rFonts w:ascii="宋体" w:hAnsi="宋体" w:eastAsia="宋体" w:cs="宋体"/>
          <w:spacing w:val="-38"/>
          <w:position w:val="2"/>
          <w:sz w:val="24"/>
          <w:szCs w:val="24"/>
        </w:rPr>
        <w:t>）；</w:t>
      </w:r>
    </w:p>
    <w:p w14:paraId="6C2D30F6">
      <w:pPr>
        <w:spacing w:before="129" w:line="361" w:lineRule="exact"/>
        <w:ind w:left="495"/>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10</w:t>
      </w:r>
      <w:r>
        <w:rPr>
          <w:rFonts w:ascii="宋体" w:hAnsi="宋体" w:eastAsia="宋体" w:cs="宋体"/>
          <w:spacing w:val="-3"/>
          <w:position w:val="2"/>
          <w:sz w:val="24"/>
          <w:szCs w:val="24"/>
        </w:rPr>
        <w:t>）《中华人民共和国环境噪声污染防治法》（</w:t>
      </w:r>
      <w:r>
        <w:rPr>
          <w:rFonts w:ascii="Times New Roman" w:hAnsi="Times New Roman" w:eastAsia="Times New Roman" w:cs="Times New Roman"/>
          <w:spacing w:val="-3"/>
          <w:position w:val="2"/>
          <w:sz w:val="24"/>
          <w:szCs w:val="24"/>
        </w:rPr>
        <w:t>20</w:t>
      </w:r>
      <w:r>
        <w:rPr>
          <w:rFonts w:ascii="Times New Roman" w:hAnsi="Times New Roman" w:eastAsia="Times New Roman" w:cs="Times New Roman"/>
          <w:spacing w:val="-4"/>
          <w:position w:val="2"/>
          <w:sz w:val="24"/>
          <w:szCs w:val="24"/>
        </w:rPr>
        <w:t xml:space="preserve">18 </w:t>
      </w:r>
      <w:r>
        <w:rPr>
          <w:rFonts w:ascii="宋体" w:hAnsi="宋体" w:eastAsia="宋体" w:cs="宋体"/>
          <w:spacing w:val="-4"/>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12</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 xml:space="preserve">29  </w:t>
      </w:r>
      <w:r>
        <w:rPr>
          <w:rFonts w:ascii="宋体" w:hAnsi="宋体" w:eastAsia="宋体" w:cs="宋体"/>
          <w:spacing w:val="-4"/>
          <w:position w:val="2"/>
          <w:sz w:val="24"/>
          <w:szCs w:val="24"/>
        </w:rPr>
        <w:t>日修正</w:t>
      </w:r>
      <w:r>
        <w:rPr>
          <w:rFonts w:ascii="宋体" w:hAnsi="宋体" w:eastAsia="宋体" w:cs="宋体"/>
          <w:position w:val="2"/>
          <w:sz w:val="24"/>
          <w:szCs w:val="24"/>
        </w:rPr>
        <w:t>）；</w:t>
      </w:r>
    </w:p>
    <w:p w14:paraId="0AE43A76">
      <w:pPr>
        <w:spacing w:before="125" w:line="314" w:lineRule="auto"/>
        <w:ind w:left="3" w:right="2" w:firstLine="491"/>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w:t>
      </w:r>
      <w:r>
        <w:rPr>
          <w:rFonts w:ascii="宋体" w:hAnsi="宋体" w:eastAsia="宋体" w:cs="宋体"/>
          <w:spacing w:val="-9"/>
          <w:sz w:val="24"/>
          <w:szCs w:val="24"/>
        </w:rPr>
        <w:t>）《关于进一步加强环境影响评价管理防范环境风险的通知》（环发〔</w:t>
      </w:r>
      <w:r>
        <w:rPr>
          <w:rFonts w:ascii="Times New Roman" w:hAnsi="Times New Roman" w:eastAsia="Times New Roman" w:cs="Times New Roman"/>
          <w:spacing w:val="-9"/>
          <w:sz w:val="24"/>
          <w:szCs w:val="24"/>
        </w:rPr>
        <w:t>2012</w:t>
      </w:r>
      <w:r>
        <w:rPr>
          <w:rFonts w:ascii="宋体" w:hAnsi="宋体" w:eastAsia="宋体" w:cs="宋体"/>
          <w:spacing w:val="-9"/>
          <w:sz w:val="24"/>
          <w:szCs w:val="24"/>
        </w:rPr>
        <w:t>〕</w:t>
      </w:r>
      <w:r>
        <w:rPr>
          <w:rFonts w:ascii="宋体" w:hAnsi="宋体" w:eastAsia="宋体" w:cs="宋体"/>
          <w:spacing w:val="11"/>
          <w:sz w:val="24"/>
          <w:szCs w:val="24"/>
        </w:rPr>
        <w:t xml:space="preserve"> </w:t>
      </w:r>
      <w:r>
        <w:rPr>
          <w:rFonts w:ascii="Times New Roman" w:hAnsi="Times New Roman" w:eastAsia="Times New Roman" w:cs="Times New Roman"/>
          <w:spacing w:val="-8"/>
          <w:sz w:val="24"/>
          <w:szCs w:val="24"/>
        </w:rPr>
        <w:t>77</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号</w:t>
      </w:r>
      <w:r>
        <w:rPr>
          <w:rFonts w:ascii="宋体" w:hAnsi="宋体" w:eastAsia="宋体" w:cs="宋体"/>
          <w:sz w:val="24"/>
          <w:szCs w:val="24"/>
        </w:rPr>
        <w:t>）；</w:t>
      </w:r>
    </w:p>
    <w:p w14:paraId="66A0BFAD">
      <w:pPr>
        <w:spacing w:before="163" w:line="328" w:lineRule="auto"/>
        <w:ind w:left="4" w:firstLine="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）《关于切实加强风险防范严格环境影响评价管理的通知》（环发〔</w:t>
      </w:r>
      <w:r>
        <w:rPr>
          <w:rFonts w:ascii="Times New Roman" w:hAnsi="Times New Roman" w:eastAsia="Times New Roman" w:cs="Times New Roman"/>
          <w:spacing w:val="-3"/>
          <w:sz w:val="24"/>
          <w:szCs w:val="24"/>
        </w:rPr>
        <w:t>2012</w:t>
      </w:r>
      <w:r>
        <w:rPr>
          <w:rFonts w:ascii="宋体" w:hAnsi="宋体" w:eastAsia="宋体" w:cs="宋体"/>
          <w:spacing w:val="-3"/>
          <w:sz w:val="24"/>
          <w:szCs w:val="24"/>
        </w:rPr>
        <w:t>〕</w:t>
      </w:r>
      <w:r>
        <w:rPr>
          <w:rFonts w:ascii="宋体" w:hAnsi="宋体" w:eastAsia="宋体" w:cs="宋体"/>
          <w:spacing w:val="16"/>
          <w:sz w:val="24"/>
          <w:szCs w:val="24"/>
        </w:rPr>
        <w:t xml:space="preserve"> </w:t>
      </w:r>
      <w:r>
        <w:rPr>
          <w:rFonts w:ascii="Times New Roman" w:hAnsi="Times New Roman" w:eastAsia="Times New Roman" w:cs="Times New Roman"/>
          <w:spacing w:val="-9"/>
          <w:sz w:val="24"/>
          <w:szCs w:val="24"/>
        </w:rPr>
        <w:t>98</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号</w:t>
      </w:r>
      <w:r>
        <w:rPr>
          <w:rFonts w:ascii="宋体" w:hAnsi="宋体" w:eastAsia="宋体" w:cs="宋体"/>
          <w:sz w:val="24"/>
          <w:szCs w:val="24"/>
        </w:rPr>
        <w:t>）；</w:t>
      </w:r>
    </w:p>
    <w:p w14:paraId="39DFB0DD">
      <w:pPr>
        <w:spacing w:before="125"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13</w:t>
      </w:r>
      <w:r>
        <w:rPr>
          <w:rFonts w:ascii="宋体" w:hAnsi="宋体" w:eastAsia="宋体" w:cs="宋体"/>
          <w:spacing w:val="-1"/>
          <w:position w:val="2"/>
          <w:sz w:val="24"/>
          <w:szCs w:val="24"/>
        </w:rPr>
        <w:t>）《企业突发环境事件风险评估指南（试行）》（环办〔</w:t>
      </w:r>
      <w:r>
        <w:rPr>
          <w:rFonts w:ascii="Times New Roman" w:hAnsi="Times New Roman" w:eastAsia="Times New Roman" w:cs="Times New Roman"/>
          <w:spacing w:val="-1"/>
          <w:position w:val="2"/>
          <w:sz w:val="24"/>
          <w:szCs w:val="24"/>
        </w:rPr>
        <w:t>2014</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34</w:t>
      </w:r>
      <w:r>
        <w:rPr>
          <w:rFonts w:ascii="Times New Roman" w:hAnsi="Times New Roman" w:eastAsia="Times New Roman" w:cs="Times New Roman"/>
          <w:spacing w:val="16"/>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spacing w:val="6"/>
          <w:position w:val="2"/>
          <w:sz w:val="24"/>
          <w:szCs w:val="24"/>
        </w:rPr>
        <w:t>）；</w:t>
      </w:r>
    </w:p>
    <w:p w14:paraId="4E37D839">
      <w:pPr>
        <w:spacing w:before="131"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15</w:t>
      </w:r>
      <w:r>
        <w:rPr>
          <w:rFonts w:ascii="宋体" w:hAnsi="宋体" w:eastAsia="宋体" w:cs="宋体"/>
          <w:spacing w:val="-1"/>
          <w:position w:val="2"/>
          <w:sz w:val="24"/>
          <w:szCs w:val="24"/>
        </w:rPr>
        <w:t>）《关于加强环境应急管理工作的意见》（环发〔</w:t>
      </w:r>
      <w:r>
        <w:rPr>
          <w:rFonts w:ascii="Times New Roman" w:hAnsi="Times New Roman" w:eastAsia="Times New Roman" w:cs="Times New Roman"/>
          <w:spacing w:val="-1"/>
          <w:position w:val="2"/>
          <w:sz w:val="24"/>
          <w:szCs w:val="24"/>
        </w:rPr>
        <w:t>2009</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 xml:space="preserve">130  </w:t>
      </w:r>
      <w:r>
        <w:rPr>
          <w:rFonts w:ascii="宋体" w:hAnsi="宋体" w:eastAsia="宋体" w:cs="宋体"/>
          <w:spacing w:val="-1"/>
          <w:position w:val="2"/>
          <w:sz w:val="24"/>
          <w:szCs w:val="24"/>
        </w:rPr>
        <w:t>号）</w:t>
      </w:r>
    </w:p>
    <w:p w14:paraId="01714C20">
      <w:pPr>
        <w:spacing w:before="129" w:line="327" w:lineRule="auto"/>
        <w:ind w:left="9" w:right="75"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14</w:t>
      </w:r>
      <w:r>
        <w:rPr>
          <w:rFonts w:ascii="宋体" w:hAnsi="宋体" w:eastAsia="宋体" w:cs="宋体"/>
          <w:spacing w:val="2"/>
          <w:sz w:val="24"/>
          <w:szCs w:val="24"/>
        </w:rPr>
        <w:t>）《关于落实大气污染防治行动计划严格环境影响评价准入的通</w:t>
      </w:r>
      <w:r>
        <w:rPr>
          <w:rFonts w:ascii="宋体" w:hAnsi="宋体" w:eastAsia="宋体" w:cs="宋体"/>
          <w:spacing w:val="1"/>
          <w:sz w:val="24"/>
          <w:szCs w:val="24"/>
        </w:rPr>
        <w:t>知》（环</w:t>
      </w:r>
      <w:r>
        <w:rPr>
          <w:rFonts w:ascii="宋体" w:hAnsi="宋体" w:eastAsia="宋体" w:cs="宋体"/>
          <w:sz w:val="24"/>
          <w:szCs w:val="24"/>
        </w:rPr>
        <w:t xml:space="preserve"> </w:t>
      </w:r>
      <w:r>
        <w:rPr>
          <w:rFonts w:ascii="宋体" w:hAnsi="宋体" w:eastAsia="宋体" w:cs="宋体"/>
          <w:spacing w:val="-2"/>
          <w:sz w:val="24"/>
          <w:szCs w:val="24"/>
        </w:rPr>
        <w:t>办〔</w:t>
      </w:r>
      <w:r>
        <w:rPr>
          <w:rFonts w:ascii="Times New Roman" w:hAnsi="Times New Roman" w:eastAsia="Times New Roman" w:cs="Times New Roman"/>
          <w:spacing w:val="-2"/>
          <w:sz w:val="24"/>
          <w:szCs w:val="24"/>
        </w:rPr>
        <w:t>2014</w:t>
      </w:r>
      <w:r>
        <w:rPr>
          <w:rFonts w:ascii="宋体" w:hAnsi="宋体" w:eastAsia="宋体" w:cs="宋体"/>
          <w:spacing w:val="-2"/>
          <w:sz w:val="24"/>
          <w:szCs w:val="24"/>
        </w:rPr>
        <w:t>〕</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pacing w:val="2"/>
          <w:sz w:val="24"/>
          <w:szCs w:val="24"/>
        </w:rPr>
        <w:t>）；</w:t>
      </w:r>
    </w:p>
    <w:p w14:paraId="21BFD488">
      <w:pPr>
        <w:spacing w:before="128" w:line="313" w:lineRule="auto"/>
        <w:ind w:left="45" w:right="75" w:firstLine="45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16</w:t>
      </w:r>
      <w:r>
        <w:rPr>
          <w:rFonts w:ascii="宋体" w:hAnsi="宋体" w:eastAsia="宋体" w:cs="宋体"/>
          <w:spacing w:val="-2"/>
          <w:sz w:val="24"/>
          <w:szCs w:val="24"/>
        </w:rPr>
        <w:t xml:space="preserve">）《环境影响评价公众参与办法》（生态环境部令 </w:t>
      </w:r>
      <w:r>
        <w:rPr>
          <w:rFonts w:ascii="Times New Roman" w:hAnsi="Times New Roman" w:eastAsia="Times New Roman" w:cs="Times New Roman"/>
          <w:spacing w:val="-2"/>
          <w:sz w:val="24"/>
          <w:szCs w:val="24"/>
        </w:rPr>
        <w:t xml:space="preserve">4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7"/>
          <w:sz w:val="24"/>
          <w:szCs w:val="24"/>
        </w:rPr>
        <w:t xml:space="preserve">  </w:t>
      </w:r>
      <w:r>
        <w:rPr>
          <w:rFonts w:ascii="宋体" w:hAnsi="宋体" w:eastAsia="宋体" w:cs="宋体"/>
          <w:spacing w:val="-3"/>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7"/>
          <w:sz w:val="24"/>
          <w:szCs w:val="24"/>
        </w:rPr>
        <w:t>日实施</w:t>
      </w:r>
      <w:r>
        <w:rPr>
          <w:rFonts w:ascii="宋体" w:hAnsi="宋体" w:eastAsia="宋体" w:cs="宋体"/>
          <w:sz w:val="24"/>
          <w:szCs w:val="24"/>
        </w:rPr>
        <w:t>）；</w:t>
      </w:r>
    </w:p>
    <w:p w14:paraId="61DCA40B">
      <w:pPr>
        <w:spacing w:before="164" w:line="327" w:lineRule="auto"/>
        <w:ind w:right="104" w:firstLine="49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17</w:t>
      </w:r>
      <w:r>
        <w:rPr>
          <w:rFonts w:ascii="宋体" w:hAnsi="宋体" w:eastAsia="宋体" w:cs="宋体"/>
          <w:spacing w:val="-1"/>
          <w:sz w:val="24"/>
          <w:szCs w:val="24"/>
        </w:rPr>
        <w:t>）《产业结构调整指导目录（</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年本）》（国家发展和改革委员会令第</w:t>
      </w:r>
      <w:r>
        <w:rPr>
          <w:rFonts w:ascii="宋体" w:hAnsi="宋体" w:eastAsia="宋体" w:cs="宋体"/>
          <w:spacing w:val="16"/>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号修正，</w:t>
      </w:r>
      <w:r>
        <w:rPr>
          <w:rFonts w:ascii="Times New Roman" w:hAnsi="Times New Roman" w:eastAsia="Times New Roman" w:cs="Times New Roman"/>
          <w:spacing w:val="-7"/>
          <w:sz w:val="24"/>
          <w:szCs w:val="24"/>
        </w:rPr>
        <w:t>2020</w:t>
      </w:r>
      <w:r>
        <w:rPr>
          <w:rFonts w:ascii="Times New Roman" w:hAnsi="Times New Roman" w:eastAsia="Times New Roman" w:cs="Times New Roman"/>
          <w:spacing w:val="11"/>
          <w:sz w:val="24"/>
          <w:szCs w:val="24"/>
        </w:rPr>
        <w:t xml:space="preserve"> </w:t>
      </w:r>
      <w:r>
        <w:rPr>
          <w:rFonts w:ascii="宋体" w:hAnsi="宋体" w:eastAsia="宋体" w:cs="宋体"/>
          <w:spacing w:val="-7"/>
          <w:sz w:val="24"/>
          <w:szCs w:val="24"/>
        </w:rPr>
        <w:t>年</w:t>
      </w:r>
      <w:r>
        <w:rPr>
          <w:rFonts w:ascii="宋体" w:hAnsi="宋体" w:eastAsia="宋体" w:cs="宋体"/>
          <w:spacing w:val="28"/>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日起施行</w:t>
      </w:r>
      <w:r>
        <w:rPr>
          <w:rFonts w:ascii="宋体" w:hAnsi="宋体" w:eastAsia="宋体" w:cs="宋体"/>
          <w:spacing w:val="6"/>
          <w:sz w:val="24"/>
          <w:szCs w:val="24"/>
        </w:rPr>
        <w:t>）；</w:t>
      </w:r>
    </w:p>
    <w:p w14:paraId="7B135839">
      <w:pPr>
        <w:spacing w:line="327" w:lineRule="auto"/>
        <w:rPr>
          <w:rFonts w:ascii="宋体" w:hAnsi="宋体" w:eastAsia="宋体" w:cs="宋体"/>
          <w:sz w:val="24"/>
          <w:szCs w:val="24"/>
        </w:rPr>
        <w:sectPr>
          <w:footerReference r:id="rId30" w:type="default"/>
          <w:pgSz w:w="11906" w:h="16839"/>
          <w:pgMar w:top="1431" w:right="1512" w:bottom="1485" w:left="1593" w:header="0" w:footer="1249" w:gutter="0"/>
          <w:cols w:space="720" w:num="1"/>
        </w:sectPr>
      </w:pPr>
    </w:p>
    <w:p w14:paraId="78D3C1E0">
      <w:pPr>
        <w:spacing w:before="74" w:line="328" w:lineRule="auto"/>
        <w:ind w:left="24" w:right="5" w:firstLine="472"/>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18</w:t>
      </w:r>
      <w:r>
        <w:rPr>
          <w:rFonts w:ascii="宋体" w:hAnsi="宋体" w:eastAsia="宋体" w:cs="宋体"/>
          <w:spacing w:val="-9"/>
          <w:sz w:val="24"/>
          <w:szCs w:val="24"/>
        </w:rPr>
        <w:t>）《建设项目主要污染物排放总量指标审核及管理暂行办法》（环发〔</w:t>
      </w:r>
      <w:r>
        <w:rPr>
          <w:rFonts w:ascii="Times New Roman" w:hAnsi="Times New Roman" w:eastAsia="Times New Roman" w:cs="Times New Roman"/>
          <w:spacing w:val="-9"/>
          <w:sz w:val="24"/>
          <w:szCs w:val="24"/>
        </w:rPr>
        <w:t>2014</w:t>
      </w:r>
      <w:r>
        <w:rPr>
          <w:rFonts w:ascii="宋体" w:hAnsi="宋体" w:eastAsia="宋体" w:cs="宋体"/>
          <w:spacing w:val="-9"/>
          <w:sz w:val="24"/>
          <w:szCs w:val="24"/>
        </w:rPr>
        <w:t>〕</w:t>
      </w:r>
      <w:r>
        <w:rPr>
          <w:rFonts w:ascii="宋体" w:hAnsi="宋体" w:eastAsia="宋体" w:cs="宋体"/>
          <w:spacing w:val="13"/>
          <w:sz w:val="24"/>
          <w:szCs w:val="24"/>
        </w:rPr>
        <w:t xml:space="preserve"> </w:t>
      </w:r>
      <w:r>
        <w:rPr>
          <w:rFonts w:ascii="Times New Roman" w:hAnsi="Times New Roman" w:eastAsia="Times New Roman" w:cs="Times New Roman"/>
          <w:spacing w:val="-11"/>
          <w:sz w:val="24"/>
          <w:szCs w:val="24"/>
        </w:rPr>
        <w:t>197</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号</w:t>
      </w:r>
      <w:r>
        <w:rPr>
          <w:rFonts w:ascii="宋体" w:hAnsi="宋体" w:eastAsia="宋体" w:cs="宋体"/>
          <w:sz w:val="24"/>
          <w:szCs w:val="24"/>
        </w:rPr>
        <w:t>）；</w:t>
      </w:r>
    </w:p>
    <w:p w14:paraId="358976CF">
      <w:pPr>
        <w:spacing w:before="125" w:line="360" w:lineRule="exact"/>
        <w:jc w:val="right"/>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19</w:t>
      </w:r>
      <w:r>
        <w:rPr>
          <w:rFonts w:ascii="宋体" w:hAnsi="宋体" w:eastAsia="宋体" w:cs="宋体"/>
          <w:spacing w:val="-3"/>
          <w:position w:val="2"/>
          <w:sz w:val="24"/>
          <w:szCs w:val="24"/>
        </w:rPr>
        <w:t>）《国务院关于印发水污染防治行动计划的通知》（国发〔</w:t>
      </w:r>
      <w:r>
        <w:rPr>
          <w:rFonts w:ascii="Times New Roman" w:hAnsi="Times New Roman" w:eastAsia="Times New Roman" w:cs="Times New Roman"/>
          <w:spacing w:val="-3"/>
          <w:position w:val="2"/>
          <w:sz w:val="24"/>
          <w:szCs w:val="24"/>
        </w:rPr>
        <w:t>2015</w:t>
      </w:r>
      <w:r>
        <w:rPr>
          <w:rFonts w:ascii="宋体" w:hAnsi="宋体" w:eastAsia="宋体" w:cs="宋体"/>
          <w:spacing w:val="-3"/>
          <w:position w:val="2"/>
          <w:sz w:val="24"/>
          <w:szCs w:val="24"/>
        </w:rPr>
        <w:t>〕</w:t>
      </w:r>
      <w:r>
        <w:rPr>
          <w:rFonts w:ascii="Times New Roman" w:hAnsi="Times New Roman" w:eastAsia="Times New Roman" w:cs="Times New Roman"/>
          <w:spacing w:val="-4"/>
          <w:position w:val="2"/>
          <w:sz w:val="24"/>
          <w:szCs w:val="24"/>
        </w:rPr>
        <w:t>17</w:t>
      </w:r>
      <w:r>
        <w:rPr>
          <w:rFonts w:ascii="Times New Roman" w:hAnsi="Times New Roman" w:eastAsia="Times New Roman" w:cs="Times New Roman"/>
          <w:spacing w:val="16"/>
          <w:w w:val="101"/>
          <w:position w:val="2"/>
          <w:sz w:val="24"/>
          <w:szCs w:val="24"/>
        </w:rPr>
        <w:t xml:space="preserve"> </w:t>
      </w:r>
      <w:r>
        <w:rPr>
          <w:rFonts w:ascii="宋体" w:hAnsi="宋体" w:eastAsia="宋体" w:cs="宋体"/>
          <w:spacing w:val="-4"/>
          <w:position w:val="2"/>
          <w:sz w:val="24"/>
          <w:szCs w:val="24"/>
        </w:rPr>
        <w:t>号</w:t>
      </w:r>
      <w:r>
        <w:rPr>
          <w:rFonts w:ascii="宋体" w:hAnsi="宋体" w:eastAsia="宋体" w:cs="宋体"/>
          <w:spacing w:val="-38"/>
          <w:position w:val="2"/>
          <w:sz w:val="24"/>
          <w:szCs w:val="24"/>
        </w:rPr>
        <w:t>）；</w:t>
      </w:r>
    </w:p>
    <w:p w14:paraId="01076F2D">
      <w:pPr>
        <w:spacing w:before="130" w:line="312" w:lineRule="auto"/>
        <w:ind w:left="11" w:right="81" w:firstLine="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20</w:t>
      </w:r>
      <w:r>
        <w:rPr>
          <w:rFonts w:ascii="宋体" w:hAnsi="宋体" w:eastAsia="宋体" w:cs="宋体"/>
          <w:spacing w:val="-4"/>
          <w:sz w:val="24"/>
          <w:szCs w:val="24"/>
        </w:rPr>
        <w:t>）《畜禽规模养殖污染防治条例》（国务院令第</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643</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 xml:space="preserve">2014 </w:t>
      </w:r>
      <w:r>
        <w:rPr>
          <w:rFonts w:ascii="宋体" w:hAnsi="宋体" w:eastAsia="宋体" w:cs="宋体"/>
          <w:spacing w:val="-4"/>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w:t>
      </w:r>
      <w:r>
        <w:rPr>
          <w:rFonts w:ascii="宋体" w:hAnsi="宋体" w:eastAsia="宋体" w:cs="宋体"/>
          <w:sz w:val="24"/>
          <w:szCs w:val="24"/>
        </w:rPr>
        <w:t xml:space="preserve"> </w:t>
      </w:r>
      <w:r>
        <w:rPr>
          <w:rFonts w:ascii="宋体" w:hAnsi="宋体" w:eastAsia="宋体" w:cs="宋体"/>
          <w:spacing w:val="-4"/>
          <w:sz w:val="24"/>
          <w:szCs w:val="24"/>
        </w:rPr>
        <w:t>实施）。</w:t>
      </w:r>
    </w:p>
    <w:p w14:paraId="14A3BFA8">
      <w:pPr>
        <w:spacing w:before="167" w:line="360" w:lineRule="exact"/>
        <w:ind w:left="496"/>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21</w:t>
      </w:r>
      <w:r>
        <w:rPr>
          <w:rFonts w:ascii="宋体" w:hAnsi="宋体" w:eastAsia="宋体" w:cs="宋体"/>
          <w:spacing w:val="-4"/>
          <w:position w:val="2"/>
          <w:sz w:val="24"/>
          <w:szCs w:val="24"/>
        </w:rPr>
        <w:t>）《兽药管理条例》（</w:t>
      </w:r>
      <w:r>
        <w:rPr>
          <w:rFonts w:ascii="Times New Roman" w:hAnsi="Times New Roman" w:eastAsia="Times New Roman" w:cs="Times New Roman"/>
          <w:spacing w:val="-4"/>
          <w:position w:val="2"/>
          <w:sz w:val="24"/>
          <w:szCs w:val="24"/>
        </w:rPr>
        <w:t xml:space="preserve">2016 </w:t>
      </w:r>
      <w:r>
        <w:rPr>
          <w:rFonts w:ascii="宋体" w:hAnsi="宋体" w:eastAsia="宋体" w:cs="宋体"/>
          <w:spacing w:val="-4"/>
          <w:position w:val="2"/>
          <w:sz w:val="24"/>
          <w:szCs w:val="24"/>
        </w:rPr>
        <w:t>年</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0"/>
          <w:position w:val="2"/>
          <w:sz w:val="24"/>
          <w:szCs w:val="24"/>
        </w:rPr>
        <w:t xml:space="preserve"> </w:t>
      </w:r>
      <w:r>
        <w:rPr>
          <w:rFonts w:ascii="Times New Roman" w:hAnsi="Times New Roman" w:eastAsia="Times New Roman" w:cs="Times New Roman"/>
          <w:spacing w:val="-4"/>
          <w:position w:val="2"/>
          <w:sz w:val="24"/>
          <w:szCs w:val="24"/>
        </w:rPr>
        <w:t>6</w:t>
      </w:r>
      <w:r>
        <w:rPr>
          <w:rFonts w:ascii="Times New Roman" w:hAnsi="Times New Roman" w:eastAsia="Times New Roman" w:cs="Times New Roman"/>
          <w:spacing w:val="-5"/>
          <w:position w:val="2"/>
          <w:sz w:val="24"/>
          <w:szCs w:val="24"/>
        </w:rPr>
        <w:t xml:space="preserve">  </w:t>
      </w:r>
      <w:r>
        <w:rPr>
          <w:rFonts w:ascii="宋体" w:hAnsi="宋体" w:eastAsia="宋体" w:cs="宋体"/>
          <w:spacing w:val="-5"/>
          <w:position w:val="2"/>
          <w:sz w:val="24"/>
          <w:szCs w:val="24"/>
        </w:rPr>
        <w:t>日修正</w:t>
      </w:r>
      <w:r>
        <w:rPr>
          <w:rFonts w:ascii="宋体" w:hAnsi="宋体" w:eastAsia="宋体" w:cs="宋体"/>
          <w:position w:val="2"/>
          <w:sz w:val="24"/>
          <w:szCs w:val="24"/>
        </w:rPr>
        <w:t>）；</w:t>
      </w:r>
    </w:p>
    <w:p w14:paraId="2155FA8F">
      <w:pPr>
        <w:spacing w:before="126" w:line="361"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22</w:t>
      </w:r>
      <w:r>
        <w:rPr>
          <w:rFonts w:ascii="宋体" w:hAnsi="宋体" w:eastAsia="宋体" w:cs="宋体"/>
          <w:spacing w:val="-2"/>
          <w:position w:val="2"/>
          <w:sz w:val="24"/>
          <w:szCs w:val="24"/>
        </w:rPr>
        <w:t>）《畜禽场环境质量及卫生控制规范》（</w:t>
      </w:r>
      <w:r>
        <w:rPr>
          <w:rFonts w:ascii="Times New Roman" w:hAnsi="Times New Roman" w:eastAsia="Times New Roman" w:cs="Times New Roman"/>
          <w:spacing w:val="-2"/>
          <w:position w:val="2"/>
          <w:sz w:val="24"/>
          <w:szCs w:val="24"/>
        </w:rPr>
        <w:t>NY/T</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1167-2006</w:t>
      </w:r>
      <w:r>
        <w:rPr>
          <w:rFonts w:ascii="宋体" w:hAnsi="宋体" w:eastAsia="宋体" w:cs="宋体"/>
          <w:spacing w:val="3"/>
          <w:position w:val="2"/>
          <w:sz w:val="24"/>
          <w:szCs w:val="24"/>
        </w:rPr>
        <w:t>）；</w:t>
      </w:r>
    </w:p>
    <w:p w14:paraId="1104776F">
      <w:pPr>
        <w:spacing w:before="128" w:line="313" w:lineRule="auto"/>
        <w:ind w:left="11" w:right="78" w:firstLine="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23</w:t>
      </w:r>
      <w:r>
        <w:rPr>
          <w:rFonts w:ascii="宋体" w:hAnsi="宋体" w:eastAsia="宋体" w:cs="宋体"/>
          <w:spacing w:val="-3"/>
          <w:sz w:val="24"/>
          <w:szCs w:val="24"/>
        </w:rPr>
        <w:t>）《关于发布</w:t>
      </w:r>
      <w:r>
        <w:rPr>
          <w:rFonts w:ascii="Times New Roman" w:hAnsi="Times New Roman" w:eastAsia="Times New Roman" w:cs="Times New Roman"/>
          <w:spacing w:val="-3"/>
          <w:sz w:val="24"/>
          <w:szCs w:val="24"/>
        </w:rPr>
        <w:t>&lt;</w:t>
      </w:r>
      <w:r>
        <w:rPr>
          <w:rFonts w:ascii="宋体" w:hAnsi="宋体" w:eastAsia="宋体" w:cs="宋体"/>
          <w:spacing w:val="-3"/>
          <w:sz w:val="24"/>
          <w:szCs w:val="24"/>
        </w:rPr>
        <w:t>畜禽养殖业污染防治技术政策</w:t>
      </w:r>
      <w:r>
        <w:rPr>
          <w:rFonts w:ascii="Times New Roman" w:hAnsi="Times New Roman" w:eastAsia="Times New Roman" w:cs="Times New Roman"/>
          <w:spacing w:val="-3"/>
          <w:sz w:val="24"/>
          <w:szCs w:val="24"/>
        </w:rPr>
        <w:t>&gt;</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的通知》（环发〔</w:t>
      </w:r>
      <w:r>
        <w:rPr>
          <w:rFonts w:ascii="Times New Roman" w:hAnsi="Times New Roman" w:eastAsia="Times New Roman" w:cs="Times New Roman"/>
          <w:spacing w:val="-3"/>
          <w:sz w:val="24"/>
          <w:szCs w:val="24"/>
        </w:rPr>
        <w:t>2010</w:t>
      </w:r>
      <w:r>
        <w:rPr>
          <w:rFonts w:ascii="宋体" w:hAnsi="宋体" w:eastAsia="宋体" w:cs="宋体"/>
          <w:spacing w:val="-3"/>
          <w:sz w:val="24"/>
          <w:szCs w:val="24"/>
        </w:rPr>
        <w:t>〕</w:t>
      </w:r>
      <w:r>
        <w:rPr>
          <w:rFonts w:ascii="Times New Roman" w:hAnsi="Times New Roman" w:eastAsia="Times New Roman" w:cs="Times New Roman"/>
          <w:spacing w:val="-3"/>
          <w:sz w:val="24"/>
          <w:szCs w:val="24"/>
        </w:rPr>
        <w:t>151</w:t>
      </w:r>
      <w:r>
        <w:rPr>
          <w:rFonts w:ascii="Times New Roman" w:hAnsi="Times New Roman" w:eastAsia="Times New Roman" w:cs="Times New Roman"/>
          <w:sz w:val="24"/>
          <w:szCs w:val="24"/>
        </w:rPr>
        <w:t xml:space="preserve"> </w:t>
      </w:r>
      <w:r>
        <w:rPr>
          <w:rFonts w:ascii="宋体" w:hAnsi="宋体" w:eastAsia="宋体" w:cs="宋体"/>
          <w:spacing w:val="-16"/>
          <w:sz w:val="24"/>
          <w:szCs w:val="24"/>
        </w:rPr>
        <w:t>号</w:t>
      </w:r>
      <w:r>
        <w:rPr>
          <w:rFonts w:ascii="宋体" w:hAnsi="宋体" w:eastAsia="宋体" w:cs="宋体"/>
          <w:sz w:val="24"/>
          <w:szCs w:val="24"/>
        </w:rPr>
        <w:t>）；</w:t>
      </w:r>
    </w:p>
    <w:p w14:paraId="0469E9B5">
      <w:pPr>
        <w:spacing w:before="165" w:line="313" w:lineRule="auto"/>
        <w:ind w:left="11" w:right="78"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24</w:t>
      </w:r>
      <w:r>
        <w:rPr>
          <w:rFonts w:ascii="宋体" w:hAnsi="宋体" w:eastAsia="宋体" w:cs="宋体"/>
          <w:spacing w:val="-1"/>
          <w:sz w:val="24"/>
          <w:szCs w:val="24"/>
        </w:rPr>
        <w:t>）《农业部关于加快推进畜禽标准化规模养殖的意</w:t>
      </w:r>
      <w:r>
        <w:rPr>
          <w:rFonts w:ascii="宋体" w:hAnsi="宋体" w:eastAsia="宋体" w:cs="宋体"/>
          <w:spacing w:val="-2"/>
          <w:sz w:val="24"/>
          <w:szCs w:val="24"/>
        </w:rPr>
        <w:t>见》（农牧发〔</w:t>
      </w:r>
      <w:r>
        <w:rPr>
          <w:rFonts w:ascii="Times New Roman" w:hAnsi="Times New Roman" w:eastAsia="Times New Roman" w:cs="Times New Roman"/>
          <w:spacing w:val="-2"/>
          <w:sz w:val="24"/>
          <w:szCs w:val="24"/>
        </w:rPr>
        <w:t>2010</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Times New Roman" w:hAnsi="Times New Roman" w:eastAsia="Times New Roman" w:cs="Times New Roman"/>
          <w:sz w:val="24"/>
          <w:szCs w:val="24"/>
        </w:rPr>
        <w:t xml:space="preserve"> </w:t>
      </w:r>
      <w:r>
        <w:rPr>
          <w:rFonts w:ascii="宋体" w:hAnsi="宋体" w:eastAsia="宋体" w:cs="宋体"/>
          <w:spacing w:val="-16"/>
          <w:sz w:val="24"/>
          <w:szCs w:val="24"/>
        </w:rPr>
        <w:t>号</w:t>
      </w:r>
      <w:r>
        <w:rPr>
          <w:rFonts w:ascii="宋体" w:hAnsi="宋体" w:eastAsia="宋体" w:cs="宋体"/>
          <w:sz w:val="24"/>
          <w:szCs w:val="24"/>
        </w:rPr>
        <w:t>）；</w:t>
      </w:r>
    </w:p>
    <w:p w14:paraId="3312A6EB">
      <w:pPr>
        <w:spacing w:before="163" w:line="328" w:lineRule="auto"/>
        <w:ind w:left="1" w:right="130" w:firstLine="49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25</w:t>
      </w:r>
      <w:r>
        <w:rPr>
          <w:rFonts w:ascii="宋体" w:hAnsi="宋体" w:eastAsia="宋体" w:cs="宋体"/>
          <w:sz w:val="24"/>
          <w:szCs w:val="24"/>
        </w:rPr>
        <w:t>）《关于促进规模化畜禽养殖有关用地政策的通知》（国土资发〔</w:t>
      </w:r>
      <w:r>
        <w:rPr>
          <w:rFonts w:ascii="Times New Roman" w:hAnsi="Times New Roman" w:eastAsia="Times New Roman" w:cs="Times New Roman"/>
          <w:sz w:val="24"/>
          <w:szCs w:val="24"/>
        </w:rPr>
        <w:t>2007</w:t>
      </w:r>
      <w:r>
        <w:rPr>
          <w:rFonts w:ascii="宋体" w:hAnsi="宋体" w:eastAsia="宋体" w:cs="宋体"/>
          <w:sz w:val="24"/>
          <w:szCs w:val="24"/>
        </w:rPr>
        <w:t>〕</w:t>
      </w:r>
      <w:r>
        <w:rPr>
          <w:rFonts w:ascii="宋体" w:hAnsi="宋体" w:eastAsia="宋体" w:cs="宋体"/>
          <w:spacing w:val="17"/>
          <w:sz w:val="24"/>
          <w:szCs w:val="24"/>
        </w:rPr>
        <w:t xml:space="preserve"> </w:t>
      </w:r>
      <w:r>
        <w:rPr>
          <w:rFonts w:ascii="Times New Roman" w:hAnsi="Times New Roman" w:eastAsia="Times New Roman" w:cs="Times New Roman"/>
          <w:spacing w:val="-6"/>
          <w:sz w:val="24"/>
          <w:szCs w:val="24"/>
        </w:rPr>
        <w:t>220</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号</w:t>
      </w:r>
      <w:r>
        <w:rPr>
          <w:rFonts w:ascii="宋体" w:hAnsi="宋体" w:eastAsia="宋体" w:cs="宋体"/>
          <w:spacing w:val="1"/>
          <w:sz w:val="24"/>
          <w:szCs w:val="24"/>
        </w:rPr>
        <w:t>）；</w:t>
      </w:r>
    </w:p>
    <w:p w14:paraId="4E48AF90">
      <w:pPr>
        <w:spacing w:before="127" w:line="360" w:lineRule="exact"/>
        <w:ind w:left="496"/>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26</w:t>
      </w:r>
      <w:r>
        <w:rPr>
          <w:rFonts w:ascii="宋体" w:hAnsi="宋体" w:eastAsia="宋体" w:cs="宋体"/>
          <w:spacing w:val="-3"/>
          <w:position w:val="2"/>
          <w:sz w:val="24"/>
          <w:szCs w:val="24"/>
        </w:rPr>
        <w:t>）《畜禽养殖禁养区划定技术指南》（</w:t>
      </w:r>
      <w:r>
        <w:rPr>
          <w:rFonts w:ascii="Times New Roman" w:hAnsi="Times New Roman" w:eastAsia="Times New Roman" w:cs="Times New Roman"/>
          <w:spacing w:val="-3"/>
          <w:position w:val="2"/>
          <w:sz w:val="24"/>
          <w:szCs w:val="24"/>
        </w:rPr>
        <w:t xml:space="preserve">2016 </w:t>
      </w:r>
      <w:r>
        <w:rPr>
          <w:rFonts w:ascii="宋体" w:hAnsi="宋体" w:eastAsia="宋体" w:cs="宋体"/>
          <w:spacing w:val="-3"/>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3"/>
          <w:position w:val="2"/>
          <w:sz w:val="24"/>
          <w:szCs w:val="24"/>
        </w:rPr>
        <w:t>10</w:t>
      </w:r>
      <w:r>
        <w:rPr>
          <w:rFonts w:ascii="Times New Roman" w:hAnsi="Times New Roman" w:eastAsia="Times New Roman" w:cs="Times New Roman"/>
          <w:spacing w:val="15"/>
          <w:position w:val="2"/>
          <w:sz w:val="24"/>
          <w:szCs w:val="24"/>
        </w:rPr>
        <w:t xml:space="preserve"> </w:t>
      </w:r>
      <w:r>
        <w:rPr>
          <w:rFonts w:ascii="宋体" w:hAnsi="宋体" w:eastAsia="宋体" w:cs="宋体"/>
          <w:spacing w:val="-3"/>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3"/>
          <w:position w:val="2"/>
          <w:sz w:val="24"/>
          <w:szCs w:val="24"/>
        </w:rPr>
        <w:t xml:space="preserve">28  </w:t>
      </w:r>
      <w:r>
        <w:rPr>
          <w:rFonts w:ascii="宋体" w:hAnsi="宋体" w:eastAsia="宋体" w:cs="宋体"/>
          <w:spacing w:val="-3"/>
          <w:position w:val="2"/>
          <w:sz w:val="24"/>
          <w:szCs w:val="24"/>
        </w:rPr>
        <w:t>日</w:t>
      </w:r>
      <w:r>
        <w:rPr>
          <w:rFonts w:ascii="宋体" w:hAnsi="宋体" w:eastAsia="宋体" w:cs="宋体"/>
          <w:spacing w:val="-14"/>
          <w:position w:val="2"/>
          <w:sz w:val="24"/>
          <w:szCs w:val="24"/>
        </w:rPr>
        <w:t>）；</w:t>
      </w:r>
    </w:p>
    <w:p w14:paraId="09F2AF6D">
      <w:pPr>
        <w:spacing w:before="127" w:line="360" w:lineRule="exact"/>
        <w:jc w:val="right"/>
        <w:rPr>
          <w:rFonts w:ascii="宋体" w:hAnsi="宋体" w:eastAsia="宋体" w:cs="宋体"/>
          <w:sz w:val="24"/>
          <w:szCs w:val="24"/>
        </w:rPr>
      </w:pPr>
      <w:r>
        <w:rPr>
          <w:rFonts w:ascii="宋体" w:hAnsi="宋体" w:eastAsia="宋体" w:cs="宋体"/>
          <w:spacing w:val="-6"/>
          <w:position w:val="2"/>
          <w:sz w:val="24"/>
          <w:szCs w:val="24"/>
        </w:rPr>
        <w:t>（</w:t>
      </w:r>
      <w:r>
        <w:rPr>
          <w:rFonts w:ascii="Times New Roman" w:hAnsi="Times New Roman" w:eastAsia="Times New Roman" w:cs="Times New Roman"/>
          <w:spacing w:val="-6"/>
          <w:position w:val="2"/>
          <w:sz w:val="24"/>
          <w:szCs w:val="24"/>
        </w:rPr>
        <w:t>27</w:t>
      </w:r>
      <w:r>
        <w:rPr>
          <w:rFonts w:ascii="宋体" w:hAnsi="宋体" w:eastAsia="宋体" w:cs="宋体"/>
          <w:spacing w:val="-6"/>
          <w:position w:val="2"/>
          <w:sz w:val="24"/>
          <w:szCs w:val="24"/>
        </w:rPr>
        <w:t>）《重大动物疫情应急条例》（</w:t>
      </w:r>
      <w:r>
        <w:rPr>
          <w:rFonts w:ascii="Times New Roman" w:hAnsi="Times New Roman" w:eastAsia="Times New Roman" w:cs="Times New Roman"/>
          <w:spacing w:val="-6"/>
          <w:position w:val="2"/>
          <w:sz w:val="24"/>
          <w:szCs w:val="24"/>
        </w:rPr>
        <w:t xml:space="preserve">2015 </w:t>
      </w:r>
      <w:r>
        <w:rPr>
          <w:rFonts w:ascii="宋体" w:hAnsi="宋体" w:eastAsia="宋体" w:cs="宋体"/>
          <w:spacing w:val="-6"/>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6"/>
          <w:position w:val="2"/>
          <w:sz w:val="24"/>
          <w:szCs w:val="24"/>
        </w:rPr>
        <w:t xml:space="preserve">11 </w:t>
      </w:r>
      <w:r>
        <w:rPr>
          <w:rFonts w:ascii="宋体" w:hAnsi="宋体" w:eastAsia="宋体" w:cs="宋体"/>
          <w:spacing w:val="-6"/>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6"/>
          <w:position w:val="2"/>
          <w:sz w:val="24"/>
          <w:szCs w:val="24"/>
        </w:rPr>
        <w:t xml:space="preserve">18  </w:t>
      </w:r>
      <w:r>
        <w:rPr>
          <w:rFonts w:ascii="宋体" w:hAnsi="宋体" w:eastAsia="宋体" w:cs="宋体"/>
          <w:spacing w:val="-6"/>
          <w:position w:val="2"/>
          <w:sz w:val="24"/>
          <w:szCs w:val="24"/>
        </w:rPr>
        <w:t>日，国务院令第</w:t>
      </w:r>
      <w:r>
        <w:rPr>
          <w:rFonts w:ascii="宋体" w:hAnsi="宋体" w:eastAsia="宋体" w:cs="宋体"/>
          <w:spacing w:val="-56"/>
          <w:position w:val="2"/>
          <w:sz w:val="24"/>
          <w:szCs w:val="24"/>
        </w:rPr>
        <w:t xml:space="preserve"> </w:t>
      </w:r>
      <w:r>
        <w:rPr>
          <w:rFonts w:ascii="Times New Roman" w:hAnsi="Times New Roman" w:eastAsia="Times New Roman" w:cs="Times New Roman"/>
          <w:spacing w:val="-6"/>
          <w:position w:val="2"/>
          <w:sz w:val="24"/>
          <w:szCs w:val="24"/>
        </w:rPr>
        <w:t>450</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6"/>
          <w:position w:val="2"/>
          <w:sz w:val="24"/>
          <w:szCs w:val="24"/>
        </w:rPr>
        <w:t>号</w:t>
      </w:r>
      <w:r>
        <w:rPr>
          <w:rFonts w:ascii="宋体" w:hAnsi="宋体" w:eastAsia="宋体" w:cs="宋体"/>
          <w:spacing w:val="-29"/>
          <w:position w:val="2"/>
          <w:sz w:val="24"/>
          <w:szCs w:val="24"/>
        </w:rPr>
        <w:t>）；</w:t>
      </w:r>
    </w:p>
    <w:p w14:paraId="05002EB7">
      <w:pPr>
        <w:spacing w:before="130" w:line="359" w:lineRule="exact"/>
        <w:jc w:val="right"/>
        <w:rPr>
          <w:rFonts w:ascii="宋体" w:hAnsi="宋体" w:eastAsia="宋体" w:cs="宋体"/>
          <w:sz w:val="24"/>
          <w:szCs w:val="24"/>
        </w:rPr>
      </w:pPr>
      <w:r>
        <w:rPr>
          <w:rFonts w:ascii="宋体" w:hAnsi="宋体" w:eastAsia="宋体" w:cs="宋体"/>
          <w:spacing w:val="-13"/>
          <w:position w:val="2"/>
          <w:sz w:val="24"/>
          <w:szCs w:val="24"/>
        </w:rPr>
        <w:t>（</w:t>
      </w:r>
      <w:r>
        <w:rPr>
          <w:rFonts w:ascii="Times New Roman" w:hAnsi="Times New Roman" w:eastAsia="Times New Roman" w:cs="Times New Roman"/>
          <w:spacing w:val="-13"/>
          <w:position w:val="2"/>
          <w:sz w:val="24"/>
          <w:szCs w:val="24"/>
        </w:rPr>
        <w:t>28</w:t>
      </w:r>
      <w:r>
        <w:rPr>
          <w:rFonts w:ascii="宋体" w:hAnsi="宋体" w:eastAsia="宋体" w:cs="宋体"/>
          <w:spacing w:val="-13"/>
          <w:position w:val="2"/>
          <w:sz w:val="24"/>
          <w:szCs w:val="24"/>
        </w:rPr>
        <w:t>）《饲料和饲料添加剂管理条例》（国务院令第</w:t>
      </w:r>
      <w:r>
        <w:rPr>
          <w:rFonts w:ascii="宋体" w:hAnsi="宋体" w:eastAsia="宋体" w:cs="宋体"/>
          <w:spacing w:val="-49"/>
          <w:position w:val="2"/>
          <w:sz w:val="24"/>
          <w:szCs w:val="24"/>
        </w:rPr>
        <w:t xml:space="preserve"> </w:t>
      </w:r>
      <w:r>
        <w:rPr>
          <w:rFonts w:ascii="Times New Roman" w:hAnsi="Times New Roman" w:eastAsia="Times New Roman" w:cs="Times New Roman"/>
          <w:spacing w:val="-13"/>
          <w:position w:val="2"/>
          <w:sz w:val="24"/>
          <w:szCs w:val="24"/>
        </w:rPr>
        <w:t>64</w:t>
      </w:r>
      <w:r>
        <w:rPr>
          <w:rFonts w:ascii="Times New Roman" w:hAnsi="Times New Roman" w:eastAsia="Times New Roman" w:cs="Times New Roman"/>
          <w:spacing w:val="-14"/>
          <w:position w:val="2"/>
          <w:sz w:val="24"/>
          <w:szCs w:val="24"/>
        </w:rPr>
        <w:t>5</w:t>
      </w:r>
      <w:r>
        <w:rPr>
          <w:rFonts w:ascii="Times New Roman" w:hAnsi="Times New Roman" w:eastAsia="Times New Roman" w:cs="Times New Roman"/>
          <w:spacing w:val="15"/>
          <w:position w:val="2"/>
          <w:sz w:val="24"/>
          <w:szCs w:val="24"/>
        </w:rPr>
        <w:t xml:space="preserve"> </w:t>
      </w:r>
      <w:r>
        <w:rPr>
          <w:rFonts w:ascii="宋体" w:hAnsi="宋体" w:eastAsia="宋体" w:cs="宋体"/>
          <w:spacing w:val="-14"/>
          <w:position w:val="2"/>
          <w:sz w:val="24"/>
          <w:szCs w:val="24"/>
        </w:rPr>
        <w:t>号，</w:t>
      </w:r>
      <w:r>
        <w:rPr>
          <w:rFonts w:ascii="Times New Roman" w:hAnsi="Times New Roman" w:eastAsia="Times New Roman" w:cs="Times New Roman"/>
          <w:spacing w:val="-14"/>
          <w:position w:val="2"/>
          <w:sz w:val="24"/>
          <w:szCs w:val="24"/>
        </w:rPr>
        <w:t>2012</w:t>
      </w:r>
      <w:r>
        <w:rPr>
          <w:rFonts w:ascii="Times New Roman" w:hAnsi="Times New Roman" w:eastAsia="Times New Roman" w:cs="Times New Roman"/>
          <w:spacing w:val="10"/>
          <w:position w:val="2"/>
          <w:sz w:val="24"/>
          <w:szCs w:val="24"/>
        </w:rPr>
        <w:t xml:space="preserve"> </w:t>
      </w:r>
      <w:r>
        <w:rPr>
          <w:rFonts w:ascii="宋体" w:hAnsi="宋体" w:eastAsia="宋体" w:cs="宋体"/>
          <w:spacing w:val="-14"/>
          <w:position w:val="2"/>
          <w:sz w:val="24"/>
          <w:szCs w:val="24"/>
        </w:rPr>
        <w:t>年</w:t>
      </w:r>
      <w:r>
        <w:rPr>
          <w:rFonts w:ascii="宋体" w:hAnsi="宋体" w:eastAsia="宋体" w:cs="宋体"/>
          <w:spacing w:val="-48"/>
          <w:position w:val="2"/>
          <w:sz w:val="24"/>
          <w:szCs w:val="24"/>
        </w:rPr>
        <w:t xml:space="preserve"> </w:t>
      </w:r>
      <w:r>
        <w:rPr>
          <w:rFonts w:ascii="Times New Roman" w:hAnsi="Times New Roman" w:eastAsia="Times New Roman" w:cs="Times New Roman"/>
          <w:spacing w:val="-14"/>
          <w:position w:val="2"/>
          <w:sz w:val="24"/>
          <w:szCs w:val="24"/>
        </w:rPr>
        <w:t>5</w:t>
      </w:r>
      <w:r>
        <w:rPr>
          <w:rFonts w:ascii="Times New Roman" w:hAnsi="Times New Roman" w:eastAsia="Times New Roman" w:cs="Times New Roman"/>
          <w:spacing w:val="15"/>
          <w:position w:val="2"/>
          <w:sz w:val="24"/>
          <w:szCs w:val="24"/>
        </w:rPr>
        <w:t xml:space="preserve"> </w:t>
      </w:r>
      <w:r>
        <w:rPr>
          <w:rFonts w:ascii="宋体" w:hAnsi="宋体" w:eastAsia="宋体" w:cs="宋体"/>
          <w:spacing w:val="-14"/>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51"/>
          <w:position w:val="2"/>
          <w:sz w:val="24"/>
          <w:szCs w:val="24"/>
        </w:rPr>
        <w:t xml:space="preserve"> </w:t>
      </w:r>
      <w:r>
        <w:rPr>
          <w:rFonts w:ascii="宋体" w:hAnsi="宋体" w:eastAsia="宋体" w:cs="宋体"/>
          <w:spacing w:val="-14"/>
          <w:position w:val="2"/>
          <w:sz w:val="24"/>
          <w:szCs w:val="24"/>
        </w:rPr>
        <w:t>日）。</w:t>
      </w:r>
    </w:p>
    <w:p w14:paraId="1769C414">
      <w:pPr>
        <w:spacing w:before="166" w:line="220" w:lineRule="auto"/>
        <w:ind w:left="1"/>
        <w:outlineLvl w:val="2"/>
        <w:rPr>
          <w:rFonts w:ascii="宋体" w:hAnsi="宋体" w:eastAsia="宋体" w:cs="宋体"/>
          <w:sz w:val="24"/>
          <w:szCs w:val="24"/>
        </w:rPr>
      </w:pPr>
      <w:r>
        <w:rPr>
          <w:rFonts w:ascii="Times New Roman" w:hAnsi="Times New Roman" w:eastAsia="Times New Roman" w:cs="Times New Roman"/>
          <w:b/>
          <w:bCs/>
          <w:spacing w:val="-2"/>
          <w:sz w:val="24"/>
          <w:szCs w:val="24"/>
        </w:rPr>
        <w:t>2.1.2</w:t>
      </w:r>
      <w:r>
        <w:rPr>
          <w:rFonts w:ascii="宋体" w:hAnsi="宋体" w:eastAsia="宋体" w:cs="宋体"/>
          <w:b/>
          <w:bCs/>
          <w:spacing w:val="-2"/>
          <w:sz w:val="24"/>
          <w:szCs w:val="24"/>
        </w:rPr>
        <w:t>地方性法规及规范性文件</w:t>
      </w:r>
    </w:p>
    <w:p w14:paraId="5B443755">
      <w:pPr>
        <w:spacing w:before="167" w:line="327" w:lineRule="auto"/>
        <w:ind w:left="6" w:right="81"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）《广东省建设项目环境保护管理规范（试行）》（广东省环境保护局粤环</w:t>
      </w:r>
      <w:r>
        <w:rPr>
          <w:rFonts w:ascii="宋体" w:hAnsi="宋体" w:eastAsia="宋体" w:cs="宋体"/>
          <w:spacing w:val="16"/>
          <w:sz w:val="24"/>
          <w:szCs w:val="24"/>
        </w:rPr>
        <w:t xml:space="preserve"> </w:t>
      </w:r>
      <w:r>
        <w:rPr>
          <w:rFonts w:ascii="宋体" w:hAnsi="宋体" w:eastAsia="宋体" w:cs="宋体"/>
          <w:spacing w:val="-2"/>
          <w:sz w:val="24"/>
          <w:szCs w:val="24"/>
        </w:rPr>
        <w:t>监〔</w:t>
      </w:r>
      <w:r>
        <w:rPr>
          <w:rFonts w:ascii="Times New Roman" w:hAnsi="Times New Roman" w:eastAsia="Times New Roman" w:cs="Times New Roman"/>
          <w:spacing w:val="-2"/>
          <w:sz w:val="24"/>
          <w:szCs w:val="24"/>
        </w:rPr>
        <w:t>2000</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号</w:t>
      </w:r>
      <w:r>
        <w:rPr>
          <w:rFonts w:ascii="宋体" w:hAnsi="宋体" w:eastAsia="宋体" w:cs="宋体"/>
          <w:spacing w:val="2"/>
          <w:sz w:val="24"/>
          <w:szCs w:val="24"/>
        </w:rPr>
        <w:t>）；</w:t>
      </w:r>
    </w:p>
    <w:p w14:paraId="43F3596B">
      <w:pPr>
        <w:spacing w:before="128"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）《广东省环境保护条例》（</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3"/>
          <w:position w:val="2"/>
          <w:sz w:val="24"/>
          <w:szCs w:val="24"/>
        </w:rPr>
        <w:t xml:space="preserve">11 </w:t>
      </w:r>
      <w:r>
        <w:rPr>
          <w:rFonts w:ascii="宋体" w:hAnsi="宋体" w:eastAsia="宋体" w:cs="宋体"/>
          <w:spacing w:val="-3"/>
          <w:position w:val="2"/>
          <w:sz w:val="24"/>
          <w:szCs w:val="24"/>
        </w:rPr>
        <w:t>月修正</w:t>
      </w:r>
      <w:r>
        <w:rPr>
          <w:rFonts w:ascii="宋体" w:hAnsi="宋体" w:eastAsia="宋体" w:cs="宋体"/>
          <w:position w:val="2"/>
          <w:sz w:val="24"/>
          <w:szCs w:val="24"/>
        </w:rPr>
        <w:t>）；</w:t>
      </w:r>
    </w:p>
    <w:p w14:paraId="4E9110E5">
      <w:pPr>
        <w:spacing w:before="128" w:line="328" w:lineRule="auto"/>
        <w:ind w:left="5" w:right="8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）《广东省人民政府关于进一步加强环</w:t>
      </w:r>
      <w:r>
        <w:rPr>
          <w:rFonts w:ascii="宋体" w:hAnsi="宋体" w:eastAsia="宋体" w:cs="宋体"/>
          <w:spacing w:val="-2"/>
          <w:sz w:val="24"/>
          <w:szCs w:val="24"/>
        </w:rPr>
        <w:t>境保护工作的决定》（粤府〔</w:t>
      </w:r>
      <w:r>
        <w:rPr>
          <w:rFonts w:ascii="Times New Roman" w:hAnsi="Times New Roman" w:eastAsia="Times New Roman" w:cs="Times New Roman"/>
          <w:spacing w:val="-2"/>
          <w:sz w:val="24"/>
          <w:szCs w:val="24"/>
        </w:rPr>
        <w:t>2002</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8"/>
          <w:sz w:val="24"/>
          <w:szCs w:val="24"/>
        </w:rPr>
        <w:t>71</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号</w:t>
      </w:r>
      <w:r>
        <w:rPr>
          <w:rFonts w:ascii="宋体" w:hAnsi="宋体" w:eastAsia="宋体" w:cs="宋体"/>
          <w:sz w:val="24"/>
          <w:szCs w:val="24"/>
        </w:rPr>
        <w:t>）；</w:t>
      </w:r>
    </w:p>
    <w:p w14:paraId="66CA9568">
      <w:pPr>
        <w:spacing w:before="125" w:line="360"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）《广东省重点开发区产业发展指导目录》（</w:t>
      </w:r>
      <w:r>
        <w:rPr>
          <w:rFonts w:ascii="Times New Roman" w:hAnsi="Times New Roman" w:eastAsia="Times New Roman" w:cs="Times New Roman"/>
          <w:spacing w:val="-1"/>
          <w:position w:val="2"/>
          <w:sz w:val="24"/>
          <w:szCs w:val="24"/>
        </w:rPr>
        <w:t xml:space="preserve">2014 </w:t>
      </w:r>
      <w:r>
        <w:rPr>
          <w:rFonts w:ascii="宋体" w:hAnsi="宋体" w:eastAsia="宋体" w:cs="宋体"/>
          <w:spacing w:val="-1"/>
          <w:position w:val="2"/>
          <w:sz w:val="24"/>
          <w:szCs w:val="24"/>
        </w:rPr>
        <w:t>年本</w:t>
      </w:r>
      <w:r>
        <w:rPr>
          <w:rFonts w:ascii="宋体" w:hAnsi="宋体" w:eastAsia="宋体" w:cs="宋体"/>
          <w:spacing w:val="3"/>
          <w:position w:val="2"/>
          <w:sz w:val="24"/>
          <w:szCs w:val="24"/>
        </w:rPr>
        <w:t>）；</w:t>
      </w:r>
    </w:p>
    <w:p w14:paraId="4D21CB69">
      <w:pPr>
        <w:spacing w:before="130" w:line="360"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5</w:t>
      </w:r>
      <w:r>
        <w:rPr>
          <w:rFonts w:ascii="宋体" w:hAnsi="宋体" w:eastAsia="宋体" w:cs="宋体"/>
          <w:spacing w:val="-1"/>
          <w:position w:val="2"/>
          <w:sz w:val="24"/>
          <w:szCs w:val="24"/>
        </w:rPr>
        <w:t>）《广东省地表水环境功能区划》（粤环〔</w:t>
      </w:r>
      <w:r>
        <w:rPr>
          <w:rFonts w:ascii="Times New Roman" w:hAnsi="Times New Roman" w:eastAsia="Times New Roman" w:cs="Times New Roman"/>
          <w:spacing w:val="-1"/>
          <w:position w:val="2"/>
          <w:sz w:val="24"/>
          <w:szCs w:val="24"/>
        </w:rPr>
        <w:t>2011</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14</w:t>
      </w:r>
      <w:r>
        <w:rPr>
          <w:rFonts w:ascii="Times New Roman" w:hAnsi="Times New Roman" w:eastAsia="Times New Roman" w:cs="Times New Roman"/>
          <w:spacing w:val="15"/>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position w:val="2"/>
          <w:sz w:val="24"/>
          <w:szCs w:val="24"/>
        </w:rPr>
        <w:t>）；</w:t>
      </w:r>
    </w:p>
    <w:p w14:paraId="4A95AB0F">
      <w:pPr>
        <w:spacing w:before="130"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6</w:t>
      </w:r>
      <w:r>
        <w:rPr>
          <w:rFonts w:ascii="宋体" w:hAnsi="宋体" w:eastAsia="宋体" w:cs="宋体"/>
          <w:spacing w:val="-2"/>
          <w:position w:val="2"/>
          <w:sz w:val="24"/>
          <w:szCs w:val="24"/>
        </w:rPr>
        <w:t>）《广东省固体废物污染环境防治条例》（</w:t>
      </w:r>
      <w:r>
        <w:rPr>
          <w:rFonts w:ascii="Times New Roman" w:hAnsi="Times New Roman" w:eastAsia="Times New Roman" w:cs="Times New Roman"/>
          <w:spacing w:val="-2"/>
          <w:position w:val="2"/>
          <w:sz w:val="24"/>
          <w:szCs w:val="24"/>
        </w:rPr>
        <w:t xml:space="preserve">2019 </w:t>
      </w:r>
      <w:r>
        <w:rPr>
          <w:rFonts w:ascii="宋体" w:hAnsi="宋体" w:eastAsia="宋体" w:cs="宋体"/>
          <w:spacing w:val="-2"/>
          <w:position w:val="2"/>
          <w:sz w:val="24"/>
          <w:szCs w:val="24"/>
        </w:rPr>
        <w:t>年</w:t>
      </w:r>
      <w:r>
        <w:rPr>
          <w:rFonts w:ascii="宋体" w:hAnsi="宋体" w:eastAsia="宋体" w:cs="宋体"/>
          <w:spacing w:val="-49"/>
          <w:position w:val="2"/>
          <w:sz w:val="24"/>
          <w:szCs w:val="24"/>
        </w:rPr>
        <w:t xml:space="preserve"> </w:t>
      </w:r>
      <w:r>
        <w:rPr>
          <w:rFonts w:ascii="Times New Roman" w:hAnsi="Times New Roman" w:eastAsia="Times New Roman" w:cs="Times New Roman"/>
          <w:spacing w:val="-2"/>
          <w:position w:val="2"/>
          <w:sz w:val="24"/>
          <w:szCs w:val="24"/>
        </w:rPr>
        <w:t>3</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月修订</w:t>
      </w:r>
      <w:r>
        <w:rPr>
          <w:rFonts w:ascii="宋体" w:hAnsi="宋体" w:eastAsia="宋体" w:cs="宋体"/>
          <w:spacing w:val="7"/>
          <w:position w:val="2"/>
          <w:sz w:val="24"/>
          <w:szCs w:val="24"/>
        </w:rPr>
        <w:t>）；</w:t>
      </w:r>
    </w:p>
    <w:p w14:paraId="0B4FEFFB">
      <w:pPr>
        <w:spacing w:before="128" w:line="327" w:lineRule="auto"/>
        <w:ind w:right="5" w:firstLine="49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）《关于印发</w:t>
      </w:r>
      <w:r>
        <w:rPr>
          <w:rFonts w:ascii="Times New Roman" w:hAnsi="Times New Roman" w:eastAsia="Times New Roman" w:cs="Times New Roman"/>
          <w:spacing w:val="-7"/>
          <w:sz w:val="24"/>
          <w:szCs w:val="24"/>
        </w:rPr>
        <w:t>&lt;</w:t>
      </w:r>
      <w:r>
        <w:rPr>
          <w:rFonts w:ascii="宋体" w:hAnsi="宋体" w:eastAsia="宋体" w:cs="宋体"/>
          <w:spacing w:val="-7"/>
          <w:sz w:val="24"/>
          <w:szCs w:val="24"/>
        </w:rPr>
        <w:t>广东省污染源排污口规范化设置导则</w:t>
      </w:r>
      <w:r>
        <w:rPr>
          <w:rFonts w:ascii="Times New Roman" w:hAnsi="Times New Roman" w:eastAsia="Times New Roman" w:cs="Times New Roman"/>
          <w:spacing w:val="-7"/>
          <w:sz w:val="24"/>
          <w:szCs w:val="24"/>
        </w:rPr>
        <w:t>&gt;</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的通知》（粤环〔</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8"/>
          <w:sz w:val="24"/>
          <w:szCs w:val="24"/>
        </w:rPr>
        <w:t>008</w:t>
      </w:r>
      <w:r>
        <w:rPr>
          <w:rFonts w:ascii="宋体" w:hAnsi="宋体" w:eastAsia="宋体" w:cs="宋体"/>
          <w:spacing w:val="-8"/>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42</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号</w:t>
      </w:r>
      <w:r>
        <w:rPr>
          <w:rFonts w:ascii="宋体" w:hAnsi="宋体" w:eastAsia="宋体" w:cs="宋体"/>
          <w:sz w:val="24"/>
          <w:szCs w:val="24"/>
        </w:rPr>
        <w:t>）；</w:t>
      </w:r>
    </w:p>
    <w:p w14:paraId="229F6967">
      <w:pPr>
        <w:spacing w:before="128"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8</w:t>
      </w:r>
      <w:r>
        <w:rPr>
          <w:rFonts w:ascii="宋体" w:hAnsi="宋体" w:eastAsia="宋体" w:cs="宋体"/>
          <w:spacing w:val="-2"/>
          <w:position w:val="2"/>
          <w:sz w:val="24"/>
          <w:szCs w:val="24"/>
        </w:rPr>
        <w:t>）《广东省饮用水源水质保护条例》（</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2"/>
          <w:position w:val="2"/>
          <w:sz w:val="24"/>
          <w:szCs w:val="24"/>
        </w:rPr>
        <w:t xml:space="preserve">11 </w:t>
      </w:r>
      <w:r>
        <w:rPr>
          <w:rFonts w:ascii="宋体" w:hAnsi="宋体" w:eastAsia="宋体" w:cs="宋体"/>
          <w:spacing w:val="-2"/>
          <w:position w:val="2"/>
          <w:sz w:val="24"/>
          <w:szCs w:val="24"/>
        </w:rPr>
        <w:t>月修正</w:t>
      </w:r>
      <w:r>
        <w:rPr>
          <w:rFonts w:ascii="宋体" w:hAnsi="宋体" w:eastAsia="宋体" w:cs="宋体"/>
          <w:spacing w:val="1"/>
          <w:position w:val="2"/>
          <w:sz w:val="24"/>
          <w:szCs w:val="24"/>
        </w:rPr>
        <w:t>）；</w:t>
      </w:r>
    </w:p>
    <w:p w14:paraId="1E8E40C2">
      <w:pPr>
        <w:spacing w:line="360" w:lineRule="exact"/>
        <w:rPr>
          <w:rFonts w:ascii="宋体" w:hAnsi="宋体" w:eastAsia="宋体" w:cs="宋体"/>
          <w:sz w:val="24"/>
          <w:szCs w:val="24"/>
        </w:rPr>
        <w:sectPr>
          <w:footerReference r:id="rId31" w:type="default"/>
          <w:pgSz w:w="11906" w:h="16839"/>
          <w:pgMar w:top="1431" w:right="1507" w:bottom="1485" w:left="1592" w:header="0" w:footer="1249" w:gutter="0"/>
          <w:cols w:space="720" w:num="1"/>
        </w:sectPr>
      </w:pPr>
    </w:p>
    <w:p w14:paraId="3003C59A">
      <w:pPr>
        <w:spacing w:before="75"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9</w:t>
      </w:r>
      <w:r>
        <w:rPr>
          <w:rFonts w:ascii="宋体" w:hAnsi="宋体" w:eastAsia="宋体" w:cs="宋体"/>
          <w:spacing w:val="-2"/>
          <w:position w:val="2"/>
          <w:sz w:val="24"/>
          <w:szCs w:val="24"/>
        </w:rPr>
        <w:t>）《广东省用水定额》（</w:t>
      </w:r>
      <w:r>
        <w:rPr>
          <w:rFonts w:ascii="Times New Roman" w:hAnsi="Times New Roman" w:eastAsia="Times New Roman" w:cs="Times New Roman"/>
          <w:spacing w:val="-2"/>
          <w:position w:val="2"/>
          <w:sz w:val="24"/>
          <w:szCs w:val="24"/>
        </w:rPr>
        <w:t>DB44/T</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1461-2014</w:t>
      </w:r>
      <w:r>
        <w:rPr>
          <w:rFonts w:ascii="宋体" w:hAnsi="宋体" w:eastAsia="宋体" w:cs="宋体"/>
          <w:spacing w:val="1"/>
          <w:position w:val="2"/>
          <w:sz w:val="24"/>
          <w:szCs w:val="24"/>
        </w:rPr>
        <w:t>）；</w:t>
      </w:r>
    </w:p>
    <w:p w14:paraId="156CB1B2">
      <w:pPr>
        <w:spacing w:before="128" w:line="327" w:lineRule="auto"/>
        <w:ind w:left="22" w:firstLine="472"/>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10</w:t>
      </w:r>
      <w:r>
        <w:rPr>
          <w:rFonts w:ascii="宋体" w:hAnsi="宋体" w:eastAsia="宋体" w:cs="宋体"/>
          <w:spacing w:val="-14"/>
          <w:sz w:val="24"/>
          <w:szCs w:val="24"/>
        </w:rPr>
        <w:t>）《印发</w:t>
      </w:r>
      <w:r>
        <w:rPr>
          <w:rFonts w:ascii="Times New Roman" w:hAnsi="Times New Roman" w:eastAsia="Times New Roman" w:cs="Times New Roman"/>
          <w:spacing w:val="-14"/>
          <w:sz w:val="24"/>
          <w:szCs w:val="24"/>
        </w:rPr>
        <w:t>&lt;</w:t>
      </w:r>
      <w:r>
        <w:rPr>
          <w:rFonts w:ascii="宋体" w:hAnsi="宋体" w:eastAsia="宋体" w:cs="宋体"/>
          <w:spacing w:val="-14"/>
          <w:sz w:val="24"/>
          <w:szCs w:val="24"/>
        </w:rPr>
        <w:t>广东省</w:t>
      </w:r>
      <w:r>
        <w:rPr>
          <w:rFonts w:ascii="Times New Roman" w:hAnsi="Times New Roman" w:eastAsia="Times New Roman" w:cs="Times New Roman"/>
          <w:spacing w:val="-14"/>
          <w:sz w:val="24"/>
          <w:szCs w:val="24"/>
        </w:rPr>
        <w:t>“</w:t>
      </w:r>
      <w:r>
        <w:rPr>
          <w:rFonts w:ascii="宋体" w:hAnsi="宋体" w:eastAsia="宋体" w:cs="宋体"/>
          <w:spacing w:val="-14"/>
          <w:sz w:val="24"/>
          <w:szCs w:val="24"/>
        </w:rPr>
        <w:t>十二五</w:t>
      </w:r>
      <w:r>
        <w:rPr>
          <w:rFonts w:ascii="Times New Roman" w:hAnsi="Times New Roman" w:eastAsia="Times New Roman" w:cs="Times New Roman"/>
          <w:spacing w:val="-14"/>
          <w:sz w:val="24"/>
          <w:szCs w:val="24"/>
        </w:rPr>
        <w:t>”</w:t>
      </w:r>
      <w:r>
        <w:rPr>
          <w:rFonts w:ascii="宋体" w:hAnsi="宋体" w:eastAsia="宋体" w:cs="宋体"/>
          <w:spacing w:val="-14"/>
          <w:sz w:val="24"/>
          <w:szCs w:val="24"/>
        </w:rPr>
        <w:t>节能减排</w:t>
      </w:r>
      <w:r>
        <w:rPr>
          <w:rFonts w:ascii="宋体" w:hAnsi="宋体" w:eastAsia="宋体" w:cs="宋体"/>
          <w:spacing w:val="-15"/>
          <w:sz w:val="24"/>
          <w:szCs w:val="24"/>
        </w:rPr>
        <w:t>综合性工作方案</w:t>
      </w:r>
      <w:r>
        <w:rPr>
          <w:rFonts w:ascii="Times New Roman" w:hAnsi="Times New Roman" w:eastAsia="Times New Roman" w:cs="Times New Roman"/>
          <w:spacing w:val="-15"/>
          <w:sz w:val="24"/>
          <w:szCs w:val="24"/>
        </w:rPr>
        <w:t>&gt;</w:t>
      </w:r>
      <w:r>
        <w:rPr>
          <w:rFonts w:ascii="Times New Roman" w:hAnsi="Times New Roman" w:eastAsia="Times New Roman" w:cs="Times New Roman"/>
          <w:spacing w:val="-29"/>
          <w:sz w:val="24"/>
          <w:szCs w:val="24"/>
        </w:rPr>
        <w:t xml:space="preserve"> </w:t>
      </w:r>
      <w:r>
        <w:rPr>
          <w:rFonts w:ascii="宋体" w:hAnsi="宋体" w:eastAsia="宋体" w:cs="宋体"/>
          <w:spacing w:val="-15"/>
          <w:sz w:val="24"/>
          <w:szCs w:val="24"/>
        </w:rPr>
        <w:t>的通知》（粤府办〔</w:t>
      </w:r>
      <w:r>
        <w:rPr>
          <w:rFonts w:ascii="Times New Roman" w:hAnsi="Times New Roman" w:eastAsia="Times New Roman" w:cs="Times New Roman"/>
          <w:spacing w:val="-15"/>
          <w:sz w:val="24"/>
          <w:szCs w:val="24"/>
        </w:rPr>
        <w:t>2012</w:t>
      </w:r>
      <w:r>
        <w:rPr>
          <w:rFonts w:ascii="宋体" w:hAnsi="宋体" w:eastAsia="宋体" w:cs="宋体"/>
          <w:spacing w:val="-15"/>
          <w:sz w:val="24"/>
          <w:szCs w:val="24"/>
        </w:rPr>
        <w:t>〕</w:t>
      </w:r>
      <w:r>
        <w:rPr>
          <w:rFonts w:ascii="宋体" w:hAnsi="宋体" w:eastAsia="宋体" w:cs="宋体"/>
          <w:sz w:val="24"/>
          <w:szCs w:val="24"/>
        </w:rPr>
        <w:t xml:space="preserve"> </w:t>
      </w:r>
      <w:r>
        <w:rPr>
          <w:rFonts w:ascii="Times New Roman" w:hAnsi="Times New Roman" w:eastAsia="Times New Roman" w:cs="Times New Roman"/>
          <w:spacing w:val="-15"/>
          <w:sz w:val="24"/>
          <w:szCs w:val="24"/>
        </w:rPr>
        <w:t>14</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号</w:t>
      </w:r>
      <w:r>
        <w:rPr>
          <w:rFonts w:ascii="宋体" w:hAnsi="宋体" w:eastAsia="宋体" w:cs="宋体"/>
          <w:sz w:val="24"/>
          <w:szCs w:val="24"/>
        </w:rPr>
        <w:t>）；</w:t>
      </w:r>
    </w:p>
    <w:p w14:paraId="5953CB87">
      <w:pPr>
        <w:spacing w:before="126" w:line="313" w:lineRule="auto"/>
        <w:ind w:left="3" w:right="2" w:firstLine="491"/>
        <w:rPr>
          <w:rFonts w:ascii="宋体" w:hAnsi="宋体" w:eastAsia="宋体" w:cs="宋体"/>
          <w:sz w:val="24"/>
          <w:szCs w:val="24"/>
        </w:rPr>
      </w:pPr>
      <w:r>
        <w:rPr>
          <w:rFonts w:ascii="宋体" w:hAnsi="宋体" w:eastAsia="宋体" w:cs="宋体"/>
          <w:spacing w:val="-15"/>
          <w:sz w:val="24"/>
          <w:szCs w:val="24"/>
        </w:rPr>
        <w:t>（</w:t>
      </w:r>
      <w:r>
        <w:rPr>
          <w:rFonts w:ascii="Times New Roman" w:hAnsi="Times New Roman" w:eastAsia="Times New Roman" w:cs="Times New Roman"/>
          <w:spacing w:val="-15"/>
          <w:sz w:val="24"/>
          <w:szCs w:val="24"/>
        </w:rPr>
        <w:t>11</w:t>
      </w:r>
      <w:r>
        <w:rPr>
          <w:rFonts w:ascii="宋体" w:hAnsi="宋体" w:eastAsia="宋体" w:cs="宋体"/>
          <w:spacing w:val="-15"/>
          <w:sz w:val="24"/>
          <w:szCs w:val="24"/>
        </w:rPr>
        <w:t>）《关于印发</w:t>
      </w:r>
      <w:r>
        <w:rPr>
          <w:rFonts w:ascii="Times New Roman" w:hAnsi="Times New Roman" w:eastAsia="Times New Roman" w:cs="Times New Roman"/>
          <w:spacing w:val="-15"/>
          <w:sz w:val="24"/>
          <w:szCs w:val="24"/>
        </w:rPr>
        <w:t>&lt;</w:t>
      </w:r>
      <w:r>
        <w:rPr>
          <w:rFonts w:ascii="宋体" w:hAnsi="宋体" w:eastAsia="宋体" w:cs="宋体"/>
          <w:spacing w:val="-15"/>
          <w:sz w:val="24"/>
          <w:szCs w:val="24"/>
        </w:rPr>
        <w:t>广东省主体功能区规</w:t>
      </w:r>
      <w:r>
        <w:rPr>
          <w:rFonts w:ascii="宋体" w:hAnsi="宋体" w:eastAsia="宋体" w:cs="宋体"/>
          <w:spacing w:val="-16"/>
          <w:sz w:val="24"/>
          <w:szCs w:val="24"/>
        </w:rPr>
        <w:t>划的配套环保政策</w:t>
      </w:r>
      <w:r>
        <w:rPr>
          <w:rFonts w:ascii="Times New Roman" w:hAnsi="Times New Roman" w:eastAsia="Times New Roman" w:cs="Times New Roman"/>
          <w:spacing w:val="-16"/>
          <w:sz w:val="24"/>
          <w:szCs w:val="24"/>
        </w:rPr>
        <w:t>&gt;</w:t>
      </w:r>
      <w:r>
        <w:rPr>
          <w:rFonts w:ascii="Times New Roman" w:hAnsi="Times New Roman" w:eastAsia="Times New Roman" w:cs="Times New Roman"/>
          <w:spacing w:val="-32"/>
          <w:sz w:val="24"/>
          <w:szCs w:val="24"/>
        </w:rPr>
        <w:t xml:space="preserve"> </w:t>
      </w:r>
      <w:r>
        <w:rPr>
          <w:rFonts w:ascii="宋体" w:hAnsi="宋体" w:eastAsia="宋体" w:cs="宋体"/>
          <w:spacing w:val="-16"/>
          <w:sz w:val="24"/>
          <w:szCs w:val="24"/>
        </w:rPr>
        <w:t>的通知》（粤环〔</w:t>
      </w:r>
      <w:r>
        <w:rPr>
          <w:rFonts w:ascii="Times New Roman" w:hAnsi="Times New Roman" w:eastAsia="Times New Roman" w:cs="Times New Roman"/>
          <w:spacing w:val="-16"/>
          <w:sz w:val="24"/>
          <w:szCs w:val="24"/>
        </w:rPr>
        <w:t>2014</w:t>
      </w:r>
      <w:r>
        <w:rPr>
          <w:rFonts w:ascii="宋体" w:hAnsi="宋体" w:eastAsia="宋体" w:cs="宋体"/>
          <w:spacing w:val="-16"/>
          <w:sz w:val="24"/>
          <w:szCs w:val="24"/>
        </w:rPr>
        <w:t>〕</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2"/>
          <w:sz w:val="24"/>
          <w:szCs w:val="24"/>
        </w:rPr>
        <w:t>号</w:t>
      </w:r>
      <w:r>
        <w:rPr>
          <w:rFonts w:ascii="宋体" w:hAnsi="宋体" w:eastAsia="宋体" w:cs="宋体"/>
          <w:sz w:val="24"/>
          <w:szCs w:val="24"/>
        </w:rPr>
        <w:t>）；</w:t>
      </w:r>
    </w:p>
    <w:p w14:paraId="4A5468D7">
      <w:pPr>
        <w:spacing w:before="166"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12</w:t>
      </w:r>
      <w:r>
        <w:rPr>
          <w:rFonts w:ascii="宋体" w:hAnsi="宋体" w:eastAsia="宋体" w:cs="宋体"/>
          <w:spacing w:val="-1"/>
          <w:position w:val="2"/>
          <w:sz w:val="24"/>
          <w:szCs w:val="24"/>
        </w:rPr>
        <w:t>）《南粤水更清行动计划（</w:t>
      </w:r>
      <w:r>
        <w:rPr>
          <w:rFonts w:ascii="Times New Roman" w:hAnsi="Times New Roman" w:eastAsia="Times New Roman" w:cs="Times New Roman"/>
          <w:spacing w:val="-1"/>
          <w:position w:val="2"/>
          <w:sz w:val="24"/>
          <w:szCs w:val="24"/>
        </w:rPr>
        <w:t xml:space="preserve">2013-2020 </w:t>
      </w:r>
      <w:r>
        <w:rPr>
          <w:rFonts w:ascii="宋体" w:hAnsi="宋体" w:eastAsia="宋体" w:cs="宋体"/>
          <w:spacing w:val="-1"/>
          <w:position w:val="2"/>
          <w:sz w:val="24"/>
          <w:szCs w:val="24"/>
        </w:rPr>
        <w:t>年）》（粤环〔</w:t>
      </w:r>
      <w:r>
        <w:rPr>
          <w:rFonts w:ascii="Times New Roman" w:hAnsi="Times New Roman" w:eastAsia="Times New Roman" w:cs="Times New Roman"/>
          <w:spacing w:val="-1"/>
          <w:position w:val="2"/>
          <w:sz w:val="24"/>
          <w:szCs w:val="24"/>
        </w:rPr>
        <w:t>2013</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13</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spacing w:val="8"/>
          <w:position w:val="2"/>
          <w:sz w:val="24"/>
          <w:szCs w:val="24"/>
        </w:rPr>
        <w:t>）；</w:t>
      </w:r>
    </w:p>
    <w:p w14:paraId="126FEF0D">
      <w:pPr>
        <w:spacing w:before="38"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13</w:t>
      </w:r>
      <w:r>
        <w:rPr>
          <w:rFonts w:ascii="宋体" w:hAnsi="宋体" w:eastAsia="宋体" w:cs="宋体"/>
          <w:spacing w:val="-2"/>
          <w:position w:val="2"/>
          <w:sz w:val="24"/>
          <w:szCs w:val="24"/>
        </w:rPr>
        <w:t>）广东省环境保护</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十三五</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规划；</w:t>
      </w:r>
    </w:p>
    <w:p w14:paraId="017ABBF9">
      <w:pPr>
        <w:spacing w:before="106"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14</w:t>
      </w:r>
      <w:r>
        <w:rPr>
          <w:rFonts w:ascii="宋体" w:hAnsi="宋体" w:eastAsia="宋体" w:cs="宋体"/>
          <w:spacing w:val="-1"/>
          <w:position w:val="2"/>
          <w:sz w:val="24"/>
          <w:szCs w:val="24"/>
        </w:rPr>
        <w:t>）广东省国民经济和社会发展</w:t>
      </w:r>
      <w:r>
        <w:rPr>
          <w:rFonts w:hint="eastAsia" w:ascii="宋体" w:hAnsi="宋体" w:eastAsia="宋体" w:cs="宋体"/>
          <w:spacing w:val="-1"/>
          <w:position w:val="2"/>
          <w:sz w:val="24"/>
          <w:szCs w:val="24"/>
          <w:lang w:eastAsia="zh-CN"/>
        </w:rPr>
        <w:t>“</w:t>
      </w:r>
      <w:r>
        <w:rPr>
          <w:rFonts w:ascii="宋体" w:hAnsi="宋体" w:eastAsia="宋体" w:cs="宋体"/>
          <w:spacing w:val="-1"/>
          <w:position w:val="2"/>
          <w:sz w:val="24"/>
          <w:szCs w:val="24"/>
        </w:rPr>
        <w:t>十三五</w:t>
      </w:r>
      <w:r>
        <w:rPr>
          <w:rFonts w:hint="eastAsia" w:ascii="宋体" w:hAnsi="宋体" w:eastAsia="宋体" w:cs="宋体"/>
          <w:spacing w:val="-1"/>
          <w:position w:val="2"/>
          <w:sz w:val="24"/>
          <w:szCs w:val="24"/>
          <w:lang w:eastAsia="zh-CN"/>
        </w:rPr>
        <w:t>”</w:t>
      </w:r>
      <w:r>
        <w:rPr>
          <w:rFonts w:ascii="宋体" w:hAnsi="宋体" w:eastAsia="宋体" w:cs="宋体"/>
          <w:spacing w:val="-1"/>
          <w:position w:val="2"/>
          <w:sz w:val="24"/>
          <w:szCs w:val="24"/>
        </w:rPr>
        <w:t>规划纲要；</w:t>
      </w:r>
    </w:p>
    <w:p w14:paraId="35D5439A">
      <w:pPr>
        <w:spacing w:before="107" w:line="319" w:lineRule="auto"/>
        <w:ind w:left="23" w:right="72"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15</w:t>
      </w:r>
      <w:r>
        <w:rPr>
          <w:rFonts w:ascii="宋体" w:hAnsi="宋体" w:eastAsia="宋体" w:cs="宋体"/>
          <w:spacing w:val="-2"/>
          <w:sz w:val="24"/>
          <w:szCs w:val="24"/>
        </w:rPr>
        <w:t>）《关于印发</w:t>
      </w:r>
      <w:r>
        <w:rPr>
          <w:rFonts w:ascii="Times New Roman" w:hAnsi="Times New Roman" w:eastAsia="Times New Roman" w:cs="Times New Roman"/>
          <w:spacing w:val="-2"/>
          <w:sz w:val="24"/>
          <w:szCs w:val="24"/>
        </w:rPr>
        <w:t>&lt;</w:t>
      </w:r>
      <w:r>
        <w:rPr>
          <w:rFonts w:ascii="宋体" w:hAnsi="宋体" w:eastAsia="宋体" w:cs="宋体"/>
          <w:spacing w:val="-2"/>
          <w:sz w:val="24"/>
          <w:szCs w:val="24"/>
        </w:rPr>
        <w:t>广东省生猪生产发展总体规划和区域布</w:t>
      </w:r>
      <w:r>
        <w:rPr>
          <w:rFonts w:ascii="宋体" w:hAnsi="宋体" w:eastAsia="宋体" w:cs="宋体"/>
          <w:spacing w:val="-3"/>
          <w:sz w:val="24"/>
          <w:szCs w:val="24"/>
        </w:rPr>
        <w:t>局（</w:t>
      </w:r>
      <w:r>
        <w:rPr>
          <w:rFonts w:ascii="Times New Roman" w:hAnsi="Times New Roman" w:eastAsia="Times New Roman" w:cs="Times New Roman"/>
          <w:spacing w:val="-3"/>
          <w:sz w:val="24"/>
          <w:szCs w:val="24"/>
        </w:rPr>
        <w:t xml:space="preserve">2008-2020 </w:t>
      </w:r>
      <w:r>
        <w:rPr>
          <w:rFonts w:ascii="宋体" w:hAnsi="宋体" w:eastAsia="宋体" w:cs="宋体"/>
          <w:spacing w:val="-3"/>
          <w:sz w:val="24"/>
          <w:szCs w:val="24"/>
        </w:rPr>
        <w:t>年）</w:t>
      </w:r>
      <w:r>
        <w:rPr>
          <w:rFonts w:ascii="Times New Roman" w:hAnsi="Times New Roman" w:eastAsia="Times New Roman" w:cs="Times New Roman"/>
          <w:spacing w:val="-3"/>
          <w:sz w:val="24"/>
          <w:szCs w:val="24"/>
        </w:rPr>
        <w:t>&gt;</w:t>
      </w:r>
      <w:r>
        <w:rPr>
          <w:rFonts w:ascii="Times New Roman" w:hAnsi="Times New Roman" w:eastAsia="Times New Roman" w:cs="Times New Roman"/>
          <w:sz w:val="24"/>
          <w:szCs w:val="24"/>
        </w:rPr>
        <w:t xml:space="preserve"> </w:t>
      </w:r>
      <w:r>
        <w:rPr>
          <w:rFonts w:ascii="宋体" w:hAnsi="宋体" w:eastAsia="宋体" w:cs="宋体"/>
          <w:sz w:val="24"/>
          <w:szCs w:val="24"/>
        </w:rPr>
        <w:t>的通知》（粤农〔</w:t>
      </w:r>
      <w:r>
        <w:rPr>
          <w:rFonts w:ascii="Times New Roman" w:hAnsi="Times New Roman" w:eastAsia="Times New Roman" w:cs="Times New Roman"/>
          <w:sz w:val="24"/>
          <w:szCs w:val="24"/>
        </w:rPr>
        <w:t>2008</w:t>
      </w:r>
      <w:r>
        <w:rPr>
          <w:rFonts w:ascii="宋体" w:hAnsi="宋体" w:eastAsia="宋体" w:cs="宋体"/>
          <w:sz w:val="24"/>
          <w:szCs w:val="24"/>
        </w:rPr>
        <w:t>〕</w:t>
      </w:r>
      <w:r>
        <w:rPr>
          <w:rFonts w:ascii="Times New Roman" w:hAnsi="Times New Roman" w:eastAsia="Times New Roman" w:cs="Times New Roman"/>
          <w:sz w:val="24"/>
          <w:szCs w:val="24"/>
        </w:rPr>
        <w:t>185</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号，</w:t>
      </w:r>
      <w:r>
        <w:rPr>
          <w:rFonts w:ascii="Times New Roman" w:hAnsi="Times New Roman" w:eastAsia="Times New Roman" w:cs="Times New Roman"/>
          <w:sz w:val="24"/>
          <w:szCs w:val="24"/>
        </w:rPr>
        <w:t>200</w:t>
      </w:r>
      <w:r>
        <w:rPr>
          <w:rFonts w:ascii="Times New Roman" w:hAnsi="Times New Roman" w:eastAsia="Times New Roman" w:cs="Times New Roman"/>
          <w:spacing w:val="-1"/>
          <w:sz w:val="24"/>
          <w:szCs w:val="24"/>
        </w:rPr>
        <w:t xml:space="preserve">8 </w:t>
      </w:r>
      <w:r>
        <w:rPr>
          <w:rFonts w:ascii="宋体" w:hAnsi="宋体" w:eastAsia="宋体" w:cs="宋体"/>
          <w:spacing w:val="-1"/>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月</w:t>
      </w:r>
      <w:r>
        <w:rPr>
          <w:rFonts w:ascii="宋体" w:hAnsi="宋体" w:eastAsia="宋体" w:cs="宋体"/>
          <w:spacing w:val="-17"/>
          <w:sz w:val="24"/>
          <w:szCs w:val="24"/>
        </w:rPr>
        <w:t>）；</w:t>
      </w:r>
    </w:p>
    <w:p w14:paraId="7A2A91F9">
      <w:pPr>
        <w:spacing w:before="106"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16</w:t>
      </w:r>
      <w:r>
        <w:rPr>
          <w:rFonts w:ascii="宋体" w:hAnsi="宋体" w:eastAsia="宋体" w:cs="宋体"/>
          <w:spacing w:val="-1"/>
          <w:position w:val="2"/>
          <w:sz w:val="24"/>
          <w:szCs w:val="24"/>
        </w:rPr>
        <w:t>）《广东省兴办规模化畜禽养殖场指南》（粤农〔</w:t>
      </w:r>
      <w:r>
        <w:rPr>
          <w:rFonts w:ascii="Times New Roman" w:hAnsi="Times New Roman" w:eastAsia="Times New Roman" w:cs="Times New Roman"/>
          <w:spacing w:val="-1"/>
          <w:position w:val="2"/>
          <w:sz w:val="24"/>
          <w:szCs w:val="24"/>
        </w:rPr>
        <w:t>2008</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137</w:t>
      </w:r>
      <w:r>
        <w:rPr>
          <w:rFonts w:ascii="Times New Roman" w:hAnsi="Times New Roman" w:eastAsia="Times New Roman" w:cs="Times New Roman"/>
          <w:spacing w:val="21"/>
          <w:w w:val="101"/>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spacing w:val="6"/>
          <w:position w:val="2"/>
          <w:sz w:val="24"/>
          <w:szCs w:val="24"/>
        </w:rPr>
        <w:t>）；</w:t>
      </w:r>
    </w:p>
    <w:p w14:paraId="773EF7C0">
      <w:pPr>
        <w:spacing w:before="108"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17</w:t>
      </w:r>
      <w:r>
        <w:rPr>
          <w:rFonts w:ascii="宋体" w:hAnsi="宋体" w:eastAsia="宋体" w:cs="宋体"/>
          <w:spacing w:val="-2"/>
          <w:position w:val="2"/>
          <w:sz w:val="24"/>
          <w:szCs w:val="24"/>
        </w:rPr>
        <w:t>）《广东省重大动物疫情应急预案》；</w:t>
      </w:r>
    </w:p>
    <w:p w14:paraId="1A9D06FB">
      <w:pPr>
        <w:spacing w:before="105" w:line="360" w:lineRule="exact"/>
        <w:ind w:left="495"/>
        <w:rPr>
          <w:rFonts w:ascii="宋体" w:hAnsi="宋体" w:eastAsia="宋体" w:cs="宋体"/>
          <w:sz w:val="24"/>
          <w:szCs w:val="24"/>
        </w:rPr>
      </w:pPr>
      <w:r>
        <w:rPr>
          <w:rFonts w:ascii="宋体" w:hAnsi="宋体" w:eastAsia="宋体" w:cs="宋体"/>
          <w:position w:val="2"/>
          <w:sz w:val="24"/>
          <w:szCs w:val="24"/>
        </w:rPr>
        <w:t>（</w:t>
      </w:r>
      <w:r>
        <w:rPr>
          <w:rFonts w:ascii="Times New Roman" w:hAnsi="Times New Roman" w:eastAsia="Times New Roman" w:cs="Times New Roman"/>
          <w:position w:val="2"/>
          <w:sz w:val="24"/>
          <w:szCs w:val="24"/>
        </w:rPr>
        <w:t>18</w:t>
      </w:r>
      <w:r>
        <w:rPr>
          <w:rFonts w:ascii="宋体" w:hAnsi="宋体" w:eastAsia="宋体" w:cs="宋体"/>
          <w:position w:val="2"/>
          <w:sz w:val="24"/>
          <w:szCs w:val="24"/>
        </w:rPr>
        <w:t>）《广东省农村环境保护</w:t>
      </w:r>
      <w:r>
        <w:rPr>
          <w:rFonts w:ascii="Times New Roman" w:hAnsi="Times New Roman" w:eastAsia="Times New Roman" w:cs="Times New Roman"/>
          <w:position w:val="2"/>
          <w:sz w:val="24"/>
          <w:szCs w:val="24"/>
        </w:rPr>
        <w:t>“</w:t>
      </w:r>
      <w:r>
        <w:rPr>
          <w:rFonts w:ascii="宋体" w:hAnsi="宋体" w:eastAsia="宋体" w:cs="宋体"/>
          <w:position w:val="2"/>
          <w:sz w:val="24"/>
          <w:szCs w:val="24"/>
        </w:rPr>
        <w:t>十三五</w:t>
      </w:r>
      <w:r>
        <w:rPr>
          <w:rFonts w:ascii="Times New Roman" w:hAnsi="Times New Roman" w:eastAsia="Times New Roman" w:cs="Times New Roman"/>
          <w:position w:val="2"/>
          <w:sz w:val="24"/>
          <w:szCs w:val="24"/>
        </w:rPr>
        <w:t>”</w:t>
      </w:r>
      <w:r>
        <w:rPr>
          <w:rFonts w:ascii="宋体" w:hAnsi="宋体" w:eastAsia="宋体" w:cs="宋体"/>
          <w:position w:val="2"/>
          <w:sz w:val="24"/>
          <w:szCs w:val="24"/>
        </w:rPr>
        <w:t>规</w:t>
      </w:r>
      <w:r>
        <w:rPr>
          <w:rFonts w:ascii="宋体" w:hAnsi="宋体" w:eastAsia="宋体" w:cs="宋体"/>
          <w:spacing w:val="-1"/>
          <w:position w:val="2"/>
          <w:sz w:val="24"/>
          <w:szCs w:val="24"/>
        </w:rPr>
        <w:t>划》；</w:t>
      </w:r>
    </w:p>
    <w:p w14:paraId="452E6CB7">
      <w:pPr>
        <w:spacing w:before="107" w:line="319" w:lineRule="auto"/>
        <w:ind w:left="1" w:right="78"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19</w:t>
      </w:r>
      <w:r>
        <w:rPr>
          <w:rFonts w:ascii="宋体" w:hAnsi="宋体" w:eastAsia="宋体" w:cs="宋体"/>
          <w:spacing w:val="2"/>
          <w:sz w:val="24"/>
          <w:szCs w:val="24"/>
        </w:rPr>
        <w:t>）《广东省环境保护厅广东省农业厅关于加强规模化畜禽养殖污</w:t>
      </w:r>
      <w:r>
        <w:rPr>
          <w:rFonts w:ascii="宋体" w:hAnsi="宋体" w:eastAsia="宋体" w:cs="宋体"/>
          <w:spacing w:val="1"/>
          <w:sz w:val="24"/>
          <w:szCs w:val="24"/>
        </w:rPr>
        <w:t>染防治促</w:t>
      </w:r>
      <w:r>
        <w:rPr>
          <w:rFonts w:ascii="宋体" w:hAnsi="宋体" w:eastAsia="宋体" w:cs="宋体"/>
          <w:sz w:val="24"/>
          <w:szCs w:val="24"/>
        </w:rPr>
        <w:t xml:space="preserve"> </w:t>
      </w:r>
      <w:r>
        <w:rPr>
          <w:rFonts w:ascii="宋体" w:hAnsi="宋体" w:eastAsia="宋体" w:cs="宋体"/>
          <w:spacing w:val="-1"/>
          <w:sz w:val="24"/>
          <w:szCs w:val="24"/>
        </w:rPr>
        <w:t>进生态健康发展的意见》（粤环发〔</w:t>
      </w:r>
      <w:r>
        <w:rPr>
          <w:rFonts w:ascii="Times New Roman" w:hAnsi="Times New Roman" w:eastAsia="Times New Roman" w:cs="Times New Roman"/>
          <w:spacing w:val="-1"/>
          <w:sz w:val="24"/>
          <w:szCs w:val="24"/>
        </w:rPr>
        <w:t>2010</w:t>
      </w:r>
      <w:r>
        <w:rPr>
          <w:rFonts w:ascii="宋体" w:hAnsi="宋体" w:eastAsia="宋体" w:cs="宋体"/>
          <w:spacing w:val="-1"/>
          <w:sz w:val="24"/>
          <w:szCs w:val="24"/>
        </w:rPr>
        <w:t>〕</w:t>
      </w:r>
      <w:r>
        <w:rPr>
          <w:rFonts w:ascii="Times New Roman" w:hAnsi="Times New Roman" w:eastAsia="Times New Roman" w:cs="Times New Roman"/>
          <w:spacing w:val="-1"/>
          <w:sz w:val="24"/>
          <w:szCs w:val="24"/>
        </w:rPr>
        <w:t>78</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号</w:t>
      </w:r>
      <w:r>
        <w:rPr>
          <w:rFonts w:ascii="宋体" w:hAnsi="宋体" w:eastAsia="宋体" w:cs="宋体"/>
          <w:spacing w:val="7"/>
          <w:sz w:val="24"/>
          <w:szCs w:val="24"/>
        </w:rPr>
        <w:t>）；</w:t>
      </w:r>
    </w:p>
    <w:p w14:paraId="1A666225">
      <w:pPr>
        <w:spacing w:before="106" w:line="303" w:lineRule="auto"/>
        <w:ind w:left="4" w:right="78"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20</w:t>
      </w:r>
      <w:r>
        <w:rPr>
          <w:rFonts w:ascii="宋体" w:hAnsi="宋体" w:eastAsia="宋体" w:cs="宋体"/>
          <w:sz w:val="24"/>
          <w:szCs w:val="24"/>
        </w:rPr>
        <w:t>）《汕尾市环境保护局审批环境影响评价文件的建设项目名录》（</w:t>
      </w:r>
      <w:r>
        <w:rPr>
          <w:rFonts w:ascii="Times New Roman" w:hAnsi="Times New Roman" w:eastAsia="Times New Roman" w:cs="Times New Roman"/>
          <w:sz w:val="24"/>
          <w:szCs w:val="24"/>
        </w:rPr>
        <w:t xml:space="preserve">2017 </w:t>
      </w:r>
      <w:r>
        <w:rPr>
          <w:rFonts w:ascii="宋体" w:hAnsi="宋体" w:eastAsia="宋体" w:cs="宋体"/>
          <w:sz w:val="24"/>
          <w:szCs w:val="24"/>
        </w:rPr>
        <w:t>年</w:t>
      </w:r>
      <w:r>
        <w:rPr>
          <w:rFonts w:ascii="宋体" w:hAnsi="宋体" w:eastAsia="宋体" w:cs="宋体"/>
          <w:spacing w:val="6"/>
          <w:sz w:val="24"/>
          <w:szCs w:val="24"/>
        </w:rPr>
        <w:t xml:space="preserve"> </w:t>
      </w:r>
      <w:r>
        <w:rPr>
          <w:rFonts w:ascii="宋体" w:hAnsi="宋体" w:eastAsia="宋体" w:cs="宋体"/>
          <w:spacing w:val="-11"/>
          <w:sz w:val="24"/>
          <w:szCs w:val="24"/>
        </w:rPr>
        <w:t>本</w:t>
      </w:r>
      <w:r>
        <w:rPr>
          <w:rFonts w:ascii="宋体" w:hAnsi="宋体" w:eastAsia="宋体" w:cs="宋体"/>
          <w:sz w:val="24"/>
          <w:szCs w:val="24"/>
        </w:rPr>
        <w:t>）；</w:t>
      </w:r>
    </w:p>
    <w:p w14:paraId="351D0DA8">
      <w:pPr>
        <w:spacing w:before="145"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21</w:t>
      </w:r>
      <w:r>
        <w:rPr>
          <w:rFonts w:ascii="宋体" w:hAnsi="宋体" w:eastAsia="宋体" w:cs="宋体"/>
          <w:spacing w:val="-1"/>
          <w:position w:val="2"/>
          <w:sz w:val="24"/>
          <w:szCs w:val="24"/>
        </w:rPr>
        <w:t>）《汕尾市环境保护规划纲要（</w:t>
      </w:r>
      <w:r>
        <w:rPr>
          <w:rFonts w:ascii="Times New Roman" w:hAnsi="Times New Roman" w:eastAsia="Times New Roman" w:cs="Times New Roman"/>
          <w:spacing w:val="-1"/>
          <w:position w:val="2"/>
          <w:sz w:val="24"/>
          <w:szCs w:val="24"/>
        </w:rPr>
        <w:t>2008-2020</w:t>
      </w:r>
      <w:r>
        <w:rPr>
          <w:rFonts w:ascii="宋体" w:hAnsi="宋体" w:eastAsia="宋体" w:cs="宋体"/>
          <w:spacing w:val="-1"/>
          <w:position w:val="2"/>
          <w:sz w:val="24"/>
          <w:szCs w:val="24"/>
        </w:rPr>
        <w:t>）》；</w:t>
      </w:r>
    </w:p>
    <w:p w14:paraId="6BC6EA6F">
      <w:pPr>
        <w:spacing w:before="105"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22</w:t>
      </w:r>
      <w:r>
        <w:rPr>
          <w:rFonts w:ascii="宋体" w:hAnsi="宋体" w:eastAsia="宋体" w:cs="宋体"/>
          <w:spacing w:val="-1"/>
          <w:position w:val="2"/>
          <w:sz w:val="24"/>
          <w:szCs w:val="24"/>
        </w:rPr>
        <w:t>）《广东汕尾市城市总体规划（</w:t>
      </w:r>
      <w:r>
        <w:rPr>
          <w:rFonts w:ascii="Times New Roman" w:hAnsi="Times New Roman" w:eastAsia="Times New Roman" w:cs="Times New Roman"/>
          <w:spacing w:val="-1"/>
          <w:position w:val="2"/>
          <w:sz w:val="24"/>
          <w:szCs w:val="24"/>
        </w:rPr>
        <w:t>2011-202</w:t>
      </w:r>
      <w:r>
        <w:rPr>
          <w:rFonts w:ascii="Times New Roman" w:hAnsi="Times New Roman" w:eastAsia="Times New Roman" w:cs="Times New Roman"/>
          <w:spacing w:val="-2"/>
          <w:position w:val="2"/>
          <w:sz w:val="24"/>
          <w:szCs w:val="24"/>
        </w:rPr>
        <w:t>0</w:t>
      </w:r>
      <w:r>
        <w:rPr>
          <w:rFonts w:ascii="宋体" w:hAnsi="宋体" w:eastAsia="宋体" w:cs="宋体"/>
          <w:spacing w:val="-2"/>
          <w:position w:val="2"/>
          <w:sz w:val="24"/>
          <w:szCs w:val="24"/>
        </w:rPr>
        <w:t>）》；</w:t>
      </w:r>
    </w:p>
    <w:p w14:paraId="2D5B6338">
      <w:pPr>
        <w:spacing w:before="108"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23</w:t>
      </w:r>
      <w:r>
        <w:rPr>
          <w:rFonts w:ascii="宋体" w:hAnsi="宋体" w:eastAsia="宋体" w:cs="宋体"/>
          <w:spacing w:val="-1"/>
          <w:position w:val="2"/>
          <w:sz w:val="24"/>
          <w:szCs w:val="24"/>
        </w:rPr>
        <w:t>）《汕尾市环境保护规划纲要（</w:t>
      </w:r>
      <w:r>
        <w:rPr>
          <w:rFonts w:ascii="Times New Roman" w:hAnsi="Times New Roman" w:eastAsia="Times New Roman" w:cs="Times New Roman"/>
          <w:spacing w:val="-1"/>
          <w:position w:val="2"/>
          <w:sz w:val="24"/>
          <w:szCs w:val="24"/>
        </w:rPr>
        <w:t xml:space="preserve">2008-2020 </w:t>
      </w:r>
      <w:r>
        <w:rPr>
          <w:rFonts w:ascii="宋体" w:hAnsi="宋体" w:eastAsia="宋体" w:cs="宋体"/>
          <w:spacing w:val="-1"/>
          <w:position w:val="2"/>
          <w:sz w:val="24"/>
          <w:szCs w:val="24"/>
        </w:rPr>
        <w:t>年）》；</w:t>
      </w:r>
    </w:p>
    <w:p w14:paraId="4C61345D">
      <w:pPr>
        <w:spacing w:before="108"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24</w:t>
      </w:r>
      <w:r>
        <w:rPr>
          <w:rFonts w:ascii="宋体" w:hAnsi="宋体" w:eastAsia="宋体" w:cs="宋体"/>
          <w:spacing w:val="-1"/>
          <w:position w:val="2"/>
          <w:sz w:val="24"/>
          <w:szCs w:val="24"/>
        </w:rPr>
        <w:t>）《汕尾市城市总体规划（</w:t>
      </w:r>
      <w:r>
        <w:rPr>
          <w:rFonts w:ascii="Times New Roman" w:hAnsi="Times New Roman" w:eastAsia="Times New Roman" w:cs="Times New Roman"/>
          <w:spacing w:val="-1"/>
          <w:position w:val="2"/>
          <w:sz w:val="24"/>
          <w:szCs w:val="24"/>
        </w:rPr>
        <w:t xml:space="preserve">2011-2020 </w:t>
      </w:r>
      <w:r>
        <w:rPr>
          <w:rFonts w:ascii="宋体" w:hAnsi="宋体" w:eastAsia="宋体" w:cs="宋体"/>
          <w:spacing w:val="-2"/>
          <w:position w:val="2"/>
          <w:sz w:val="24"/>
          <w:szCs w:val="24"/>
        </w:rPr>
        <w:t>年）》；</w:t>
      </w:r>
    </w:p>
    <w:p w14:paraId="5BB86568">
      <w:pPr>
        <w:spacing w:before="194"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25</w:t>
      </w:r>
      <w:r>
        <w:rPr>
          <w:rFonts w:ascii="宋体" w:hAnsi="宋体" w:eastAsia="宋体" w:cs="宋体"/>
          <w:spacing w:val="-1"/>
          <w:position w:val="2"/>
          <w:sz w:val="24"/>
          <w:szCs w:val="24"/>
        </w:rPr>
        <w:t>）《汕尾市海丰县土地利用总体规划（</w:t>
      </w:r>
      <w:r>
        <w:rPr>
          <w:rFonts w:ascii="Times New Roman" w:hAnsi="Times New Roman" w:eastAsia="Times New Roman" w:cs="Times New Roman"/>
          <w:spacing w:val="-1"/>
          <w:position w:val="2"/>
          <w:sz w:val="24"/>
          <w:szCs w:val="24"/>
        </w:rPr>
        <w:t xml:space="preserve">2010-2020 </w:t>
      </w:r>
      <w:r>
        <w:rPr>
          <w:rFonts w:ascii="宋体" w:hAnsi="宋体" w:eastAsia="宋体" w:cs="宋体"/>
          <w:spacing w:val="-1"/>
          <w:position w:val="2"/>
          <w:sz w:val="24"/>
          <w:szCs w:val="24"/>
        </w:rPr>
        <w:t>年）》；</w:t>
      </w:r>
    </w:p>
    <w:p w14:paraId="07F89F25">
      <w:pPr>
        <w:spacing w:before="40"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26</w:t>
      </w:r>
      <w:r>
        <w:rPr>
          <w:rFonts w:ascii="宋体" w:hAnsi="宋体" w:eastAsia="宋体" w:cs="宋体"/>
          <w:spacing w:val="-1"/>
          <w:position w:val="2"/>
          <w:sz w:val="24"/>
          <w:szCs w:val="24"/>
        </w:rPr>
        <w:t>）《汕尾市畜禽养殖发展规划和区域布局（</w:t>
      </w:r>
      <w:r>
        <w:rPr>
          <w:rFonts w:ascii="Times New Roman" w:hAnsi="Times New Roman" w:eastAsia="Times New Roman" w:cs="Times New Roman"/>
          <w:spacing w:val="-1"/>
          <w:position w:val="2"/>
          <w:sz w:val="24"/>
          <w:szCs w:val="24"/>
        </w:rPr>
        <w:t>2015-2020</w:t>
      </w:r>
      <w:r>
        <w:rPr>
          <w:rFonts w:ascii="宋体" w:hAnsi="宋体" w:eastAsia="宋体" w:cs="宋体"/>
          <w:spacing w:val="-1"/>
          <w:position w:val="2"/>
          <w:sz w:val="24"/>
          <w:szCs w:val="24"/>
        </w:rPr>
        <w:t>）》；</w:t>
      </w:r>
    </w:p>
    <w:p w14:paraId="4B76FBB2">
      <w:pPr>
        <w:spacing w:before="197" w:line="337" w:lineRule="exact"/>
        <w:ind w:left="495"/>
        <w:rPr>
          <w:rFonts w:ascii="宋体" w:hAnsi="宋体" w:eastAsia="宋体" w:cs="宋体"/>
          <w:sz w:val="24"/>
          <w:szCs w:val="24"/>
        </w:rPr>
      </w:pP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27</w:t>
      </w:r>
      <w:r>
        <w:rPr>
          <w:rFonts w:ascii="宋体" w:hAnsi="宋体" w:eastAsia="宋体" w:cs="宋体"/>
          <w:spacing w:val="-1"/>
          <w:position w:val="3"/>
          <w:sz w:val="24"/>
          <w:szCs w:val="24"/>
        </w:rPr>
        <w:t>）《海丰县畜禽养殖禁养区划定方案》（海府办函</w:t>
      </w:r>
      <w:r>
        <w:rPr>
          <w:rFonts w:ascii="Times New Roman" w:hAnsi="Times New Roman" w:eastAsia="Times New Roman" w:cs="Times New Roman"/>
          <w:spacing w:val="-1"/>
          <w:position w:val="3"/>
          <w:sz w:val="24"/>
          <w:szCs w:val="24"/>
        </w:rPr>
        <w:t xml:space="preserve">[2020]25 </w:t>
      </w:r>
      <w:r>
        <w:rPr>
          <w:rFonts w:ascii="宋体" w:hAnsi="宋体" w:eastAsia="宋体" w:cs="宋体"/>
          <w:spacing w:val="-1"/>
          <w:position w:val="3"/>
          <w:sz w:val="24"/>
          <w:szCs w:val="24"/>
        </w:rPr>
        <w:t>号）。</w:t>
      </w:r>
    </w:p>
    <w:p w14:paraId="7A2AA8A2">
      <w:pPr>
        <w:spacing w:before="18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2.1.3</w:t>
      </w:r>
      <w:r>
        <w:rPr>
          <w:rFonts w:ascii="宋体" w:hAnsi="宋体" w:eastAsia="宋体" w:cs="宋体"/>
          <w:b/>
          <w:bCs/>
          <w:spacing w:val="-2"/>
          <w:sz w:val="24"/>
          <w:szCs w:val="24"/>
        </w:rPr>
        <w:t>技术规范和行业标准</w:t>
      </w:r>
    </w:p>
    <w:p w14:paraId="44A60A0F">
      <w:pPr>
        <w:spacing w:before="166" w:line="358"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）《建设项目环境影响评价技术导则总纲》（</w:t>
      </w:r>
      <w:r>
        <w:rPr>
          <w:rFonts w:ascii="Times New Roman" w:hAnsi="Times New Roman" w:eastAsia="Times New Roman" w:cs="Times New Roman"/>
          <w:spacing w:val="-2"/>
          <w:position w:val="2"/>
          <w:sz w:val="24"/>
          <w:szCs w:val="24"/>
        </w:rPr>
        <w:t>HJ2.</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1-2016</w:t>
      </w:r>
      <w:r>
        <w:rPr>
          <w:rFonts w:ascii="宋体" w:hAnsi="宋体" w:eastAsia="宋体" w:cs="宋体"/>
          <w:spacing w:val="6"/>
          <w:position w:val="2"/>
          <w:sz w:val="24"/>
          <w:szCs w:val="24"/>
        </w:rPr>
        <w:t>）；</w:t>
      </w:r>
    </w:p>
    <w:p w14:paraId="1EF2EC29">
      <w:pPr>
        <w:spacing w:before="131"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）《环境影响评价技术导则地表水环境》（</w:t>
      </w:r>
      <w:r>
        <w:rPr>
          <w:rFonts w:ascii="Times New Roman" w:hAnsi="Times New Roman" w:eastAsia="Times New Roman" w:cs="Times New Roman"/>
          <w:spacing w:val="-1"/>
          <w:position w:val="2"/>
          <w:sz w:val="24"/>
          <w:szCs w:val="24"/>
        </w:rPr>
        <w:t>HJ2.3-2018</w:t>
      </w:r>
      <w:r>
        <w:rPr>
          <w:rFonts w:ascii="宋体" w:hAnsi="宋体" w:eastAsia="宋体" w:cs="宋体"/>
          <w:spacing w:val="4"/>
          <w:position w:val="2"/>
          <w:sz w:val="24"/>
          <w:szCs w:val="24"/>
        </w:rPr>
        <w:t>）；</w:t>
      </w:r>
    </w:p>
    <w:p w14:paraId="60DCA00B">
      <w:pPr>
        <w:spacing w:before="131"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）《环境影响评价技术导则地下水环境》（</w:t>
      </w:r>
      <w:r>
        <w:rPr>
          <w:rFonts w:ascii="Times New Roman" w:hAnsi="Times New Roman" w:eastAsia="Times New Roman" w:cs="Times New Roman"/>
          <w:spacing w:val="-1"/>
          <w:position w:val="2"/>
          <w:sz w:val="24"/>
          <w:szCs w:val="24"/>
        </w:rPr>
        <w:t>HJ610-2016</w:t>
      </w:r>
      <w:r>
        <w:rPr>
          <w:rFonts w:ascii="宋体" w:hAnsi="宋体" w:eastAsia="宋体" w:cs="宋体"/>
          <w:spacing w:val="4"/>
          <w:position w:val="2"/>
          <w:sz w:val="24"/>
          <w:szCs w:val="24"/>
        </w:rPr>
        <w:t>）；</w:t>
      </w:r>
    </w:p>
    <w:p w14:paraId="1236B2C2">
      <w:pPr>
        <w:spacing w:before="129"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）《环境影响评价技术导则大气环境》（</w:t>
      </w:r>
      <w:r>
        <w:rPr>
          <w:rFonts w:ascii="Times New Roman" w:hAnsi="Times New Roman" w:eastAsia="Times New Roman" w:cs="Times New Roman"/>
          <w:spacing w:val="-1"/>
          <w:position w:val="2"/>
          <w:sz w:val="24"/>
          <w:szCs w:val="24"/>
        </w:rPr>
        <w:t>HJ2.2-2018</w:t>
      </w:r>
      <w:r>
        <w:rPr>
          <w:rFonts w:ascii="宋体" w:hAnsi="宋体" w:eastAsia="宋体" w:cs="宋体"/>
          <w:spacing w:val="3"/>
          <w:position w:val="2"/>
          <w:sz w:val="24"/>
          <w:szCs w:val="24"/>
        </w:rPr>
        <w:t>）；</w:t>
      </w:r>
    </w:p>
    <w:p w14:paraId="3A537C22">
      <w:pPr>
        <w:spacing w:line="359" w:lineRule="exact"/>
        <w:rPr>
          <w:rFonts w:ascii="宋体" w:hAnsi="宋体" w:eastAsia="宋体" w:cs="宋体"/>
          <w:sz w:val="24"/>
          <w:szCs w:val="24"/>
        </w:rPr>
        <w:sectPr>
          <w:footerReference r:id="rId32" w:type="default"/>
          <w:pgSz w:w="11906" w:h="16839"/>
          <w:pgMar w:top="1431" w:right="1510" w:bottom="1485" w:left="1594" w:header="0" w:footer="1249" w:gutter="0"/>
          <w:cols w:space="720" w:num="1"/>
        </w:sectPr>
      </w:pPr>
    </w:p>
    <w:p w14:paraId="6D0C8177">
      <w:pPr>
        <w:spacing w:before="75"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5</w:t>
      </w:r>
      <w:r>
        <w:rPr>
          <w:rFonts w:ascii="宋体" w:hAnsi="宋体" w:eastAsia="宋体" w:cs="宋体"/>
          <w:spacing w:val="-1"/>
          <w:position w:val="2"/>
          <w:sz w:val="24"/>
          <w:szCs w:val="24"/>
        </w:rPr>
        <w:t>）《环境影响评价技术导则声环境》（</w:t>
      </w:r>
      <w:r>
        <w:rPr>
          <w:rFonts w:ascii="Times New Roman" w:hAnsi="Times New Roman" w:eastAsia="Times New Roman" w:cs="Times New Roman"/>
          <w:spacing w:val="-1"/>
          <w:position w:val="2"/>
          <w:sz w:val="24"/>
          <w:szCs w:val="24"/>
        </w:rPr>
        <w:t>HJ2.4-2009</w:t>
      </w:r>
      <w:r>
        <w:rPr>
          <w:rFonts w:ascii="宋体" w:hAnsi="宋体" w:eastAsia="宋体" w:cs="宋体"/>
          <w:spacing w:val="3"/>
          <w:position w:val="2"/>
          <w:sz w:val="24"/>
          <w:szCs w:val="24"/>
        </w:rPr>
        <w:t>）；</w:t>
      </w:r>
    </w:p>
    <w:p w14:paraId="53AD9B15">
      <w:pPr>
        <w:spacing w:before="131"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6</w:t>
      </w:r>
      <w:r>
        <w:rPr>
          <w:rFonts w:ascii="宋体" w:hAnsi="宋体" w:eastAsia="宋体" w:cs="宋体"/>
          <w:spacing w:val="-1"/>
          <w:position w:val="2"/>
          <w:sz w:val="24"/>
          <w:szCs w:val="24"/>
        </w:rPr>
        <w:t>）《环境影响评价技术导则生态影响》（</w:t>
      </w:r>
      <w:r>
        <w:rPr>
          <w:rFonts w:ascii="Times New Roman" w:hAnsi="Times New Roman" w:eastAsia="Times New Roman" w:cs="Times New Roman"/>
          <w:spacing w:val="-1"/>
          <w:position w:val="2"/>
          <w:sz w:val="24"/>
          <w:szCs w:val="24"/>
        </w:rPr>
        <w:t>HJ19-2011</w:t>
      </w:r>
      <w:r>
        <w:rPr>
          <w:rFonts w:ascii="宋体" w:hAnsi="宋体" w:eastAsia="宋体" w:cs="宋体"/>
          <w:spacing w:val="-2"/>
          <w:position w:val="2"/>
          <w:sz w:val="24"/>
          <w:szCs w:val="24"/>
        </w:rPr>
        <w:t>）；</w:t>
      </w:r>
    </w:p>
    <w:p w14:paraId="7B04D818">
      <w:pPr>
        <w:spacing w:before="128"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7</w:t>
      </w:r>
      <w:r>
        <w:rPr>
          <w:rFonts w:ascii="宋体" w:hAnsi="宋体" w:eastAsia="宋体" w:cs="宋体"/>
          <w:spacing w:val="-1"/>
          <w:position w:val="2"/>
          <w:sz w:val="24"/>
          <w:szCs w:val="24"/>
        </w:rPr>
        <w:t>）《建设项目环境风险评价技术导则》（</w:t>
      </w:r>
      <w:r>
        <w:rPr>
          <w:rFonts w:ascii="Times New Roman" w:hAnsi="Times New Roman" w:eastAsia="Times New Roman" w:cs="Times New Roman"/>
          <w:spacing w:val="-1"/>
          <w:position w:val="2"/>
          <w:sz w:val="24"/>
          <w:szCs w:val="24"/>
        </w:rPr>
        <w:t>HJ169-2018</w:t>
      </w:r>
      <w:r>
        <w:rPr>
          <w:rFonts w:ascii="宋体" w:hAnsi="宋体" w:eastAsia="宋体" w:cs="宋体"/>
          <w:spacing w:val="3"/>
          <w:position w:val="2"/>
          <w:sz w:val="24"/>
          <w:szCs w:val="24"/>
        </w:rPr>
        <w:t>）；</w:t>
      </w:r>
    </w:p>
    <w:p w14:paraId="28CAC105">
      <w:pPr>
        <w:spacing w:before="131"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8</w:t>
      </w:r>
      <w:r>
        <w:rPr>
          <w:rFonts w:ascii="宋体" w:hAnsi="宋体" w:eastAsia="宋体" w:cs="宋体"/>
          <w:spacing w:val="-1"/>
          <w:position w:val="2"/>
          <w:sz w:val="24"/>
          <w:szCs w:val="24"/>
        </w:rPr>
        <w:t>）《环境影响评价技术导则土壤环境（试行）》（</w:t>
      </w:r>
      <w:r>
        <w:rPr>
          <w:rFonts w:ascii="Times New Roman" w:hAnsi="Times New Roman" w:eastAsia="Times New Roman" w:cs="Times New Roman"/>
          <w:spacing w:val="-1"/>
          <w:position w:val="2"/>
          <w:sz w:val="24"/>
          <w:szCs w:val="24"/>
        </w:rPr>
        <w:t>HJ694-2018</w:t>
      </w:r>
      <w:r>
        <w:rPr>
          <w:rFonts w:ascii="宋体" w:hAnsi="宋体" w:eastAsia="宋体" w:cs="宋体"/>
          <w:spacing w:val="-1"/>
          <w:position w:val="2"/>
          <w:sz w:val="24"/>
          <w:szCs w:val="24"/>
        </w:rPr>
        <w:t>）</w:t>
      </w:r>
    </w:p>
    <w:p w14:paraId="5111B503">
      <w:pPr>
        <w:spacing w:before="131"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9</w:t>
      </w:r>
      <w:r>
        <w:rPr>
          <w:rFonts w:ascii="宋体" w:hAnsi="宋体" w:eastAsia="宋体" w:cs="宋体"/>
          <w:spacing w:val="-2"/>
          <w:position w:val="2"/>
          <w:sz w:val="24"/>
          <w:szCs w:val="24"/>
        </w:rPr>
        <w:t>）《声环境功能区划分技术规范》（</w:t>
      </w:r>
      <w:r>
        <w:rPr>
          <w:rFonts w:ascii="Times New Roman" w:hAnsi="Times New Roman" w:eastAsia="Times New Roman" w:cs="Times New Roman"/>
          <w:spacing w:val="-2"/>
          <w:position w:val="2"/>
          <w:sz w:val="24"/>
          <w:szCs w:val="24"/>
        </w:rPr>
        <w:t>GB/T</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15190-2014</w:t>
      </w:r>
      <w:r>
        <w:rPr>
          <w:rFonts w:ascii="宋体" w:hAnsi="宋体" w:eastAsia="宋体" w:cs="宋体"/>
          <w:spacing w:val="5"/>
          <w:position w:val="2"/>
          <w:sz w:val="24"/>
          <w:szCs w:val="24"/>
        </w:rPr>
        <w:t>）；</w:t>
      </w:r>
    </w:p>
    <w:p w14:paraId="2A5505B3">
      <w:pPr>
        <w:spacing w:before="130"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10</w:t>
      </w:r>
      <w:r>
        <w:rPr>
          <w:rFonts w:ascii="宋体" w:hAnsi="宋体" w:eastAsia="宋体" w:cs="宋体"/>
          <w:spacing w:val="-1"/>
          <w:position w:val="2"/>
          <w:sz w:val="24"/>
          <w:szCs w:val="24"/>
        </w:rPr>
        <w:t>）《工业企业设计卫生标准》（</w:t>
      </w:r>
      <w:r>
        <w:rPr>
          <w:rFonts w:ascii="Times New Roman" w:hAnsi="Times New Roman" w:eastAsia="Times New Roman" w:cs="Times New Roman"/>
          <w:spacing w:val="-1"/>
          <w:position w:val="2"/>
          <w:sz w:val="24"/>
          <w:szCs w:val="24"/>
        </w:rPr>
        <w:t>GBZ1-2010</w:t>
      </w:r>
      <w:r>
        <w:rPr>
          <w:rFonts w:ascii="宋体" w:hAnsi="宋体" w:eastAsia="宋体" w:cs="宋体"/>
          <w:position w:val="2"/>
          <w:sz w:val="24"/>
          <w:szCs w:val="24"/>
        </w:rPr>
        <w:t>）；</w:t>
      </w:r>
    </w:p>
    <w:p w14:paraId="678AEF44">
      <w:pPr>
        <w:spacing w:before="126" w:line="360" w:lineRule="exact"/>
        <w:ind w:left="50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11</w:t>
      </w:r>
      <w:r>
        <w:rPr>
          <w:rFonts w:ascii="宋体" w:hAnsi="宋体" w:eastAsia="宋体" w:cs="宋体"/>
          <w:spacing w:val="-1"/>
          <w:position w:val="2"/>
          <w:sz w:val="24"/>
          <w:szCs w:val="24"/>
        </w:rPr>
        <w:t>）《畜禽养殖业污染防治技术规范》（</w:t>
      </w:r>
      <w:r>
        <w:rPr>
          <w:rFonts w:ascii="Times New Roman" w:hAnsi="Times New Roman" w:eastAsia="Times New Roman" w:cs="Times New Roman"/>
          <w:spacing w:val="-1"/>
          <w:position w:val="2"/>
          <w:sz w:val="24"/>
          <w:szCs w:val="24"/>
        </w:rPr>
        <w:t>HJ/T81-2001</w:t>
      </w:r>
      <w:r>
        <w:rPr>
          <w:rFonts w:ascii="宋体" w:hAnsi="宋体" w:eastAsia="宋体" w:cs="宋体"/>
          <w:spacing w:val="4"/>
          <w:position w:val="2"/>
          <w:sz w:val="24"/>
          <w:szCs w:val="24"/>
        </w:rPr>
        <w:t>）；</w:t>
      </w:r>
    </w:p>
    <w:p w14:paraId="3F67733F">
      <w:pPr>
        <w:spacing w:before="129"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12</w:t>
      </w:r>
      <w:r>
        <w:rPr>
          <w:rFonts w:ascii="宋体" w:hAnsi="宋体" w:eastAsia="宋体" w:cs="宋体"/>
          <w:spacing w:val="-1"/>
          <w:position w:val="2"/>
          <w:sz w:val="24"/>
          <w:szCs w:val="24"/>
        </w:rPr>
        <w:t>）《畜禽养殖业污染治理工程技术规范》（</w:t>
      </w:r>
      <w:r>
        <w:rPr>
          <w:rFonts w:ascii="Times New Roman" w:hAnsi="Times New Roman" w:eastAsia="Times New Roman" w:cs="Times New Roman"/>
          <w:spacing w:val="-1"/>
          <w:position w:val="2"/>
          <w:sz w:val="24"/>
          <w:szCs w:val="24"/>
        </w:rPr>
        <w:t>HJ497-2009</w:t>
      </w:r>
      <w:r>
        <w:rPr>
          <w:rFonts w:ascii="宋体" w:hAnsi="宋体" w:eastAsia="宋体" w:cs="宋体"/>
          <w:spacing w:val="4"/>
          <w:position w:val="2"/>
          <w:sz w:val="24"/>
          <w:szCs w:val="24"/>
        </w:rPr>
        <w:t>）；</w:t>
      </w:r>
    </w:p>
    <w:p w14:paraId="75C38B4B">
      <w:pPr>
        <w:spacing w:before="129" w:line="359"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13</w:t>
      </w:r>
      <w:r>
        <w:rPr>
          <w:rFonts w:ascii="宋体" w:hAnsi="宋体" w:eastAsia="宋体" w:cs="宋体"/>
          <w:spacing w:val="-2"/>
          <w:position w:val="2"/>
          <w:sz w:val="24"/>
          <w:szCs w:val="24"/>
        </w:rPr>
        <w:t>）《畜禽规模养殖污染防治条例》（国务院令</w:t>
      </w:r>
      <w:r>
        <w:rPr>
          <w:rFonts w:ascii="宋体" w:hAnsi="宋体" w:eastAsia="宋体" w:cs="宋体"/>
          <w:spacing w:val="-49"/>
          <w:position w:val="2"/>
          <w:sz w:val="24"/>
          <w:szCs w:val="24"/>
        </w:rPr>
        <w:t xml:space="preserve"> </w:t>
      </w:r>
      <w:r>
        <w:rPr>
          <w:rFonts w:ascii="Times New Roman" w:hAnsi="Times New Roman" w:eastAsia="Times New Roman" w:cs="Times New Roman"/>
          <w:spacing w:val="-2"/>
          <w:position w:val="2"/>
          <w:sz w:val="24"/>
          <w:szCs w:val="24"/>
        </w:rPr>
        <w:t>643</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号</w:t>
      </w:r>
      <w:r>
        <w:rPr>
          <w:rFonts w:ascii="宋体" w:hAnsi="宋体" w:eastAsia="宋体" w:cs="宋体"/>
          <w:spacing w:val="3"/>
          <w:position w:val="2"/>
          <w:sz w:val="24"/>
          <w:szCs w:val="24"/>
        </w:rPr>
        <w:t>）；</w:t>
      </w:r>
    </w:p>
    <w:p w14:paraId="75F39768">
      <w:pPr>
        <w:spacing w:before="130" w:line="313" w:lineRule="auto"/>
        <w:ind w:left="489" w:right="77" w:firstLine="5"/>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14</w:t>
      </w:r>
      <w:r>
        <w:rPr>
          <w:rFonts w:ascii="宋体" w:hAnsi="宋体" w:eastAsia="宋体" w:cs="宋体"/>
          <w:spacing w:val="-14"/>
          <w:sz w:val="24"/>
          <w:szCs w:val="24"/>
        </w:rPr>
        <w:t>）关于印发《病死及死因不明动物处置办法（试行）》的通知（农医发</w:t>
      </w:r>
      <w:r>
        <w:rPr>
          <w:rFonts w:ascii="Times New Roman" w:hAnsi="Times New Roman" w:eastAsia="Times New Roman" w:cs="Times New Roman"/>
          <w:spacing w:val="-14"/>
          <w:sz w:val="24"/>
          <w:szCs w:val="24"/>
        </w:rPr>
        <w:t>[2005]25</w:t>
      </w:r>
      <w:r>
        <w:rPr>
          <w:rFonts w:ascii="Times New Roman" w:hAnsi="Times New Roman" w:eastAsia="Times New Roman" w:cs="Times New Roman"/>
          <w:spacing w:val="17"/>
          <w:sz w:val="24"/>
          <w:szCs w:val="24"/>
        </w:rPr>
        <w:t xml:space="preserve"> </w:t>
      </w:r>
      <w:r>
        <w:rPr>
          <w:rFonts w:ascii="宋体" w:hAnsi="宋体" w:eastAsia="宋体" w:cs="宋体"/>
          <w:spacing w:val="-16"/>
          <w:sz w:val="24"/>
          <w:szCs w:val="24"/>
        </w:rPr>
        <w:t>号</w:t>
      </w:r>
      <w:r>
        <w:rPr>
          <w:rFonts w:ascii="宋体" w:hAnsi="宋体" w:eastAsia="宋体" w:cs="宋体"/>
          <w:sz w:val="24"/>
          <w:szCs w:val="24"/>
        </w:rPr>
        <w:t>）；</w:t>
      </w:r>
    </w:p>
    <w:p w14:paraId="753F44FE">
      <w:pPr>
        <w:spacing w:before="164"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15</w:t>
      </w:r>
      <w:r>
        <w:rPr>
          <w:rFonts w:ascii="宋体" w:hAnsi="宋体" w:eastAsia="宋体" w:cs="宋体"/>
          <w:spacing w:val="-1"/>
          <w:position w:val="2"/>
          <w:sz w:val="24"/>
          <w:szCs w:val="24"/>
        </w:rPr>
        <w:t>）《病死及病害动物无害化处理技术规范》（农医发〔</w:t>
      </w:r>
      <w:r>
        <w:rPr>
          <w:rFonts w:ascii="Times New Roman" w:hAnsi="Times New Roman" w:eastAsia="Times New Roman" w:cs="Times New Roman"/>
          <w:spacing w:val="-1"/>
          <w:position w:val="2"/>
          <w:sz w:val="24"/>
          <w:szCs w:val="24"/>
        </w:rPr>
        <w:t>2017</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Times New Roman" w:hAnsi="Times New Roman" w:eastAsia="Times New Roman" w:cs="Times New Roman"/>
          <w:spacing w:val="-2"/>
          <w:position w:val="2"/>
          <w:sz w:val="24"/>
          <w:szCs w:val="24"/>
        </w:rPr>
        <w:t>5</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号</w:t>
      </w:r>
      <w:r>
        <w:rPr>
          <w:rFonts w:ascii="宋体" w:hAnsi="宋体" w:eastAsia="宋体" w:cs="宋体"/>
          <w:position w:val="2"/>
          <w:sz w:val="24"/>
          <w:szCs w:val="24"/>
        </w:rPr>
        <w:t>）；</w:t>
      </w:r>
    </w:p>
    <w:p w14:paraId="44372A6E">
      <w:pPr>
        <w:spacing w:before="129" w:line="360" w:lineRule="exact"/>
        <w:jc w:val="right"/>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16</w:t>
      </w:r>
      <w:r>
        <w:rPr>
          <w:rFonts w:ascii="宋体" w:hAnsi="宋体" w:eastAsia="宋体" w:cs="宋体"/>
          <w:spacing w:val="-1"/>
          <w:position w:val="2"/>
          <w:sz w:val="24"/>
          <w:szCs w:val="24"/>
        </w:rPr>
        <w:t>）《农产品安全质量无公害畜禽肉产地环境要求》（</w:t>
      </w:r>
      <w:r>
        <w:rPr>
          <w:rFonts w:ascii="Times New Roman" w:hAnsi="Times New Roman" w:eastAsia="Times New Roman" w:cs="Times New Roman"/>
          <w:spacing w:val="-1"/>
          <w:position w:val="2"/>
          <w:sz w:val="24"/>
          <w:szCs w:val="24"/>
        </w:rPr>
        <w:t>GB/T</w:t>
      </w:r>
      <w:r>
        <w:rPr>
          <w:rFonts w:ascii="Times New Roman" w:hAnsi="Times New Roman" w:eastAsia="Times New Roman" w:cs="Times New Roman"/>
          <w:spacing w:val="-32"/>
          <w:position w:val="2"/>
          <w:sz w:val="24"/>
          <w:szCs w:val="24"/>
        </w:rPr>
        <w:t xml:space="preserve"> </w:t>
      </w:r>
      <w:r>
        <w:rPr>
          <w:rFonts w:ascii="Times New Roman" w:hAnsi="Times New Roman" w:eastAsia="Times New Roman" w:cs="Times New Roman"/>
          <w:spacing w:val="-1"/>
          <w:position w:val="2"/>
          <w:sz w:val="24"/>
          <w:szCs w:val="24"/>
        </w:rPr>
        <w:t>1</w:t>
      </w:r>
      <w:r>
        <w:rPr>
          <w:rFonts w:ascii="Times New Roman" w:hAnsi="Times New Roman" w:eastAsia="Times New Roman" w:cs="Times New Roman"/>
          <w:spacing w:val="-2"/>
          <w:position w:val="2"/>
          <w:sz w:val="24"/>
          <w:szCs w:val="24"/>
        </w:rPr>
        <w:t>8407.3-2001</w:t>
      </w:r>
      <w:r>
        <w:rPr>
          <w:rFonts w:ascii="宋体" w:hAnsi="宋体" w:eastAsia="宋体" w:cs="宋体"/>
          <w:spacing w:val="-30"/>
          <w:position w:val="2"/>
          <w:sz w:val="24"/>
          <w:szCs w:val="24"/>
        </w:rPr>
        <w:t>）；</w:t>
      </w:r>
    </w:p>
    <w:p w14:paraId="63001757">
      <w:pPr>
        <w:spacing w:before="130"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17</w:t>
      </w:r>
      <w:r>
        <w:rPr>
          <w:rFonts w:ascii="宋体" w:hAnsi="宋体" w:eastAsia="宋体" w:cs="宋体"/>
          <w:spacing w:val="-1"/>
          <w:position w:val="2"/>
          <w:sz w:val="24"/>
          <w:szCs w:val="24"/>
        </w:rPr>
        <w:t>）《无公害食品生猪饲养管理规则》（</w:t>
      </w:r>
      <w:r>
        <w:rPr>
          <w:rFonts w:ascii="Times New Roman" w:hAnsi="Times New Roman" w:eastAsia="Times New Roman" w:cs="Times New Roman"/>
          <w:spacing w:val="-1"/>
          <w:position w:val="2"/>
          <w:sz w:val="24"/>
          <w:szCs w:val="24"/>
        </w:rPr>
        <w:t>NY/T5033-2001</w:t>
      </w:r>
      <w:r>
        <w:rPr>
          <w:rFonts w:ascii="宋体" w:hAnsi="宋体" w:eastAsia="宋体" w:cs="宋体"/>
          <w:spacing w:val="4"/>
          <w:position w:val="2"/>
          <w:sz w:val="24"/>
          <w:szCs w:val="24"/>
        </w:rPr>
        <w:t>）；</w:t>
      </w:r>
    </w:p>
    <w:p w14:paraId="541F6B37">
      <w:pPr>
        <w:spacing w:before="127"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18</w:t>
      </w:r>
      <w:r>
        <w:rPr>
          <w:rFonts w:ascii="宋体" w:hAnsi="宋体" w:eastAsia="宋体" w:cs="宋体"/>
          <w:spacing w:val="-1"/>
          <w:position w:val="2"/>
          <w:sz w:val="24"/>
          <w:szCs w:val="24"/>
        </w:rPr>
        <w:t>）《无公害食品畜禽饮用水水质》（</w:t>
      </w:r>
      <w:r>
        <w:rPr>
          <w:rFonts w:ascii="Times New Roman" w:hAnsi="Times New Roman" w:eastAsia="Times New Roman" w:cs="Times New Roman"/>
          <w:spacing w:val="-1"/>
          <w:position w:val="2"/>
          <w:sz w:val="24"/>
          <w:szCs w:val="24"/>
        </w:rPr>
        <w:t>NY5027-2001</w:t>
      </w:r>
      <w:r>
        <w:rPr>
          <w:rFonts w:ascii="宋体" w:hAnsi="宋体" w:eastAsia="宋体" w:cs="宋体"/>
          <w:spacing w:val="-1"/>
          <w:position w:val="2"/>
          <w:sz w:val="24"/>
          <w:szCs w:val="24"/>
        </w:rPr>
        <w:t>）。</w:t>
      </w:r>
    </w:p>
    <w:p w14:paraId="283924F2">
      <w:pPr>
        <w:spacing w:before="16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2.1.4</w:t>
      </w:r>
      <w:r>
        <w:rPr>
          <w:rFonts w:ascii="宋体" w:hAnsi="宋体" w:eastAsia="宋体" w:cs="宋体"/>
          <w:b/>
          <w:bCs/>
          <w:spacing w:val="-2"/>
          <w:sz w:val="24"/>
          <w:szCs w:val="24"/>
        </w:rPr>
        <w:t>其他依据</w:t>
      </w:r>
    </w:p>
    <w:p w14:paraId="08357A99">
      <w:pPr>
        <w:spacing w:before="78" w:line="358" w:lineRule="exact"/>
        <w:ind w:left="439"/>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）《汕尾市天磊联信种养有限公司生猪养殖项目》环境影响评价委托书；</w:t>
      </w:r>
    </w:p>
    <w:p w14:paraId="1F287010">
      <w:pPr>
        <w:spacing w:before="107" w:line="359" w:lineRule="exact"/>
        <w:ind w:left="439"/>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）相关监测报告；</w:t>
      </w:r>
    </w:p>
    <w:p w14:paraId="4E19D5B2">
      <w:pPr>
        <w:spacing w:before="109" w:line="360" w:lineRule="exact"/>
        <w:ind w:left="439"/>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）建设单位提供的其他相关资料。</w:t>
      </w:r>
    </w:p>
    <w:p w14:paraId="4CD13A10">
      <w:pPr>
        <w:pStyle w:val="2"/>
        <w:spacing w:line="431" w:lineRule="auto"/>
      </w:pPr>
    </w:p>
    <w:p w14:paraId="59BC61CE">
      <w:pPr>
        <w:spacing w:before="100" w:line="224" w:lineRule="auto"/>
        <w:ind w:left="1"/>
        <w:outlineLvl w:val="1"/>
        <w:rPr>
          <w:rFonts w:ascii="宋体" w:hAnsi="宋体" w:eastAsia="宋体" w:cs="宋体"/>
          <w:sz w:val="31"/>
          <w:szCs w:val="31"/>
        </w:rPr>
      </w:pPr>
      <w:bookmarkStart w:id="11" w:name="bookmark10"/>
      <w:bookmarkEnd w:id="11"/>
      <w:r>
        <w:rPr>
          <w:rFonts w:ascii="Times New Roman" w:hAnsi="Times New Roman" w:eastAsia="Times New Roman" w:cs="Times New Roman"/>
          <w:b/>
          <w:bCs/>
          <w:spacing w:val="6"/>
          <w:sz w:val="31"/>
          <w:szCs w:val="31"/>
        </w:rPr>
        <w:t>2.2</w:t>
      </w:r>
      <w:r>
        <w:rPr>
          <w:rFonts w:ascii="宋体" w:hAnsi="宋体" w:eastAsia="宋体" w:cs="宋体"/>
          <w:b/>
          <w:bCs/>
          <w:spacing w:val="6"/>
          <w:sz w:val="31"/>
          <w:szCs w:val="31"/>
        </w:rPr>
        <w:t>评价目的、原则和方法</w:t>
      </w:r>
    </w:p>
    <w:p w14:paraId="78A0362C">
      <w:pPr>
        <w:pStyle w:val="2"/>
        <w:spacing w:line="412" w:lineRule="auto"/>
      </w:pPr>
    </w:p>
    <w:p w14:paraId="2E8C483B">
      <w:pPr>
        <w:spacing w:before="79"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2.2.1</w:t>
      </w:r>
      <w:r>
        <w:rPr>
          <w:rFonts w:ascii="宋体" w:hAnsi="宋体" w:eastAsia="宋体" w:cs="宋体"/>
          <w:b/>
          <w:bCs/>
          <w:spacing w:val="-2"/>
          <w:sz w:val="24"/>
          <w:szCs w:val="24"/>
        </w:rPr>
        <w:t>评价目的</w:t>
      </w:r>
    </w:p>
    <w:p w14:paraId="179C43E8">
      <w:pPr>
        <w:spacing w:before="166" w:line="312" w:lineRule="auto"/>
        <w:ind w:left="2" w:right="8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）了解养殖基地运营过程中污染源产排状况及存在的环保问题，有针对性地</w:t>
      </w:r>
      <w:r>
        <w:rPr>
          <w:rFonts w:ascii="宋体" w:hAnsi="宋体" w:eastAsia="宋体" w:cs="宋体"/>
          <w:spacing w:val="16"/>
          <w:sz w:val="24"/>
          <w:szCs w:val="24"/>
        </w:rPr>
        <w:t xml:space="preserve"> </w:t>
      </w:r>
      <w:r>
        <w:rPr>
          <w:rFonts w:ascii="宋体" w:hAnsi="宋体" w:eastAsia="宋体" w:cs="宋体"/>
          <w:spacing w:val="-1"/>
          <w:sz w:val="24"/>
          <w:szCs w:val="24"/>
        </w:rPr>
        <w:t>对拟建项目提出相应的环境保护措施；</w:t>
      </w:r>
    </w:p>
    <w:p w14:paraId="01D750D7">
      <w:pPr>
        <w:spacing w:before="168" w:line="312" w:lineRule="auto"/>
        <w:ind w:left="5" w:firstLine="48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）通过本项目所在地现场勘查及资料分析，查清项目所在地周围的自然环境、</w:t>
      </w:r>
      <w:r>
        <w:rPr>
          <w:rFonts w:ascii="宋体" w:hAnsi="宋体" w:eastAsia="宋体" w:cs="宋体"/>
          <w:spacing w:val="3"/>
          <w:sz w:val="24"/>
          <w:szCs w:val="24"/>
        </w:rPr>
        <w:t xml:space="preserve"> </w:t>
      </w:r>
      <w:r>
        <w:rPr>
          <w:rFonts w:ascii="宋体" w:hAnsi="宋体" w:eastAsia="宋体" w:cs="宋体"/>
          <w:sz w:val="24"/>
          <w:szCs w:val="24"/>
        </w:rPr>
        <w:t>社会经济及环境质量现状，确定主要保护目</w:t>
      </w:r>
      <w:r>
        <w:rPr>
          <w:rFonts w:ascii="宋体" w:hAnsi="宋体" w:eastAsia="宋体" w:cs="宋体"/>
          <w:spacing w:val="-1"/>
          <w:sz w:val="24"/>
          <w:szCs w:val="24"/>
        </w:rPr>
        <w:t>标，判断区域有无环境容量；</w:t>
      </w:r>
    </w:p>
    <w:p w14:paraId="685C8BC4">
      <w:pPr>
        <w:spacing w:before="167" w:line="312" w:lineRule="auto"/>
        <w:ind w:left="4" w:right="77"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）通过类比调查、工程分析，摸清拟建</w:t>
      </w:r>
      <w:r>
        <w:rPr>
          <w:rFonts w:ascii="宋体" w:hAnsi="宋体" w:eastAsia="宋体" w:cs="宋体"/>
          <w:spacing w:val="-2"/>
          <w:sz w:val="24"/>
          <w:szCs w:val="24"/>
        </w:rPr>
        <w:t>项目的规模和主要内容，分析施工期</w:t>
      </w:r>
      <w:r>
        <w:rPr>
          <w:rFonts w:ascii="宋体" w:hAnsi="宋体" w:eastAsia="宋体" w:cs="宋体"/>
          <w:sz w:val="24"/>
          <w:szCs w:val="24"/>
        </w:rPr>
        <w:t xml:space="preserve"> </w:t>
      </w:r>
      <w:r>
        <w:rPr>
          <w:rFonts w:ascii="宋体" w:hAnsi="宋体" w:eastAsia="宋体" w:cs="宋体"/>
          <w:spacing w:val="2"/>
          <w:sz w:val="24"/>
          <w:szCs w:val="24"/>
        </w:rPr>
        <w:t>和营运期的主要污染环节、污染类型、排污方式及污染程度，预测对环境的影响范</w:t>
      </w:r>
    </w:p>
    <w:p w14:paraId="25D95269">
      <w:pPr>
        <w:spacing w:line="312" w:lineRule="auto"/>
        <w:rPr>
          <w:rFonts w:ascii="宋体" w:hAnsi="宋体" w:eastAsia="宋体" w:cs="宋体"/>
          <w:sz w:val="24"/>
          <w:szCs w:val="24"/>
        </w:rPr>
        <w:sectPr>
          <w:footerReference r:id="rId33" w:type="default"/>
          <w:pgSz w:w="11906" w:h="16839"/>
          <w:pgMar w:top="1431" w:right="1508" w:bottom="1485" w:left="1594" w:header="0" w:footer="1249" w:gutter="0"/>
          <w:cols w:space="720" w:num="1"/>
        </w:sectPr>
      </w:pPr>
    </w:p>
    <w:p w14:paraId="7E246476">
      <w:pPr>
        <w:spacing w:before="111" w:line="362" w:lineRule="auto"/>
        <w:ind w:left="2" w:firstLine="22"/>
        <w:rPr>
          <w:rFonts w:ascii="宋体" w:hAnsi="宋体" w:eastAsia="宋体" w:cs="宋体"/>
          <w:sz w:val="24"/>
          <w:szCs w:val="24"/>
        </w:rPr>
      </w:pPr>
      <w:r>
        <w:rPr>
          <w:rFonts w:ascii="宋体" w:hAnsi="宋体" w:eastAsia="宋体" w:cs="宋体"/>
          <w:spacing w:val="2"/>
          <w:sz w:val="24"/>
          <w:szCs w:val="24"/>
        </w:rPr>
        <w:t>围，提出切实可行的污染防治措施，在达标排</w:t>
      </w:r>
      <w:r>
        <w:rPr>
          <w:rFonts w:ascii="宋体" w:hAnsi="宋体" w:eastAsia="宋体" w:cs="宋体"/>
          <w:spacing w:val="1"/>
          <w:sz w:val="24"/>
          <w:szCs w:val="24"/>
        </w:rPr>
        <w:t>放的前提下，制定污染物排放的总量</w:t>
      </w:r>
      <w:r>
        <w:rPr>
          <w:rFonts w:ascii="宋体" w:hAnsi="宋体" w:eastAsia="宋体" w:cs="宋体"/>
          <w:sz w:val="24"/>
          <w:szCs w:val="24"/>
        </w:rPr>
        <w:t xml:space="preserve"> </w:t>
      </w:r>
      <w:r>
        <w:rPr>
          <w:rFonts w:ascii="宋体" w:hAnsi="宋体" w:eastAsia="宋体" w:cs="宋体"/>
          <w:spacing w:val="-2"/>
          <w:sz w:val="24"/>
          <w:szCs w:val="24"/>
        </w:rPr>
        <w:t>控制指标；</w:t>
      </w:r>
    </w:p>
    <w:p w14:paraId="045DF557">
      <w:pPr>
        <w:spacing w:before="2" w:line="312" w:lineRule="auto"/>
        <w:ind w:lef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）从技术、经济角度分析和论证拟采取的环保措施的可行性，必要时提出替</w:t>
      </w:r>
      <w:r>
        <w:rPr>
          <w:rFonts w:ascii="宋体" w:hAnsi="宋体" w:eastAsia="宋体" w:cs="宋体"/>
          <w:spacing w:val="16"/>
          <w:sz w:val="24"/>
          <w:szCs w:val="24"/>
        </w:rPr>
        <w:t xml:space="preserve"> </w:t>
      </w:r>
      <w:r>
        <w:rPr>
          <w:rFonts w:ascii="宋体" w:hAnsi="宋体" w:eastAsia="宋体" w:cs="宋体"/>
          <w:spacing w:val="-3"/>
          <w:sz w:val="24"/>
          <w:szCs w:val="24"/>
        </w:rPr>
        <w:t>代方案；</w:t>
      </w:r>
    </w:p>
    <w:p w14:paraId="3ED6D4EC">
      <w:pPr>
        <w:spacing w:before="200" w:line="299" w:lineRule="auto"/>
        <w:ind w:left="1"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）明确拟建项目所处位置是否符合规划要求，并且对拟建项目选址及平面布</w:t>
      </w:r>
      <w:r>
        <w:rPr>
          <w:rFonts w:ascii="宋体" w:hAnsi="宋体" w:eastAsia="宋体" w:cs="宋体"/>
          <w:spacing w:val="16"/>
          <w:sz w:val="24"/>
          <w:szCs w:val="24"/>
        </w:rPr>
        <w:t xml:space="preserve"> </w:t>
      </w:r>
      <w:r>
        <w:rPr>
          <w:rFonts w:ascii="宋体" w:hAnsi="宋体" w:eastAsia="宋体" w:cs="宋体"/>
          <w:spacing w:val="-1"/>
          <w:sz w:val="24"/>
          <w:szCs w:val="24"/>
        </w:rPr>
        <w:t>置合理性进行分析；</w:t>
      </w:r>
    </w:p>
    <w:p w14:paraId="2EFCC909">
      <w:pPr>
        <w:spacing w:before="166" w:line="312" w:lineRule="auto"/>
        <w:ind w:left="4"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）从环境保护角度对拟建项目建设的可行性作出明确结论，为主管部门决策</w:t>
      </w:r>
      <w:r>
        <w:rPr>
          <w:rFonts w:ascii="宋体" w:hAnsi="宋体" w:eastAsia="宋体" w:cs="宋体"/>
          <w:spacing w:val="16"/>
          <w:sz w:val="24"/>
          <w:szCs w:val="24"/>
        </w:rPr>
        <w:t xml:space="preserve"> </w:t>
      </w:r>
      <w:r>
        <w:rPr>
          <w:rFonts w:ascii="宋体" w:hAnsi="宋体" w:eastAsia="宋体" w:cs="宋体"/>
          <w:spacing w:val="-2"/>
          <w:sz w:val="24"/>
          <w:szCs w:val="24"/>
        </w:rPr>
        <w:t>和环境管理提供依据。</w:t>
      </w:r>
    </w:p>
    <w:p w14:paraId="41B9D1DD">
      <w:pPr>
        <w:spacing w:before="20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2.2.2</w:t>
      </w:r>
      <w:r>
        <w:rPr>
          <w:rFonts w:ascii="宋体" w:hAnsi="宋体" w:eastAsia="宋体" w:cs="宋体"/>
          <w:b/>
          <w:bCs/>
          <w:spacing w:val="-2"/>
          <w:sz w:val="24"/>
          <w:szCs w:val="24"/>
        </w:rPr>
        <w:t>评价原则</w:t>
      </w:r>
    </w:p>
    <w:p w14:paraId="7E40C564">
      <w:pPr>
        <w:spacing w:before="205" w:line="362" w:lineRule="auto"/>
        <w:ind w:left="6" w:firstLine="477"/>
        <w:rPr>
          <w:rFonts w:ascii="宋体" w:hAnsi="宋体" w:eastAsia="宋体" w:cs="宋体"/>
          <w:sz w:val="24"/>
          <w:szCs w:val="24"/>
        </w:rPr>
      </w:pPr>
      <w:r>
        <w:rPr>
          <w:rFonts w:ascii="宋体" w:hAnsi="宋体" w:eastAsia="宋体" w:cs="宋体"/>
          <w:spacing w:val="2"/>
          <w:sz w:val="24"/>
          <w:szCs w:val="24"/>
        </w:rPr>
        <w:t>根据本次评价的目的，同时保证评价工作的客观性、公正性和科学性，在实施</w:t>
      </w:r>
      <w:r>
        <w:rPr>
          <w:rFonts w:ascii="宋体" w:hAnsi="宋体" w:eastAsia="宋体" w:cs="宋体"/>
          <w:spacing w:val="10"/>
          <w:sz w:val="24"/>
          <w:szCs w:val="24"/>
        </w:rPr>
        <w:t xml:space="preserve"> </w:t>
      </w:r>
      <w:r>
        <w:rPr>
          <w:rFonts w:ascii="宋体" w:hAnsi="宋体" w:eastAsia="宋体" w:cs="宋体"/>
          <w:spacing w:val="-1"/>
          <w:sz w:val="24"/>
          <w:szCs w:val="24"/>
        </w:rPr>
        <w:t>建设项目环境影响评价工作的过程中，把握以下原则：</w:t>
      </w:r>
    </w:p>
    <w:p w14:paraId="42366B8B">
      <w:pPr>
        <w:spacing w:line="358" w:lineRule="exact"/>
        <w:ind w:left="502"/>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、依法评价</w:t>
      </w:r>
    </w:p>
    <w:p w14:paraId="707CF0B1">
      <w:pPr>
        <w:spacing w:before="167" w:line="362" w:lineRule="auto"/>
        <w:ind w:left="3" w:right="56" w:firstLine="485"/>
        <w:rPr>
          <w:rFonts w:ascii="宋体" w:hAnsi="宋体" w:eastAsia="宋体" w:cs="宋体"/>
          <w:sz w:val="24"/>
          <w:szCs w:val="24"/>
        </w:rPr>
      </w:pPr>
      <w:r>
        <w:rPr>
          <w:rFonts w:ascii="宋体" w:hAnsi="宋体" w:eastAsia="宋体" w:cs="宋体"/>
          <w:sz w:val="24"/>
          <w:szCs w:val="24"/>
        </w:rPr>
        <w:t>贯彻执行我国环境保护相关法律法规、标准、政策和规划等，优化项目建设，</w:t>
      </w:r>
      <w:r>
        <w:rPr>
          <w:rFonts w:ascii="宋体" w:hAnsi="宋体" w:eastAsia="宋体" w:cs="宋体"/>
          <w:spacing w:val="15"/>
          <w:sz w:val="24"/>
          <w:szCs w:val="24"/>
        </w:rPr>
        <w:t xml:space="preserve"> </w:t>
      </w:r>
      <w:r>
        <w:rPr>
          <w:rFonts w:ascii="宋体" w:hAnsi="宋体" w:eastAsia="宋体" w:cs="宋体"/>
          <w:spacing w:val="-2"/>
          <w:sz w:val="24"/>
          <w:szCs w:val="24"/>
        </w:rPr>
        <w:t>服务环境管理。</w:t>
      </w:r>
    </w:p>
    <w:p w14:paraId="34D3F4CC">
      <w:pPr>
        <w:spacing w:line="358" w:lineRule="exact"/>
        <w:ind w:left="479"/>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、科学评价</w:t>
      </w:r>
    </w:p>
    <w:p w14:paraId="0A6CDEC3">
      <w:pPr>
        <w:spacing w:before="169" w:line="219" w:lineRule="auto"/>
        <w:ind w:left="484"/>
        <w:rPr>
          <w:rFonts w:ascii="宋体" w:hAnsi="宋体" w:eastAsia="宋体" w:cs="宋体"/>
          <w:sz w:val="24"/>
          <w:szCs w:val="24"/>
        </w:rPr>
      </w:pPr>
      <w:r>
        <w:rPr>
          <w:rFonts w:ascii="宋体" w:hAnsi="宋体" w:eastAsia="宋体" w:cs="宋体"/>
          <w:spacing w:val="-1"/>
          <w:sz w:val="24"/>
          <w:szCs w:val="24"/>
        </w:rPr>
        <w:t>规范环境影响评价方法，科学分析项目建设对环境质量的影响。</w:t>
      </w:r>
    </w:p>
    <w:p w14:paraId="40697D5E">
      <w:pPr>
        <w:spacing w:before="167" w:line="365" w:lineRule="exact"/>
        <w:ind w:left="484"/>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、突出重点</w:t>
      </w:r>
    </w:p>
    <w:p w14:paraId="1C4B0331">
      <w:pPr>
        <w:spacing w:before="160" w:line="376" w:lineRule="auto"/>
        <w:ind w:left="4" w:firstLine="479"/>
        <w:rPr>
          <w:rFonts w:ascii="宋体" w:hAnsi="宋体" w:eastAsia="宋体" w:cs="宋体"/>
          <w:sz w:val="24"/>
          <w:szCs w:val="24"/>
        </w:rPr>
      </w:pPr>
      <w:r>
        <w:rPr>
          <w:rFonts w:ascii="宋体" w:hAnsi="宋体" w:eastAsia="宋体" w:cs="宋体"/>
          <w:spacing w:val="2"/>
          <w:sz w:val="24"/>
          <w:szCs w:val="24"/>
        </w:rPr>
        <w:t>根据建设项目的工程内容及其特点，明确与环境要素间的作用效应关系，根据</w:t>
      </w:r>
      <w:r>
        <w:rPr>
          <w:rFonts w:ascii="宋体" w:hAnsi="宋体" w:eastAsia="宋体" w:cs="宋体"/>
          <w:spacing w:val="10"/>
          <w:sz w:val="24"/>
          <w:szCs w:val="24"/>
        </w:rPr>
        <w:t xml:space="preserve"> </w:t>
      </w:r>
      <w:r>
        <w:rPr>
          <w:rFonts w:ascii="宋体" w:hAnsi="宋体" w:eastAsia="宋体" w:cs="宋体"/>
          <w:spacing w:val="2"/>
          <w:sz w:val="24"/>
          <w:szCs w:val="24"/>
        </w:rPr>
        <w:t>规划环境影响评价结论和审查意见，充分利用符合时效的数据资料及成果，对建设</w:t>
      </w:r>
      <w:r>
        <w:rPr>
          <w:rFonts w:ascii="宋体" w:hAnsi="宋体" w:eastAsia="宋体" w:cs="宋体"/>
          <w:spacing w:val="5"/>
          <w:sz w:val="24"/>
          <w:szCs w:val="24"/>
        </w:rPr>
        <w:t xml:space="preserve"> </w:t>
      </w:r>
      <w:r>
        <w:rPr>
          <w:rFonts w:ascii="宋体" w:hAnsi="宋体" w:eastAsia="宋体" w:cs="宋体"/>
          <w:spacing w:val="-1"/>
          <w:sz w:val="24"/>
          <w:szCs w:val="24"/>
        </w:rPr>
        <w:t>项目主要环境影响予以重点分析和评价。</w:t>
      </w:r>
    </w:p>
    <w:p w14:paraId="1483E34C">
      <w:pPr>
        <w:spacing w:before="1" w:line="218"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2.2.3</w:t>
      </w:r>
      <w:r>
        <w:rPr>
          <w:rFonts w:ascii="宋体" w:hAnsi="宋体" w:eastAsia="宋体" w:cs="宋体"/>
          <w:b/>
          <w:bCs/>
          <w:spacing w:val="-2"/>
          <w:sz w:val="24"/>
          <w:szCs w:val="24"/>
        </w:rPr>
        <w:t>评价方法</w:t>
      </w:r>
    </w:p>
    <w:p w14:paraId="68FE0120">
      <w:pPr>
        <w:spacing w:before="171" w:line="311" w:lineRule="auto"/>
        <w:ind w:left="4"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）环境现状评价：主要采用现场勘察、历史数据收集并进行必要的现场补充</w:t>
      </w:r>
      <w:r>
        <w:rPr>
          <w:rFonts w:ascii="宋体" w:hAnsi="宋体" w:eastAsia="宋体" w:cs="宋体"/>
          <w:spacing w:val="16"/>
          <w:sz w:val="24"/>
          <w:szCs w:val="24"/>
        </w:rPr>
        <w:t xml:space="preserve"> </w:t>
      </w:r>
      <w:r>
        <w:rPr>
          <w:rFonts w:ascii="宋体" w:hAnsi="宋体" w:eastAsia="宋体" w:cs="宋体"/>
          <w:spacing w:val="-1"/>
          <w:sz w:val="24"/>
          <w:szCs w:val="24"/>
        </w:rPr>
        <w:t>监测，通过对监测数据进行统计和处理进行拟建地环境现状评价。</w:t>
      </w:r>
    </w:p>
    <w:p w14:paraId="6E5FE2DB">
      <w:pPr>
        <w:spacing w:before="166" w:line="334" w:lineRule="auto"/>
        <w:ind w:left="103" w:firstLine="37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）环境影响预测分析和评价：采用数学模型、类比实测和专业判断法等技术</w:t>
      </w:r>
      <w:r>
        <w:rPr>
          <w:rFonts w:ascii="宋体" w:hAnsi="宋体" w:eastAsia="宋体" w:cs="宋体"/>
          <w:spacing w:val="1"/>
          <w:sz w:val="24"/>
          <w:szCs w:val="24"/>
        </w:rPr>
        <w:t xml:space="preserve"> </w:t>
      </w:r>
      <w:r>
        <w:rPr>
          <w:rFonts w:ascii="宋体" w:hAnsi="宋体" w:eastAsia="宋体" w:cs="宋体"/>
          <w:spacing w:val="-1"/>
          <w:sz w:val="24"/>
          <w:szCs w:val="24"/>
        </w:rPr>
        <w:t>方法，分析建设项目污染物排放对周围环境的影响程度及达标情况，提出环保措施</w:t>
      </w:r>
      <w:r>
        <w:rPr>
          <w:rFonts w:ascii="宋体" w:hAnsi="宋体" w:eastAsia="宋体" w:cs="宋体"/>
          <w:spacing w:val="14"/>
          <w:sz w:val="24"/>
          <w:szCs w:val="24"/>
        </w:rPr>
        <w:t xml:space="preserve"> </w:t>
      </w:r>
      <w:r>
        <w:rPr>
          <w:rFonts w:ascii="宋体" w:hAnsi="宋体" w:eastAsia="宋体" w:cs="宋体"/>
          <w:spacing w:val="-3"/>
          <w:sz w:val="24"/>
          <w:szCs w:val="24"/>
        </w:rPr>
        <w:t>及建议。</w:t>
      </w:r>
    </w:p>
    <w:p w14:paraId="31462AD2">
      <w:pPr>
        <w:spacing w:line="334" w:lineRule="auto"/>
        <w:rPr>
          <w:rFonts w:ascii="宋体" w:hAnsi="宋体" w:eastAsia="宋体" w:cs="宋体"/>
          <w:sz w:val="24"/>
          <w:szCs w:val="24"/>
        </w:rPr>
        <w:sectPr>
          <w:footerReference r:id="rId34" w:type="default"/>
          <w:pgSz w:w="11906" w:h="16839"/>
          <w:pgMar w:top="1431" w:right="1588" w:bottom="1485" w:left="1594" w:header="0" w:footer="1249" w:gutter="0"/>
          <w:cols w:space="720" w:num="1"/>
        </w:sectPr>
      </w:pPr>
    </w:p>
    <w:p w14:paraId="133849A2">
      <w:pPr>
        <w:spacing w:before="156" w:line="226" w:lineRule="auto"/>
        <w:ind w:left="2"/>
        <w:outlineLvl w:val="1"/>
        <w:rPr>
          <w:rFonts w:ascii="宋体" w:hAnsi="宋体" w:eastAsia="宋体" w:cs="宋体"/>
          <w:sz w:val="31"/>
          <w:szCs w:val="31"/>
        </w:rPr>
      </w:pPr>
      <w:bookmarkStart w:id="12" w:name="bookmark11"/>
      <w:bookmarkEnd w:id="12"/>
      <w:r>
        <w:rPr>
          <w:rFonts w:ascii="Times New Roman" w:hAnsi="Times New Roman" w:eastAsia="Times New Roman" w:cs="Times New Roman"/>
          <w:b/>
          <w:bCs/>
          <w:spacing w:val="5"/>
          <w:sz w:val="31"/>
          <w:szCs w:val="31"/>
        </w:rPr>
        <w:t>2.3</w:t>
      </w:r>
      <w:r>
        <w:rPr>
          <w:rFonts w:ascii="宋体" w:hAnsi="宋体" w:eastAsia="宋体" w:cs="宋体"/>
          <w:b/>
          <w:bCs/>
          <w:spacing w:val="5"/>
          <w:sz w:val="31"/>
          <w:szCs w:val="31"/>
        </w:rPr>
        <w:t>环境功能区划</w:t>
      </w:r>
    </w:p>
    <w:p w14:paraId="39D2D4BA">
      <w:pPr>
        <w:pStyle w:val="2"/>
        <w:spacing w:line="406" w:lineRule="auto"/>
      </w:pPr>
    </w:p>
    <w:p w14:paraId="0DE8EF2B">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2.3.1</w:t>
      </w:r>
      <w:r>
        <w:rPr>
          <w:rFonts w:ascii="宋体" w:hAnsi="宋体" w:eastAsia="宋体" w:cs="宋体"/>
          <w:b/>
          <w:bCs/>
          <w:spacing w:val="-2"/>
          <w:sz w:val="24"/>
          <w:szCs w:val="24"/>
        </w:rPr>
        <w:t>地表水环境功能区区划</w:t>
      </w:r>
    </w:p>
    <w:p w14:paraId="4ED9818D">
      <w:pPr>
        <w:spacing w:before="204" w:line="376" w:lineRule="auto"/>
        <w:ind w:left="5" w:right="219" w:firstLine="480"/>
        <w:jc w:val="both"/>
        <w:rPr>
          <w:rFonts w:ascii="宋体" w:hAnsi="宋体" w:eastAsia="宋体" w:cs="宋体"/>
          <w:sz w:val="24"/>
          <w:szCs w:val="24"/>
        </w:rPr>
      </w:pPr>
      <w:r>
        <w:rPr>
          <w:rFonts w:ascii="宋体" w:hAnsi="宋体" w:eastAsia="宋体" w:cs="宋体"/>
          <w:spacing w:val="2"/>
          <w:sz w:val="24"/>
          <w:szCs w:val="24"/>
        </w:rPr>
        <w:t>本项目猪只尿液、猪舍冲洗水与猪粪一起收集，经异位发酵床发酵制作有机肥</w:t>
      </w:r>
      <w:r>
        <w:rPr>
          <w:rFonts w:ascii="宋体" w:hAnsi="宋体" w:eastAsia="宋体" w:cs="宋体"/>
          <w:spacing w:val="9"/>
          <w:sz w:val="24"/>
          <w:szCs w:val="24"/>
        </w:rPr>
        <w:t xml:space="preserve"> </w:t>
      </w:r>
      <w:r>
        <w:rPr>
          <w:rFonts w:ascii="宋体" w:hAnsi="宋体" w:eastAsia="宋体" w:cs="宋体"/>
          <w:spacing w:val="2"/>
          <w:sz w:val="24"/>
          <w:szCs w:val="24"/>
        </w:rPr>
        <w:t>半成品外售，不单独收集，不外排。项目产生的生活污水与猪只粪污一起经异位发</w:t>
      </w:r>
      <w:r>
        <w:rPr>
          <w:rFonts w:ascii="宋体" w:hAnsi="宋体" w:eastAsia="宋体" w:cs="宋体"/>
          <w:spacing w:val="5"/>
          <w:sz w:val="24"/>
          <w:szCs w:val="24"/>
        </w:rPr>
        <w:t xml:space="preserve"> </w:t>
      </w:r>
      <w:r>
        <w:rPr>
          <w:rFonts w:ascii="宋体" w:hAnsi="宋体" w:eastAsia="宋体" w:cs="宋体"/>
          <w:spacing w:val="2"/>
          <w:sz w:val="24"/>
          <w:szCs w:val="24"/>
        </w:rPr>
        <w:t>酵床发酵制作有机肥半成品外售，不外排。距离本项目最近的地表水功能水体是黄</w:t>
      </w:r>
      <w:r>
        <w:rPr>
          <w:rFonts w:ascii="宋体" w:hAnsi="宋体" w:eastAsia="宋体" w:cs="宋体"/>
          <w:spacing w:val="5"/>
          <w:sz w:val="24"/>
          <w:szCs w:val="24"/>
        </w:rPr>
        <w:t xml:space="preserve"> </w:t>
      </w:r>
      <w:r>
        <w:rPr>
          <w:rFonts w:ascii="宋体" w:hAnsi="宋体" w:eastAsia="宋体" w:cs="宋体"/>
          <w:spacing w:val="-6"/>
          <w:sz w:val="24"/>
          <w:szCs w:val="24"/>
        </w:rPr>
        <w:t>江。</w:t>
      </w:r>
    </w:p>
    <w:p w14:paraId="18B84209">
      <w:pPr>
        <w:spacing w:before="3" w:line="375" w:lineRule="auto"/>
        <w:ind w:right="223" w:firstLine="484"/>
        <w:jc w:val="both"/>
        <w:rPr>
          <w:rFonts w:ascii="宋体" w:hAnsi="宋体" w:eastAsia="宋体" w:cs="宋体"/>
          <w:sz w:val="24"/>
          <w:szCs w:val="24"/>
        </w:rPr>
      </w:pPr>
      <w:r>
        <w:rPr>
          <w:rFonts w:ascii="宋体" w:hAnsi="宋体" w:eastAsia="宋体" w:cs="宋体"/>
          <w:spacing w:val="2"/>
          <w:sz w:val="24"/>
          <w:szCs w:val="24"/>
        </w:rPr>
        <w:t>根据海丰县地表水功能区划图可知，黄江属于Ⅲ类水，因此，黄江执行《地表</w:t>
      </w:r>
      <w:r>
        <w:rPr>
          <w:rFonts w:ascii="宋体" w:hAnsi="宋体" w:eastAsia="宋体" w:cs="宋体"/>
          <w:spacing w:val="5"/>
          <w:sz w:val="24"/>
          <w:szCs w:val="24"/>
        </w:rPr>
        <w:t xml:space="preserve"> </w:t>
      </w:r>
      <w:r>
        <w:rPr>
          <w:rFonts w:ascii="宋体" w:hAnsi="宋体" w:eastAsia="宋体" w:cs="宋体"/>
          <w:spacing w:val="3"/>
          <w:sz w:val="24"/>
          <w:szCs w:val="24"/>
        </w:rPr>
        <w:t>水环境质量标准》（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3838-2002</w:t>
      </w:r>
      <w:r>
        <w:rPr>
          <w:rFonts w:ascii="宋体" w:hAnsi="宋体" w:eastAsia="宋体" w:cs="宋体"/>
          <w:spacing w:val="3"/>
          <w:sz w:val="24"/>
          <w:szCs w:val="24"/>
        </w:rPr>
        <w:t>）Ⅲ类标准，海丰县地表水环境功能区划图见图</w:t>
      </w:r>
      <w:r>
        <w:rPr>
          <w:rFonts w:ascii="宋体" w:hAnsi="宋体" w:eastAsia="宋体" w:cs="宋体"/>
          <w:spacing w:val="15"/>
          <w:sz w:val="24"/>
          <w:szCs w:val="24"/>
        </w:rPr>
        <w:t xml:space="preserve"> </w:t>
      </w:r>
      <w:r>
        <w:rPr>
          <w:rFonts w:ascii="Times New Roman" w:hAnsi="Times New Roman" w:eastAsia="Times New Roman" w:cs="Times New Roman"/>
          <w:sz w:val="24"/>
          <w:szCs w:val="24"/>
        </w:rPr>
        <w:t>2.3-1</w:t>
      </w:r>
      <w:r>
        <w:rPr>
          <w:rFonts w:ascii="宋体" w:hAnsi="宋体" w:eastAsia="宋体" w:cs="宋体"/>
          <w:sz w:val="24"/>
          <w:szCs w:val="24"/>
        </w:rPr>
        <w:t>。</w:t>
      </w:r>
    </w:p>
    <w:p w14:paraId="22519AE5">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2.3.2</w:t>
      </w:r>
      <w:r>
        <w:rPr>
          <w:rFonts w:ascii="宋体" w:hAnsi="宋体" w:eastAsia="宋体" w:cs="宋体"/>
          <w:b/>
          <w:bCs/>
          <w:spacing w:val="-2"/>
          <w:sz w:val="24"/>
          <w:szCs w:val="24"/>
        </w:rPr>
        <w:t>环境空气功能区区划</w:t>
      </w:r>
    </w:p>
    <w:p w14:paraId="16F41D87">
      <w:pPr>
        <w:spacing w:before="166" w:line="374" w:lineRule="auto"/>
        <w:ind w:left="3" w:firstLine="480"/>
        <w:jc w:val="both"/>
        <w:rPr>
          <w:rFonts w:ascii="宋体" w:hAnsi="宋体" w:eastAsia="宋体" w:cs="宋体"/>
          <w:sz w:val="24"/>
          <w:szCs w:val="24"/>
        </w:rPr>
      </w:pPr>
      <w:r>
        <w:rPr>
          <w:rFonts w:ascii="宋体" w:hAnsi="宋体" w:eastAsia="宋体" w:cs="宋体"/>
          <w:spacing w:val="-20"/>
          <w:sz w:val="24"/>
          <w:szCs w:val="24"/>
        </w:rPr>
        <w:t>根据《海丰县环境保护规划（</w:t>
      </w:r>
      <w:r>
        <w:rPr>
          <w:rFonts w:ascii="Times New Roman" w:hAnsi="Times New Roman" w:eastAsia="Times New Roman" w:cs="Times New Roman"/>
          <w:spacing w:val="-20"/>
          <w:sz w:val="24"/>
          <w:szCs w:val="24"/>
        </w:rPr>
        <w:t>2008-2020</w:t>
      </w:r>
      <w:r>
        <w:rPr>
          <w:rFonts w:ascii="Times New Roman" w:hAnsi="Times New Roman" w:eastAsia="Times New Roman" w:cs="Times New Roman"/>
          <w:spacing w:val="13"/>
          <w:sz w:val="24"/>
          <w:szCs w:val="24"/>
        </w:rPr>
        <w:t xml:space="preserve"> </w:t>
      </w:r>
      <w:r>
        <w:rPr>
          <w:rFonts w:ascii="宋体" w:hAnsi="宋体" w:eastAsia="宋体" w:cs="宋体"/>
          <w:spacing w:val="-20"/>
          <w:sz w:val="24"/>
          <w:szCs w:val="24"/>
        </w:rPr>
        <w:t>年）》、《环境空气质量标准》（</w:t>
      </w:r>
      <w:r>
        <w:rPr>
          <w:rFonts w:ascii="Times New Roman" w:hAnsi="Times New Roman" w:eastAsia="Times New Roman" w:cs="Times New Roman"/>
          <w:spacing w:val="-20"/>
          <w:sz w:val="24"/>
          <w:szCs w:val="24"/>
        </w:rPr>
        <w:t>GB3</w:t>
      </w:r>
      <w:r>
        <w:rPr>
          <w:rFonts w:ascii="Times New Roman" w:hAnsi="Times New Roman" w:eastAsia="Times New Roman" w:cs="Times New Roman"/>
          <w:spacing w:val="-21"/>
          <w:sz w:val="24"/>
          <w:szCs w:val="24"/>
        </w:rPr>
        <w:t>095-2012</w:t>
      </w:r>
      <w:r>
        <w:rPr>
          <w:rFonts w:ascii="宋体" w:hAnsi="宋体" w:eastAsia="宋体" w:cs="宋体"/>
          <w:spacing w:val="-21"/>
          <w:sz w:val="24"/>
          <w:szCs w:val="24"/>
        </w:rPr>
        <w:t>）</w:t>
      </w:r>
      <w:r>
        <w:rPr>
          <w:rFonts w:ascii="宋体" w:hAnsi="宋体" w:eastAsia="宋体" w:cs="宋体"/>
          <w:sz w:val="24"/>
          <w:szCs w:val="24"/>
        </w:rPr>
        <w:t xml:space="preserve"> </w:t>
      </w:r>
      <w:r>
        <w:rPr>
          <w:rFonts w:ascii="宋体" w:hAnsi="宋体" w:eastAsia="宋体" w:cs="宋体"/>
          <w:spacing w:val="-1"/>
          <w:sz w:val="24"/>
          <w:szCs w:val="24"/>
        </w:rPr>
        <w:t>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年修改单的划分依据，本项目所在区域为环境空气二类功能</w:t>
      </w:r>
      <w:r>
        <w:rPr>
          <w:rFonts w:ascii="宋体" w:hAnsi="宋体" w:eastAsia="宋体" w:cs="宋体"/>
          <w:spacing w:val="-2"/>
          <w:sz w:val="24"/>
          <w:szCs w:val="24"/>
        </w:rPr>
        <w:t>区。汕尾市海丰</w:t>
      </w:r>
      <w:r>
        <w:rPr>
          <w:rFonts w:ascii="宋体" w:hAnsi="宋体" w:eastAsia="宋体" w:cs="宋体"/>
          <w:sz w:val="24"/>
          <w:szCs w:val="24"/>
        </w:rPr>
        <w:t xml:space="preserve">  </w:t>
      </w:r>
      <w:r>
        <w:rPr>
          <w:rFonts w:ascii="宋体" w:hAnsi="宋体" w:eastAsia="宋体" w:cs="宋体"/>
          <w:spacing w:val="2"/>
          <w:sz w:val="24"/>
          <w:szCs w:val="24"/>
        </w:rPr>
        <w:t>县大气环境功能区图见图</w:t>
      </w:r>
      <w:r>
        <w:rPr>
          <w:rFonts w:ascii="Times New Roman" w:hAnsi="Times New Roman" w:eastAsia="Times New Roman" w:cs="Times New Roman"/>
          <w:spacing w:val="2"/>
          <w:sz w:val="24"/>
          <w:szCs w:val="24"/>
        </w:rPr>
        <w:t>2.3-2</w:t>
      </w:r>
      <w:r>
        <w:rPr>
          <w:rFonts w:ascii="宋体" w:hAnsi="宋体" w:eastAsia="宋体" w:cs="宋体"/>
          <w:spacing w:val="2"/>
          <w:sz w:val="24"/>
          <w:szCs w:val="24"/>
        </w:rPr>
        <w:t>。</w:t>
      </w:r>
    </w:p>
    <w:p w14:paraId="0A6E740A">
      <w:pPr>
        <w:spacing w:before="44"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2.3.3</w:t>
      </w:r>
      <w:r>
        <w:rPr>
          <w:rFonts w:ascii="宋体" w:hAnsi="宋体" w:eastAsia="宋体" w:cs="宋体"/>
          <w:b/>
          <w:bCs/>
          <w:spacing w:val="-2"/>
          <w:sz w:val="24"/>
          <w:szCs w:val="24"/>
        </w:rPr>
        <w:t>声环境功能区区划</w:t>
      </w:r>
    </w:p>
    <w:p w14:paraId="6FCEA401">
      <w:pPr>
        <w:spacing w:before="167" w:line="372" w:lineRule="auto"/>
        <w:ind w:left="5" w:right="214" w:firstLine="479"/>
        <w:rPr>
          <w:rFonts w:ascii="宋体" w:hAnsi="宋体" w:eastAsia="宋体" w:cs="宋体"/>
          <w:sz w:val="24"/>
          <w:szCs w:val="24"/>
        </w:rPr>
      </w:pPr>
      <w:r>
        <w:rPr>
          <w:rFonts w:ascii="宋体" w:hAnsi="宋体" w:eastAsia="宋体" w:cs="宋体"/>
          <w:spacing w:val="-1"/>
          <w:sz w:val="24"/>
          <w:szCs w:val="24"/>
        </w:rPr>
        <w:t>根据《海丰县环境保护规划（</w:t>
      </w:r>
      <w:r>
        <w:rPr>
          <w:rFonts w:ascii="Times New Roman" w:hAnsi="Times New Roman" w:eastAsia="Times New Roman" w:cs="Times New Roman"/>
          <w:spacing w:val="-1"/>
          <w:sz w:val="24"/>
          <w:szCs w:val="24"/>
        </w:rPr>
        <w:t xml:space="preserve">2008-2020 </w:t>
      </w:r>
      <w:r>
        <w:rPr>
          <w:rFonts w:ascii="宋体" w:hAnsi="宋体" w:eastAsia="宋体" w:cs="宋体"/>
          <w:spacing w:val="-2"/>
          <w:sz w:val="24"/>
          <w:szCs w:val="24"/>
        </w:rPr>
        <w:t>年）》、本项目所在地的属于《声环境</w:t>
      </w:r>
      <w:r>
        <w:rPr>
          <w:rFonts w:ascii="宋体" w:hAnsi="宋体" w:eastAsia="宋体" w:cs="宋体"/>
          <w:sz w:val="24"/>
          <w:szCs w:val="24"/>
        </w:rPr>
        <w:t xml:space="preserve"> 质量标准》（</w:t>
      </w:r>
      <w:r>
        <w:rPr>
          <w:rFonts w:ascii="Times New Roman" w:hAnsi="Times New Roman" w:eastAsia="Times New Roman" w:cs="Times New Roman"/>
          <w:sz w:val="24"/>
          <w:szCs w:val="24"/>
        </w:rPr>
        <w:t>GB 3096-2008</w:t>
      </w:r>
      <w:r>
        <w:rPr>
          <w:rFonts w:ascii="宋体" w:hAnsi="宋体" w:eastAsia="宋体" w:cs="宋体"/>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类声环境功能控制区。</w:t>
      </w:r>
    </w:p>
    <w:p w14:paraId="42900940">
      <w:pPr>
        <w:spacing w:before="47"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2.3.4</w:t>
      </w:r>
      <w:r>
        <w:rPr>
          <w:rFonts w:ascii="宋体" w:hAnsi="宋体" w:eastAsia="宋体" w:cs="宋体"/>
          <w:b/>
          <w:bCs/>
          <w:spacing w:val="-2"/>
          <w:sz w:val="24"/>
          <w:szCs w:val="24"/>
        </w:rPr>
        <w:t>地下水环境功能区划</w:t>
      </w:r>
    </w:p>
    <w:p w14:paraId="64BDF5BD">
      <w:pPr>
        <w:spacing w:before="166" w:line="374" w:lineRule="auto"/>
        <w:ind w:left="4" w:right="216" w:firstLine="480"/>
        <w:jc w:val="both"/>
        <w:rPr>
          <w:rFonts w:ascii="宋体" w:hAnsi="宋体" w:eastAsia="宋体" w:cs="宋体"/>
          <w:sz w:val="24"/>
          <w:szCs w:val="24"/>
        </w:rPr>
      </w:pPr>
      <w:r>
        <w:rPr>
          <w:rFonts w:ascii="宋体" w:hAnsi="宋体" w:eastAsia="宋体" w:cs="宋体"/>
          <w:spacing w:val="-1"/>
          <w:sz w:val="24"/>
          <w:szCs w:val="24"/>
        </w:rPr>
        <w:t>根据《广东省地下水功能区划》（粤水资源</w:t>
      </w:r>
      <w:r>
        <w:rPr>
          <w:rFonts w:ascii="Times New Roman" w:hAnsi="Times New Roman" w:eastAsia="Times New Roman" w:cs="Times New Roman"/>
          <w:spacing w:val="-1"/>
          <w:sz w:val="24"/>
          <w:szCs w:val="24"/>
        </w:rPr>
        <w:t xml:space="preserve">[2009]9 </w:t>
      </w:r>
      <w:r>
        <w:rPr>
          <w:rFonts w:ascii="宋体" w:hAnsi="宋体" w:eastAsia="宋体" w:cs="宋体"/>
          <w:spacing w:val="-1"/>
          <w:sz w:val="24"/>
          <w:szCs w:val="24"/>
        </w:rPr>
        <w:t>号</w:t>
      </w:r>
      <w:r>
        <w:rPr>
          <w:rFonts w:ascii="宋体" w:hAnsi="宋体" w:eastAsia="宋体" w:cs="宋体"/>
          <w:spacing w:val="8"/>
          <w:sz w:val="24"/>
          <w:szCs w:val="24"/>
        </w:rPr>
        <w:t>），</w:t>
      </w:r>
      <w:r>
        <w:rPr>
          <w:rFonts w:ascii="宋体" w:hAnsi="宋体" w:eastAsia="宋体" w:cs="宋体"/>
          <w:spacing w:val="-1"/>
          <w:sz w:val="24"/>
          <w:szCs w:val="24"/>
        </w:rPr>
        <w:t>项目所在的地下水功</w:t>
      </w:r>
      <w:r>
        <w:rPr>
          <w:rFonts w:ascii="宋体" w:hAnsi="宋体" w:eastAsia="宋体" w:cs="宋体"/>
          <w:spacing w:val="1"/>
          <w:sz w:val="24"/>
          <w:szCs w:val="24"/>
        </w:rPr>
        <w:t xml:space="preserve"> </w:t>
      </w:r>
      <w:r>
        <w:rPr>
          <w:rFonts w:ascii="宋体" w:hAnsi="宋体" w:eastAsia="宋体" w:cs="宋体"/>
          <w:sz w:val="24"/>
          <w:szCs w:val="24"/>
        </w:rPr>
        <w:t>能区属于韩江及粤东诸河汕尾海丰地下水水源涵养区，代码为</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H084415002T03</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 xml:space="preserve">。汕 </w:t>
      </w:r>
      <w:r>
        <w:rPr>
          <w:rFonts w:ascii="宋体" w:hAnsi="宋体" w:eastAsia="宋体" w:cs="宋体"/>
          <w:spacing w:val="2"/>
          <w:sz w:val="24"/>
          <w:szCs w:val="24"/>
        </w:rPr>
        <w:t>尾市地下水环境功能区划图见图</w:t>
      </w:r>
      <w:r>
        <w:rPr>
          <w:rFonts w:ascii="Times New Roman" w:hAnsi="Times New Roman" w:eastAsia="Times New Roman" w:cs="Times New Roman"/>
          <w:spacing w:val="2"/>
          <w:sz w:val="24"/>
          <w:szCs w:val="24"/>
        </w:rPr>
        <w:t>2.3-3</w:t>
      </w:r>
      <w:r>
        <w:rPr>
          <w:rFonts w:ascii="宋体" w:hAnsi="宋体" w:eastAsia="宋体" w:cs="宋体"/>
          <w:spacing w:val="2"/>
          <w:sz w:val="24"/>
          <w:szCs w:val="24"/>
        </w:rPr>
        <w:t>。</w:t>
      </w:r>
    </w:p>
    <w:p w14:paraId="51693006">
      <w:pPr>
        <w:spacing w:before="45"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2.3.5</w:t>
      </w:r>
      <w:r>
        <w:rPr>
          <w:rFonts w:ascii="宋体" w:hAnsi="宋体" w:eastAsia="宋体" w:cs="宋体"/>
          <w:b/>
          <w:bCs/>
          <w:spacing w:val="-2"/>
          <w:sz w:val="24"/>
          <w:szCs w:val="24"/>
        </w:rPr>
        <w:t>生态环境功能区划</w:t>
      </w:r>
    </w:p>
    <w:p w14:paraId="538D9272">
      <w:pPr>
        <w:spacing w:before="165" w:line="374" w:lineRule="auto"/>
        <w:ind w:left="6" w:right="219" w:firstLine="478"/>
        <w:rPr>
          <w:rFonts w:ascii="宋体" w:hAnsi="宋体" w:eastAsia="宋体" w:cs="宋体"/>
          <w:sz w:val="24"/>
          <w:szCs w:val="24"/>
        </w:rPr>
      </w:pPr>
      <w:r>
        <w:rPr>
          <w:rFonts w:ascii="宋体" w:hAnsi="宋体" w:eastAsia="宋体" w:cs="宋体"/>
          <w:spacing w:val="-2"/>
          <w:sz w:val="24"/>
          <w:szCs w:val="24"/>
        </w:rPr>
        <w:t>根据《汕尾市环境保护规划（</w:t>
      </w:r>
      <w:r>
        <w:rPr>
          <w:rFonts w:ascii="Times New Roman" w:hAnsi="Times New Roman" w:eastAsia="Times New Roman" w:cs="Times New Roman"/>
          <w:spacing w:val="-2"/>
          <w:sz w:val="24"/>
          <w:szCs w:val="24"/>
        </w:rPr>
        <w:t xml:space="preserve">2008-2020 </w:t>
      </w:r>
      <w:r>
        <w:rPr>
          <w:rFonts w:ascii="宋体" w:hAnsi="宋体" w:eastAsia="宋体" w:cs="宋体"/>
          <w:spacing w:val="-2"/>
          <w:sz w:val="24"/>
          <w:szCs w:val="24"/>
        </w:rPr>
        <w:t>年）》，本项目所在区域的生态环境</w:t>
      </w:r>
      <w:r>
        <w:rPr>
          <w:rFonts w:ascii="宋体" w:hAnsi="宋体" w:eastAsia="宋体" w:cs="宋体"/>
          <w:spacing w:val="18"/>
          <w:sz w:val="24"/>
          <w:szCs w:val="24"/>
        </w:rPr>
        <w:t xml:space="preserve"> </w:t>
      </w:r>
      <w:r>
        <w:rPr>
          <w:rFonts w:ascii="宋体" w:hAnsi="宋体" w:eastAsia="宋体" w:cs="宋体"/>
          <w:spacing w:val="1"/>
          <w:sz w:val="24"/>
          <w:szCs w:val="24"/>
        </w:rPr>
        <w:t>属于城市</w:t>
      </w:r>
      <w:r>
        <w:rPr>
          <w:rFonts w:ascii="Times New Roman" w:hAnsi="Times New Roman" w:eastAsia="Times New Roman" w:cs="Times New Roman"/>
          <w:spacing w:val="1"/>
          <w:sz w:val="24"/>
          <w:szCs w:val="24"/>
        </w:rPr>
        <w:t>-</w:t>
      </w:r>
      <w:r>
        <w:rPr>
          <w:rFonts w:ascii="宋体" w:hAnsi="宋体" w:eastAsia="宋体" w:cs="宋体"/>
          <w:spacing w:val="1"/>
          <w:sz w:val="24"/>
          <w:szCs w:val="24"/>
        </w:rPr>
        <w:t>农业经济生态区。汕尾市海丰县生态功能区划图见图</w:t>
      </w:r>
      <w:r>
        <w:rPr>
          <w:rFonts w:ascii="Times New Roman" w:hAnsi="Times New Roman" w:eastAsia="Times New Roman" w:cs="Times New Roman"/>
          <w:spacing w:val="1"/>
          <w:sz w:val="24"/>
          <w:szCs w:val="24"/>
        </w:rPr>
        <w:t>2.3-4</w:t>
      </w:r>
      <w:r>
        <w:rPr>
          <w:rFonts w:ascii="宋体" w:hAnsi="宋体" w:eastAsia="宋体" w:cs="宋体"/>
          <w:spacing w:val="1"/>
          <w:sz w:val="24"/>
          <w:szCs w:val="24"/>
        </w:rPr>
        <w:t>。</w:t>
      </w:r>
    </w:p>
    <w:p w14:paraId="20CEB7F0">
      <w:pPr>
        <w:spacing w:before="42"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2.3.6</w:t>
      </w:r>
      <w:r>
        <w:rPr>
          <w:rFonts w:ascii="宋体" w:hAnsi="宋体" w:eastAsia="宋体" w:cs="宋体"/>
          <w:b/>
          <w:bCs/>
          <w:spacing w:val="-2"/>
          <w:sz w:val="24"/>
          <w:szCs w:val="24"/>
        </w:rPr>
        <w:t>项目所在区域环境功能属性</w:t>
      </w:r>
    </w:p>
    <w:p w14:paraId="7551B602">
      <w:pPr>
        <w:spacing w:before="165" w:line="359" w:lineRule="exact"/>
        <w:ind w:left="485"/>
        <w:rPr>
          <w:rFonts w:ascii="宋体" w:hAnsi="宋体" w:eastAsia="宋体" w:cs="宋体"/>
          <w:sz w:val="24"/>
          <w:szCs w:val="24"/>
        </w:rPr>
      </w:pPr>
      <w:r>
        <w:rPr>
          <w:rFonts w:ascii="宋体" w:hAnsi="宋体" w:eastAsia="宋体" w:cs="宋体"/>
          <w:spacing w:val="4"/>
          <w:position w:val="2"/>
          <w:sz w:val="24"/>
          <w:szCs w:val="24"/>
        </w:rPr>
        <w:t>本项目所属的各类功能区区划汇总如表</w:t>
      </w:r>
      <w:r>
        <w:rPr>
          <w:rFonts w:ascii="Times New Roman" w:hAnsi="Times New Roman" w:eastAsia="Times New Roman" w:cs="Times New Roman"/>
          <w:spacing w:val="4"/>
          <w:position w:val="2"/>
          <w:sz w:val="24"/>
          <w:szCs w:val="24"/>
        </w:rPr>
        <w:t>2.3-1</w:t>
      </w:r>
      <w:r>
        <w:rPr>
          <w:rFonts w:ascii="宋体" w:hAnsi="宋体" w:eastAsia="宋体" w:cs="宋体"/>
          <w:spacing w:val="4"/>
          <w:position w:val="2"/>
          <w:sz w:val="24"/>
          <w:szCs w:val="24"/>
        </w:rPr>
        <w:t>所列。</w:t>
      </w:r>
    </w:p>
    <w:p w14:paraId="2D0F8EC6">
      <w:pPr>
        <w:spacing w:line="359" w:lineRule="exact"/>
        <w:rPr>
          <w:rFonts w:ascii="宋体" w:hAnsi="宋体" w:eastAsia="宋体" w:cs="宋体"/>
          <w:sz w:val="24"/>
          <w:szCs w:val="24"/>
        </w:rPr>
        <w:sectPr>
          <w:footerReference r:id="rId35" w:type="default"/>
          <w:pgSz w:w="11906" w:h="16839"/>
          <w:pgMar w:top="1431" w:right="1369" w:bottom="1485" w:left="1593" w:header="0" w:footer="1249" w:gutter="0"/>
          <w:cols w:space="720" w:num="1"/>
        </w:sectPr>
      </w:pPr>
    </w:p>
    <w:p w14:paraId="46CB2820">
      <w:pPr>
        <w:spacing w:before="48" w:line="212" w:lineRule="auto"/>
        <w:ind w:left="216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2.3-1    </w:t>
      </w:r>
      <w:r>
        <w:rPr>
          <w:rFonts w:ascii="宋体" w:hAnsi="宋体" w:eastAsia="宋体" w:cs="宋体"/>
          <w:b/>
          <w:bCs/>
          <w:spacing w:val="-2"/>
          <w:sz w:val="24"/>
          <w:szCs w:val="24"/>
        </w:rPr>
        <w:t>本项目拟选址所在地环境功能属性</w:t>
      </w: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2441"/>
        <w:gridCol w:w="5839"/>
      </w:tblGrid>
      <w:tr w14:paraId="1B4D4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70" w:type="dxa"/>
            <w:vAlign w:val="top"/>
          </w:tcPr>
          <w:p w14:paraId="20E8C1B3">
            <w:pPr>
              <w:pStyle w:val="6"/>
              <w:spacing w:before="69" w:line="230" w:lineRule="auto"/>
              <w:ind w:left="130"/>
            </w:pPr>
            <w:r>
              <w:rPr>
                <w:spacing w:val="5"/>
              </w:rPr>
              <w:t>序号</w:t>
            </w:r>
          </w:p>
        </w:tc>
        <w:tc>
          <w:tcPr>
            <w:tcW w:w="2441" w:type="dxa"/>
            <w:vAlign w:val="top"/>
          </w:tcPr>
          <w:p w14:paraId="031F46ED">
            <w:pPr>
              <w:pStyle w:val="6"/>
              <w:spacing w:before="69" w:line="230" w:lineRule="auto"/>
              <w:ind w:left="494"/>
            </w:pPr>
            <w:r>
              <w:rPr>
                <w:spacing w:val="8"/>
              </w:rPr>
              <w:t>功能区区划名称</w:t>
            </w:r>
          </w:p>
        </w:tc>
        <w:tc>
          <w:tcPr>
            <w:tcW w:w="5839" w:type="dxa"/>
            <w:vAlign w:val="top"/>
          </w:tcPr>
          <w:p w14:paraId="76218E36">
            <w:pPr>
              <w:pStyle w:val="6"/>
              <w:spacing w:before="69" w:line="227" w:lineRule="auto"/>
              <w:ind w:left="2083"/>
            </w:pPr>
            <w:r>
              <w:rPr>
                <w:spacing w:val="8"/>
              </w:rPr>
              <w:t>评价区域所属类别</w:t>
            </w:r>
          </w:p>
        </w:tc>
      </w:tr>
      <w:tr w14:paraId="6E4F7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0" w:type="dxa"/>
            <w:vAlign w:val="top"/>
          </w:tcPr>
          <w:p w14:paraId="452808AD">
            <w:pPr>
              <w:spacing w:before="138" w:line="274" w:lineRule="exact"/>
              <w:ind w:left="3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441" w:type="dxa"/>
            <w:vAlign w:val="top"/>
          </w:tcPr>
          <w:p w14:paraId="423D868C">
            <w:pPr>
              <w:pStyle w:val="6"/>
              <w:spacing w:before="167" w:line="228" w:lineRule="auto"/>
              <w:ind w:left="385"/>
            </w:pPr>
            <w:r>
              <w:rPr>
                <w:spacing w:val="8"/>
              </w:rPr>
              <w:t>地表水环境功能区</w:t>
            </w:r>
          </w:p>
        </w:tc>
        <w:tc>
          <w:tcPr>
            <w:tcW w:w="5839" w:type="dxa"/>
            <w:vAlign w:val="top"/>
          </w:tcPr>
          <w:p w14:paraId="656A23D9">
            <w:pPr>
              <w:pStyle w:val="6"/>
              <w:spacing w:before="32" w:line="222" w:lineRule="auto"/>
              <w:ind w:left="355"/>
            </w:pPr>
            <w:r>
              <w:rPr>
                <w:spacing w:val="10"/>
              </w:rPr>
              <w:t>黄江，</w:t>
            </w:r>
            <w:r>
              <w:rPr>
                <w:spacing w:val="-33"/>
              </w:rPr>
              <w:t xml:space="preserve"> </w:t>
            </w:r>
            <w:r>
              <w:rPr>
                <w:spacing w:val="10"/>
              </w:rPr>
              <w:t>目标水质为Ⅲ类，执行《地表水环境质量标准》</w:t>
            </w:r>
          </w:p>
          <w:p w14:paraId="08143573">
            <w:pPr>
              <w:pStyle w:val="6"/>
              <w:spacing w:line="265" w:lineRule="exact"/>
              <w:ind w:left="1575"/>
            </w:pPr>
            <w:r>
              <w:rPr>
                <w:spacing w:val="8"/>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8"/>
                <w:position w:val="1"/>
              </w:rPr>
              <w:t>3838-2002</w:t>
            </w:r>
            <w:r>
              <w:rPr>
                <w:spacing w:val="8"/>
                <w:position w:val="1"/>
              </w:rPr>
              <w:t>）Ⅲ类标准。</w:t>
            </w:r>
          </w:p>
        </w:tc>
      </w:tr>
      <w:tr w14:paraId="2E85B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0" w:type="dxa"/>
            <w:vAlign w:val="top"/>
          </w:tcPr>
          <w:p w14:paraId="27BB131D">
            <w:pPr>
              <w:spacing w:before="136" w:line="274" w:lineRule="exact"/>
              <w:ind w:left="2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441" w:type="dxa"/>
            <w:vAlign w:val="top"/>
          </w:tcPr>
          <w:p w14:paraId="1650D5C1">
            <w:pPr>
              <w:pStyle w:val="6"/>
              <w:spacing w:before="167" w:line="228" w:lineRule="auto"/>
              <w:ind w:left="385"/>
            </w:pPr>
            <w:r>
              <w:rPr>
                <w:spacing w:val="8"/>
              </w:rPr>
              <w:t>地下水环境功能区</w:t>
            </w:r>
          </w:p>
        </w:tc>
        <w:tc>
          <w:tcPr>
            <w:tcW w:w="5839" w:type="dxa"/>
            <w:vAlign w:val="top"/>
          </w:tcPr>
          <w:p w14:paraId="001201B3">
            <w:pPr>
              <w:pStyle w:val="6"/>
              <w:spacing w:before="2" w:line="274" w:lineRule="exact"/>
              <w:ind w:left="150"/>
            </w:pPr>
            <w:r>
              <w:rPr>
                <w:spacing w:val="10"/>
                <w:position w:val="2"/>
              </w:rPr>
              <w:t>韩江及粤东诸河分散式开放利用区（</w:t>
            </w:r>
            <w:r>
              <w:rPr>
                <w:rFonts w:ascii="Times New Roman" w:hAnsi="Times New Roman" w:eastAsia="Times New Roman" w:cs="Times New Roman"/>
                <w:spacing w:val="10"/>
                <w:position w:val="2"/>
              </w:rPr>
              <w:t>H084415001Q01</w:t>
            </w:r>
            <w:r>
              <w:rPr>
                <w:spacing w:val="22"/>
                <w:position w:val="2"/>
              </w:rPr>
              <w:t>），</w:t>
            </w:r>
            <w:r>
              <w:rPr>
                <w:spacing w:val="10"/>
                <w:position w:val="2"/>
              </w:rPr>
              <w:t>执</w:t>
            </w:r>
          </w:p>
          <w:p w14:paraId="4CE3768E">
            <w:pPr>
              <w:pStyle w:val="6"/>
              <w:spacing w:before="27" w:line="217" w:lineRule="auto"/>
              <w:ind w:left="894"/>
            </w:pPr>
            <w:r>
              <w:rPr>
                <w:spacing w:val="9"/>
              </w:rPr>
              <w:t>行《地下水环境质量标准》</w:t>
            </w:r>
            <w:r>
              <w:rPr>
                <w:spacing w:val="-39"/>
              </w:rPr>
              <w:t xml:space="preserve"> </w:t>
            </w:r>
            <w:r>
              <w:rPr>
                <w:spacing w:val="9"/>
              </w:rPr>
              <w:t>中的Ⅲ类标准。</w:t>
            </w:r>
          </w:p>
        </w:tc>
      </w:tr>
      <w:tr w14:paraId="7038E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70" w:type="dxa"/>
            <w:vAlign w:val="top"/>
          </w:tcPr>
          <w:p w14:paraId="058C619E">
            <w:pPr>
              <w:spacing w:before="13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441" w:type="dxa"/>
            <w:vAlign w:val="top"/>
          </w:tcPr>
          <w:p w14:paraId="5E4EF8AA">
            <w:pPr>
              <w:pStyle w:val="6"/>
              <w:spacing w:before="168" w:line="229" w:lineRule="auto"/>
              <w:ind w:left="490"/>
            </w:pPr>
            <w:r>
              <w:rPr>
                <w:spacing w:val="8"/>
              </w:rPr>
              <w:t>环境空气功能区</w:t>
            </w:r>
          </w:p>
        </w:tc>
        <w:tc>
          <w:tcPr>
            <w:tcW w:w="5839" w:type="dxa"/>
            <w:vAlign w:val="top"/>
          </w:tcPr>
          <w:p w14:paraId="15774C5C">
            <w:pPr>
              <w:pStyle w:val="6"/>
              <w:spacing w:before="33" w:line="222" w:lineRule="auto"/>
              <w:ind w:left="407"/>
            </w:pPr>
            <w:r>
              <w:rPr>
                <w:spacing w:val="9"/>
              </w:rPr>
              <w:t>二类环境空气质量功能区，执行《环境空气质量标准》</w:t>
            </w:r>
          </w:p>
          <w:p w14:paraId="7AB860C0">
            <w:pPr>
              <w:pStyle w:val="6"/>
              <w:spacing w:line="264" w:lineRule="exact"/>
              <w:ind w:left="1599"/>
            </w:pPr>
            <w:r>
              <w:rPr>
                <w:spacing w:val="6"/>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3095-2012</w:t>
            </w:r>
            <w:r>
              <w:rPr>
                <w:spacing w:val="6"/>
                <w:position w:val="1"/>
              </w:rPr>
              <w:t>）中二级标准</w:t>
            </w:r>
          </w:p>
        </w:tc>
      </w:tr>
      <w:tr w14:paraId="26A5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0" w:type="dxa"/>
            <w:vAlign w:val="top"/>
          </w:tcPr>
          <w:p w14:paraId="5F68F2E2">
            <w:pPr>
              <w:spacing w:before="140" w:line="275"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441" w:type="dxa"/>
            <w:vAlign w:val="top"/>
          </w:tcPr>
          <w:p w14:paraId="275980E8">
            <w:pPr>
              <w:pStyle w:val="6"/>
              <w:spacing w:before="169" w:line="229" w:lineRule="auto"/>
              <w:ind w:left="598"/>
            </w:pPr>
            <w:r>
              <w:rPr>
                <w:spacing w:val="7"/>
              </w:rPr>
              <w:t>声环境功能区</w:t>
            </w:r>
          </w:p>
        </w:tc>
        <w:tc>
          <w:tcPr>
            <w:tcW w:w="5839" w:type="dxa"/>
            <w:vAlign w:val="top"/>
          </w:tcPr>
          <w:p w14:paraId="71DBD5FD">
            <w:pPr>
              <w:pStyle w:val="6"/>
              <w:spacing w:before="4" w:line="274" w:lineRule="exact"/>
              <w:ind w:left="273"/>
            </w:pPr>
            <w:r>
              <w:rPr>
                <w:spacing w:val="10"/>
                <w:position w:val="1"/>
              </w:rPr>
              <w:t>项目区域为</w:t>
            </w:r>
            <w:r>
              <w:rPr>
                <w:spacing w:val="-37"/>
                <w:position w:val="1"/>
              </w:rPr>
              <w:t xml:space="preserve"> </w:t>
            </w:r>
            <w:r>
              <w:rPr>
                <w:rFonts w:ascii="Times New Roman" w:hAnsi="Times New Roman" w:eastAsia="Times New Roman" w:cs="Times New Roman"/>
                <w:spacing w:val="10"/>
                <w:position w:val="1"/>
              </w:rPr>
              <w:t xml:space="preserve">2 </w:t>
            </w:r>
            <w:r>
              <w:rPr>
                <w:spacing w:val="10"/>
                <w:position w:val="1"/>
              </w:rPr>
              <w:t>类标</w:t>
            </w:r>
            <w:r>
              <w:rPr>
                <w:spacing w:val="-59"/>
                <w:position w:val="1"/>
              </w:rPr>
              <w:t xml:space="preserve"> </w:t>
            </w:r>
            <w:r>
              <w:rPr>
                <w:spacing w:val="10"/>
                <w:position w:val="1"/>
              </w:rPr>
              <w:t>准适</w:t>
            </w:r>
            <w:r>
              <w:rPr>
                <w:spacing w:val="-60"/>
                <w:position w:val="1"/>
              </w:rPr>
              <w:t xml:space="preserve"> </w:t>
            </w:r>
            <w:r>
              <w:rPr>
                <w:spacing w:val="10"/>
                <w:position w:val="1"/>
              </w:rPr>
              <w:t>用区</w:t>
            </w:r>
            <w:r>
              <w:rPr>
                <w:spacing w:val="-46"/>
                <w:position w:val="1"/>
              </w:rPr>
              <w:t xml:space="preserve"> </w:t>
            </w:r>
            <w:r>
              <w:rPr>
                <w:spacing w:val="10"/>
                <w:position w:val="1"/>
              </w:rPr>
              <w:t>，</w:t>
            </w:r>
            <w:r>
              <w:rPr>
                <w:spacing w:val="-56"/>
                <w:position w:val="1"/>
              </w:rPr>
              <w:t xml:space="preserve"> </w:t>
            </w:r>
            <w:r>
              <w:rPr>
                <w:spacing w:val="10"/>
                <w:position w:val="1"/>
              </w:rPr>
              <w:t>执</w:t>
            </w:r>
            <w:r>
              <w:rPr>
                <w:spacing w:val="-57"/>
                <w:position w:val="1"/>
              </w:rPr>
              <w:t xml:space="preserve"> </w:t>
            </w:r>
            <w:r>
              <w:rPr>
                <w:spacing w:val="10"/>
                <w:position w:val="1"/>
              </w:rPr>
              <w:t>行《声环境质量标准》</w:t>
            </w:r>
          </w:p>
          <w:p w14:paraId="280229E3">
            <w:pPr>
              <w:pStyle w:val="6"/>
              <w:ind w:left="1729"/>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 xml:space="preserve">2 </w:t>
            </w:r>
            <w:r>
              <w:rPr>
                <w:spacing w:val="5"/>
              </w:rPr>
              <w:t>类标准</w:t>
            </w:r>
          </w:p>
        </w:tc>
      </w:tr>
      <w:tr w14:paraId="18163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1F97BFB5">
            <w:pPr>
              <w:spacing w:before="110" w:line="192"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41" w:type="dxa"/>
            <w:vAlign w:val="top"/>
          </w:tcPr>
          <w:p w14:paraId="3F196EB4">
            <w:pPr>
              <w:pStyle w:val="6"/>
              <w:spacing w:before="68" w:line="228" w:lineRule="auto"/>
              <w:ind w:left="490"/>
            </w:pPr>
            <w:r>
              <w:rPr>
                <w:spacing w:val="8"/>
              </w:rPr>
              <w:t>基本农田保护区</w:t>
            </w:r>
          </w:p>
        </w:tc>
        <w:tc>
          <w:tcPr>
            <w:tcW w:w="5839" w:type="dxa"/>
            <w:vAlign w:val="top"/>
          </w:tcPr>
          <w:p w14:paraId="6A014961">
            <w:pPr>
              <w:pStyle w:val="6"/>
              <w:spacing w:before="69" w:line="229" w:lineRule="auto"/>
              <w:ind w:left="2825"/>
            </w:pPr>
            <w:r>
              <w:t>否</w:t>
            </w:r>
          </w:p>
        </w:tc>
      </w:tr>
      <w:tr w14:paraId="38086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5881F274">
            <w:pPr>
              <w:spacing w:before="38" w:line="274"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441" w:type="dxa"/>
            <w:vAlign w:val="top"/>
          </w:tcPr>
          <w:p w14:paraId="205E43F5">
            <w:pPr>
              <w:pStyle w:val="6"/>
              <w:spacing w:before="69" w:line="228" w:lineRule="auto"/>
              <w:ind w:left="494"/>
            </w:pPr>
            <w:r>
              <w:rPr>
                <w:spacing w:val="8"/>
              </w:rPr>
              <w:t>是否风景保护区</w:t>
            </w:r>
          </w:p>
        </w:tc>
        <w:tc>
          <w:tcPr>
            <w:tcW w:w="5839" w:type="dxa"/>
            <w:vAlign w:val="top"/>
          </w:tcPr>
          <w:p w14:paraId="010250FC">
            <w:pPr>
              <w:pStyle w:val="6"/>
              <w:spacing w:before="69" w:line="229" w:lineRule="auto"/>
              <w:ind w:left="2825"/>
            </w:pPr>
            <w:r>
              <w:t>否</w:t>
            </w:r>
          </w:p>
        </w:tc>
      </w:tr>
      <w:tr w14:paraId="51876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51887E97">
            <w:pPr>
              <w:spacing w:before="108" w:line="192"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41" w:type="dxa"/>
            <w:vAlign w:val="top"/>
          </w:tcPr>
          <w:p w14:paraId="4C4C80CB">
            <w:pPr>
              <w:pStyle w:val="6"/>
              <w:spacing w:before="69" w:line="229" w:lineRule="auto"/>
              <w:ind w:left="494"/>
            </w:pPr>
            <w:r>
              <w:rPr>
                <w:spacing w:val="8"/>
              </w:rPr>
              <w:t>是否自然保护区</w:t>
            </w:r>
          </w:p>
        </w:tc>
        <w:tc>
          <w:tcPr>
            <w:tcW w:w="5839" w:type="dxa"/>
            <w:vAlign w:val="top"/>
          </w:tcPr>
          <w:p w14:paraId="2EBBE4B6">
            <w:pPr>
              <w:pStyle w:val="6"/>
              <w:spacing w:before="69" w:line="229" w:lineRule="auto"/>
              <w:ind w:left="2825"/>
            </w:pPr>
            <w:r>
              <w:t>否</w:t>
            </w:r>
          </w:p>
        </w:tc>
      </w:tr>
      <w:tr w14:paraId="06AB4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30B18842">
            <w:pPr>
              <w:spacing w:before="39" w:line="274"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441" w:type="dxa"/>
            <w:vAlign w:val="top"/>
          </w:tcPr>
          <w:p w14:paraId="1F675271">
            <w:pPr>
              <w:pStyle w:val="6"/>
              <w:spacing w:before="70" w:line="228" w:lineRule="auto"/>
              <w:ind w:left="597"/>
            </w:pPr>
            <w:r>
              <w:rPr>
                <w:spacing w:val="7"/>
              </w:rPr>
              <w:t>是否森林公园</w:t>
            </w:r>
          </w:p>
        </w:tc>
        <w:tc>
          <w:tcPr>
            <w:tcW w:w="5839" w:type="dxa"/>
            <w:vAlign w:val="top"/>
          </w:tcPr>
          <w:p w14:paraId="031650FF">
            <w:pPr>
              <w:pStyle w:val="6"/>
              <w:spacing w:before="70" w:line="229" w:lineRule="auto"/>
              <w:ind w:left="2825"/>
            </w:pPr>
            <w:r>
              <w:t>否</w:t>
            </w:r>
          </w:p>
        </w:tc>
      </w:tr>
      <w:tr w14:paraId="186FE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3A3D4AC8">
            <w:pPr>
              <w:spacing w:before="3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441" w:type="dxa"/>
            <w:vAlign w:val="top"/>
          </w:tcPr>
          <w:p w14:paraId="4FEE9527">
            <w:pPr>
              <w:pStyle w:val="6"/>
              <w:spacing w:before="70" w:line="229" w:lineRule="auto"/>
              <w:ind w:left="282"/>
            </w:pPr>
            <w:r>
              <w:rPr>
                <w:spacing w:val="8"/>
              </w:rPr>
              <w:t>是否生态功能保护区</w:t>
            </w:r>
          </w:p>
        </w:tc>
        <w:tc>
          <w:tcPr>
            <w:tcW w:w="5839" w:type="dxa"/>
            <w:vAlign w:val="top"/>
          </w:tcPr>
          <w:p w14:paraId="5C613D8B">
            <w:pPr>
              <w:pStyle w:val="6"/>
              <w:spacing w:before="70" w:line="229" w:lineRule="auto"/>
              <w:ind w:left="2825"/>
            </w:pPr>
            <w:r>
              <w:t>否</w:t>
            </w:r>
          </w:p>
        </w:tc>
      </w:tr>
      <w:tr w14:paraId="4F732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5D67BE03">
            <w:pPr>
              <w:spacing w:before="40"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441" w:type="dxa"/>
            <w:vAlign w:val="top"/>
          </w:tcPr>
          <w:p w14:paraId="78FC5543">
            <w:pPr>
              <w:pStyle w:val="6"/>
              <w:spacing w:before="68" w:line="228" w:lineRule="auto"/>
              <w:ind w:left="494"/>
            </w:pPr>
            <w:r>
              <w:rPr>
                <w:spacing w:val="8"/>
              </w:rPr>
              <w:t>是否人口密集区</w:t>
            </w:r>
          </w:p>
        </w:tc>
        <w:tc>
          <w:tcPr>
            <w:tcW w:w="5839" w:type="dxa"/>
            <w:vAlign w:val="top"/>
          </w:tcPr>
          <w:p w14:paraId="3AF03B33">
            <w:pPr>
              <w:pStyle w:val="6"/>
              <w:spacing w:before="68" w:line="229" w:lineRule="auto"/>
              <w:ind w:left="2825"/>
            </w:pPr>
            <w:r>
              <w:t>否</w:t>
            </w:r>
          </w:p>
        </w:tc>
      </w:tr>
      <w:tr w14:paraId="165F3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7A392F09">
            <w:pPr>
              <w:spacing w:before="40"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2441" w:type="dxa"/>
            <w:vAlign w:val="top"/>
          </w:tcPr>
          <w:p w14:paraId="40D1939F">
            <w:pPr>
              <w:pStyle w:val="6"/>
              <w:spacing w:before="68" w:line="229" w:lineRule="auto"/>
              <w:ind w:left="114"/>
            </w:pPr>
            <w:r>
              <w:rPr>
                <w:spacing w:val="1"/>
              </w:rPr>
              <w:t>是否三河、三湖、两控区</w:t>
            </w:r>
          </w:p>
        </w:tc>
        <w:tc>
          <w:tcPr>
            <w:tcW w:w="5839" w:type="dxa"/>
            <w:vAlign w:val="top"/>
          </w:tcPr>
          <w:p w14:paraId="5B32D063">
            <w:pPr>
              <w:pStyle w:val="6"/>
              <w:spacing w:before="68" w:line="229" w:lineRule="auto"/>
              <w:ind w:left="2087"/>
            </w:pPr>
            <w:r>
              <w:rPr>
                <w:spacing w:val="7"/>
              </w:rPr>
              <w:t>是（酸雨控制区）</w:t>
            </w:r>
          </w:p>
        </w:tc>
      </w:tr>
      <w:tr w14:paraId="0E919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6EE7047F">
            <w:pPr>
              <w:spacing w:before="38"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441" w:type="dxa"/>
            <w:vAlign w:val="top"/>
          </w:tcPr>
          <w:p w14:paraId="1280C47A">
            <w:pPr>
              <w:pStyle w:val="6"/>
              <w:spacing w:before="69" w:line="228" w:lineRule="auto"/>
              <w:ind w:left="597"/>
            </w:pPr>
            <w:r>
              <w:rPr>
                <w:spacing w:val="7"/>
              </w:rPr>
              <w:t>是否水库库区</w:t>
            </w:r>
          </w:p>
        </w:tc>
        <w:tc>
          <w:tcPr>
            <w:tcW w:w="5839" w:type="dxa"/>
            <w:vAlign w:val="top"/>
          </w:tcPr>
          <w:p w14:paraId="07312348">
            <w:pPr>
              <w:pStyle w:val="6"/>
              <w:spacing w:before="69" w:line="229" w:lineRule="auto"/>
              <w:ind w:left="2825"/>
            </w:pPr>
            <w:r>
              <w:t>否</w:t>
            </w:r>
          </w:p>
        </w:tc>
      </w:tr>
      <w:tr w14:paraId="39F0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70" w:type="dxa"/>
            <w:vAlign w:val="top"/>
          </w:tcPr>
          <w:p w14:paraId="2CFB2BBF">
            <w:pPr>
              <w:spacing w:before="14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441" w:type="dxa"/>
            <w:vAlign w:val="top"/>
          </w:tcPr>
          <w:p w14:paraId="0A16EBFA">
            <w:pPr>
              <w:pStyle w:val="6"/>
              <w:spacing w:before="36" w:line="228" w:lineRule="auto"/>
              <w:ind w:left="177"/>
            </w:pPr>
            <w:r>
              <w:rPr>
                <w:spacing w:val="8"/>
              </w:rPr>
              <w:t>是否污水处理厂集水范</w:t>
            </w:r>
          </w:p>
          <w:p w14:paraId="76136057">
            <w:pPr>
              <w:pStyle w:val="6"/>
              <w:spacing w:before="23" w:line="219" w:lineRule="auto"/>
              <w:ind w:left="1138"/>
            </w:pPr>
            <w:r>
              <w:t>围</w:t>
            </w:r>
          </w:p>
        </w:tc>
        <w:tc>
          <w:tcPr>
            <w:tcW w:w="5839" w:type="dxa"/>
            <w:vAlign w:val="top"/>
          </w:tcPr>
          <w:p w14:paraId="50D4495C">
            <w:pPr>
              <w:pStyle w:val="6"/>
              <w:spacing w:before="170" w:line="229" w:lineRule="auto"/>
              <w:ind w:left="2825"/>
            </w:pPr>
            <w:r>
              <w:t>否</w:t>
            </w:r>
          </w:p>
        </w:tc>
      </w:tr>
    </w:tbl>
    <w:p w14:paraId="0A808F44">
      <w:pPr>
        <w:pStyle w:val="2"/>
      </w:pPr>
    </w:p>
    <w:p w14:paraId="39DD1355">
      <w:pPr>
        <w:sectPr>
          <w:footerReference r:id="rId36" w:type="default"/>
          <w:pgSz w:w="11906" w:h="16839"/>
          <w:pgMar w:top="1405" w:right="1475" w:bottom="1485" w:left="1475" w:header="0" w:footer="1249" w:gutter="0"/>
          <w:cols w:space="720" w:num="1"/>
        </w:sectPr>
      </w:pPr>
    </w:p>
    <w:p w14:paraId="73FA7DEE">
      <w:pPr>
        <w:spacing w:line="7816" w:lineRule="exact"/>
        <w:ind w:firstLine="942"/>
      </w:pPr>
      <w:r>
        <w:rPr>
          <w:position w:val="-156"/>
        </w:rPr>
        <w:drawing>
          <wp:inline distT="0" distB="0" distL="0" distR="0">
            <wp:extent cx="6298565" cy="49631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01"/>
                    <a:stretch>
                      <a:fillRect/>
                    </a:stretch>
                  </pic:blipFill>
                  <pic:spPr>
                    <a:xfrm>
                      <a:off x="0" y="0"/>
                      <a:ext cx="6298691" cy="4963667"/>
                    </a:xfrm>
                    <a:prstGeom prst="rect">
                      <a:avLst/>
                    </a:prstGeom>
                  </pic:spPr>
                </pic:pic>
              </a:graphicData>
            </a:graphic>
          </wp:inline>
        </w:drawing>
      </w:r>
    </w:p>
    <w:p w14:paraId="32051179">
      <w:pPr>
        <w:spacing w:before="128" w:line="220" w:lineRule="auto"/>
        <w:ind w:left="383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4"/>
          <w:sz w:val="24"/>
          <w:szCs w:val="24"/>
        </w:rPr>
        <w:t xml:space="preserve"> </w:t>
      </w:r>
      <w:r>
        <w:rPr>
          <w:rFonts w:ascii="Times New Roman" w:hAnsi="Times New Roman" w:eastAsia="Times New Roman" w:cs="Times New Roman"/>
          <w:b/>
          <w:bCs/>
          <w:spacing w:val="-3"/>
          <w:sz w:val="24"/>
          <w:szCs w:val="24"/>
        </w:rPr>
        <w:t>2.3-1</w:t>
      </w:r>
      <w:r>
        <w:rPr>
          <w:rFonts w:ascii="Times New Roman" w:hAnsi="Times New Roman" w:eastAsia="Times New Roman" w:cs="Times New Roman"/>
          <w:b/>
          <w:bCs/>
          <w:spacing w:val="14"/>
          <w:sz w:val="24"/>
          <w:szCs w:val="24"/>
        </w:rPr>
        <w:t xml:space="preserve"> </w:t>
      </w:r>
      <w:r>
        <w:rPr>
          <w:rFonts w:ascii="宋体" w:hAnsi="宋体" w:eastAsia="宋体" w:cs="宋体"/>
          <w:b/>
          <w:bCs/>
          <w:spacing w:val="-3"/>
          <w:sz w:val="24"/>
          <w:szCs w:val="24"/>
        </w:rPr>
        <w:t>水环境功能区划图（</w:t>
      </w:r>
      <w:r>
        <w:rPr>
          <w:rFonts w:ascii="Times New Roman" w:hAnsi="Times New Roman" w:eastAsia="Times New Roman" w:cs="Times New Roman"/>
          <w:b/>
          <w:bCs/>
          <w:spacing w:val="-3"/>
          <w:sz w:val="24"/>
          <w:szCs w:val="24"/>
        </w:rPr>
        <w:t>1:500000</w:t>
      </w:r>
      <w:r>
        <w:rPr>
          <w:rFonts w:ascii="宋体" w:hAnsi="宋体" w:eastAsia="宋体" w:cs="宋体"/>
          <w:b/>
          <w:bCs/>
          <w:spacing w:val="-3"/>
          <w:sz w:val="24"/>
          <w:szCs w:val="24"/>
        </w:rPr>
        <w:t>）</w:t>
      </w:r>
    </w:p>
    <w:p w14:paraId="16BD25B9">
      <w:pPr>
        <w:spacing w:line="220" w:lineRule="auto"/>
        <w:rPr>
          <w:rFonts w:ascii="宋体" w:hAnsi="宋体" w:eastAsia="宋体" w:cs="宋体"/>
          <w:sz w:val="24"/>
          <w:szCs w:val="24"/>
        </w:rPr>
        <w:sectPr>
          <w:footerReference r:id="rId37" w:type="default"/>
          <w:pgSz w:w="16839" w:h="11906"/>
          <w:pgMar w:top="288" w:right="2525" w:bottom="1485" w:left="2525" w:header="0" w:footer="1249" w:gutter="0"/>
          <w:cols w:space="720" w:num="1"/>
        </w:sectPr>
      </w:pPr>
    </w:p>
    <w:p w14:paraId="5F111994">
      <w:pPr>
        <w:spacing w:line="7903" w:lineRule="exact"/>
        <w:ind w:firstLine="563"/>
      </w:pPr>
      <w:r>
        <w:rPr>
          <w:position w:val="-158"/>
        </w:rPr>
        <w:drawing>
          <wp:inline distT="0" distB="0" distL="0" distR="0">
            <wp:extent cx="6384925" cy="50184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02"/>
                    <a:stretch>
                      <a:fillRect/>
                    </a:stretch>
                  </pic:blipFill>
                  <pic:spPr>
                    <a:xfrm>
                      <a:off x="0" y="0"/>
                      <a:ext cx="6385559" cy="5018532"/>
                    </a:xfrm>
                    <a:prstGeom prst="rect">
                      <a:avLst/>
                    </a:prstGeom>
                  </pic:spPr>
                </pic:pic>
              </a:graphicData>
            </a:graphic>
          </wp:inline>
        </w:drawing>
      </w:r>
    </w:p>
    <w:p w14:paraId="045B8CFB">
      <w:pPr>
        <w:spacing w:before="248" w:line="221" w:lineRule="auto"/>
        <w:ind w:left="371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6"/>
          <w:sz w:val="24"/>
          <w:szCs w:val="24"/>
        </w:rPr>
        <w:t xml:space="preserve"> </w:t>
      </w:r>
      <w:r>
        <w:rPr>
          <w:rFonts w:ascii="Times New Roman" w:hAnsi="Times New Roman" w:eastAsia="Times New Roman" w:cs="Times New Roman"/>
          <w:b/>
          <w:bCs/>
          <w:spacing w:val="-3"/>
          <w:sz w:val="24"/>
          <w:szCs w:val="24"/>
        </w:rPr>
        <w:t xml:space="preserve">2.3-2 </w:t>
      </w:r>
      <w:r>
        <w:rPr>
          <w:rFonts w:ascii="宋体" w:hAnsi="宋体" w:eastAsia="宋体" w:cs="宋体"/>
          <w:b/>
          <w:bCs/>
          <w:spacing w:val="-3"/>
          <w:sz w:val="24"/>
          <w:szCs w:val="24"/>
        </w:rPr>
        <w:t>大气环境功能区划图（</w:t>
      </w:r>
      <w:r>
        <w:rPr>
          <w:rFonts w:ascii="Times New Roman" w:hAnsi="Times New Roman" w:eastAsia="Times New Roman" w:cs="Times New Roman"/>
          <w:b/>
          <w:bCs/>
          <w:spacing w:val="-3"/>
          <w:sz w:val="24"/>
          <w:szCs w:val="24"/>
        </w:rPr>
        <w:t>1:500000</w:t>
      </w:r>
      <w:r>
        <w:rPr>
          <w:rFonts w:ascii="宋体" w:hAnsi="宋体" w:eastAsia="宋体" w:cs="宋体"/>
          <w:b/>
          <w:bCs/>
          <w:spacing w:val="-3"/>
          <w:sz w:val="24"/>
          <w:szCs w:val="24"/>
        </w:rPr>
        <w:t>）</w:t>
      </w:r>
    </w:p>
    <w:p w14:paraId="0B902D63">
      <w:pPr>
        <w:spacing w:line="221" w:lineRule="auto"/>
        <w:rPr>
          <w:rFonts w:ascii="宋体" w:hAnsi="宋体" w:eastAsia="宋体" w:cs="宋体"/>
          <w:sz w:val="24"/>
          <w:szCs w:val="24"/>
        </w:rPr>
        <w:sectPr>
          <w:footerReference r:id="rId38" w:type="default"/>
          <w:pgSz w:w="16839" w:h="11906"/>
          <w:pgMar w:top="407" w:right="2525" w:bottom="1485" w:left="2525" w:header="0" w:footer="1249" w:gutter="0"/>
          <w:cols w:space="720" w:num="1"/>
        </w:sectPr>
      </w:pPr>
    </w:p>
    <w:p w14:paraId="27945B78">
      <w:pPr>
        <w:spacing w:line="7581" w:lineRule="exact"/>
        <w:ind w:firstLine="474"/>
      </w:pPr>
      <w:r>
        <w:rPr>
          <w:position w:val="-151"/>
        </w:rPr>
        <w:drawing>
          <wp:inline distT="0" distB="0" distL="0" distR="0">
            <wp:extent cx="6923405" cy="481393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3"/>
                    <a:stretch>
                      <a:fillRect/>
                    </a:stretch>
                  </pic:blipFill>
                  <pic:spPr>
                    <a:xfrm>
                      <a:off x="0" y="0"/>
                      <a:ext cx="6923532" cy="4814316"/>
                    </a:xfrm>
                    <a:prstGeom prst="rect">
                      <a:avLst/>
                    </a:prstGeom>
                  </pic:spPr>
                </pic:pic>
              </a:graphicData>
            </a:graphic>
          </wp:inline>
        </w:drawing>
      </w:r>
    </w:p>
    <w:p w14:paraId="368D51ED">
      <w:pPr>
        <w:spacing w:before="246" w:line="220" w:lineRule="auto"/>
        <w:ind w:left="3516"/>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7"/>
          <w:sz w:val="24"/>
          <w:szCs w:val="24"/>
        </w:rPr>
        <w:t xml:space="preserve"> </w:t>
      </w:r>
      <w:r>
        <w:rPr>
          <w:rFonts w:ascii="Times New Roman" w:hAnsi="Times New Roman" w:eastAsia="Times New Roman" w:cs="Times New Roman"/>
          <w:b/>
          <w:bCs/>
          <w:spacing w:val="-3"/>
          <w:sz w:val="24"/>
          <w:szCs w:val="24"/>
        </w:rPr>
        <w:t xml:space="preserve">2.3-3 </w:t>
      </w:r>
      <w:r>
        <w:rPr>
          <w:rFonts w:ascii="宋体" w:hAnsi="宋体" w:eastAsia="宋体" w:cs="宋体"/>
          <w:b/>
          <w:bCs/>
          <w:spacing w:val="-3"/>
          <w:sz w:val="24"/>
          <w:szCs w:val="24"/>
        </w:rPr>
        <w:t>地下水环境功能区划图（</w:t>
      </w: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710000</w:t>
      </w:r>
      <w:r>
        <w:rPr>
          <w:rFonts w:ascii="宋体" w:hAnsi="宋体" w:eastAsia="宋体" w:cs="宋体"/>
          <w:b/>
          <w:bCs/>
          <w:spacing w:val="-3"/>
          <w:sz w:val="24"/>
          <w:szCs w:val="24"/>
        </w:rPr>
        <w:t>）</w:t>
      </w:r>
    </w:p>
    <w:p w14:paraId="18BAF7E2">
      <w:pPr>
        <w:spacing w:line="220" w:lineRule="auto"/>
        <w:rPr>
          <w:rFonts w:ascii="宋体" w:hAnsi="宋体" w:eastAsia="宋体" w:cs="宋体"/>
          <w:sz w:val="24"/>
          <w:szCs w:val="24"/>
        </w:rPr>
        <w:sectPr>
          <w:footerReference r:id="rId39" w:type="default"/>
          <w:pgSz w:w="16839" w:h="11906"/>
          <w:pgMar w:top="405" w:right="2525" w:bottom="1485" w:left="2525" w:header="0" w:footer="1249" w:gutter="0"/>
          <w:cols w:space="720" w:num="1"/>
        </w:sectPr>
      </w:pPr>
    </w:p>
    <w:p w14:paraId="380BE484">
      <w:pPr>
        <w:spacing w:line="7771" w:lineRule="exact"/>
        <w:ind w:firstLine="951"/>
      </w:pPr>
      <w:r>
        <w:rPr>
          <w:position w:val="-155"/>
        </w:rPr>
        <w:drawing>
          <wp:inline distT="0" distB="0" distL="0" distR="0">
            <wp:extent cx="6293485" cy="49345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04"/>
                    <a:stretch>
                      <a:fillRect/>
                    </a:stretch>
                  </pic:blipFill>
                  <pic:spPr>
                    <a:xfrm>
                      <a:off x="0" y="0"/>
                      <a:ext cx="6294119" cy="4934711"/>
                    </a:xfrm>
                    <a:prstGeom prst="rect">
                      <a:avLst/>
                    </a:prstGeom>
                  </pic:spPr>
                </pic:pic>
              </a:graphicData>
            </a:graphic>
          </wp:inline>
        </w:drawing>
      </w:r>
    </w:p>
    <w:p w14:paraId="1F654CD1">
      <w:pPr>
        <w:spacing w:before="151" w:line="222" w:lineRule="auto"/>
        <w:ind w:left="395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9"/>
          <w:sz w:val="24"/>
          <w:szCs w:val="24"/>
        </w:rPr>
        <w:t xml:space="preserve"> </w:t>
      </w:r>
      <w:r>
        <w:rPr>
          <w:rFonts w:ascii="Times New Roman" w:hAnsi="Times New Roman" w:eastAsia="Times New Roman" w:cs="Times New Roman"/>
          <w:b/>
          <w:bCs/>
          <w:spacing w:val="-3"/>
          <w:sz w:val="24"/>
          <w:szCs w:val="24"/>
        </w:rPr>
        <w:t xml:space="preserve">2.3-4 </w:t>
      </w:r>
      <w:r>
        <w:rPr>
          <w:rFonts w:ascii="宋体" w:hAnsi="宋体" w:eastAsia="宋体" w:cs="宋体"/>
          <w:b/>
          <w:bCs/>
          <w:spacing w:val="-3"/>
          <w:sz w:val="24"/>
          <w:szCs w:val="24"/>
        </w:rPr>
        <w:t>生态功能区划图（</w:t>
      </w:r>
      <w:r>
        <w:rPr>
          <w:rFonts w:ascii="Times New Roman" w:hAnsi="Times New Roman" w:eastAsia="Times New Roman" w:cs="Times New Roman"/>
          <w:b/>
          <w:bCs/>
          <w:spacing w:val="-3"/>
          <w:sz w:val="24"/>
          <w:szCs w:val="24"/>
        </w:rPr>
        <w:t>1:500000</w:t>
      </w:r>
      <w:r>
        <w:rPr>
          <w:rFonts w:ascii="宋体" w:hAnsi="宋体" w:eastAsia="宋体" w:cs="宋体"/>
          <w:b/>
          <w:bCs/>
          <w:spacing w:val="-3"/>
          <w:sz w:val="24"/>
          <w:szCs w:val="24"/>
        </w:rPr>
        <w:t>）</w:t>
      </w:r>
    </w:p>
    <w:p w14:paraId="6537325B">
      <w:pPr>
        <w:spacing w:line="222" w:lineRule="auto"/>
        <w:rPr>
          <w:rFonts w:ascii="宋体" w:hAnsi="宋体" w:eastAsia="宋体" w:cs="宋体"/>
          <w:sz w:val="24"/>
          <w:szCs w:val="24"/>
        </w:rPr>
        <w:sectPr>
          <w:footerReference r:id="rId40" w:type="default"/>
          <w:pgSz w:w="16839" w:h="11906"/>
          <w:pgMar w:top="309" w:right="2525" w:bottom="1485" w:left="2525" w:header="0" w:footer="1249" w:gutter="0"/>
          <w:cols w:space="720" w:num="1"/>
        </w:sectPr>
      </w:pPr>
    </w:p>
    <w:p w14:paraId="16655372">
      <w:pPr>
        <w:pStyle w:val="2"/>
        <w:spacing w:line="312" w:lineRule="auto"/>
      </w:pPr>
    </w:p>
    <w:p w14:paraId="54F64AB8">
      <w:pPr>
        <w:spacing w:before="101" w:line="224" w:lineRule="auto"/>
        <w:ind w:left="121"/>
        <w:outlineLvl w:val="1"/>
        <w:rPr>
          <w:rFonts w:ascii="宋体" w:hAnsi="宋体" w:eastAsia="宋体" w:cs="宋体"/>
          <w:sz w:val="31"/>
          <w:szCs w:val="31"/>
        </w:rPr>
      </w:pPr>
      <w:bookmarkStart w:id="13" w:name="bookmark12"/>
      <w:bookmarkEnd w:id="13"/>
      <w:r>
        <w:rPr>
          <w:rFonts w:ascii="Times New Roman" w:hAnsi="Times New Roman" w:eastAsia="Times New Roman" w:cs="Times New Roman"/>
          <w:b/>
          <w:bCs/>
          <w:spacing w:val="5"/>
          <w:sz w:val="31"/>
          <w:szCs w:val="31"/>
        </w:rPr>
        <w:t>2.4</w:t>
      </w:r>
      <w:r>
        <w:rPr>
          <w:rFonts w:ascii="宋体" w:hAnsi="宋体" w:eastAsia="宋体" w:cs="宋体"/>
          <w:b/>
          <w:bCs/>
          <w:spacing w:val="5"/>
          <w:sz w:val="31"/>
          <w:szCs w:val="31"/>
        </w:rPr>
        <w:t>评价等级与范围</w:t>
      </w:r>
    </w:p>
    <w:p w14:paraId="0902DD6A">
      <w:pPr>
        <w:pStyle w:val="2"/>
        <w:spacing w:line="412" w:lineRule="auto"/>
      </w:pPr>
    </w:p>
    <w:p w14:paraId="6A316D74">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2.4.1</w:t>
      </w:r>
      <w:r>
        <w:rPr>
          <w:rFonts w:ascii="宋体" w:hAnsi="宋体" w:eastAsia="宋体" w:cs="宋体"/>
          <w:b/>
          <w:bCs/>
          <w:spacing w:val="-2"/>
          <w:sz w:val="24"/>
          <w:szCs w:val="24"/>
        </w:rPr>
        <w:t>地表水环境影响评价等级与范围</w:t>
      </w:r>
    </w:p>
    <w:p w14:paraId="15ED1943">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）评价等级</w:t>
      </w:r>
    </w:p>
    <w:p w14:paraId="0AA6EFC0">
      <w:pPr>
        <w:spacing w:before="130" w:line="366" w:lineRule="auto"/>
        <w:ind w:left="125" w:right="108" w:firstLine="477"/>
        <w:rPr>
          <w:rFonts w:ascii="宋体" w:hAnsi="宋体" w:eastAsia="宋体" w:cs="宋体"/>
          <w:sz w:val="24"/>
          <w:szCs w:val="24"/>
        </w:rPr>
      </w:pPr>
      <w:r>
        <w:rPr>
          <w:rFonts w:ascii="宋体" w:hAnsi="宋体" w:eastAsia="宋体" w:cs="宋体"/>
          <w:spacing w:val="-2"/>
          <w:sz w:val="24"/>
          <w:szCs w:val="24"/>
        </w:rPr>
        <w:t>根据《环境影响评价技术导则地表水环境》（</w:t>
      </w:r>
      <w:r>
        <w:rPr>
          <w:rFonts w:ascii="Times New Roman" w:hAnsi="Times New Roman" w:eastAsia="Times New Roman" w:cs="Times New Roman"/>
          <w:spacing w:val="-2"/>
          <w:sz w:val="24"/>
          <w:szCs w:val="24"/>
        </w:rPr>
        <w:t>HJ2.3-2018</w:t>
      </w:r>
      <w:r>
        <w:rPr>
          <w:rFonts w:ascii="宋体" w:hAnsi="宋体" w:eastAsia="宋体" w:cs="宋体"/>
          <w:spacing w:val="-2"/>
          <w:sz w:val="24"/>
          <w:szCs w:val="24"/>
        </w:rPr>
        <w:t>）规定，水污</w:t>
      </w:r>
      <w:r>
        <w:rPr>
          <w:rFonts w:ascii="宋体" w:hAnsi="宋体" w:eastAsia="宋体" w:cs="宋体"/>
          <w:spacing w:val="-3"/>
          <w:sz w:val="24"/>
          <w:szCs w:val="24"/>
        </w:rPr>
        <w:t>染影响型</w:t>
      </w:r>
      <w:r>
        <w:rPr>
          <w:rFonts w:ascii="宋体" w:hAnsi="宋体" w:eastAsia="宋体" w:cs="宋体"/>
          <w:sz w:val="24"/>
          <w:szCs w:val="24"/>
        </w:rPr>
        <w:t xml:space="preserve"> </w:t>
      </w:r>
      <w:r>
        <w:rPr>
          <w:rFonts w:ascii="宋体" w:hAnsi="宋体" w:eastAsia="宋体" w:cs="宋体"/>
          <w:spacing w:val="-1"/>
          <w:sz w:val="24"/>
          <w:szCs w:val="24"/>
        </w:rPr>
        <w:t>建设项目根据排放方式和废水排放量划分评价等级。</w:t>
      </w:r>
    </w:p>
    <w:p w14:paraId="13FFAA30">
      <w:pPr>
        <w:spacing w:before="64" w:line="378" w:lineRule="auto"/>
        <w:ind w:left="122" w:right="201" w:firstLine="480"/>
        <w:jc w:val="both"/>
        <w:rPr>
          <w:rFonts w:ascii="宋体" w:hAnsi="宋体" w:eastAsia="宋体" w:cs="宋体"/>
          <w:sz w:val="24"/>
          <w:szCs w:val="24"/>
        </w:rPr>
      </w:pPr>
      <w:r>
        <w:rPr>
          <w:rFonts w:ascii="宋体" w:hAnsi="宋体" w:eastAsia="宋体" w:cs="宋体"/>
          <w:sz w:val="24"/>
          <w:szCs w:val="24"/>
        </w:rPr>
        <w:t>本项目猪只尿液、猪舍冲洗水与猪粪一起收集，经</w:t>
      </w:r>
      <w:r>
        <w:rPr>
          <w:rFonts w:ascii="宋体" w:hAnsi="宋体" w:eastAsia="宋体" w:cs="宋体"/>
          <w:spacing w:val="-1"/>
          <w:sz w:val="24"/>
          <w:szCs w:val="24"/>
        </w:rPr>
        <w:t>异位发酵床发酵制作有机肥</w:t>
      </w:r>
      <w:r>
        <w:rPr>
          <w:rFonts w:ascii="宋体" w:hAnsi="宋体" w:eastAsia="宋体" w:cs="宋体"/>
          <w:sz w:val="24"/>
          <w:szCs w:val="24"/>
        </w:rPr>
        <w:t xml:space="preserve"> 半成品外售，不单独收集，不外排。项目产生的生活污水</w:t>
      </w:r>
      <w:r>
        <w:rPr>
          <w:rFonts w:ascii="宋体" w:hAnsi="宋体" w:eastAsia="宋体" w:cs="宋体"/>
          <w:spacing w:val="-1"/>
          <w:sz w:val="24"/>
          <w:szCs w:val="24"/>
        </w:rPr>
        <w:t>与猪只粪污一起经异位发</w:t>
      </w:r>
      <w:r>
        <w:rPr>
          <w:rFonts w:ascii="宋体" w:hAnsi="宋体" w:eastAsia="宋体" w:cs="宋体"/>
          <w:sz w:val="24"/>
          <w:szCs w:val="24"/>
        </w:rPr>
        <w:t xml:space="preserve"> 酵床发酵制作有机肥半成品外售，不行外排。根据《环境</w:t>
      </w:r>
      <w:r>
        <w:rPr>
          <w:rFonts w:ascii="宋体" w:hAnsi="宋体" w:eastAsia="宋体" w:cs="宋体"/>
          <w:spacing w:val="-1"/>
          <w:sz w:val="24"/>
          <w:szCs w:val="24"/>
        </w:rPr>
        <w:t>影响评价技术导则—地表</w:t>
      </w:r>
      <w:r>
        <w:rPr>
          <w:rFonts w:ascii="宋体" w:hAnsi="宋体" w:eastAsia="宋体" w:cs="宋体"/>
          <w:sz w:val="24"/>
          <w:szCs w:val="24"/>
        </w:rPr>
        <w:t xml:space="preserve"> </w:t>
      </w:r>
      <w:r>
        <w:rPr>
          <w:rFonts w:ascii="宋体" w:hAnsi="宋体" w:eastAsia="宋体" w:cs="宋体"/>
          <w:spacing w:val="1"/>
          <w:sz w:val="24"/>
          <w:szCs w:val="24"/>
        </w:rPr>
        <w:t>水环境》（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2.3-2018</w:t>
      </w:r>
      <w:r>
        <w:rPr>
          <w:rFonts w:ascii="宋体" w:hAnsi="宋体" w:eastAsia="宋体" w:cs="宋体"/>
          <w:spacing w:val="1"/>
          <w:sz w:val="24"/>
          <w:szCs w:val="24"/>
        </w:rPr>
        <w:t>）的要求，水污染影响型建设项目根据废水排放方式和排放</w:t>
      </w:r>
      <w:r>
        <w:rPr>
          <w:rFonts w:ascii="宋体" w:hAnsi="宋体" w:eastAsia="宋体" w:cs="宋体"/>
          <w:spacing w:val="9"/>
          <w:sz w:val="24"/>
          <w:szCs w:val="24"/>
        </w:rPr>
        <w:t xml:space="preserve"> </w:t>
      </w:r>
      <w:r>
        <w:rPr>
          <w:rFonts w:ascii="宋体" w:hAnsi="宋体" w:eastAsia="宋体" w:cs="宋体"/>
          <w:spacing w:val="-1"/>
          <w:sz w:val="24"/>
          <w:szCs w:val="24"/>
        </w:rPr>
        <w:t>量划分评价等级，见表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2.4-1</w:t>
      </w:r>
      <w:r>
        <w:rPr>
          <w:rFonts w:ascii="宋体" w:hAnsi="宋体" w:eastAsia="宋体" w:cs="宋体"/>
          <w:spacing w:val="-1"/>
          <w:sz w:val="24"/>
          <w:szCs w:val="24"/>
        </w:rPr>
        <w:t>。</w:t>
      </w:r>
    </w:p>
    <w:p w14:paraId="4FA2E5BD">
      <w:pPr>
        <w:spacing w:before="1" w:line="226" w:lineRule="auto"/>
        <w:ind w:left="250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b/>
          <w:bCs/>
          <w:spacing w:val="6"/>
          <w:sz w:val="20"/>
          <w:szCs w:val="20"/>
        </w:rPr>
        <w:t xml:space="preserve">2.4-1  </w:t>
      </w:r>
      <w:r>
        <w:rPr>
          <w:rFonts w:ascii="宋体" w:hAnsi="宋体" w:eastAsia="宋体" w:cs="宋体"/>
          <w:b/>
          <w:bCs/>
          <w:spacing w:val="6"/>
          <w:sz w:val="20"/>
          <w:szCs w:val="20"/>
        </w:rPr>
        <w:t>水污染影响型建设项目评价等级判定表</w:t>
      </w:r>
    </w:p>
    <w:p w14:paraId="013F7AE6">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5"/>
        <w:gridCol w:w="2027"/>
        <w:gridCol w:w="4868"/>
      </w:tblGrid>
      <w:tr w14:paraId="32587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55" w:type="dxa"/>
            <w:vMerge w:val="restart"/>
            <w:tcBorders>
              <w:bottom w:val="nil"/>
            </w:tcBorders>
            <w:vAlign w:val="top"/>
          </w:tcPr>
          <w:p w14:paraId="114E81D5">
            <w:pPr>
              <w:spacing w:line="326" w:lineRule="auto"/>
              <w:rPr>
                <w:rFonts w:ascii="Arial"/>
                <w:sz w:val="21"/>
              </w:rPr>
            </w:pPr>
          </w:p>
          <w:p w14:paraId="68228BB8">
            <w:pPr>
              <w:pStyle w:val="6"/>
              <w:spacing w:before="65" w:line="227" w:lineRule="auto"/>
              <w:ind w:left="612"/>
            </w:pPr>
            <w:r>
              <w:rPr>
                <w:b/>
                <w:bCs/>
                <w:spacing w:val="6"/>
              </w:rPr>
              <w:t>评价等级</w:t>
            </w:r>
          </w:p>
        </w:tc>
        <w:tc>
          <w:tcPr>
            <w:tcW w:w="6895" w:type="dxa"/>
            <w:gridSpan w:val="2"/>
            <w:vAlign w:val="top"/>
          </w:tcPr>
          <w:p w14:paraId="3CCC6AF7">
            <w:pPr>
              <w:pStyle w:val="6"/>
              <w:spacing w:before="64" w:line="228" w:lineRule="auto"/>
              <w:ind w:left="3032"/>
            </w:pPr>
            <w:r>
              <w:rPr>
                <w:b/>
                <w:bCs/>
                <w:spacing w:val="6"/>
              </w:rPr>
              <w:t>判定依据</w:t>
            </w:r>
          </w:p>
        </w:tc>
      </w:tr>
      <w:tr w14:paraId="5971F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055" w:type="dxa"/>
            <w:vMerge w:val="continue"/>
            <w:tcBorders>
              <w:top w:val="nil"/>
            </w:tcBorders>
            <w:vAlign w:val="top"/>
          </w:tcPr>
          <w:p w14:paraId="3C3942AF">
            <w:pPr>
              <w:rPr>
                <w:rFonts w:ascii="Arial"/>
                <w:sz w:val="21"/>
              </w:rPr>
            </w:pPr>
          </w:p>
        </w:tc>
        <w:tc>
          <w:tcPr>
            <w:tcW w:w="2027" w:type="dxa"/>
            <w:vAlign w:val="top"/>
          </w:tcPr>
          <w:p w14:paraId="24718F73">
            <w:pPr>
              <w:pStyle w:val="6"/>
              <w:spacing w:before="221" w:line="230" w:lineRule="auto"/>
              <w:ind w:left="598"/>
            </w:pPr>
            <w:r>
              <w:rPr>
                <w:b/>
                <w:bCs/>
                <w:spacing w:val="6"/>
              </w:rPr>
              <w:t>排放方式</w:t>
            </w:r>
          </w:p>
        </w:tc>
        <w:tc>
          <w:tcPr>
            <w:tcW w:w="4868" w:type="dxa"/>
            <w:vAlign w:val="top"/>
          </w:tcPr>
          <w:p w14:paraId="4DA74920">
            <w:pPr>
              <w:pStyle w:val="6"/>
              <w:spacing w:before="60" w:line="221" w:lineRule="auto"/>
              <w:ind w:left="121"/>
            </w:pPr>
            <w:r>
              <w:rPr>
                <w:b/>
                <w:bCs/>
                <w:spacing w:val="6"/>
              </w:rPr>
              <w:t>废水排放量</w:t>
            </w:r>
            <w:r>
              <w:rPr>
                <w:spacing w:val="-40"/>
              </w:rPr>
              <w:t xml:space="preserve"> </w:t>
            </w:r>
            <w:r>
              <w:rPr>
                <w:rFonts w:ascii="Times New Roman" w:hAnsi="Times New Roman" w:eastAsia="Times New Roman" w:cs="Times New Roman"/>
                <w:b/>
                <w:bCs/>
                <w:spacing w:val="6"/>
              </w:rPr>
              <w:t>Q/</w:t>
            </w:r>
            <w:r>
              <w:rPr>
                <w:b/>
                <w:bCs/>
                <w:spacing w:val="6"/>
              </w:rPr>
              <w:t>（</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rPr>
              <w:t>/d</w:t>
            </w:r>
            <w:r>
              <w:rPr>
                <w:b/>
                <w:bCs/>
                <w:spacing w:val="6"/>
              </w:rPr>
              <w:t>）</w:t>
            </w:r>
            <w:r>
              <w:rPr>
                <w:rFonts w:ascii="Times New Roman" w:hAnsi="Times New Roman" w:eastAsia="Times New Roman" w:cs="Times New Roman"/>
                <w:b/>
                <w:bCs/>
                <w:spacing w:val="6"/>
              </w:rPr>
              <w:t>;</w:t>
            </w:r>
            <w:r>
              <w:rPr>
                <w:b/>
                <w:bCs/>
                <w:spacing w:val="6"/>
              </w:rPr>
              <w:t>水污染物当量数</w:t>
            </w:r>
            <w:r>
              <w:rPr>
                <w:spacing w:val="-43"/>
              </w:rPr>
              <w:t xml:space="preserve"> </w:t>
            </w:r>
            <w:r>
              <w:rPr>
                <w:rFonts w:ascii="Times New Roman" w:hAnsi="Times New Roman" w:eastAsia="Times New Roman" w:cs="Times New Roman"/>
                <w:b/>
                <w:bCs/>
                <w:spacing w:val="6"/>
              </w:rPr>
              <w:t>W/</w:t>
            </w:r>
            <w:r>
              <w:rPr>
                <w:b/>
                <w:bCs/>
                <w:spacing w:val="5"/>
              </w:rPr>
              <w:t>（无量</w:t>
            </w:r>
          </w:p>
          <w:p w14:paraId="7045934C">
            <w:pPr>
              <w:pStyle w:val="6"/>
              <w:spacing w:before="85" w:line="231" w:lineRule="auto"/>
              <w:ind w:left="2232"/>
            </w:pPr>
            <w:r>
              <w:rPr>
                <w:b/>
                <w:bCs/>
                <w:spacing w:val="-4"/>
              </w:rPr>
              <w:t>纲）</w:t>
            </w:r>
          </w:p>
        </w:tc>
      </w:tr>
      <w:tr w14:paraId="63CA3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55" w:type="dxa"/>
            <w:vAlign w:val="top"/>
          </w:tcPr>
          <w:p w14:paraId="381904A5">
            <w:pPr>
              <w:pStyle w:val="6"/>
              <w:spacing w:before="59" w:line="231" w:lineRule="auto"/>
              <w:ind w:left="828"/>
            </w:pPr>
            <w:r>
              <w:rPr>
                <w:spacing w:val="3"/>
              </w:rPr>
              <w:t>一级</w:t>
            </w:r>
          </w:p>
        </w:tc>
        <w:tc>
          <w:tcPr>
            <w:tcW w:w="2027" w:type="dxa"/>
            <w:vAlign w:val="top"/>
          </w:tcPr>
          <w:p w14:paraId="4F53EBAD">
            <w:pPr>
              <w:pStyle w:val="6"/>
              <w:spacing w:before="59" w:line="230" w:lineRule="auto"/>
              <w:ind w:left="600"/>
            </w:pPr>
            <w:r>
              <w:rPr>
                <w:spacing w:val="6"/>
              </w:rPr>
              <w:t>直接排放</w:t>
            </w:r>
          </w:p>
        </w:tc>
        <w:tc>
          <w:tcPr>
            <w:tcW w:w="4868" w:type="dxa"/>
            <w:vAlign w:val="top"/>
          </w:tcPr>
          <w:p w14:paraId="7E01AB56">
            <w:pPr>
              <w:pStyle w:val="6"/>
              <w:spacing w:before="28" w:line="274" w:lineRule="exact"/>
              <w:ind w:left="1318"/>
              <w:rPr>
                <w:rFonts w:ascii="Times New Roman" w:hAnsi="Times New Roman" w:eastAsia="Times New Roman" w:cs="Times New Roman"/>
              </w:rPr>
            </w:pPr>
            <w:r>
              <w:rPr>
                <w:rFonts w:ascii="Times New Roman" w:hAnsi="Times New Roman" w:eastAsia="Times New Roman" w:cs="Times New Roman"/>
                <w:spacing w:val="5"/>
                <w:position w:val="2"/>
              </w:rPr>
              <w:t>Q</w:t>
            </w:r>
            <w:r>
              <w:rPr>
                <w:spacing w:val="5"/>
                <w:position w:val="2"/>
              </w:rPr>
              <w:t>≥</w:t>
            </w:r>
            <w:r>
              <w:rPr>
                <w:rFonts w:ascii="Times New Roman" w:hAnsi="Times New Roman" w:eastAsia="Times New Roman" w:cs="Times New Roman"/>
                <w:spacing w:val="5"/>
                <w:position w:val="2"/>
              </w:rPr>
              <w:t xml:space="preserve">20000 </w:t>
            </w:r>
            <w:r>
              <w:rPr>
                <w:spacing w:val="5"/>
                <w:position w:val="2"/>
              </w:rPr>
              <w:t>或</w:t>
            </w:r>
            <w:r>
              <w:rPr>
                <w:spacing w:val="-37"/>
                <w:position w:val="2"/>
              </w:rPr>
              <w:t xml:space="preserve"> </w:t>
            </w:r>
            <w:r>
              <w:rPr>
                <w:rFonts w:ascii="Times New Roman" w:hAnsi="Times New Roman" w:eastAsia="Times New Roman" w:cs="Times New Roman"/>
                <w:spacing w:val="5"/>
                <w:position w:val="2"/>
              </w:rPr>
              <w:t>W</w:t>
            </w:r>
            <w:r>
              <w:rPr>
                <w:spacing w:val="5"/>
                <w:position w:val="2"/>
              </w:rPr>
              <w:t>≥</w:t>
            </w:r>
            <w:r>
              <w:rPr>
                <w:rFonts w:ascii="Times New Roman" w:hAnsi="Times New Roman" w:eastAsia="Times New Roman" w:cs="Times New Roman"/>
                <w:spacing w:val="5"/>
                <w:position w:val="2"/>
              </w:rPr>
              <w:t>600000</w:t>
            </w:r>
          </w:p>
        </w:tc>
      </w:tr>
      <w:tr w14:paraId="09E60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55" w:type="dxa"/>
            <w:vAlign w:val="top"/>
          </w:tcPr>
          <w:p w14:paraId="0C051F5E">
            <w:pPr>
              <w:pStyle w:val="6"/>
              <w:spacing w:before="60" w:line="231" w:lineRule="auto"/>
              <w:ind w:left="828"/>
            </w:pPr>
            <w:r>
              <w:rPr>
                <w:spacing w:val="3"/>
              </w:rPr>
              <w:t>二级</w:t>
            </w:r>
          </w:p>
        </w:tc>
        <w:tc>
          <w:tcPr>
            <w:tcW w:w="2027" w:type="dxa"/>
            <w:vAlign w:val="top"/>
          </w:tcPr>
          <w:p w14:paraId="5685DD88">
            <w:pPr>
              <w:pStyle w:val="6"/>
              <w:spacing w:before="60" w:line="230" w:lineRule="auto"/>
              <w:ind w:left="600"/>
            </w:pPr>
            <w:r>
              <w:rPr>
                <w:spacing w:val="6"/>
              </w:rPr>
              <w:t>直接排放</w:t>
            </w:r>
          </w:p>
        </w:tc>
        <w:tc>
          <w:tcPr>
            <w:tcW w:w="4868" w:type="dxa"/>
            <w:vAlign w:val="top"/>
          </w:tcPr>
          <w:p w14:paraId="01FD87FC">
            <w:pPr>
              <w:pStyle w:val="6"/>
              <w:spacing w:before="60" w:line="229" w:lineRule="auto"/>
              <w:ind w:left="2229"/>
            </w:pPr>
            <w:r>
              <w:rPr>
                <w:spacing w:val="4"/>
              </w:rPr>
              <w:t>其他</w:t>
            </w:r>
          </w:p>
        </w:tc>
      </w:tr>
      <w:tr w14:paraId="16EDD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55" w:type="dxa"/>
            <w:vAlign w:val="top"/>
          </w:tcPr>
          <w:p w14:paraId="4BC6F8D1">
            <w:pPr>
              <w:pStyle w:val="6"/>
              <w:spacing w:before="61" w:line="231" w:lineRule="auto"/>
              <w:ind w:left="721"/>
              <w:rPr>
                <w:rFonts w:ascii="Times New Roman" w:hAnsi="Times New Roman" w:eastAsia="Times New Roman" w:cs="Times New Roman"/>
              </w:rPr>
            </w:pPr>
            <w:r>
              <w:rPr>
                <w:spacing w:val="4"/>
              </w:rPr>
              <w:t>三级</w:t>
            </w:r>
            <w:r>
              <w:rPr>
                <w:spacing w:val="-42"/>
              </w:rPr>
              <w:t xml:space="preserve"> </w:t>
            </w:r>
            <w:r>
              <w:rPr>
                <w:rFonts w:ascii="Times New Roman" w:hAnsi="Times New Roman" w:eastAsia="Times New Roman" w:cs="Times New Roman"/>
                <w:spacing w:val="4"/>
              </w:rPr>
              <w:t>A</w:t>
            </w:r>
          </w:p>
        </w:tc>
        <w:tc>
          <w:tcPr>
            <w:tcW w:w="2027" w:type="dxa"/>
            <w:vAlign w:val="top"/>
          </w:tcPr>
          <w:p w14:paraId="4EEC7D0D">
            <w:pPr>
              <w:pStyle w:val="6"/>
              <w:spacing w:before="61" w:line="230" w:lineRule="auto"/>
              <w:ind w:left="600"/>
            </w:pPr>
            <w:r>
              <w:rPr>
                <w:spacing w:val="6"/>
              </w:rPr>
              <w:t>直接排放</w:t>
            </w:r>
          </w:p>
        </w:tc>
        <w:tc>
          <w:tcPr>
            <w:tcW w:w="4868" w:type="dxa"/>
            <w:vAlign w:val="top"/>
          </w:tcPr>
          <w:p w14:paraId="7E0B9AEC">
            <w:pPr>
              <w:pStyle w:val="6"/>
              <w:spacing w:before="30" w:line="274" w:lineRule="exact"/>
              <w:ind w:left="1529"/>
              <w:rPr>
                <w:rFonts w:ascii="Times New Roman" w:hAnsi="Times New Roman" w:eastAsia="Times New Roman" w:cs="Times New Roman"/>
              </w:rPr>
            </w:pPr>
            <w:r>
              <w:rPr>
                <w:rFonts w:ascii="Times New Roman" w:hAnsi="Times New Roman" w:eastAsia="Times New Roman" w:cs="Times New Roman"/>
                <w:spacing w:val="5"/>
                <w:position w:val="2"/>
              </w:rPr>
              <w:t>Q</w:t>
            </w:r>
            <w:r>
              <w:rPr>
                <w:spacing w:val="5"/>
                <w:position w:val="2"/>
              </w:rPr>
              <w:t>≤</w:t>
            </w:r>
            <w:r>
              <w:rPr>
                <w:rFonts w:ascii="Times New Roman" w:hAnsi="Times New Roman" w:eastAsia="Times New Roman" w:cs="Times New Roman"/>
                <w:spacing w:val="5"/>
                <w:position w:val="2"/>
              </w:rPr>
              <w:t xml:space="preserve">200 </w:t>
            </w:r>
            <w:r>
              <w:rPr>
                <w:spacing w:val="5"/>
                <w:position w:val="2"/>
              </w:rPr>
              <w:t>且</w:t>
            </w:r>
            <w:r>
              <w:rPr>
                <w:spacing w:val="-39"/>
                <w:position w:val="2"/>
              </w:rPr>
              <w:t xml:space="preserve"> </w:t>
            </w:r>
            <w:r>
              <w:rPr>
                <w:rFonts w:ascii="Times New Roman" w:hAnsi="Times New Roman" w:eastAsia="Times New Roman" w:cs="Times New Roman"/>
                <w:spacing w:val="5"/>
                <w:position w:val="2"/>
              </w:rPr>
              <w:t>W</w:t>
            </w:r>
            <w:r>
              <w:rPr>
                <w:spacing w:val="5"/>
                <w:position w:val="2"/>
              </w:rPr>
              <w:t>≤</w:t>
            </w:r>
            <w:r>
              <w:rPr>
                <w:rFonts w:ascii="Times New Roman" w:hAnsi="Times New Roman" w:eastAsia="Times New Roman" w:cs="Times New Roman"/>
                <w:spacing w:val="5"/>
                <w:position w:val="2"/>
              </w:rPr>
              <w:t>6000</w:t>
            </w:r>
          </w:p>
        </w:tc>
      </w:tr>
      <w:tr w14:paraId="6C675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55" w:type="dxa"/>
            <w:vAlign w:val="top"/>
          </w:tcPr>
          <w:p w14:paraId="5D524398">
            <w:pPr>
              <w:pStyle w:val="6"/>
              <w:spacing w:before="62" w:line="231" w:lineRule="auto"/>
              <w:ind w:left="728"/>
              <w:rPr>
                <w:rFonts w:ascii="Times New Roman" w:hAnsi="Times New Roman" w:eastAsia="Times New Roman" w:cs="Times New Roman"/>
              </w:rPr>
            </w:pPr>
            <w:r>
              <w:rPr>
                <w:spacing w:val="3"/>
              </w:rPr>
              <w:t>三级</w:t>
            </w:r>
            <w:r>
              <w:rPr>
                <w:spacing w:val="-42"/>
              </w:rPr>
              <w:t xml:space="preserve"> </w:t>
            </w:r>
            <w:r>
              <w:rPr>
                <w:rFonts w:ascii="Times New Roman" w:hAnsi="Times New Roman" w:eastAsia="Times New Roman" w:cs="Times New Roman"/>
                <w:spacing w:val="3"/>
              </w:rPr>
              <w:t>B</w:t>
            </w:r>
          </w:p>
        </w:tc>
        <w:tc>
          <w:tcPr>
            <w:tcW w:w="2027" w:type="dxa"/>
            <w:vAlign w:val="top"/>
          </w:tcPr>
          <w:p w14:paraId="3589C574">
            <w:pPr>
              <w:pStyle w:val="6"/>
              <w:spacing w:before="62" w:line="230" w:lineRule="auto"/>
              <w:ind w:left="614"/>
            </w:pPr>
            <w:r>
              <w:rPr>
                <w:spacing w:val="3"/>
              </w:rPr>
              <w:t>间接排放</w:t>
            </w:r>
          </w:p>
        </w:tc>
        <w:tc>
          <w:tcPr>
            <w:tcW w:w="4868" w:type="dxa"/>
            <w:vAlign w:val="top"/>
          </w:tcPr>
          <w:p w14:paraId="0C86F388">
            <w:pPr>
              <w:tabs>
                <w:tab w:val="left" w:pos="2535"/>
              </w:tabs>
              <w:spacing w:line="208" w:lineRule="auto"/>
              <w:ind w:left="2333"/>
              <w:rPr>
                <w:rFonts w:ascii="Arial"/>
                <w:sz w:val="21"/>
              </w:rPr>
            </w:pPr>
            <w:r>
              <w:rPr>
                <w:rFonts w:ascii="Arial" w:hAnsi="Arial" w:eastAsia="Arial" w:cs="Arial"/>
                <w:sz w:val="21"/>
                <w:szCs w:val="21"/>
                <w:u w:val="single" w:color="auto"/>
              </w:rPr>
              <w:tab/>
            </w:r>
          </w:p>
        </w:tc>
      </w:tr>
    </w:tbl>
    <w:p w14:paraId="2863DA81">
      <w:pPr>
        <w:spacing w:before="124" w:line="219" w:lineRule="auto"/>
        <w:ind w:left="603"/>
        <w:rPr>
          <w:rFonts w:ascii="宋体" w:hAnsi="宋体" w:eastAsia="宋体" w:cs="宋体"/>
          <w:sz w:val="24"/>
          <w:szCs w:val="24"/>
        </w:rPr>
      </w:pPr>
      <w:r>
        <w:rPr>
          <w:rFonts w:ascii="宋体" w:hAnsi="宋体" w:eastAsia="宋体" w:cs="宋体"/>
          <w:spacing w:val="-1"/>
          <w:sz w:val="24"/>
          <w:szCs w:val="24"/>
        </w:rPr>
        <w:t>本项目废水不外排，因此，本项目不开展地表水影响评价。</w:t>
      </w:r>
    </w:p>
    <w:p w14:paraId="06D27DF0">
      <w:pPr>
        <w:spacing w:before="205"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2.4.2</w:t>
      </w:r>
      <w:r>
        <w:rPr>
          <w:rFonts w:ascii="宋体" w:hAnsi="宋体" w:eastAsia="宋体" w:cs="宋体"/>
          <w:b/>
          <w:bCs/>
          <w:spacing w:val="-2"/>
          <w:sz w:val="24"/>
          <w:szCs w:val="24"/>
        </w:rPr>
        <w:t>大气环境影响评价等级与范围</w:t>
      </w:r>
    </w:p>
    <w:p w14:paraId="0E94727A">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）评价等级</w:t>
      </w:r>
    </w:p>
    <w:p w14:paraId="1BE4CCCC">
      <w:pPr>
        <w:spacing w:before="132" w:line="372" w:lineRule="auto"/>
        <w:ind w:left="123" w:right="108" w:firstLine="479"/>
        <w:rPr>
          <w:rFonts w:ascii="宋体" w:hAnsi="宋体" w:eastAsia="宋体" w:cs="宋体"/>
          <w:sz w:val="24"/>
          <w:szCs w:val="24"/>
        </w:rPr>
      </w:pPr>
      <w:r>
        <w:rPr>
          <w:rFonts w:ascii="宋体" w:hAnsi="宋体" w:eastAsia="宋体" w:cs="宋体"/>
          <w:spacing w:val="-2"/>
          <w:sz w:val="24"/>
          <w:szCs w:val="24"/>
        </w:rPr>
        <w:t>根据《环境影响评价技术导则大气环境》（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）对确定环境影</w:t>
      </w:r>
      <w:r>
        <w:rPr>
          <w:rFonts w:ascii="宋体" w:hAnsi="宋体" w:eastAsia="宋体" w:cs="宋体"/>
          <w:spacing w:val="-3"/>
          <w:sz w:val="24"/>
          <w:szCs w:val="24"/>
        </w:rPr>
        <w:t>响评价工</w:t>
      </w:r>
      <w:r>
        <w:rPr>
          <w:rFonts w:ascii="宋体" w:hAnsi="宋体" w:eastAsia="宋体" w:cs="宋体"/>
          <w:sz w:val="24"/>
          <w:szCs w:val="24"/>
        </w:rPr>
        <w:t xml:space="preserve"> </w:t>
      </w:r>
      <w:r>
        <w:rPr>
          <w:rFonts w:ascii="宋体" w:hAnsi="宋体" w:eastAsia="宋体" w:cs="宋体"/>
          <w:spacing w:val="-1"/>
          <w:sz w:val="24"/>
          <w:szCs w:val="24"/>
        </w:rPr>
        <w:t>作等级的规定：</w:t>
      </w:r>
      <w:r>
        <w:rPr>
          <w:rFonts w:ascii="Times New Roman" w:hAnsi="Times New Roman" w:eastAsia="Times New Roman" w:cs="Times New Roman"/>
          <w:spacing w:val="-1"/>
          <w:sz w:val="24"/>
          <w:szCs w:val="24"/>
        </w:rPr>
        <w:t>“</w:t>
      </w:r>
      <w:r>
        <w:rPr>
          <w:rFonts w:ascii="宋体" w:hAnsi="宋体" w:eastAsia="宋体" w:cs="宋体"/>
          <w:spacing w:val="-1"/>
          <w:sz w:val="24"/>
          <w:szCs w:val="24"/>
        </w:rPr>
        <w:t>根据项目污染源初步调查结果，分别计算项目排放主要污染物的最</w:t>
      </w:r>
      <w:r>
        <w:rPr>
          <w:rFonts w:ascii="宋体" w:hAnsi="宋体" w:eastAsia="宋体" w:cs="宋体"/>
          <w:spacing w:val="10"/>
          <w:sz w:val="24"/>
          <w:szCs w:val="24"/>
        </w:rPr>
        <w:t xml:space="preserve"> </w:t>
      </w:r>
      <w:r>
        <w:rPr>
          <w:rFonts w:ascii="宋体" w:hAnsi="宋体" w:eastAsia="宋体" w:cs="宋体"/>
          <w:spacing w:val="-2"/>
          <w:sz w:val="24"/>
          <w:szCs w:val="24"/>
        </w:rPr>
        <w:t>大地面空气质量浓度占标率</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2"/>
          <w:position w:val="-1"/>
          <w:sz w:val="15"/>
          <w:szCs w:val="15"/>
        </w:rPr>
        <w:t>i</w:t>
      </w:r>
      <w:r>
        <w:rPr>
          <w:rFonts w:ascii="宋体" w:hAnsi="宋体" w:eastAsia="宋体" w:cs="宋体"/>
          <w:spacing w:val="-2"/>
          <w:sz w:val="24"/>
          <w:szCs w:val="24"/>
        </w:rPr>
        <w:t>（第</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个污染物</w:t>
      </w:r>
      <w:r>
        <w:rPr>
          <w:rFonts w:ascii="宋体" w:hAnsi="宋体" w:eastAsia="宋体" w:cs="宋体"/>
          <w:spacing w:val="-3"/>
          <w:sz w:val="24"/>
          <w:szCs w:val="24"/>
        </w:rPr>
        <w:t>，简称</w:t>
      </w:r>
      <w:r>
        <w:rPr>
          <w:rFonts w:ascii="Times New Roman" w:hAnsi="Times New Roman" w:eastAsia="Times New Roman" w:cs="Times New Roman"/>
          <w:spacing w:val="-3"/>
          <w:sz w:val="24"/>
          <w:szCs w:val="24"/>
        </w:rPr>
        <w:t>‘</w:t>
      </w:r>
      <w:r>
        <w:rPr>
          <w:rFonts w:ascii="宋体" w:hAnsi="宋体" w:eastAsia="宋体" w:cs="宋体"/>
          <w:spacing w:val="-3"/>
          <w:sz w:val="24"/>
          <w:szCs w:val="24"/>
        </w:rPr>
        <w:t>最大浓度占标率</w:t>
      </w:r>
      <w:r>
        <w:rPr>
          <w:rFonts w:ascii="宋体" w:hAnsi="宋体" w:eastAsia="宋体" w:cs="宋体"/>
          <w:spacing w:val="-26"/>
          <w:sz w:val="24"/>
          <w:szCs w:val="24"/>
        </w:rPr>
        <w:t>），</w:t>
      </w:r>
      <w:r>
        <w:rPr>
          <w:rFonts w:ascii="宋体" w:hAnsi="宋体" w:eastAsia="宋体" w:cs="宋体"/>
          <w:spacing w:val="-3"/>
          <w:sz w:val="24"/>
          <w:szCs w:val="24"/>
        </w:rPr>
        <w:t>及第</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i </w:t>
      </w:r>
      <w:r>
        <w:rPr>
          <w:rFonts w:ascii="宋体" w:hAnsi="宋体" w:eastAsia="宋体" w:cs="宋体"/>
          <w:spacing w:val="-3"/>
          <w:sz w:val="24"/>
          <w:szCs w:val="24"/>
        </w:rPr>
        <w:t>个污</w:t>
      </w:r>
      <w:r>
        <w:rPr>
          <w:rFonts w:ascii="宋体" w:hAnsi="宋体" w:eastAsia="宋体" w:cs="宋体"/>
          <w:sz w:val="24"/>
          <w:szCs w:val="24"/>
        </w:rPr>
        <w:t xml:space="preserve"> </w:t>
      </w:r>
      <w:r>
        <w:rPr>
          <w:rFonts w:ascii="宋体" w:hAnsi="宋体" w:eastAsia="宋体" w:cs="宋体"/>
          <w:spacing w:val="-3"/>
          <w:sz w:val="24"/>
          <w:szCs w:val="24"/>
        </w:rPr>
        <w:t>染物的地面空气质量浓度达到标准值的</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时所对应的最远距离</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。其中</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P</w:t>
      </w:r>
      <w:r>
        <w:rPr>
          <w:rFonts w:ascii="Times New Roman" w:hAnsi="Times New Roman" w:eastAsia="Times New Roman" w:cs="Times New Roman"/>
          <w:spacing w:val="-4"/>
          <w:position w:val="-1"/>
          <w:sz w:val="15"/>
          <w:szCs w:val="15"/>
        </w:rPr>
        <w:t>i</w:t>
      </w:r>
      <w:r>
        <w:rPr>
          <w:rFonts w:ascii="Times New Roman" w:hAnsi="Times New Roman" w:eastAsia="Times New Roman" w:cs="Times New Roman"/>
          <w:position w:val="-1"/>
          <w:sz w:val="15"/>
          <w:szCs w:val="15"/>
        </w:rPr>
        <w:t xml:space="preserve"> </w:t>
      </w:r>
      <w:r>
        <w:rPr>
          <w:rFonts w:ascii="宋体" w:hAnsi="宋体" w:eastAsia="宋体" w:cs="宋体"/>
          <w:spacing w:val="-3"/>
          <w:sz w:val="24"/>
          <w:szCs w:val="24"/>
        </w:rPr>
        <w:t>定义为：</w:t>
      </w:r>
    </w:p>
    <w:p w14:paraId="3E606D7C">
      <w:pPr>
        <w:spacing w:before="23" w:line="319" w:lineRule="exact"/>
        <w:ind w:left="3847"/>
        <w:rPr>
          <w:rFonts w:ascii="Times New Roman" w:hAnsi="Times New Roman" w:eastAsia="Times New Roman" w:cs="Times New Roman"/>
          <w:sz w:val="24"/>
          <w:szCs w:val="24"/>
        </w:rPr>
      </w:pPr>
      <w:r>
        <w:rPr>
          <w:rFonts w:ascii="Times New Roman" w:hAnsi="Times New Roman" w:eastAsia="Times New Roman" w:cs="Times New Roman"/>
          <w:i/>
          <w:iCs/>
          <w:position w:val="2"/>
          <w:sz w:val="24"/>
          <w:szCs w:val="24"/>
        </w:rPr>
        <w:t>Pi=Ci/Coi×100%</w:t>
      </w:r>
    </w:p>
    <w:p w14:paraId="5C85188E">
      <w:pPr>
        <w:spacing w:before="209" w:line="221" w:lineRule="auto"/>
        <w:ind w:left="607"/>
        <w:rPr>
          <w:rFonts w:ascii="宋体" w:hAnsi="宋体" w:eastAsia="宋体" w:cs="宋体"/>
          <w:sz w:val="24"/>
          <w:szCs w:val="24"/>
        </w:rPr>
      </w:pPr>
      <w:r>
        <w:rPr>
          <w:rFonts w:ascii="宋体" w:hAnsi="宋体" w:eastAsia="宋体" w:cs="宋体"/>
          <w:spacing w:val="-5"/>
          <w:sz w:val="24"/>
          <w:szCs w:val="24"/>
        </w:rPr>
        <w:t>式中：</w:t>
      </w:r>
    </w:p>
    <w:p w14:paraId="19D0D7EB">
      <w:pPr>
        <w:spacing w:before="165" w:line="360" w:lineRule="exact"/>
        <w:ind w:left="597"/>
        <w:rPr>
          <w:rFonts w:ascii="宋体" w:hAnsi="宋体" w:eastAsia="宋体" w:cs="宋体"/>
          <w:sz w:val="24"/>
          <w:szCs w:val="24"/>
        </w:rPr>
      </w:pPr>
      <w:r>
        <w:rPr>
          <w:rFonts w:ascii="Times New Roman" w:hAnsi="Times New Roman" w:eastAsia="Times New Roman" w:cs="Times New Roman"/>
          <w:spacing w:val="-1"/>
          <w:position w:val="2"/>
          <w:sz w:val="24"/>
          <w:szCs w:val="24"/>
        </w:rPr>
        <w:t>Pi---</w:t>
      </w:r>
      <w:r>
        <w:rPr>
          <w:rFonts w:ascii="宋体" w:hAnsi="宋体" w:eastAsia="宋体" w:cs="宋体"/>
          <w:spacing w:val="-1"/>
          <w:position w:val="2"/>
          <w:sz w:val="24"/>
          <w:szCs w:val="24"/>
        </w:rPr>
        <w:t>第</w:t>
      </w:r>
      <w:r>
        <w:rPr>
          <w:rFonts w:ascii="宋体" w:hAnsi="宋体" w:eastAsia="宋体" w:cs="宋体"/>
          <w:spacing w:val="-43"/>
          <w:position w:val="2"/>
          <w:sz w:val="24"/>
          <w:szCs w:val="24"/>
        </w:rPr>
        <w:t xml:space="preserve"> </w:t>
      </w:r>
      <w:r>
        <w:rPr>
          <w:rFonts w:ascii="Times New Roman" w:hAnsi="Times New Roman" w:eastAsia="Times New Roman" w:cs="Times New Roman"/>
          <w:spacing w:val="-1"/>
          <w:position w:val="2"/>
          <w:sz w:val="24"/>
          <w:szCs w:val="24"/>
        </w:rPr>
        <w:t xml:space="preserve">i </w:t>
      </w:r>
      <w:r>
        <w:rPr>
          <w:rFonts w:ascii="宋体" w:hAnsi="宋体" w:eastAsia="宋体" w:cs="宋体"/>
          <w:spacing w:val="-1"/>
          <w:position w:val="2"/>
          <w:sz w:val="24"/>
          <w:szCs w:val="24"/>
        </w:rPr>
        <w:t>个污染物的最大地面浓度占标率，</w:t>
      </w:r>
      <w:r>
        <w:rPr>
          <w:rFonts w:ascii="Times New Roman" w:hAnsi="Times New Roman" w:eastAsia="Times New Roman" w:cs="Times New Roman"/>
          <w:spacing w:val="-1"/>
          <w:position w:val="2"/>
          <w:sz w:val="24"/>
          <w:szCs w:val="24"/>
        </w:rPr>
        <w:t>%</w:t>
      </w:r>
      <w:r>
        <w:rPr>
          <w:rFonts w:ascii="宋体" w:hAnsi="宋体" w:eastAsia="宋体" w:cs="宋体"/>
          <w:spacing w:val="-1"/>
          <w:position w:val="2"/>
          <w:sz w:val="24"/>
          <w:szCs w:val="24"/>
        </w:rPr>
        <w:t>；</w:t>
      </w:r>
    </w:p>
    <w:p w14:paraId="25209319">
      <w:pPr>
        <w:spacing w:line="360" w:lineRule="exact"/>
        <w:rPr>
          <w:rFonts w:ascii="宋体" w:hAnsi="宋体" w:eastAsia="宋体" w:cs="宋体"/>
          <w:sz w:val="24"/>
          <w:szCs w:val="24"/>
        </w:rPr>
        <w:sectPr>
          <w:footerReference r:id="rId41" w:type="default"/>
          <w:pgSz w:w="11906" w:h="16839"/>
          <w:pgMar w:top="1431" w:right="1475" w:bottom="1485" w:left="1475" w:header="0" w:footer="1249" w:gutter="0"/>
          <w:cols w:space="720" w:num="1"/>
        </w:sectPr>
      </w:pPr>
    </w:p>
    <w:p w14:paraId="350C1FF3">
      <w:pPr>
        <w:spacing w:before="75" w:line="333" w:lineRule="exact"/>
        <w:ind w:left="604"/>
        <w:rPr>
          <w:rFonts w:ascii="宋体" w:hAnsi="宋体" w:eastAsia="宋体" w:cs="宋体"/>
          <w:sz w:val="24"/>
          <w:szCs w:val="24"/>
        </w:rPr>
      </w:pPr>
      <w:r>
        <w:rPr>
          <w:rFonts w:ascii="Times New Roman" w:hAnsi="Times New Roman" w:eastAsia="Times New Roman" w:cs="Times New Roman"/>
          <w:spacing w:val="-1"/>
          <w:position w:val="3"/>
          <w:sz w:val="24"/>
          <w:szCs w:val="24"/>
        </w:rPr>
        <w:t>Ci---</w:t>
      </w:r>
      <w:r>
        <w:rPr>
          <w:rFonts w:ascii="宋体" w:hAnsi="宋体" w:eastAsia="宋体" w:cs="宋体"/>
          <w:spacing w:val="-1"/>
          <w:position w:val="3"/>
          <w:sz w:val="24"/>
          <w:szCs w:val="24"/>
        </w:rPr>
        <w:t>采用估算模式计算出的第</w:t>
      </w:r>
      <w:r>
        <w:rPr>
          <w:rFonts w:ascii="宋体" w:hAnsi="宋体" w:eastAsia="宋体" w:cs="宋体"/>
          <w:spacing w:val="-53"/>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个污染物的最大</w:t>
      </w:r>
      <w:r>
        <w:rPr>
          <w:rFonts w:ascii="宋体" w:hAnsi="宋体" w:eastAsia="宋体" w:cs="宋体"/>
          <w:spacing w:val="-32"/>
          <w:position w:val="3"/>
          <w:sz w:val="24"/>
          <w:szCs w:val="24"/>
        </w:rPr>
        <w:t xml:space="preserve"> </w:t>
      </w:r>
      <w:r>
        <w:rPr>
          <w:rFonts w:ascii="Times New Roman" w:hAnsi="Times New Roman" w:eastAsia="Times New Roman" w:cs="Times New Roman"/>
          <w:spacing w:val="-1"/>
          <w:position w:val="3"/>
          <w:sz w:val="24"/>
          <w:szCs w:val="24"/>
        </w:rPr>
        <w:t xml:space="preserve">1h </w:t>
      </w:r>
      <w:r>
        <w:rPr>
          <w:rFonts w:ascii="宋体" w:hAnsi="宋体" w:eastAsia="宋体" w:cs="宋体"/>
          <w:spacing w:val="-1"/>
          <w:position w:val="3"/>
          <w:sz w:val="24"/>
          <w:szCs w:val="24"/>
        </w:rPr>
        <w:t>地面空气质量浓度，</w:t>
      </w:r>
      <w:r>
        <w:rPr>
          <w:rFonts w:ascii="Times New Roman" w:hAnsi="Times New Roman" w:eastAsia="Times New Roman" w:cs="Times New Roman"/>
          <w:spacing w:val="-1"/>
          <w:position w:val="3"/>
          <w:sz w:val="24"/>
          <w:szCs w:val="24"/>
        </w:rPr>
        <w:t>μg/</w:t>
      </w:r>
      <w:r>
        <w:rPr>
          <w:rFonts w:ascii="Times New Roman" w:hAnsi="Times New Roman" w:eastAsia="Times New Roman" w:cs="Times New Roman"/>
          <w:spacing w:val="-2"/>
          <w:position w:val="3"/>
          <w:sz w:val="24"/>
          <w:szCs w:val="24"/>
        </w:rPr>
        <w:t>m³</w:t>
      </w:r>
      <w:r>
        <w:rPr>
          <w:rFonts w:ascii="Times New Roman" w:hAnsi="Times New Roman" w:eastAsia="Times New Roman" w:cs="Times New Roman"/>
          <w:spacing w:val="-30"/>
          <w:position w:val="3"/>
          <w:sz w:val="24"/>
          <w:szCs w:val="24"/>
        </w:rPr>
        <w:t xml:space="preserve"> </w:t>
      </w:r>
      <w:r>
        <w:rPr>
          <w:rFonts w:ascii="宋体" w:hAnsi="宋体" w:eastAsia="宋体" w:cs="宋体"/>
          <w:spacing w:val="-2"/>
          <w:position w:val="3"/>
          <w:sz w:val="24"/>
          <w:szCs w:val="24"/>
        </w:rPr>
        <w:t>;</w:t>
      </w:r>
    </w:p>
    <w:p w14:paraId="38157153">
      <w:pPr>
        <w:spacing w:before="157" w:line="375" w:lineRule="auto"/>
        <w:ind w:left="126" w:right="108" w:firstLine="478"/>
        <w:jc w:val="both"/>
        <w:rPr>
          <w:rFonts w:ascii="宋体" w:hAnsi="宋体" w:eastAsia="宋体" w:cs="宋体"/>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2"/>
          <w:sz w:val="15"/>
          <w:szCs w:val="15"/>
        </w:rPr>
        <w:t>oi</w:t>
      </w:r>
      <w:r>
        <w:rPr>
          <w:rFonts w:ascii="Times New Roman" w:hAnsi="Times New Roman" w:eastAsia="Times New Roman" w:cs="Times New Roman"/>
          <w:spacing w:val="-2"/>
          <w:sz w:val="24"/>
          <w:szCs w:val="24"/>
        </w:rPr>
        <w:t>---</w:t>
      </w:r>
      <w:r>
        <w:rPr>
          <w:rFonts w:ascii="宋体" w:hAnsi="宋体" w:eastAsia="宋体" w:cs="宋体"/>
          <w:spacing w:val="-2"/>
          <w:sz w:val="24"/>
          <w:szCs w:val="24"/>
        </w:rPr>
        <w:t>第</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个污染物的环境空气质量浓度标准，</w:t>
      </w:r>
      <w:r>
        <w:rPr>
          <w:rFonts w:ascii="Times New Roman" w:hAnsi="Times New Roman" w:eastAsia="Times New Roman" w:cs="Times New Roman"/>
          <w:spacing w:val="-2"/>
          <w:sz w:val="24"/>
          <w:szCs w:val="24"/>
        </w:rPr>
        <w:t>μg/m</w:t>
      </w:r>
      <w:r>
        <w:rPr>
          <w:rFonts w:ascii="Times New Roman" w:hAnsi="Times New Roman" w:eastAsia="Times New Roman" w:cs="Times New Roman"/>
          <w:spacing w:val="-2"/>
          <w:position w:val="8"/>
          <w:sz w:val="15"/>
          <w:szCs w:val="15"/>
        </w:rPr>
        <w:t>3</w:t>
      </w:r>
      <w:r>
        <w:rPr>
          <w:rFonts w:ascii="宋体" w:hAnsi="宋体" w:eastAsia="宋体" w:cs="宋体"/>
          <w:spacing w:val="-2"/>
          <w:sz w:val="24"/>
          <w:szCs w:val="24"/>
        </w:rPr>
        <w:t>。一般选用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GB3095-20</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32"/>
          <w:w w:val="101"/>
          <w:sz w:val="24"/>
          <w:szCs w:val="24"/>
        </w:rPr>
        <w:t xml:space="preserve"> </w:t>
      </w:r>
      <w:r>
        <w:rPr>
          <w:rFonts w:ascii="宋体" w:hAnsi="宋体" w:eastAsia="宋体" w:cs="宋体"/>
          <w:spacing w:val="-3"/>
          <w:sz w:val="24"/>
          <w:szCs w:val="24"/>
        </w:rPr>
        <w:t>中</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小时平均取样时间的二级标准的浓度限值，如项目位于一类环境</w:t>
      </w:r>
      <w:r>
        <w:rPr>
          <w:rFonts w:ascii="宋体" w:hAnsi="宋体" w:eastAsia="宋体" w:cs="宋体"/>
          <w:spacing w:val="-4"/>
          <w:sz w:val="24"/>
          <w:szCs w:val="24"/>
        </w:rPr>
        <w:t>空气功能区，应选</w:t>
      </w:r>
      <w:r>
        <w:rPr>
          <w:rFonts w:ascii="宋体" w:hAnsi="宋体" w:eastAsia="宋体" w:cs="宋体"/>
          <w:sz w:val="24"/>
          <w:szCs w:val="24"/>
        </w:rPr>
        <w:t xml:space="preserve"> </w:t>
      </w:r>
      <w:r>
        <w:rPr>
          <w:rFonts w:ascii="宋体" w:hAnsi="宋体" w:eastAsia="宋体" w:cs="宋体"/>
          <w:spacing w:val="-3"/>
          <w:sz w:val="24"/>
          <w:szCs w:val="24"/>
        </w:rPr>
        <w:t>择相应的一级浓度限值；对于该标准中未包含的污染物，使用</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5.2 </w:t>
      </w:r>
      <w:r>
        <w:rPr>
          <w:rFonts w:ascii="宋体" w:hAnsi="宋体" w:eastAsia="宋体" w:cs="宋体"/>
          <w:spacing w:val="-3"/>
          <w:sz w:val="24"/>
          <w:szCs w:val="24"/>
        </w:rPr>
        <w:t>确定的各评价因子</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1h </w:t>
      </w:r>
      <w:r>
        <w:rPr>
          <w:rFonts w:ascii="宋体" w:hAnsi="宋体" w:eastAsia="宋体" w:cs="宋体"/>
          <w:spacing w:val="-3"/>
          <w:sz w:val="24"/>
          <w:szCs w:val="24"/>
        </w:rPr>
        <w:t>平均质量浓度限值。对于仅有</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8h </w:t>
      </w:r>
      <w:r>
        <w:rPr>
          <w:rFonts w:ascii="宋体" w:hAnsi="宋体" w:eastAsia="宋体" w:cs="宋体"/>
          <w:spacing w:val="-3"/>
          <w:sz w:val="24"/>
          <w:szCs w:val="24"/>
        </w:rPr>
        <w:t>平均质量浓度限值、日平均质量浓度限值或年平</w:t>
      </w:r>
      <w:r>
        <w:rPr>
          <w:rFonts w:ascii="宋体" w:hAnsi="宋体" w:eastAsia="宋体" w:cs="宋体"/>
          <w:sz w:val="24"/>
          <w:szCs w:val="24"/>
        </w:rPr>
        <w:t xml:space="preserve"> </w:t>
      </w:r>
      <w:r>
        <w:rPr>
          <w:rFonts w:ascii="宋体" w:hAnsi="宋体" w:eastAsia="宋体" w:cs="宋体"/>
          <w:spacing w:val="-1"/>
          <w:sz w:val="24"/>
          <w:szCs w:val="24"/>
        </w:rPr>
        <w:t>均治理那个浓度限值的，可分别按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倍、</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倍、</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倍折算为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1h </w:t>
      </w:r>
      <w:r>
        <w:rPr>
          <w:rFonts w:ascii="宋体" w:hAnsi="宋体" w:eastAsia="宋体" w:cs="宋体"/>
          <w:spacing w:val="-1"/>
          <w:sz w:val="24"/>
          <w:szCs w:val="24"/>
        </w:rPr>
        <w:t>平均质量浓</w:t>
      </w:r>
      <w:r>
        <w:rPr>
          <w:rFonts w:ascii="宋体" w:hAnsi="宋体" w:eastAsia="宋体" w:cs="宋体"/>
          <w:spacing w:val="-2"/>
          <w:sz w:val="24"/>
          <w:szCs w:val="24"/>
        </w:rPr>
        <w:t>度限值。</w:t>
      </w:r>
    </w:p>
    <w:p w14:paraId="1606871D">
      <w:pPr>
        <w:spacing w:before="5" w:line="374" w:lineRule="auto"/>
        <w:ind w:left="120" w:right="115" w:firstLine="484"/>
        <w:rPr>
          <w:rFonts w:ascii="宋体" w:hAnsi="宋体" w:eastAsia="宋体" w:cs="宋体"/>
          <w:sz w:val="24"/>
          <w:szCs w:val="24"/>
        </w:rPr>
      </w:pPr>
      <w:r>
        <w:rPr>
          <w:rFonts w:ascii="宋体" w:hAnsi="宋体" w:eastAsia="宋体" w:cs="宋体"/>
          <w:spacing w:val="6"/>
          <w:sz w:val="24"/>
          <w:szCs w:val="24"/>
        </w:rPr>
        <w:t>评价工作等级按表</w:t>
      </w:r>
      <w:r>
        <w:rPr>
          <w:rFonts w:ascii="Times New Roman" w:hAnsi="Times New Roman" w:eastAsia="Times New Roman" w:cs="Times New Roman"/>
          <w:spacing w:val="6"/>
          <w:sz w:val="24"/>
          <w:szCs w:val="24"/>
        </w:rPr>
        <w:t>2.4-2</w:t>
      </w:r>
      <w:r>
        <w:rPr>
          <w:rFonts w:ascii="Times New Roman" w:hAnsi="Times New Roman" w:eastAsia="Times New Roman" w:cs="Times New Roman"/>
          <w:spacing w:val="36"/>
          <w:sz w:val="24"/>
          <w:szCs w:val="24"/>
        </w:rPr>
        <w:t xml:space="preserve"> </w:t>
      </w:r>
      <w:r>
        <w:rPr>
          <w:rFonts w:ascii="宋体" w:hAnsi="宋体" w:eastAsia="宋体" w:cs="宋体"/>
          <w:spacing w:val="6"/>
          <w:sz w:val="24"/>
          <w:szCs w:val="24"/>
        </w:rPr>
        <w:t>的分级判据进行划分，</w:t>
      </w:r>
      <w:r>
        <w:rPr>
          <w:rFonts w:ascii="宋体" w:hAnsi="宋体" w:eastAsia="宋体" w:cs="宋体"/>
          <w:spacing w:val="5"/>
          <w:sz w:val="24"/>
          <w:szCs w:val="24"/>
        </w:rPr>
        <w:t>最大地面空气质量浓度占标率</w:t>
      </w:r>
      <w:r>
        <w:rPr>
          <w:rFonts w:ascii="宋体" w:hAnsi="宋体" w:eastAsia="宋体" w:cs="宋体"/>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2"/>
          <w:position w:val="-1"/>
          <w:sz w:val="15"/>
          <w:szCs w:val="15"/>
        </w:rPr>
        <w:t>i</w:t>
      </w:r>
      <w:r>
        <w:rPr>
          <w:rFonts w:ascii="Times New Roman" w:hAnsi="Times New Roman" w:eastAsia="Times New Roman" w:cs="Times New Roman"/>
          <w:spacing w:val="12"/>
          <w:w w:val="102"/>
          <w:position w:val="-1"/>
          <w:sz w:val="15"/>
          <w:szCs w:val="15"/>
        </w:rPr>
        <w:t xml:space="preserve"> </w:t>
      </w:r>
      <w:r>
        <w:rPr>
          <w:rFonts w:ascii="宋体" w:hAnsi="宋体" w:eastAsia="宋体" w:cs="宋体"/>
          <w:spacing w:val="-2"/>
          <w:sz w:val="24"/>
          <w:szCs w:val="24"/>
        </w:rPr>
        <w:t>按上述公式计算，如污染物数</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大于</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，取</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P </w:t>
      </w:r>
      <w:r>
        <w:rPr>
          <w:rFonts w:ascii="宋体" w:hAnsi="宋体" w:eastAsia="宋体" w:cs="宋体"/>
          <w:spacing w:val="-2"/>
          <w:sz w:val="24"/>
          <w:szCs w:val="24"/>
        </w:rPr>
        <w:t>值</w:t>
      </w:r>
      <w:r>
        <w:rPr>
          <w:rFonts w:ascii="宋体" w:hAnsi="宋体" w:eastAsia="宋体" w:cs="宋体"/>
          <w:spacing w:val="-3"/>
          <w:sz w:val="24"/>
          <w:szCs w:val="24"/>
        </w:rPr>
        <w:t>中最大者</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1"/>
          <w:sz w:val="15"/>
          <w:szCs w:val="15"/>
        </w:rPr>
        <w:t>max</w:t>
      </w:r>
      <w:r>
        <w:rPr>
          <w:rFonts w:ascii="宋体" w:hAnsi="宋体" w:eastAsia="宋体" w:cs="宋体"/>
          <w:spacing w:val="-3"/>
          <w:sz w:val="24"/>
          <w:szCs w:val="24"/>
        </w:rPr>
        <w:t>。</w:t>
      </w:r>
    </w:p>
    <w:p w14:paraId="63F9E827">
      <w:pPr>
        <w:spacing w:before="56" w:line="227" w:lineRule="auto"/>
        <w:ind w:left="3245"/>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5"/>
          <w:sz w:val="20"/>
          <w:szCs w:val="20"/>
        </w:rPr>
        <w:t xml:space="preserve">2.4-2  </w:t>
      </w:r>
      <w:r>
        <w:rPr>
          <w:rFonts w:ascii="宋体" w:hAnsi="宋体" w:eastAsia="宋体" w:cs="宋体"/>
          <w:b/>
          <w:bCs/>
          <w:spacing w:val="5"/>
          <w:sz w:val="20"/>
          <w:szCs w:val="20"/>
        </w:rPr>
        <w:t>评价工作等级判据</w:t>
      </w:r>
    </w:p>
    <w:p w14:paraId="266E5A2F">
      <w:pPr>
        <w:spacing w:line="104" w:lineRule="exact"/>
      </w:pPr>
    </w:p>
    <w:tbl>
      <w:tblPr>
        <w:tblStyle w:val="5"/>
        <w:tblW w:w="8950"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6854"/>
      </w:tblGrid>
      <w:tr w14:paraId="034A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096" w:type="dxa"/>
            <w:vAlign w:val="top"/>
          </w:tcPr>
          <w:p w14:paraId="0C517812">
            <w:pPr>
              <w:pStyle w:val="6"/>
              <w:spacing w:before="86" w:line="227" w:lineRule="auto"/>
              <w:ind w:left="423"/>
            </w:pPr>
            <w:r>
              <w:rPr>
                <w:b/>
                <w:bCs/>
                <w:spacing w:val="7"/>
              </w:rPr>
              <w:t>评价工作等级</w:t>
            </w:r>
          </w:p>
        </w:tc>
        <w:tc>
          <w:tcPr>
            <w:tcW w:w="6854" w:type="dxa"/>
            <w:vAlign w:val="top"/>
          </w:tcPr>
          <w:p w14:paraId="6323EB17">
            <w:pPr>
              <w:pStyle w:val="6"/>
              <w:spacing w:before="86" w:line="227" w:lineRule="auto"/>
              <w:ind w:left="2589"/>
            </w:pPr>
            <w:r>
              <w:rPr>
                <w:b/>
                <w:bCs/>
                <w:spacing w:val="7"/>
              </w:rPr>
              <w:t>评价工作分级判据</w:t>
            </w:r>
          </w:p>
        </w:tc>
      </w:tr>
      <w:tr w14:paraId="1F440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96" w:type="dxa"/>
            <w:vAlign w:val="top"/>
          </w:tcPr>
          <w:p w14:paraId="7A48DE91">
            <w:pPr>
              <w:pStyle w:val="6"/>
              <w:spacing w:before="59" w:line="227" w:lineRule="auto"/>
              <w:ind w:left="636"/>
            </w:pPr>
            <w:r>
              <w:rPr>
                <w:spacing w:val="6"/>
              </w:rPr>
              <w:t>一级评价</w:t>
            </w:r>
          </w:p>
        </w:tc>
        <w:tc>
          <w:tcPr>
            <w:tcW w:w="6854" w:type="dxa"/>
            <w:vAlign w:val="top"/>
          </w:tcPr>
          <w:p w14:paraId="2CBF53C9">
            <w:pPr>
              <w:spacing w:before="28" w:line="274" w:lineRule="exact"/>
              <w:ind w:left="30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2"/>
                <w:position w:val="2"/>
                <w:sz w:val="20"/>
                <w:szCs w:val="20"/>
              </w:rPr>
              <w:t>10%</w:t>
            </w:r>
          </w:p>
        </w:tc>
      </w:tr>
      <w:tr w14:paraId="35F9D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96" w:type="dxa"/>
            <w:shd w:val="clear" w:color="auto" w:fill="9FD3A4"/>
            <w:vAlign w:val="top"/>
          </w:tcPr>
          <w:p w14:paraId="157915A0">
            <w:pPr>
              <w:pStyle w:val="6"/>
              <w:spacing w:before="60" w:line="227" w:lineRule="auto"/>
              <w:ind w:left="636"/>
            </w:pPr>
            <w:r>
              <w:rPr>
                <w:spacing w:val="6"/>
              </w:rPr>
              <w:t>二级评价</w:t>
            </w:r>
          </w:p>
        </w:tc>
        <w:tc>
          <w:tcPr>
            <w:tcW w:w="6854" w:type="dxa"/>
            <w:shd w:val="clear" w:color="auto" w:fill="9FD3A4"/>
            <w:vAlign w:val="top"/>
          </w:tcPr>
          <w:p w14:paraId="5F8A6760">
            <w:pPr>
              <w:pStyle w:val="6"/>
              <w:spacing w:before="29" w:line="274" w:lineRule="exact"/>
              <w:ind w:left="2779"/>
              <w:rPr>
                <w:rFonts w:ascii="Times New Roman" w:hAnsi="Times New Roman" w:eastAsia="Times New Roman" w:cs="Times New Roman"/>
              </w:rPr>
            </w:pPr>
            <w:r>
              <w:rPr>
                <w:rFonts w:ascii="Times New Roman" w:hAnsi="Times New Roman" w:eastAsia="Times New Roman" w:cs="Times New Roman"/>
                <w:spacing w:val="5"/>
                <w:position w:val="2"/>
              </w:rPr>
              <w:t>1%≤</w:t>
            </w:r>
            <w:r>
              <w:rPr>
                <w:rFonts w:ascii="Times New Roman" w:hAnsi="Times New Roman" w:eastAsia="Times New Roman" w:cs="Times New Roman"/>
                <w:position w:val="2"/>
              </w:rPr>
              <w:t>P</w:t>
            </w:r>
            <w:r>
              <w:rPr>
                <w:rFonts w:ascii="Times New Roman" w:hAnsi="Times New Roman" w:eastAsia="Times New Roman" w:cs="Times New Roman"/>
                <w:position w:val="1"/>
                <w:sz w:val="13"/>
                <w:szCs w:val="13"/>
              </w:rPr>
              <w:t>max</w:t>
            </w:r>
            <w:r>
              <w:rPr>
                <w:spacing w:val="5"/>
                <w:position w:val="2"/>
              </w:rPr>
              <w:t>＜</w:t>
            </w:r>
            <w:r>
              <w:rPr>
                <w:rFonts w:ascii="Times New Roman" w:hAnsi="Times New Roman" w:eastAsia="Times New Roman" w:cs="Times New Roman"/>
                <w:spacing w:val="5"/>
                <w:position w:val="2"/>
              </w:rPr>
              <w:t>10%</w:t>
            </w:r>
          </w:p>
        </w:tc>
      </w:tr>
      <w:tr w14:paraId="1D5B5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6" w:type="dxa"/>
            <w:vAlign w:val="top"/>
          </w:tcPr>
          <w:p w14:paraId="5923E7B9">
            <w:pPr>
              <w:pStyle w:val="6"/>
              <w:spacing w:before="61" w:line="227" w:lineRule="auto"/>
              <w:ind w:left="632"/>
            </w:pPr>
            <w:r>
              <w:rPr>
                <w:spacing w:val="7"/>
              </w:rPr>
              <w:t>三级评价</w:t>
            </w:r>
          </w:p>
        </w:tc>
        <w:tc>
          <w:tcPr>
            <w:tcW w:w="6854" w:type="dxa"/>
            <w:vAlign w:val="top"/>
          </w:tcPr>
          <w:p w14:paraId="4A673975">
            <w:pPr>
              <w:spacing w:before="30" w:line="274" w:lineRule="exact"/>
              <w:ind w:left="30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Times New Roman" w:hAnsi="Times New Roman" w:eastAsia="Times New Roman" w:cs="Times New Roman"/>
                <w:position w:val="2"/>
                <w:sz w:val="20"/>
                <w:szCs w:val="20"/>
              </w:rPr>
              <w:t>≤</w:t>
            </w:r>
            <w:r>
              <w:rPr>
                <w:rFonts w:ascii="Times New Roman" w:hAnsi="Times New Roman" w:eastAsia="Times New Roman" w:cs="Times New Roman"/>
                <w:spacing w:val="-21"/>
                <w:position w:val="2"/>
                <w:sz w:val="20"/>
                <w:szCs w:val="20"/>
              </w:rPr>
              <w:t xml:space="preserve"> </w:t>
            </w:r>
            <w:r>
              <w:rPr>
                <w:rFonts w:ascii="Times New Roman" w:hAnsi="Times New Roman" w:eastAsia="Times New Roman" w:cs="Times New Roman"/>
                <w:position w:val="2"/>
                <w:sz w:val="20"/>
                <w:szCs w:val="20"/>
              </w:rPr>
              <w:t>1%</w:t>
            </w:r>
          </w:p>
        </w:tc>
      </w:tr>
    </w:tbl>
    <w:p w14:paraId="2137AC85">
      <w:pPr>
        <w:spacing w:before="288" w:line="362" w:lineRule="auto"/>
        <w:ind w:left="125" w:right="110" w:firstLine="480"/>
        <w:rPr>
          <w:rFonts w:ascii="宋体" w:hAnsi="宋体" w:eastAsia="宋体" w:cs="宋体"/>
          <w:sz w:val="24"/>
          <w:szCs w:val="24"/>
        </w:rPr>
      </w:pPr>
      <w:r>
        <w:rPr>
          <w:rFonts w:ascii="宋体" w:hAnsi="宋体" w:eastAsia="宋体" w:cs="宋体"/>
          <w:spacing w:val="-3"/>
          <w:sz w:val="24"/>
          <w:szCs w:val="24"/>
        </w:rPr>
        <w:t>本项目建成后，主要的大气污染源有猪舍、有机肥发酵车间产生</w:t>
      </w:r>
      <w:r>
        <w:rPr>
          <w:rFonts w:ascii="宋体" w:hAnsi="宋体" w:eastAsia="宋体" w:cs="宋体"/>
          <w:spacing w:val="-61"/>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、饲</w:t>
      </w:r>
      <w:r>
        <w:rPr>
          <w:rFonts w:ascii="宋体" w:hAnsi="宋体" w:eastAsia="宋体" w:cs="宋体"/>
          <w:sz w:val="24"/>
          <w:szCs w:val="24"/>
        </w:rPr>
        <w:t xml:space="preserve"> </w:t>
      </w:r>
      <w:r>
        <w:rPr>
          <w:rFonts w:ascii="宋体" w:hAnsi="宋体" w:eastAsia="宋体" w:cs="宋体"/>
          <w:spacing w:val="-3"/>
          <w:sz w:val="24"/>
          <w:szCs w:val="24"/>
        </w:rPr>
        <w:t>料加工房产生的</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TSP</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，备用发电机房产生的</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4"/>
          <w:sz w:val="24"/>
          <w:szCs w:val="24"/>
        </w:rPr>
        <w:t>、烟尘。</w:t>
      </w:r>
    </w:p>
    <w:p w14:paraId="6E8532D3">
      <w:pPr>
        <w:spacing w:before="2" w:line="373" w:lineRule="auto"/>
        <w:ind w:left="125" w:right="47" w:firstLine="480"/>
        <w:rPr>
          <w:rFonts w:ascii="宋体" w:hAnsi="宋体" w:eastAsia="宋体" w:cs="宋体"/>
          <w:sz w:val="24"/>
          <w:szCs w:val="24"/>
        </w:rPr>
      </w:pPr>
      <w:r>
        <w:rPr>
          <w:rFonts w:ascii="宋体" w:hAnsi="宋体" w:eastAsia="宋体" w:cs="宋体"/>
          <w:spacing w:val="-6"/>
          <w:sz w:val="24"/>
          <w:szCs w:val="24"/>
        </w:rPr>
        <w:t>根据《环境影响评价技术导则大气环境》（</w:t>
      </w:r>
      <w:r>
        <w:rPr>
          <w:rFonts w:ascii="Times New Roman" w:hAnsi="Times New Roman" w:eastAsia="Times New Roman" w:cs="Times New Roman"/>
          <w:spacing w:val="-6"/>
          <w:sz w:val="24"/>
          <w:szCs w:val="24"/>
        </w:rPr>
        <w:t>HJ2.2-2</w:t>
      </w:r>
      <w:r>
        <w:rPr>
          <w:rFonts w:ascii="Times New Roman" w:hAnsi="Times New Roman" w:eastAsia="Times New Roman" w:cs="Times New Roman"/>
          <w:spacing w:val="-7"/>
          <w:sz w:val="24"/>
          <w:szCs w:val="24"/>
        </w:rPr>
        <w:t>018</w:t>
      </w:r>
      <w:r>
        <w:rPr>
          <w:rFonts w:ascii="宋体" w:hAnsi="宋体" w:eastAsia="宋体" w:cs="宋体"/>
          <w:spacing w:val="-7"/>
          <w:sz w:val="24"/>
          <w:szCs w:val="24"/>
        </w:rPr>
        <w:t>）建议估算模式进行估算，</w:t>
      </w:r>
      <w:r>
        <w:rPr>
          <w:rFonts w:ascii="宋体" w:hAnsi="宋体" w:eastAsia="宋体" w:cs="宋体"/>
          <w:sz w:val="24"/>
          <w:szCs w:val="24"/>
        </w:rPr>
        <w:t xml:space="preserve"> </w:t>
      </w:r>
      <w:r>
        <w:rPr>
          <w:rFonts w:ascii="宋体" w:hAnsi="宋体" w:eastAsia="宋体" w:cs="宋体"/>
          <w:spacing w:val="-2"/>
          <w:sz w:val="24"/>
          <w:szCs w:val="24"/>
        </w:rPr>
        <w:t>计算结果见表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2.4-3</w:t>
      </w:r>
      <w:r>
        <w:rPr>
          <w:rFonts w:ascii="宋体" w:hAnsi="宋体" w:eastAsia="宋体" w:cs="宋体"/>
          <w:spacing w:val="-2"/>
          <w:sz w:val="24"/>
          <w:szCs w:val="24"/>
        </w:rPr>
        <w:t>。</w:t>
      </w:r>
    </w:p>
    <w:p w14:paraId="6D1B7159">
      <w:pPr>
        <w:spacing w:before="57" w:line="227" w:lineRule="auto"/>
        <w:ind w:left="287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b/>
          <w:bCs/>
          <w:spacing w:val="6"/>
          <w:sz w:val="20"/>
          <w:szCs w:val="20"/>
        </w:rPr>
        <w:t xml:space="preserve">2.4-3    </w:t>
      </w:r>
      <w:r>
        <w:rPr>
          <w:rFonts w:ascii="宋体" w:hAnsi="宋体" w:eastAsia="宋体" w:cs="宋体"/>
          <w:b/>
          <w:bCs/>
          <w:spacing w:val="6"/>
          <w:sz w:val="20"/>
          <w:szCs w:val="20"/>
        </w:rPr>
        <w:t>大气污染物估算模式计算</w:t>
      </w:r>
      <w:r>
        <w:rPr>
          <w:rFonts w:ascii="宋体" w:hAnsi="宋体" w:eastAsia="宋体" w:cs="宋体"/>
          <w:b/>
          <w:bCs/>
          <w:spacing w:val="5"/>
          <w:sz w:val="20"/>
          <w:szCs w:val="20"/>
        </w:rPr>
        <w:t>结果</w:t>
      </w:r>
    </w:p>
    <w:p w14:paraId="419E2E8D">
      <w:pPr>
        <w:spacing w:line="104" w:lineRule="exact"/>
      </w:pPr>
    </w:p>
    <w:tbl>
      <w:tblPr>
        <w:tblStyle w:val="5"/>
        <w:tblW w:w="8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955"/>
        <w:gridCol w:w="1039"/>
        <w:gridCol w:w="1087"/>
        <w:gridCol w:w="1465"/>
        <w:gridCol w:w="1275"/>
        <w:gridCol w:w="1418"/>
      </w:tblGrid>
      <w:tr w14:paraId="688A0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711" w:type="dxa"/>
            <w:vAlign w:val="top"/>
          </w:tcPr>
          <w:p w14:paraId="6BCE5AAC">
            <w:pPr>
              <w:pStyle w:val="6"/>
              <w:spacing w:before="225" w:line="229" w:lineRule="auto"/>
              <w:ind w:left="545"/>
            </w:pPr>
            <w:r>
              <w:rPr>
                <w:b/>
                <w:bCs/>
                <w:spacing w:val="5"/>
              </w:rPr>
              <w:t>污染源</w:t>
            </w:r>
          </w:p>
        </w:tc>
        <w:tc>
          <w:tcPr>
            <w:tcW w:w="955" w:type="dxa"/>
            <w:vAlign w:val="top"/>
          </w:tcPr>
          <w:p w14:paraId="5377027D">
            <w:pPr>
              <w:pStyle w:val="6"/>
              <w:spacing w:before="226" w:line="228" w:lineRule="auto"/>
              <w:ind w:left="267"/>
            </w:pPr>
            <w:r>
              <w:rPr>
                <w:b/>
                <w:bCs/>
                <w:spacing w:val="3"/>
              </w:rPr>
              <w:t>类型</w:t>
            </w:r>
          </w:p>
        </w:tc>
        <w:tc>
          <w:tcPr>
            <w:tcW w:w="1039" w:type="dxa"/>
            <w:vAlign w:val="top"/>
          </w:tcPr>
          <w:p w14:paraId="31F9EA6B">
            <w:pPr>
              <w:pStyle w:val="6"/>
              <w:spacing w:before="225" w:line="229" w:lineRule="auto"/>
              <w:ind w:left="207"/>
            </w:pPr>
            <w:r>
              <w:rPr>
                <w:b/>
                <w:bCs/>
                <w:spacing w:val="5"/>
              </w:rPr>
              <w:t>污染物</w:t>
            </w:r>
          </w:p>
        </w:tc>
        <w:tc>
          <w:tcPr>
            <w:tcW w:w="1087" w:type="dxa"/>
            <w:vAlign w:val="top"/>
          </w:tcPr>
          <w:p w14:paraId="6B78E648">
            <w:pPr>
              <w:pStyle w:val="6"/>
              <w:spacing w:before="62" w:line="231" w:lineRule="auto"/>
              <w:ind w:left="334"/>
            </w:pPr>
            <w:r>
              <w:rPr>
                <w:b/>
                <w:bCs/>
                <w:spacing w:val="4"/>
              </w:rPr>
              <w:t>源强</w:t>
            </w:r>
          </w:p>
          <w:p w14:paraId="26BE876A">
            <w:pPr>
              <w:pStyle w:val="6"/>
              <w:spacing w:before="75" w:line="221" w:lineRule="auto"/>
              <w:ind w:left="148"/>
            </w:pPr>
            <w:r>
              <w:rPr>
                <w:b/>
                <w:bCs/>
              </w:rPr>
              <w:t>（</w:t>
            </w:r>
            <w:r>
              <w:rPr>
                <w:rFonts w:ascii="Times New Roman" w:hAnsi="Times New Roman" w:eastAsia="Times New Roman" w:cs="Times New Roman"/>
                <w:b/>
                <w:bCs/>
              </w:rPr>
              <w:t>kg/h</w:t>
            </w:r>
            <w:r>
              <w:rPr>
                <w:b/>
                <w:bCs/>
              </w:rPr>
              <w:t>）</w:t>
            </w:r>
          </w:p>
        </w:tc>
        <w:tc>
          <w:tcPr>
            <w:tcW w:w="1465" w:type="dxa"/>
            <w:vAlign w:val="top"/>
          </w:tcPr>
          <w:p w14:paraId="171B9420">
            <w:pPr>
              <w:pStyle w:val="6"/>
              <w:spacing w:before="61" w:line="272" w:lineRule="auto"/>
              <w:ind w:left="130" w:right="137" w:firstLine="82"/>
            </w:pPr>
            <w:r>
              <w:rPr>
                <w:b/>
                <w:bCs/>
                <w:spacing w:val="6"/>
              </w:rPr>
              <w:t>最大落地浓</w:t>
            </w:r>
            <w:r>
              <w:t xml:space="preserve"> </w:t>
            </w:r>
            <w:r>
              <w:rPr>
                <w:b/>
                <w:bCs/>
                <w:spacing w:val="-2"/>
              </w:rPr>
              <w:t>度（</w:t>
            </w:r>
            <w:r>
              <w:rPr>
                <w:spacing w:val="-59"/>
              </w:rPr>
              <w:t xml:space="preserve"> </w:t>
            </w:r>
            <w:r>
              <w:rPr>
                <w:rFonts w:ascii="Times New Roman" w:hAnsi="Times New Roman" w:eastAsia="Times New Roman" w:cs="Times New Roman"/>
                <w:b/>
                <w:bCs/>
                <w:spacing w:val="-2"/>
              </w:rPr>
              <w:t>mg/m</w:t>
            </w:r>
            <w:r>
              <w:rPr>
                <w:rFonts w:ascii="Times New Roman" w:hAnsi="Times New Roman" w:eastAsia="Times New Roman" w:cs="Times New Roman"/>
                <w:b/>
                <w:bCs/>
                <w:spacing w:val="-2"/>
                <w:position w:val="6"/>
                <w:sz w:val="13"/>
                <w:szCs w:val="13"/>
              </w:rPr>
              <w:t>3</w:t>
            </w:r>
            <w:r>
              <w:rPr>
                <w:b/>
                <w:bCs/>
                <w:spacing w:val="-2"/>
              </w:rPr>
              <w:t>）</w:t>
            </w:r>
          </w:p>
        </w:tc>
        <w:tc>
          <w:tcPr>
            <w:tcW w:w="1275" w:type="dxa"/>
            <w:vAlign w:val="top"/>
          </w:tcPr>
          <w:p w14:paraId="51AE4D51">
            <w:pPr>
              <w:pStyle w:val="6"/>
              <w:spacing w:before="62" w:line="228" w:lineRule="auto"/>
              <w:ind w:left="225"/>
            </w:pPr>
            <w:r>
              <w:rPr>
                <w:b/>
                <w:bCs/>
                <w:spacing w:val="6"/>
              </w:rPr>
              <w:t>标准限值</w:t>
            </w:r>
          </w:p>
          <w:p w14:paraId="42784046">
            <w:pPr>
              <w:pStyle w:val="6"/>
              <w:spacing w:before="78" w:line="221" w:lineRule="auto"/>
              <w:ind w:left="155"/>
            </w:pPr>
            <w:r>
              <w:rPr>
                <w:b/>
                <w:bCs/>
                <w:spacing w:val="2"/>
              </w:rPr>
              <w:t>（</w:t>
            </w:r>
            <w:r>
              <w:rPr>
                <w:rFonts w:ascii="Times New Roman" w:hAnsi="Times New Roman" w:eastAsia="Times New Roman" w:cs="Times New Roman"/>
                <w:b/>
                <w:bCs/>
              </w:rPr>
              <w:t>mg</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b/>
                <w:bCs/>
                <w:spacing w:val="2"/>
              </w:rPr>
              <w:t>）</w:t>
            </w:r>
          </w:p>
        </w:tc>
        <w:tc>
          <w:tcPr>
            <w:tcW w:w="1418" w:type="dxa"/>
            <w:vAlign w:val="top"/>
          </w:tcPr>
          <w:p w14:paraId="2E00CA37">
            <w:pPr>
              <w:pStyle w:val="6"/>
              <w:spacing w:before="225" w:line="241" w:lineRule="auto"/>
              <w:ind w:left="139"/>
            </w:pPr>
            <w:r>
              <w:rPr>
                <w:rFonts w:ascii="Times New Roman" w:hAnsi="Times New Roman" w:eastAsia="Times New Roman" w:cs="Times New Roman"/>
                <w:b/>
                <w:bCs/>
              </w:rPr>
              <w:t>Pmax</w:t>
            </w:r>
            <w:r>
              <w:rPr>
                <w:b/>
                <w:bCs/>
                <w:spacing w:val="11"/>
              </w:rPr>
              <w:t>（</w:t>
            </w:r>
            <w:r>
              <w:rPr>
                <w:rFonts w:ascii="Times New Roman" w:hAnsi="Times New Roman" w:eastAsia="Times New Roman" w:cs="Times New Roman"/>
                <w:b/>
                <w:bCs/>
                <w:spacing w:val="11"/>
              </w:rPr>
              <w:t>%</w:t>
            </w:r>
            <w:r>
              <w:rPr>
                <w:b/>
                <w:bCs/>
                <w:spacing w:val="11"/>
              </w:rPr>
              <w:t>）</w:t>
            </w:r>
          </w:p>
        </w:tc>
      </w:tr>
      <w:tr w14:paraId="268F3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restart"/>
            <w:tcBorders>
              <w:bottom w:val="nil"/>
            </w:tcBorders>
            <w:vAlign w:val="top"/>
          </w:tcPr>
          <w:p w14:paraId="5D66C65A">
            <w:pPr>
              <w:pStyle w:val="6"/>
              <w:spacing w:before="229" w:line="229" w:lineRule="auto"/>
              <w:ind w:left="649"/>
            </w:pPr>
            <w:r>
              <w:rPr>
                <w:spacing w:val="4"/>
              </w:rPr>
              <w:t>猪舍</w:t>
            </w:r>
          </w:p>
        </w:tc>
        <w:tc>
          <w:tcPr>
            <w:tcW w:w="955" w:type="dxa"/>
            <w:vMerge w:val="restart"/>
            <w:tcBorders>
              <w:bottom w:val="nil"/>
            </w:tcBorders>
            <w:vAlign w:val="top"/>
          </w:tcPr>
          <w:p w14:paraId="51EC805A">
            <w:pPr>
              <w:pStyle w:val="6"/>
              <w:spacing w:before="228" w:line="230" w:lineRule="auto"/>
              <w:ind w:left="268"/>
            </w:pPr>
            <w:r>
              <w:rPr>
                <w:spacing w:val="4"/>
              </w:rPr>
              <w:t>面源</w:t>
            </w:r>
          </w:p>
        </w:tc>
        <w:tc>
          <w:tcPr>
            <w:tcW w:w="1039" w:type="dxa"/>
            <w:vAlign w:val="top"/>
          </w:tcPr>
          <w:p w14:paraId="5BD77C0B">
            <w:pPr>
              <w:spacing w:before="97" w:line="232"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087" w:type="dxa"/>
            <w:vAlign w:val="top"/>
          </w:tcPr>
          <w:p w14:paraId="69A40C93">
            <w:pPr>
              <w:spacing w:before="27"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465" w:type="dxa"/>
            <w:vAlign w:val="top"/>
          </w:tcPr>
          <w:p w14:paraId="2B93A549">
            <w:pPr>
              <w:spacing w:before="27" w:line="275"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75" w:type="dxa"/>
            <w:vAlign w:val="top"/>
          </w:tcPr>
          <w:p w14:paraId="28FD376C">
            <w:pPr>
              <w:spacing w:before="27" w:line="275"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012F6CF7">
            <w:pPr>
              <w:spacing w:before="27" w:line="275"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0.91</w:t>
            </w:r>
          </w:p>
        </w:tc>
      </w:tr>
      <w:tr w14:paraId="65CB2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continue"/>
            <w:tcBorders>
              <w:top w:val="nil"/>
            </w:tcBorders>
            <w:vAlign w:val="top"/>
          </w:tcPr>
          <w:p w14:paraId="34449B83">
            <w:pPr>
              <w:rPr>
                <w:rFonts w:ascii="Arial"/>
                <w:sz w:val="21"/>
              </w:rPr>
            </w:pPr>
          </w:p>
        </w:tc>
        <w:tc>
          <w:tcPr>
            <w:tcW w:w="955" w:type="dxa"/>
            <w:vMerge w:val="continue"/>
            <w:tcBorders>
              <w:top w:val="nil"/>
            </w:tcBorders>
            <w:vAlign w:val="top"/>
          </w:tcPr>
          <w:p w14:paraId="794B09F2">
            <w:pPr>
              <w:rPr>
                <w:rFonts w:ascii="Arial"/>
                <w:sz w:val="21"/>
              </w:rPr>
            </w:pPr>
          </w:p>
        </w:tc>
        <w:tc>
          <w:tcPr>
            <w:tcW w:w="1039" w:type="dxa"/>
            <w:vAlign w:val="top"/>
          </w:tcPr>
          <w:p w14:paraId="4AC26AE2">
            <w:pPr>
              <w:spacing w:before="95" w:line="233"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55E3603B">
            <w:pPr>
              <w:spacing w:before="28"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c>
          <w:tcPr>
            <w:tcW w:w="1465" w:type="dxa"/>
            <w:vAlign w:val="top"/>
          </w:tcPr>
          <w:p w14:paraId="399304F6">
            <w:pPr>
              <w:spacing w:before="28"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75" w:type="dxa"/>
            <w:vAlign w:val="top"/>
          </w:tcPr>
          <w:p w14:paraId="58B539DA">
            <w:pPr>
              <w:spacing w:before="28"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43934FE1">
            <w:pPr>
              <w:spacing w:before="28"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w:t>
            </w:r>
          </w:p>
        </w:tc>
      </w:tr>
      <w:tr w14:paraId="4455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restart"/>
            <w:tcBorders>
              <w:bottom w:val="nil"/>
            </w:tcBorders>
            <w:vAlign w:val="top"/>
          </w:tcPr>
          <w:p w14:paraId="3327C93D">
            <w:pPr>
              <w:pStyle w:val="6"/>
              <w:spacing w:before="231" w:line="228" w:lineRule="auto"/>
              <w:ind w:left="124"/>
            </w:pPr>
            <w:r>
              <w:rPr>
                <w:spacing w:val="8"/>
              </w:rPr>
              <w:t>有机肥发酵车间</w:t>
            </w:r>
          </w:p>
        </w:tc>
        <w:tc>
          <w:tcPr>
            <w:tcW w:w="955" w:type="dxa"/>
            <w:vMerge w:val="restart"/>
            <w:tcBorders>
              <w:bottom w:val="nil"/>
            </w:tcBorders>
            <w:vAlign w:val="top"/>
          </w:tcPr>
          <w:p w14:paraId="112C8E0D">
            <w:pPr>
              <w:pStyle w:val="6"/>
              <w:spacing w:before="231" w:line="230" w:lineRule="auto"/>
              <w:ind w:left="268"/>
            </w:pPr>
            <w:r>
              <w:rPr>
                <w:spacing w:val="4"/>
              </w:rPr>
              <w:t>面源</w:t>
            </w:r>
          </w:p>
        </w:tc>
        <w:tc>
          <w:tcPr>
            <w:tcW w:w="1039" w:type="dxa"/>
            <w:vAlign w:val="top"/>
          </w:tcPr>
          <w:p w14:paraId="7A1DC862">
            <w:pPr>
              <w:spacing w:before="100" w:line="228"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position w:val="-1"/>
                <w:sz w:val="13"/>
                <w:szCs w:val="13"/>
              </w:rPr>
              <w:t>3</w:t>
            </w:r>
          </w:p>
        </w:tc>
        <w:tc>
          <w:tcPr>
            <w:tcW w:w="1087" w:type="dxa"/>
            <w:vAlign w:val="top"/>
          </w:tcPr>
          <w:p w14:paraId="5C10B00B">
            <w:pPr>
              <w:spacing w:before="30"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w:t>
            </w:r>
          </w:p>
        </w:tc>
        <w:tc>
          <w:tcPr>
            <w:tcW w:w="1465" w:type="dxa"/>
            <w:vAlign w:val="top"/>
          </w:tcPr>
          <w:p w14:paraId="5F2C3EE3">
            <w:pPr>
              <w:spacing w:before="30"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1.94E-03</w:t>
            </w:r>
          </w:p>
        </w:tc>
        <w:tc>
          <w:tcPr>
            <w:tcW w:w="1275" w:type="dxa"/>
            <w:vAlign w:val="top"/>
          </w:tcPr>
          <w:p w14:paraId="29336777">
            <w:pPr>
              <w:spacing w:before="30"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122B479B">
            <w:pPr>
              <w:spacing w:before="30"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r>
      <w:tr w14:paraId="2A0FF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continue"/>
            <w:tcBorders>
              <w:top w:val="nil"/>
            </w:tcBorders>
            <w:vAlign w:val="top"/>
          </w:tcPr>
          <w:p w14:paraId="6C86EC31">
            <w:pPr>
              <w:rPr>
                <w:rFonts w:ascii="Arial"/>
                <w:sz w:val="21"/>
              </w:rPr>
            </w:pPr>
          </w:p>
        </w:tc>
        <w:tc>
          <w:tcPr>
            <w:tcW w:w="955" w:type="dxa"/>
            <w:vMerge w:val="continue"/>
            <w:tcBorders>
              <w:top w:val="nil"/>
            </w:tcBorders>
            <w:vAlign w:val="top"/>
          </w:tcPr>
          <w:p w14:paraId="754D2A2A">
            <w:pPr>
              <w:rPr>
                <w:rFonts w:ascii="Arial"/>
                <w:sz w:val="21"/>
              </w:rPr>
            </w:pPr>
          </w:p>
        </w:tc>
        <w:tc>
          <w:tcPr>
            <w:tcW w:w="1039" w:type="dxa"/>
            <w:vAlign w:val="top"/>
          </w:tcPr>
          <w:p w14:paraId="07A74BC6">
            <w:pPr>
              <w:spacing w:before="101" w:line="228"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45E9D31B">
            <w:pPr>
              <w:spacing w:before="34"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465" w:type="dxa"/>
            <w:vAlign w:val="top"/>
          </w:tcPr>
          <w:p w14:paraId="1716FED0">
            <w:pPr>
              <w:spacing w:before="34"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8.33E-04</w:t>
            </w:r>
          </w:p>
        </w:tc>
        <w:tc>
          <w:tcPr>
            <w:tcW w:w="1275" w:type="dxa"/>
            <w:vAlign w:val="top"/>
          </w:tcPr>
          <w:p w14:paraId="20E23681">
            <w:pPr>
              <w:spacing w:before="34"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651B6B97">
            <w:pPr>
              <w:spacing w:before="34" w:line="274"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r>
      <w:tr w14:paraId="094F5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711" w:type="dxa"/>
            <w:vAlign w:val="top"/>
          </w:tcPr>
          <w:p w14:paraId="2F11BCA9">
            <w:pPr>
              <w:pStyle w:val="6"/>
              <w:spacing w:before="66" w:line="229" w:lineRule="auto"/>
              <w:ind w:left="331"/>
            </w:pPr>
            <w:r>
              <w:rPr>
                <w:spacing w:val="8"/>
              </w:rPr>
              <w:t>饲料加工房</w:t>
            </w:r>
          </w:p>
        </w:tc>
        <w:tc>
          <w:tcPr>
            <w:tcW w:w="955" w:type="dxa"/>
            <w:vAlign w:val="top"/>
          </w:tcPr>
          <w:p w14:paraId="4274EA57">
            <w:pPr>
              <w:pStyle w:val="6"/>
              <w:spacing w:before="66" w:line="230" w:lineRule="auto"/>
              <w:ind w:left="268"/>
            </w:pPr>
            <w:r>
              <w:rPr>
                <w:spacing w:val="4"/>
              </w:rPr>
              <w:t>面源</w:t>
            </w:r>
          </w:p>
        </w:tc>
        <w:tc>
          <w:tcPr>
            <w:tcW w:w="1039" w:type="dxa"/>
            <w:vAlign w:val="top"/>
          </w:tcPr>
          <w:p w14:paraId="3C4CB2FC">
            <w:pPr>
              <w:spacing w:before="10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087" w:type="dxa"/>
            <w:vAlign w:val="top"/>
          </w:tcPr>
          <w:p w14:paraId="11385888">
            <w:pPr>
              <w:spacing w:before="35"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1465" w:type="dxa"/>
            <w:vAlign w:val="top"/>
          </w:tcPr>
          <w:p w14:paraId="4136C20C">
            <w:pPr>
              <w:spacing w:before="35"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1.17E-02</w:t>
            </w:r>
          </w:p>
        </w:tc>
        <w:tc>
          <w:tcPr>
            <w:tcW w:w="1275" w:type="dxa"/>
            <w:vAlign w:val="top"/>
          </w:tcPr>
          <w:p w14:paraId="4D07AA65">
            <w:pPr>
              <w:spacing w:before="35"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1418" w:type="dxa"/>
            <w:vAlign w:val="top"/>
          </w:tcPr>
          <w:p w14:paraId="6CBB9C3A">
            <w:pPr>
              <w:spacing w:before="35"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w:t>
            </w:r>
          </w:p>
        </w:tc>
      </w:tr>
    </w:tbl>
    <w:p w14:paraId="2B81D18E">
      <w:pPr>
        <w:spacing w:before="252" w:line="366" w:lineRule="auto"/>
        <w:ind w:left="125" w:right="157" w:firstLine="509"/>
        <w:rPr>
          <w:rFonts w:ascii="宋体" w:hAnsi="宋体" w:eastAsia="宋体" w:cs="宋体"/>
          <w:sz w:val="24"/>
          <w:szCs w:val="24"/>
        </w:rPr>
      </w:pPr>
      <w:r>
        <w:rPr>
          <w:rFonts w:ascii="宋体" w:hAnsi="宋体" w:eastAsia="宋体" w:cs="宋体"/>
          <w:spacing w:val="-1"/>
          <w:sz w:val="24"/>
          <w:szCs w:val="24"/>
        </w:rPr>
        <w:t>由表</w:t>
      </w:r>
      <w:r>
        <w:rPr>
          <w:rFonts w:ascii="Times New Roman" w:hAnsi="Times New Roman" w:eastAsia="Times New Roman" w:cs="Times New Roman"/>
          <w:spacing w:val="-1"/>
          <w:sz w:val="24"/>
          <w:szCs w:val="24"/>
        </w:rPr>
        <w:t xml:space="preserve">2.4-3 </w:t>
      </w:r>
      <w:r>
        <w:rPr>
          <w:rFonts w:ascii="宋体" w:hAnsi="宋体" w:eastAsia="宋体" w:cs="宋体"/>
          <w:spacing w:val="-1"/>
          <w:sz w:val="24"/>
          <w:szCs w:val="24"/>
        </w:rPr>
        <w:t>可知，本项目主要大气污染物最大地面</w:t>
      </w:r>
      <w:r>
        <w:rPr>
          <w:rFonts w:ascii="宋体" w:hAnsi="宋体" w:eastAsia="宋体" w:cs="宋体"/>
          <w:spacing w:val="-2"/>
          <w:sz w:val="24"/>
          <w:szCs w:val="24"/>
        </w:rPr>
        <w:t>浓度占标率</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1%&lt;Pmax&lt;10%</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根据导则判定大气环境评价等级为二级。</w:t>
      </w:r>
    </w:p>
    <w:p w14:paraId="105AC0EC">
      <w:pPr>
        <w:spacing w:before="25" w:line="359" w:lineRule="exact"/>
        <w:ind w:left="616"/>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1BA4A42D">
      <w:pPr>
        <w:spacing w:before="131" w:line="373" w:lineRule="auto"/>
        <w:ind w:left="125" w:right="115" w:firstLine="480"/>
        <w:rPr>
          <w:rFonts w:ascii="宋体" w:hAnsi="宋体" w:eastAsia="宋体" w:cs="宋体"/>
          <w:sz w:val="24"/>
          <w:szCs w:val="24"/>
        </w:rPr>
      </w:pPr>
      <w:r>
        <w:rPr>
          <w:rFonts w:ascii="宋体" w:hAnsi="宋体" w:eastAsia="宋体" w:cs="宋体"/>
          <w:spacing w:val="1"/>
          <w:sz w:val="24"/>
          <w:szCs w:val="24"/>
        </w:rPr>
        <w:t>本项目大气环境影响评价等级为二级，大气环境影响</w:t>
      </w:r>
      <w:r>
        <w:rPr>
          <w:rFonts w:ascii="宋体" w:hAnsi="宋体" w:eastAsia="宋体" w:cs="宋体"/>
          <w:sz w:val="24"/>
          <w:szCs w:val="24"/>
        </w:rPr>
        <w:t>评价范围边长取</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5km</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 xml:space="preserve">。具 </w:t>
      </w:r>
      <w:r>
        <w:rPr>
          <w:rFonts w:ascii="宋体" w:hAnsi="宋体" w:eastAsia="宋体" w:cs="宋体"/>
          <w:spacing w:val="-2"/>
          <w:sz w:val="24"/>
          <w:szCs w:val="24"/>
        </w:rPr>
        <w:t>体评价范围见图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2.8-1</w:t>
      </w:r>
      <w:r>
        <w:rPr>
          <w:rFonts w:ascii="宋体" w:hAnsi="宋体" w:eastAsia="宋体" w:cs="宋体"/>
          <w:spacing w:val="-2"/>
          <w:sz w:val="24"/>
          <w:szCs w:val="24"/>
        </w:rPr>
        <w:t>。</w:t>
      </w:r>
    </w:p>
    <w:p w14:paraId="28055C37">
      <w:pPr>
        <w:spacing w:line="373" w:lineRule="auto"/>
        <w:rPr>
          <w:rFonts w:ascii="宋体" w:hAnsi="宋体" w:eastAsia="宋体" w:cs="宋体"/>
          <w:sz w:val="24"/>
          <w:szCs w:val="24"/>
        </w:rPr>
        <w:sectPr>
          <w:footerReference r:id="rId42" w:type="default"/>
          <w:pgSz w:w="11906" w:h="16839"/>
          <w:pgMar w:top="1431" w:right="1472" w:bottom="1485" w:left="1472" w:header="0" w:footer="1249" w:gutter="0"/>
          <w:cols w:space="720" w:num="1"/>
        </w:sectPr>
      </w:pPr>
    </w:p>
    <w:p w14:paraId="232FBEA3">
      <w:pPr>
        <w:spacing w:before="110"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2.4.3</w:t>
      </w:r>
      <w:r>
        <w:rPr>
          <w:rFonts w:ascii="宋体" w:hAnsi="宋体" w:eastAsia="宋体" w:cs="宋体"/>
          <w:b/>
          <w:bCs/>
          <w:spacing w:val="-2"/>
          <w:sz w:val="24"/>
          <w:szCs w:val="24"/>
        </w:rPr>
        <w:t>声环境影响评价等级与范围</w:t>
      </w:r>
    </w:p>
    <w:p w14:paraId="03B069C1">
      <w:pPr>
        <w:spacing w:before="171" w:line="374" w:lineRule="auto"/>
        <w:ind w:left="123" w:right="32" w:firstLine="480"/>
        <w:jc w:val="both"/>
        <w:rPr>
          <w:rFonts w:ascii="宋体" w:hAnsi="宋体" w:eastAsia="宋体" w:cs="宋体"/>
          <w:sz w:val="24"/>
          <w:szCs w:val="24"/>
        </w:rPr>
      </w:pPr>
      <w:r>
        <w:rPr>
          <w:rFonts w:ascii="宋体" w:hAnsi="宋体" w:eastAsia="宋体" w:cs="宋体"/>
          <w:spacing w:val="1"/>
          <w:sz w:val="24"/>
          <w:szCs w:val="24"/>
        </w:rPr>
        <w:t>本项目噪声源主要来自生产设备等。其噪声级为</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60</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(A)~75</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。落实有效</w:t>
      </w:r>
      <w:r>
        <w:rPr>
          <w:rFonts w:ascii="宋体" w:hAnsi="宋体" w:eastAsia="宋体" w:cs="宋体"/>
          <w:sz w:val="24"/>
          <w:szCs w:val="24"/>
        </w:rPr>
        <w:t xml:space="preserve"> 防治措施后，本项目建设前后噪声级增加很小（噪</w:t>
      </w:r>
      <w:r>
        <w:rPr>
          <w:rFonts w:ascii="宋体" w:hAnsi="宋体" w:eastAsia="宋体" w:cs="宋体"/>
          <w:spacing w:val="-1"/>
          <w:sz w:val="24"/>
          <w:szCs w:val="24"/>
        </w:rPr>
        <w:t>声级增高量在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3dB(A)</w:t>
      </w:r>
      <w:r>
        <w:rPr>
          <w:rFonts w:ascii="宋体" w:hAnsi="宋体" w:eastAsia="宋体" w:cs="宋体"/>
          <w:spacing w:val="-1"/>
          <w:sz w:val="24"/>
          <w:szCs w:val="24"/>
        </w:rPr>
        <w:t>以内</w:t>
      </w:r>
      <w:r>
        <w:rPr>
          <w:rFonts w:ascii="宋体" w:hAnsi="宋体" w:eastAsia="宋体" w:cs="宋体"/>
          <w:spacing w:val="5"/>
          <w:sz w:val="24"/>
          <w:szCs w:val="24"/>
        </w:rPr>
        <w:t>），</w:t>
      </w:r>
      <w:r>
        <w:rPr>
          <w:rFonts w:ascii="宋体" w:hAnsi="宋体" w:eastAsia="宋体" w:cs="宋体"/>
          <w:spacing w:val="-1"/>
          <w:sz w:val="24"/>
          <w:szCs w:val="24"/>
        </w:rPr>
        <w:t>且</w:t>
      </w:r>
      <w:r>
        <w:rPr>
          <w:rFonts w:ascii="宋体" w:hAnsi="宋体" w:eastAsia="宋体" w:cs="宋体"/>
          <w:sz w:val="24"/>
          <w:szCs w:val="24"/>
        </w:rPr>
        <w:t xml:space="preserve"> </w:t>
      </w:r>
      <w:r>
        <w:rPr>
          <w:rFonts w:ascii="宋体" w:hAnsi="宋体" w:eastAsia="宋体" w:cs="宋体"/>
          <w:spacing w:val="2"/>
          <w:sz w:val="24"/>
          <w:szCs w:val="24"/>
        </w:rPr>
        <w:t>受影响人口变化不大。本项目所在区域为</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类声环境功能区，根据《环</w:t>
      </w:r>
      <w:r>
        <w:rPr>
          <w:rFonts w:ascii="宋体" w:hAnsi="宋体" w:eastAsia="宋体" w:cs="宋体"/>
          <w:spacing w:val="1"/>
          <w:sz w:val="24"/>
          <w:szCs w:val="24"/>
        </w:rPr>
        <w:t>境影响评价</w:t>
      </w:r>
      <w:r>
        <w:rPr>
          <w:rFonts w:ascii="宋体" w:hAnsi="宋体" w:eastAsia="宋体" w:cs="宋体"/>
          <w:sz w:val="24"/>
          <w:szCs w:val="24"/>
        </w:rPr>
        <w:t xml:space="preserve"> </w:t>
      </w:r>
      <w:r>
        <w:rPr>
          <w:rFonts w:ascii="宋体" w:hAnsi="宋体" w:eastAsia="宋体" w:cs="宋体"/>
          <w:spacing w:val="-6"/>
          <w:sz w:val="24"/>
          <w:szCs w:val="24"/>
        </w:rPr>
        <w:t>技术导则声环境》（</w:t>
      </w:r>
      <w:r>
        <w:rPr>
          <w:rFonts w:ascii="Times New Roman" w:hAnsi="Times New Roman" w:eastAsia="Times New Roman" w:cs="Times New Roman"/>
          <w:spacing w:val="-6"/>
          <w:sz w:val="24"/>
          <w:szCs w:val="24"/>
        </w:rPr>
        <w:t>HJ2.4-2009</w:t>
      </w:r>
      <w:r>
        <w:rPr>
          <w:rFonts w:ascii="宋体" w:hAnsi="宋体" w:eastAsia="宋体" w:cs="宋体"/>
          <w:spacing w:val="-6"/>
          <w:sz w:val="24"/>
          <w:szCs w:val="24"/>
        </w:rPr>
        <w:t>）的要求，拟定本项目噪声环境影响评价等级为二级。</w:t>
      </w:r>
    </w:p>
    <w:p w14:paraId="7BD7B428">
      <w:pPr>
        <w:spacing w:before="9"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1B865795">
      <w:pPr>
        <w:spacing w:before="128" w:line="359" w:lineRule="exact"/>
        <w:ind w:left="603"/>
        <w:rPr>
          <w:rFonts w:ascii="宋体" w:hAnsi="宋体" w:eastAsia="宋体" w:cs="宋体"/>
          <w:sz w:val="24"/>
          <w:szCs w:val="24"/>
        </w:rPr>
      </w:pPr>
      <w:r>
        <w:rPr>
          <w:rFonts w:ascii="宋体" w:hAnsi="宋体" w:eastAsia="宋体" w:cs="宋体"/>
          <w:spacing w:val="1"/>
          <w:position w:val="2"/>
          <w:sz w:val="24"/>
          <w:szCs w:val="24"/>
        </w:rPr>
        <w:t>本项目声环境影响评价范围为：项目边界外</w:t>
      </w:r>
      <w:r>
        <w:rPr>
          <w:rFonts w:ascii="宋体" w:hAnsi="宋体" w:eastAsia="宋体" w:cs="宋体"/>
          <w:position w:val="2"/>
          <w:sz w:val="24"/>
          <w:szCs w:val="24"/>
        </w:rPr>
        <w:t>向外</w:t>
      </w:r>
      <w:r>
        <w:rPr>
          <w:rFonts w:ascii="Times New Roman" w:hAnsi="Times New Roman" w:eastAsia="Times New Roman" w:cs="Times New Roman"/>
          <w:position w:val="2"/>
          <w:sz w:val="24"/>
          <w:szCs w:val="24"/>
        </w:rPr>
        <w:t>200m</w:t>
      </w:r>
      <w:r>
        <w:rPr>
          <w:rFonts w:ascii="Times New Roman" w:hAnsi="Times New Roman" w:eastAsia="Times New Roman" w:cs="Times New Roman"/>
          <w:spacing w:val="27"/>
          <w:w w:val="101"/>
          <w:position w:val="2"/>
          <w:sz w:val="24"/>
          <w:szCs w:val="24"/>
        </w:rPr>
        <w:t xml:space="preserve"> </w:t>
      </w:r>
      <w:r>
        <w:rPr>
          <w:rFonts w:ascii="宋体" w:hAnsi="宋体" w:eastAsia="宋体" w:cs="宋体"/>
          <w:position w:val="2"/>
          <w:sz w:val="24"/>
          <w:szCs w:val="24"/>
        </w:rPr>
        <w:t>的区域。</w:t>
      </w:r>
    </w:p>
    <w:p w14:paraId="1C09A3A4">
      <w:pPr>
        <w:spacing w:before="16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2.4.4</w:t>
      </w:r>
      <w:r>
        <w:rPr>
          <w:rFonts w:ascii="宋体" w:hAnsi="宋体" w:eastAsia="宋体" w:cs="宋体"/>
          <w:b/>
          <w:bCs/>
          <w:spacing w:val="-2"/>
          <w:sz w:val="24"/>
          <w:szCs w:val="24"/>
        </w:rPr>
        <w:t>地下水评价等级</w:t>
      </w:r>
    </w:p>
    <w:p w14:paraId="7DB468D5">
      <w:pPr>
        <w:spacing w:before="168" w:line="372" w:lineRule="auto"/>
        <w:ind w:left="122" w:right="113" w:firstLine="480"/>
        <w:jc w:val="both"/>
        <w:rPr>
          <w:rFonts w:ascii="宋体" w:hAnsi="宋体" w:eastAsia="宋体" w:cs="宋体"/>
          <w:sz w:val="24"/>
          <w:szCs w:val="24"/>
        </w:rPr>
      </w:pPr>
      <w:r>
        <w:rPr>
          <w:rFonts w:ascii="宋体" w:hAnsi="宋体" w:eastAsia="宋体" w:cs="宋体"/>
          <w:spacing w:val="2"/>
          <w:sz w:val="24"/>
          <w:szCs w:val="24"/>
        </w:rPr>
        <w:t>根据《环境影响评价技术导则地下水环境》（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2"/>
          <w:sz w:val="24"/>
          <w:szCs w:val="24"/>
        </w:rPr>
        <w:t>）中地下水环境影响</w:t>
      </w:r>
      <w:r>
        <w:rPr>
          <w:rFonts w:ascii="宋体" w:hAnsi="宋体" w:eastAsia="宋体" w:cs="宋体"/>
          <w:spacing w:val="17"/>
          <w:sz w:val="24"/>
          <w:szCs w:val="24"/>
        </w:rPr>
        <w:t xml:space="preserve"> </w:t>
      </w:r>
      <w:r>
        <w:rPr>
          <w:rFonts w:ascii="宋体" w:hAnsi="宋体" w:eastAsia="宋体" w:cs="宋体"/>
          <w:spacing w:val="-2"/>
          <w:sz w:val="24"/>
          <w:szCs w:val="24"/>
        </w:rPr>
        <w:t>评价行业分类表，确定本项目类别为农、林、牧、渔、海洋第</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项畜禽养殖场、养</w:t>
      </w:r>
      <w:r>
        <w:rPr>
          <w:rFonts w:ascii="宋体" w:hAnsi="宋体" w:eastAsia="宋体" w:cs="宋体"/>
          <w:sz w:val="24"/>
          <w:szCs w:val="24"/>
        </w:rPr>
        <w:t xml:space="preserve"> </w:t>
      </w:r>
      <w:r>
        <w:rPr>
          <w:rFonts w:ascii="宋体" w:hAnsi="宋体" w:eastAsia="宋体" w:cs="宋体"/>
          <w:spacing w:val="-1"/>
          <w:sz w:val="24"/>
          <w:szCs w:val="24"/>
        </w:rPr>
        <w:t>殖小区，年出栏生猪</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5000 </w:t>
      </w:r>
      <w:r>
        <w:rPr>
          <w:rFonts w:ascii="宋体" w:hAnsi="宋体" w:eastAsia="宋体" w:cs="宋体"/>
          <w:spacing w:val="-1"/>
          <w:sz w:val="24"/>
          <w:szCs w:val="24"/>
        </w:rPr>
        <w:t>头（其他畜禽种类折合猪</w:t>
      </w:r>
      <w:r>
        <w:rPr>
          <w:rFonts w:ascii="宋体" w:hAnsi="宋体" w:eastAsia="宋体" w:cs="宋体"/>
          <w:spacing w:val="-2"/>
          <w:sz w:val="24"/>
          <w:szCs w:val="24"/>
        </w:rPr>
        <w:t>的养殖规模）及以上的。因此，</w:t>
      </w:r>
      <w:r>
        <w:rPr>
          <w:rFonts w:ascii="宋体" w:hAnsi="宋体" w:eastAsia="宋体" w:cs="宋体"/>
          <w:sz w:val="24"/>
          <w:szCs w:val="24"/>
        </w:rPr>
        <w:t xml:space="preserve"> </w:t>
      </w:r>
      <w:r>
        <w:rPr>
          <w:rFonts w:ascii="宋体" w:hAnsi="宋体" w:eastAsia="宋体" w:cs="宋体"/>
          <w:spacing w:val="2"/>
          <w:sz w:val="24"/>
          <w:szCs w:val="24"/>
        </w:rPr>
        <w:t>判定本项目地表水环境影响评价类别属于Ⅲ类建设项目。建设项目地下水环境影响</w:t>
      </w:r>
      <w:r>
        <w:rPr>
          <w:rFonts w:ascii="宋体" w:hAnsi="宋体" w:eastAsia="宋体" w:cs="宋体"/>
          <w:spacing w:val="7"/>
          <w:sz w:val="24"/>
          <w:szCs w:val="24"/>
        </w:rPr>
        <w:t xml:space="preserve"> </w:t>
      </w:r>
      <w:r>
        <w:rPr>
          <w:rFonts w:ascii="宋体" w:hAnsi="宋体" w:eastAsia="宋体" w:cs="宋体"/>
          <w:spacing w:val="-1"/>
          <w:sz w:val="24"/>
          <w:szCs w:val="24"/>
        </w:rPr>
        <w:t>评价工作等级情况见下表。</w:t>
      </w:r>
    </w:p>
    <w:p w14:paraId="097A54F5">
      <w:pPr>
        <w:spacing w:before="77" w:line="228" w:lineRule="auto"/>
        <w:ind w:left="30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2.4-4  </w:t>
      </w:r>
      <w:r>
        <w:rPr>
          <w:rFonts w:ascii="宋体" w:hAnsi="宋体" w:eastAsia="宋体" w:cs="宋体"/>
          <w:b/>
          <w:bCs/>
          <w:spacing w:val="6"/>
          <w:sz w:val="20"/>
          <w:szCs w:val="20"/>
        </w:rPr>
        <w:t>地下水环境敏感程度分级别</w:t>
      </w:r>
    </w:p>
    <w:p w14:paraId="0157A9C7">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6854"/>
      </w:tblGrid>
      <w:tr w14:paraId="5EC45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096" w:type="dxa"/>
            <w:vAlign w:val="top"/>
          </w:tcPr>
          <w:p w14:paraId="7C984726">
            <w:pPr>
              <w:pStyle w:val="6"/>
              <w:spacing w:before="87" w:line="228" w:lineRule="auto"/>
              <w:ind w:left="633"/>
            </w:pPr>
            <w:r>
              <w:rPr>
                <w:b/>
                <w:bCs/>
                <w:spacing w:val="6"/>
              </w:rPr>
              <w:t>敏感程度</w:t>
            </w:r>
          </w:p>
        </w:tc>
        <w:tc>
          <w:tcPr>
            <w:tcW w:w="6854" w:type="dxa"/>
            <w:vAlign w:val="top"/>
          </w:tcPr>
          <w:p w14:paraId="1F967026">
            <w:pPr>
              <w:pStyle w:val="6"/>
              <w:spacing w:before="87" w:line="228" w:lineRule="auto"/>
              <w:ind w:left="2484"/>
            </w:pPr>
            <w:r>
              <w:rPr>
                <w:b/>
                <w:bCs/>
                <w:spacing w:val="7"/>
              </w:rPr>
              <w:t>地下水环境敏感特征</w:t>
            </w:r>
          </w:p>
        </w:tc>
      </w:tr>
      <w:tr w14:paraId="37E4C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2096" w:type="dxa"/>
            <w:vAlign w:val="top"/>
          </w:tcPr>
          <w:p w14:paraId="39BFC104">
            <w:pPr>
              <w:rPr>
                <w:rFonts w:ascii="Arial"/>
                <w:sz w:val="21"/>
              </w:rPr>
            </w:pPr>
          </w:p>
          <w:p w14:paraId="674E40E5">
            <w:pPr>
              <w:rPr>
                <w:rFonts w:ascii="Arial"/>
                <w:sz w:val="21"/>
              </w:rPr>
            </w:pPr>
          </w:p>
          <w:p w14:paraId="138E015D">
            <w:pPr>
              <w:pStyle w:val="6"/>
              <w:spacing w:before="65" w:line="228" w:lineRule="auto"/>
              <w:ind w:left="844"/>
            </w:pPr>
            <w:r>
              <w:rPr>
                <w:spacing w:val="4"/>
              </w:rPr>
              <w:t>敏感</w:t>
            </w:r>
          </w:p>
        </w:tc>
        <w:tc>
          <w:tcPr>
            <w:tcW w:w="6854" w:type="dxa"/>
            <w:vAlign w:val="top"/>
          </w:tcPr>
          <w:p w14:paraId="04716F88">
            <w:pPr>
              <w:pStyle w:val="6"/>
              <w:spacing w:before="57" w:line="286" w:lineRule="auto"/>
              <w:ind w:left="112" w:right="107"/>
              <w:jc w:val="both"/>
            </w:pPr>
            <w:r>
              <w:rPr>
                <w:spacing w:val="7"/>
              </w:rPr>
              <w:t>集中式饮用水水源（包括已建成的在用、备用、应急水源，在建和规划的</w:t>
            </w:r>
            <w:r>
              <w:t xml:space="preserve"> </w:t>
            </w:r>
            <w:r>
              <w:rPr>
                <w:spacing w:val="7"/>
              </w:rPr>
              <w:t>饮用水水源）准保护区；除集中式饮用水水源外的国家或地方政府设定的</w:t>
            </w:r>
            <w:r>
              <w:rPr>
                <w:spacing w:val="3"/>
              </w:rPr>
              <w:t xml:space="preserve"> </w:t>
            </w:r>
            <w:r>
              <w:rPr>
                <w:spacing w:val="7"/>
              </w:rPr>
              <w:t>与地下水环境相关的其他保护区，如热水、矿泉水、温泉等特殊地下水资</w:t>
            </w:r>
            <w:r>
              <w:rPr>
                <w:spacing w:val="3"/>
              </w:rPr>
              <w:t xml:space="preserve"> </w:t>
            </w:r>
            <w:r>
              <w:rPr>
                <w:spacing w:val="6"/>
              </w:rPr>
              <w:t>源保护区。</w:t>
            </w:r>
          </w:p>
        </w:tc>
      </w:tr>
      <w:tr w14:paraId="6765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2096" w:type="dxa"/>
            <w:vAlign w:val="top"/>
          </w:tcPr>
          <w:p w14:paraId="18C93EDF">
            <w:pPr>
              <w:spacing w:line="321" w:lineRule="auto"/>
              <w:rPr>
                <w:rFonts w:ascii="Arial"/>
                <w:sz w:val="21"/>
              </w:rPr>
            </w:pPr>
          </w:p>
          <w:p w14:paraId="32F49077">
            <w:pPr>
              <w:spacing w:line="322" w:lineRule="auto"/>
              <w:rPr>
                <w:rFonts w:ascii="Arial"/>
                <w:sz w:val="21"/>
              </w:rPr>
            </w:pPr>
          </w:p>
          <w:p w14:paraId="6E5BCE47">
            <w:pPr>
              <w:pStyle w:val="6"/>
              <w:spacing w:before="65" w:line="228" w:lineRule="auto"/>
              <w:ind w:left="738"/>
            </w:pPr>
            <w:r>
              <w:rPr>
                <w:spacing w:val="6"/>
              </w:rPr>
              <w:t>较敏感</w:t>
            </w:r>
          </w:p>
        </w:tc>
        <w:tc>
          <w:tcPr>
            <w:tcW w:w="6854" w:type="dxa"/>
            <w:vAlign w:val="top"/>
          </w:tcPr>
          <w:p w14:paraId="0AB17C87">
            <w:pPr>
              <w:pStyle w:val="6"/>
              <w:spacing w:before="62" w:line="288" w:lineRule="auto"/>
              <w:ind w:left="113" w:right="107"/>
              <w:jc w:val="both"/>
            </w:pPr>
            <w:r>
              <w:rPr>
                <w:spacing w:val="7"/>
              </w:rPr>
              <w:t>集中式饮用水水源（包括已建成的在用、备用、应急水源，在建和规划的</w:t>
            </w:r>
            <w:r>
              <w:t xml:space="preserve"> </w:t>
            </w:r>
            <w:r>
              <w:rPr>
                <w:spacing w:val="7"/>
              </w:rPr>
              <w:t>饮用水水源）准保护区以外的补给径流区；未划定保护区的集中水式饮用</w:t>
            </w:r>
            <w:r>
              <w:rPr>
                <w:spacing w:val="2"/>
              </w:rPr>
              <w:t xml:space="preserve"> </w:t>
            </w:r>
            <w:r>
              <w:rPr>
                <w:spacing w:val="7"/>
              </w:rPr>
              <w:t>水水源，其保护区以外的补给径流区；分散式饮用水水源地；特殊地下水</w:t>
            </w:r>
            <w:r>
              <w:rPr>
                <w:spacing w:val="3"/>
              </w:rPr>
              <w:t xml:space="preserve"> </w:t>
            </w:r>
            <w:r>
              <w:rPr>
                <w:spacing w:val="7"/>
              </w:rPr>
              <w:t>资源（如矿泉水、温泉等）保护区以外的分布区等其他未列入上述敏感分</w:t>
            </w:r>
            <w:r>
              <w:t xml:space="preserve"> </w:t>
            </w:r>
            <w:r>
              <w:rPr>
                <w:spacing w:val="7"/>
              </w:rPr>
              <w:t>级的环境敏感区。</w:t>
            </w:r>
          </w:p>
        </w:tc>
      </w:tr>
      <w:tr w14:paraId="4B30B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6" w:type="dxa"/>
            <w:vAlign w:val="top"/>
          </w:tcPr>
          <w:p w14:paraId="62C1D7F7">
            <w:pPr>
              <w:pStyle w:val="6"/>
              <w:spacing w:before="63" w:line="228" w:lineRule="auto"/>
              <w:ind w:left="741"/>
            </w:pPr>
            <w:r>
              <w:rPr>
                <w:spacing w:val="5"/>
              </w:rPr>
              <w:t>不敏感</w:t>
            </w:r>
          </w:p>
        </w:tc>
        <w:tc>
          <w:tcPr>
            <w:tcW w:w="6854" w:type="dxa"/>
            <w:vAlign w:val="top"/>
          </w:tcPr>
          <w:p w14:paraId="6BBFA75C">
            <w:pPr>
              <w:pStyle w:val="6"/>
              <w:spacing w:before="63" w:line="229" w:lineRule="auto"/>
              <w:ind w:left="2172"/>
            </w:pPr>
            <w:r>
              <w:rPr>
                <w:spacing w:val="8"/>
              </w:rPr>
              <w:t>上述地区之外的其他地区。</w:t>
            </w:r>
          </w:p>
        </w:tc>
      </w:tr>
    </w:tbl>
    <w:p w14:paraId="744C106C">
      <w:pPr>
        <w:spacing w:before="59" w:line="305" w:lineRule="auto"/>
        <w:ind w:left="136" w:right="166" w:hanging="15"/>
        <w:rPr>
          <w:rFonts w:ascii="宋体" w:hAnsi="宋体" w:eastAsia="宋体" w:cs="宋体"/>
          <w:sz w:val="20"/>
          <w:szCs w:val="20"/>
        </w:rPr>
      </w:pPr>
      <w:r>
        <w:rPr>
          <w:rFonts w:ascii="宋体" w:hAnsi="宋体" w:eastAsia="宋体" w:cs="宋体"/>
          <w:spacing w:val="9"/>
          <w:sz w:val="20"/>
          <w:szCs w:val="20"/>
        </w:rPr>
        <w:t>注：</w:t>
      </w:r>
      <w:r>
        <w:rPr>
          <w:rFonts w:ascii="Times New Roman" w:hAnsi="Times New Roman" w:eastAsia="Times New Roman" w:cs="Times New Roman"/>
          <w:spacing w:val="9"/>
          <w:sz w:val="20"/>
          <w:szCs w:val="20"/>
        </w:rPr>
        <w:t>a“</w:t>
      </w:r>
      <w:r>
        <w:rPr>
          <w:rFonts w:ascii="宋体" w:hAnsi="宋体" w:eastAsia="宋体" w:cs="宋体"/>
          <w:spacing w:val="9"/>
          <w:sz w:val="20"/>
          <w:szCs w:val="20"/>
        </w:rPr>
        <w:t>环境敏感区</w:t>
      </w:r>
      <w:r>
        <w:rPr>
          <w:rFonts w:ascii="Times New Roman" w:hAnsi="Times New Roman" w:eastAsia="Times New Roman" w:cs="Times New Roman"/>
          <w:spacing w:val="9"/>
          <w:sz w:val="20"/>
          <w:szCs w:val="20"/>
        </w:rPr>
        <w:t>”</w:t>
      </w:r>
      <w:r>
        <w:rPr>
          <w:rFonts w:ascii="宋体" w:hAnsi="宋体" w:eastAsia="宋体" w:cs="宋体"/>
          <w:spacing w:val="9"/>
          <w:sz w:val="20"/>
          <w:szCs w:val="20"/>
        </w:rPr>
        <w:t>是指《建设项目环境影响分类管理名录》中所界定的涉及地下水的环境敏感</w:t>
      </w:r>
      <w:r>
        <w:rPr>
          <w:rFonts w:ascii="宋体" w:hAnsi="宋体" w:eastAsia="宋体" w:cs="宋体"/>
          <w:spacing w:val="13"/>
          <w:sz w:val="20"/>
          <w:szCs w:val="20"/>
        </w:rPr>
        <w:t xml:space="preserve"> </w:t>
      </w:r>
      <w:r>
        <w:rPr>
          <w:rFonts w:ascii="宋体" w:hAnsi="宋体" w:eastAsia="宋体" w:cs="宋体"/>
          <w:spacing w:val="-8"/>
          <w:sz w:val="20"/>
          <w:szCs w:val="20"/>
        </w:rPr>
        <w:t>区。</w:t>
      </w:r>
    </w:p>
    <w:p w14:paraId="1E5F7DCF">
      <w:pPr>
        <w:spacing w:before="71" w:line="227" w:lineRule="auto"/>
        <w:ind w:left="30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2.4-5  </w:t>
      </w:r>
      <w:r>
        <w:rPr>
          <w:rFonts w:ascii="宋体" w:hAnsi="宋体" w:eastAsia="宋体" w:cs="宋体"/>
          <w:b/>
          <w:bCs/>
          <w:spacing w:val="6"/>
          <w:sz w:val="20"/>
          <w:szCs w:val="20"/>
        </w:rPr>
        <w:t>地下水评价工作等级分级表</w:t>
      </w:r>
    </w:p>
    <w:p w14:paraId="1B79652A">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5"/>
        <w:gridCol w:w="1983"/>
        <w:gridCol w:w="2339"/>
        <w:gridCol w:w="2343"/>
      </w:tblGrid>
      <w:tr w14:paraId="16407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285" w:type="dxa"/>
            <w:tcBorders>
              <w:tl2br w:val="single" w:color="000000" w:sz="4" w:space="0"/>
            </w:tcBorders>
            <w:vAlign w:val="top"/>
          </w:tcPr>
          <w:p w14:paraId="4D97FE90">
            <w:pPr>
              <w:pStyle w:val="6"/>
              <w:spacing w:before="71" w:line="228" w:lineRule="auto"/>
              <w:ind w:left="732"/>
            </w:pPr>
            <w:r>
              <w:rPr>
                <w:b/>
                <w:bCs/>
                <w:spacing w:val="5"/>
              </w:rPr>
              <w:t>项目类别</w:t>
            </w:r>
          </w:p>
          <w:p w14:paraId="5CC56864">
            <w:pPr>
              <w:pStyle w:val="6"/>
              <w:spacing w:before="79" w:line="228" w:lineRule="auto"/>
              <w:ind w:left="519"/>
            </w:pPr>
            <w:r>
              <w:rPr>
                <w:b/>
                <w:bCs/>
                <w:spacing w:val="6"/>
              </w:rPr>
              <w:t>环境敏感程度</w:t>
            </w:r>
          </w:p>
        </w:tc>
        <w:tc>
          <w:tcPr>
            <w:tcW w:w="1983" w:type="dxa"/>
            <w:vAlign w:val="top"/>
          </w:tcPr>
          <w:p w14:paraId="7092B179">
            <w:pPr>
              <w:pStyle w:val="6"/>
              <w:spacing w:before="235" w:line="228" w:lineRule="auto"/>
              <w:ind w:left="645"/>
            </w:pPr>
            <w:r>
              <w:rPr>
                <w:b/>
                <w:bCs/>
                <w:spacing w:val="-12"/>
              </w:rPr>
              <w:t>Ⅰ类项目</w:t>
            </w:r>
          </w:p>
        </w:tc>
        <w:tc>
          <w:tcPr>
            <w:tcW w:w="2339" w:type="dxa"/>
            <w:vAlign w:val="top"/>
          </w:tcPr>
          <w:p w14:paraId="092716BC">
            <w:pPr>
              <w:pStyle w:val="6"/>
              <w:spacing w:before="235" w:line="228" w:lineRule="auto"/>
              <w:ind w:left="792"/>
            </w:pPr>
            <w:r>
              <w:rPr>
                <w:b/>
                <w:bCs/>
                <w:spacing w:val="-4"/>
              </w:rPr>
              <w:t>Ⅱ类项目</w:t>
            </w:r>
          </w:p>
        </w:tc>
        <w:tc>
          <w:tcPr>
            <w:tcW w:w="2343" w:type="dxa"/>
            <w:vAlign w:val="top"/>
          </w:tcPr>
          <w:p w14:paraId="5286B17E">
            <w:pPr>
              <w:pStyle w:val="6"/>
              <w:spacing w:before="235" w:line="228" w:lineRule="auto"/>
              <w:ind w:left="756"/>
            </w:pPr>
            <w:r>
              <w:rPr>
                <w:b/>
                <w:bCs/>
                <w:spacing w:val="6"/>
              </w:rPr>
              <w:t>Ⅲ类项目</w:t>
            </w:r>
          </w:p>
        </w:tc>
      </w:tr>
      <w:tr w14:paraId="27511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85" w:type="dxa"/>
            <w:vAlign w:val="top"/>
          </w:tcPr>
          <w:p w14:paraId="620161C8">
            <w:pPr>
              <w:pStyle w:val="6"/>
              <w:spacing w:before="60" w:line="228" w:lineRule="auto"/>
              <w:ind w:left="940"/>
            </w:pPr>
            <w:r>
              <w:rPr>
                <w:spacing w:val="4"/>
              </w:rPr>
              <w:t>敏感</w:t>
            </w:r>
          </w:p>
        </w:tc>
        <w:tc>
          <w:tcPr>
            <w:tcW w:w="1983" w:type="dxa"/>
            <w:vAlign w:val="top"/>
          </w:tcPr>
          <w:p w14:paraId="0EF340E9">
            <w:pPr>
              <w:pStyle w:val="6"/>
              <w:spacing w:before="138" w:line="156" w:lineRule="exact"/>
              <w:ind w:left="895"/>
            </w:pPr>
            <w:r>
              <w:rPr>
                <w:position w:val="-4"/>
              </w:rPr>
              <w:t>一</w:t>
            </w:r>
          </w:p>
        </w:tc>
        <w:tc>
          <w:tcPr>
            <w:tcW w:w="2339" w:type="dxa"/>
            <w:vAlign w:val="top"/>
          </w:tcPr>
          <w:p w14:paraId="325EC561">
            <w:pPr>
              <w:pStyle w:val="6"/>
              <w:spacing w:before="138" w:line="156" w:lineRule="exact"/>
              <w:ind w:left="1074"/>
            </w:pPr>
            <w:r>
              <w:rPr>
                <w:position w:val="-4"/>
              </w:rPr>
              <w:t>一</w:t>
            </w:r>
          </w:p>
        </w:tc>
        <w:tc>
          <w:tcPr>
            <w:tcW w:w="2343" w:type="dxa"/>
            <w:vAlign w:val="top"/>
          </w:tcPr>
          <w:p w14:paraId="5A0E608F">
            <w:pPr>
              <w:pStyle w:val="6"/>
              <w:spacing w:before="99" w:line="183" w:lineRule="auto"/>
              <w:ind w:left="1075"/>
            </w:pPr>
            <w:r>
              <w:t>二</w:t>
            </w:r>
          </w:p>
        </w:tc>
      </w:tr>
      <w:tr w14:paraId="07893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85" w:type="dxa"/>
            <w:vAlign w:val="top"/>
          </w:tcPr>
          <w:p w14:paraId="40CB3AAC">
            <w:pPr>
              <w:pStyle w:val="6"/>
              <w:spacing w:before="61" w:line="228" w:lineRule="auto"/>
              <w:ind w:left="834"/>
            </w:pPr>
            <w:r>
              <w:rPr>
                <w:spacing w:val="6"/>
              </w:rPr>
              <w:t>较敏感</w:t>
            </w:r>
          </w:p>
        </w:tc>
        <w:tc>
          <w:tcPr>
            <w:tcW w:w="1983" w:type="dxa"/>
            <w:vAlign w:val="top"/>
          </w:tcPr>
          <w:p w14:paraId="2CE0F40F">
            <w:pPr>
              <w:pStyle w:val="6"/>
              <w:spacing w:before="139" w:line="156" w:lineRule="exact"/>
              <w:ind w:left="895"/>
            </w:pPr>
            <w:r>
              <w:rPr>
                <w:position w:val="-4"/>
              </w:rPr>
              <w:t>一</w:t>
            </w:r>
          </w:p>
        </w:tc>
        <w:tc>
          <w:tcPr>
            <w:tcW w:w="2339" w:type="dxa"/>
            <w:vAlign w:val="top"/>
          </w:tcPr>
          <w:p w14:paraId="2445BBBA">
            <w:pPr>
              <w:pStyle w:val="6"/>
              <w:spacing w:before="100" w:line="183" w:lineRule="auto"/>
              <w:ind w:left="1074"/>
            </w:pPr>
            <w:r>
              <w:t>二</w:t>
            </w:r>
          </w:p>
        </w:tc>
        <w:tc>
          <w:tcPr>
            <w:tcW w:w="2343" w:type="dxa"/>
            <w:vAlign w:val="top"/>
          </w:tcPr>
          <w:p w14:paraId="4F874D0B">
            <w:pPr>
              <w:pStyle w:val="6"/>
              <w:spacing w:before="61" w:line="239" w:lineRule="auto"/>
              <w:ind w:left="1072"/>
            </w:pPr>
            <w:r>
              <w:t>三</w:t>
            </w:r>
          </w:p>
        </w:tc>
      </w:tr>
      <w:tr w14:paraId="5F66A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85" w:type="dxa"/>
            <w:vAlign w:val="top"/>
          </w:tcPr>
          <w:p w14:paraId="02303B68">
            <w:pPr>
              <w:pStyle w:val="6"/>
              <w:spacing w:before="62" w:line="228" w:lineRule="auto"/>
              <w:ind w:left="837"/>
            </w:pPr>
            <w:r>
              <w:rPr>
                <w:spacing w:val="5"/>
              </w:rPr>
              <w:t>不敏感</w:t>
            </w:r>
          </w:p>
        </w:tc>
        <w:tc>
          <w:tcPr>
            <w:tcW w:w="1983" w:type="dxa"/>
            <w:vAlign w:val="top"/>
          </w:tcPr>
          <w:p w14:paraId="054B30EF">
            <w:pPr>
              <w:pStyle w:val="6"/>
              <w:spacing w:before="101" w:line="183" w:lineRule="auto"/>
              <w:ind w:left="895"/>
            </w:pPr>
            <w:r>
              <w:t>二</w:t>
            </w:r>
          </w:p>
        </w:tc>
        <w:tc>
          <w:tcPr>
            <w:tcW w:w="2339" w:type="dxa"/>
            <w:vAlign w:val="top"/>
          </w:tcPr>
          <w:p w14:paraId="561E73B7">
            <w:pPr>
              <w:pStyle w:val="6"/>
              <w:spacing w:before="62" w:line="242" w:lineRule="auto"/>
              <w:ind w:left="1071"/>
            </w:pPr>
            <w:r>
              <w:t>三</w:t>
            </w:r>
          </w:p>
        </w:tc>
        <w:tc>
          <w:tcPr>
            <w:tcW w:w="2343" w:type="dxa"/>
            <w:shd w:val="clear" w:color="auto" w:fill="80C588"/>
            <w:vAlign w:val="top"/>
          </w:tcPr>
          <w:p w14:paraId="3F59E4FC">
            <w:pPr>
              <w:pStyle w:val="6"/>
              <w:spacing w:before="62" w:line="242" w:lineRule="auto"/>
              <w:ind w:left="1072"/>
            </w:pPr>
            <w:r>
              <w:t>三</w:t>
            </w:r>
          </w:p>
        </w:tc>
      </w:tr>
    </w:tbl>
    <w:p w14:paraId="0E81F6A1">
      <w:pPr>
        <w:pStyle w:val="2"/>
      </w:pPr>
    </w:p>
    <w:p w14:paraId="56B8EBA7">
      <w:pPr>
        <w:sectPr>
          <w:footerReference r:id="rId43" w:type="default"/>
          <w:pgSz w:w="11906" w:h="16839"/>
          <w:pgMar w:top="1431" w:right="1475" w:bottom="1485" w:left="1475" w:header="0" w:footer="1249" w:gutter="0"/>
          <w:cols w:space="720" w:num="1"/>
        </w:sectPr>
      </w:pPr>
    </w:p>
    <w:p w14:paraId="6328BE52">
      <w:pPr>
        <w:spacing w:before="111" w:line="362" w:lineRule="auto"/>
        <w:ind w:left="123" w:right="113" w:firstLine="480"/>
        <w:rPr>
          <w:rFonts w:ascii="宋体" w:hAnsi="宋体" w:eastAsia="宋体" w:cs="宋体"/>
          <w:sz w:val="24"/>
          <w:szCs w:val="24"/>
        </w:rPr>
      </w:pPr>
      <w:r>
        <w:rPr>
          <w:rFonts w:ascii="宋体" w:hAnsi="宋体" w:eastAsia="宋体" w:cs="宋体"/>
          <w:spacing w:val="2"/>
          <w:sz w:val="24"/>
          <w:szCs w:val="24"/>
        </w:rPr>
        <w:t>本项目所在地不属敏感区，建设项目属于Ⅲ类建设项目根据判定地下水影响评</w:t>
      </w:r>
      <w:r>
        <w:rPr>
          <w:rFonts w:ascii="宋体" w:hAnsi="宋体" w:eastAsia="宋体" w:cs="宋体"/>
          <w:spacing w:val="9"/>
          <w:sz w:val="24"/>
          <w:szCs w:val="24"/>
        </w:rPr>
        <w:t xml:space="preserve"> </w:t>
      </w:r>
      <w:r>
        <w:rPr>
          <w:rFonts w:ascii="宋体" w:hAnsi="宋体" w:eastAsia="宋体" w:cs="宋体"/>
          <w:spacing w:val="-2"/>
          <w:sz w:val="24"/>
          <w:szCs w:val="24"/>
        </w:rPr>
        <w:t>价等级为三级。</w:t>
      </w:r>
    </w:p>
    <w:p w14:paraId="4577308C">
      <w:pPr>
        <w:spacing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32C2989A">
      <w:pPr>
        <w:spacing w:before="130" w:line="366" w:lineRule="auto"/>
        <w:ind w:left="124" w:right="113" w:firstLine="478"/>
        <w:rPr>
          <w:rFonts w:ascii="宋体" w:hAnsi="宋体" w:eastAsia="宋体" w:cs="宋体"/>
          <w:sz w:val="24"/>
          <w:szCs w:val="24"/>
        </w:rPr>
      </w:pPr>
      <w:r>
        <w:rPr>
          <w:rFonts w:ascii="宋体" w:hAnsi="宋体" w:eastAsia="宋体" w:cs="宋体"/>
          <w:spacing w:val="2"/>
          <w:sz w:val="24"/>
          <w:szCs w:val="24"/>
        </w:rPr>
        <w:t>根据《环境影响评价技术导则地下水环境》（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11"/>
          <w:sz w:val="24"/>
          <w:szCs w:val="24"/>
        </w:rPr>
        <w:t>），</w:t>
      </w:r>
      <w:r>
        <w:rPr>
          <w:rFonts w:ascii="宋体" w:hAnsi="宋体" w:eastAsia="宋体" w:cs="宋体"/>
          <w:spacing w:val="2"/>
          <w:sz w:val="24"/>
          <w:szCs w:val="24"/>
        </w:rPr>
        <w:t>项目地下水</w:t>
      </w:r>
      <w:r>
        <w:rPr>
          <w:rFonts w:ascii="宋体" w:hAnsi="宋体" w:eastAsia="宋体" w:cs="宋体"/>
          <w:spacing w:val="1"/>
          <w:sz w:val="24"/>
          <w:szCs w:val="24"/>
        </w:rPr>
        <w:t xml:space="preserve">环境 </w:t>
      </w:r>
      <w:r>
        <w:rPr>
          <w:rFonts w:ascii="宋体" w:hAnsi="宋体" w:eastAsia="宋体" w:cs="宋体"/>
          <w:spacing w:val="-1"/>
          <w:sz w:val="24"/>
          <w:szCs w:val="24"/>
        </w:rPr>
        <w:t>现状调查评价范围参照表如下：</w:t>
      </w:r>
    </w:p>
    <w:p w14:paraId="635A13DA">
      <w:pPr>
        <w:spacing w:before="77" w:line="227" w:lineRule="auto"/>
        <w:ind w:left="259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2.4-6    </w:t>
      </w:r>
      <w:r>
        <w:rPr>
          <w:rFonts w:ascii="宋体" w:hAnsi="宋体" w:eastAsia="宋体" w:cs="宋体"/>
          <w:b/>
          <w:bCs/>
          <w:spacing w:val="6"/>
          <w:sz w:val="20"/>
          <w:szCs w:val="20"/>
        </w:rPr>
        <w:t>地下水环境现状调查评价范围参照表</w:t>
      </w:r>
    </w:p>
    <w:p w14:paraId="33653E30">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9"/>
        <w:gridCol w:w="3399"/>
        <w:gridCol w:w="3172"/>
      </w:tblGrid>
      <w:tr w14:paraId="065B8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2379" w:type="dxa"/>
            <w:vAlign w:val="top"/>
          </w:tcPr>
          <w:p w14:paraId="63C97BEE">
            <w:pPr>
              <w:pStyle w:val="6"/>
              <w:spacing w:before="62" w:line="227" w:lineRule="auto"/>
              <w:ind w:left="775"/>
            </w:pPr>
            <w:r>
              <w:rPr>
                <w:b/>
                <w:bCs/>
                <w:spacing w:val="6"/>
              </w:rPr>
              <w:t>评价等级</w:t>
            </w:r>
          </w:p>
        </w:tc>
        <w:tc>
          <w:tcPr>
            <w:tcW w:w="3399" w:type="dxa"/>
            <w:vAlign w:val="top"/>
          </w:tcPr>
          <w:p w14:paraId="025B5712">
            <w:pPr>
              <w:pStyle w:val="6"/>
              <w:spacing w:before="62" w:line="227" w:lineRule="auto"/>
              <w:ind w:left="686"/>
            </w:pPr>
            <w:r>
              <w:rPr>
                <w:b/>
                <w:bCs/>
                <w:spacing w:val="7"/>
              </w:rPr>
              <w:t>调查评价面积（</w:t>
            </w:r>
            <w:r>
              <w:rPr>
                <w:rFonts w:ascii="Times New Roman" w:hAnsi="Times New Roman" w:eastAsia="Times New Roman" w:cs="Times New Roman"/>
                <w:b/>
                <w:bCs/>
              </w:rPr>
              <w:t>km</w:t>
            </w:r>
            <w:r>
              <w:rPr>
                <w:rFonts w:ascii="Times New Roman" w:hAnsi="Times New Roman" w:eastAsia="Times New Roman" w:cs="Times New Roman"/>
                <w:b/>
                <w:bCs/>
                <w:spacing w:val="7"/>
                <w:position w:val="6"/>
                <w:sz w:val="13"/>
                <w:szCs w:val="13"/>
              </w:rPr>
              <w:t>2</w:t>
            </w:r>
            <w:r>
              <w:rPr>
                <w:b/>
                <w:bCs/>
                <w:spacing w:val="7"/>
              </w:rPr>
              <w:t>）</w:t>
            </w:r>
          </w:p>
        </w:tc>
        <w:tc>
          <w:tcPr>
            <w:tcW w:w="3172" w:type="dxa"/>
            <w:vAlign w:val="top"/>
          </w:tcPr>
          <w:p w14:paraId="4591EC03">
            <w:pPr>
              <w:pStyle w:val="6"/>
              <w:spacing w:before="62" w:line="230" w:lineRule="auto"/>
              <w:ind w:left="1382"/>
            </w:pPr>
            <w:r>
              <w:rPr>
                <w:b/>
                <w:bCs/>
                <w:spacing w:val="2"/>
              </w:rPr>
              <w:t>备注</w:t>
            </w:r>
          </w:p>
        </w:tc>
      </w:tr>
      <w:tr w14:paraId="7BD5E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79" w:type="dxa"/>
            <w:vAlign w:val="top"/>
          </w:tcPr>
          <w:p w14:paraId="51138ADE">
            <w:pPr>
              <w:pStyle w:val="6"/>
              <w:spacing w:before="59" w:line="231" w:lineRule="auto"/>
              <w:ind w:left="988"/>
            </w:pPr>
            <w:r>
              <w:rPr>
                <w:spacing w:val="3"/>
              </w:rPr>
              <w:t>一级</w:t>
            </w:r>
          </w:p>
        </w:tc>
        <w:tc>
          <w:tcPr>
            <w:tcW w:w="3399" w:type="dxa"/>
            <w:vAlign w:val="top"/>
          </w:tcPr>
          <w:p w14:paraId="48030F8D">
            <w:pPr>
              <w:spacing w:before="29" w:line="274" w:lineRule="exact"/>
              <w:ind w:left="153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c>
        <w:tc>
          <w:tcPr>
            <w:tcW w:w="3172" w:type="dxa"/>
            <w:vMerge w:val="restart"/>
            <w:tcBorders>
              <w:bottom w:val="nil"/>
            </w:tcBorders>
            <w:vAlign w:val="top"/>
          </w:tcPr>
          <w:p w14:paraId="085BE274">
            <w:pPr>
              <w:pStyle w:val="6"/>
              <w:spacing w:before="232" w:line="303" w:lineRule="auto"/>
              <w:ind w:left="435" w:right="117" w:hanging="315"/>
            </w:pPr>
            <w:r>
              <w:rPr>
                <w:spacing w:val="9"/>
              </w:rPr>
              <w:t>应包括重要的地下水环境保护目</w:t>
            </w:r>
            <w:r>
              <w:rPr>
                <w:spacing w:val="2"/>
              </w:rPr>
              <w:t xml:space="preserve"> </w:t>
            </w:r>
            <w:r>
              <w:rPr>
                <w:spacing w:val="9"/>
              </w:rPr>
              <w:t>标，必要时适当扩大范围</w:t>
            </w:r>
          </w:p>
        </w:tc>
      </w:tr>
      <w:tr w14:paraId="0303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79" w:type="dxa"/>
            <w:vAlign w:val="top"/>
          </w:tcPr>
          <w:p w14:paraId="5A6E2BED">
            <w:pPr>
              <w:pStyle w:val="6"/>
              <w:spacing w:before="60" w:line="231" w:lineRule="auto"/>
              <w:ind w:left="988"/>
            </w:pPr>
            <w:r>
              <w:rPr>
                <w:spacing w:val="3"/>
              </w:rPr>
              <w:t>二级</w:t>
            </w:r>
          </w:p>
        </w:tc>
        <w:tc>
          <w:tcPr>
            <w:tcW w:w="3399" w:type="dxa"/>
            <w:vAlign w:val="top"/>
          </w:tcPr>
          <w:p w14:paraId="281D739D">
            <w:pPr>
              <w:spacing w:before="30" w:line="274" w:lineRule="exact"/>
              <w:ind w:left="1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6~20</w:t>
            </w:r>
          </w:p>
        </w:tc>
        <w:tc>
          <w:tcPr>
            <w:tcW w:w="3172" w:type="dxa"/>
            <w:vMerge w:val="continue"/>
            <w:tcBorders>
              <w:top w:val="nil"/>
              <w:bottom w:val="nil"/>
            </w:tcBorders>
            <w:vAlign w:val="top"/>
          </w:tcPr>
          <w:p w14:paraId="00572E03">
            <w:pPr>
              <w:rPr>
                <w:rFonts w:ascii="Arial"/>
                <w:sz w:val="21"/>
              </w:rPr>
            </w:pPr>
          </w:p>
        </w:tc>
      </w:tr>
      <w:tr w14:paraId="630D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379" w:type="dxa"/>
            <w:vAlign w:val="top"/>
          </w:tcPr>
          <w:p w14:paraId="35CD83A7">
            <w:pPr>
              <w:pStyle w:val="6"/>
              <w:spacing w:before="61" w:line="231" w:lineRule="auto"/>
              <w:ind w:left="985"/>
            </w:pPr>
            <w:r>
              <w:rPr>
                <w:spacing w:val="4"/>
              </w:rPr>
              <w:t>三级</w:t>
            </w:r>
          </w:p>
        </w:tc>
        <w:tc>
          <w:tcPr>
            <w:tcW w:w="3399" w:type="dxa"/>
            <w:vAlign w:val="top"/>
          </w:tcPr>
          <w:p w14:paraId="03804E76">
            <w:pPr>
              <w:spacing w:before="31" w:line="274" w:lineRule="exact"/>
              <w:ind w:left="15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p>
        </w:tc>
        <w:tc>
          <w:tcPr>
            <w:tcW w:w="3172" w:type="dxa"/>
            <w:vMerge w:val="continue"/>
            <w:tcBorders>
              <w:top w:val="nil"/>
            </w:tcBorders>
            <w:vAlign w:val="top"/>
          </w:tcPr>
          <w:p w14:paraId="3A387C50">
            <w:pPr>
              <w:rPr>
                <w:rFonts w:ascii="Arial"/>
                <w:sz w:val="21"/>
              </w:rPr>
            </w:pPr>
          </w:p>
        </w:tc>
      </w:tr>
    </w:tbl>
    <w:p w14:paraId="45C50F16">
      <w:pPr>
        <w:pStyle w:val="2"/>
        <w:spacing w:line="334" w:lineRule="auto"/>
      </w:pPr>
    </w:p>
    <w:p w14:paraId="0EB6D00E">
      <w:pPr>
        <w:spacing w:before="78" w:line="373" w:lineRule="auto"/>
        <w:ind w:left="128" w:right="113" w:firstLine="475"/>
        <w:rPr>
          <w:rFonts w:ascii="宋体" w:hAnsi="宋体" w:eastAsia="宋体" w:cs="宋体"/>
          <w:sz w:val="24"/>
          <w:szCs w:val="24"/>
        </w:rPr>
      </w:pPr>
      <w:r>
        <w:rPr>
          <w:rFonts w:ascii="宋体" w:hAnsi="宋体" w:eastAsia="宋体" w:cs="宋体"/>
          <w:spacing w:val="1"/>
          <w:sz w:val="24"/>
          <w:szCs w:val="24"/>
        </w:rPr>
        <w:t>本项目地下水评价等级为三级，参照表</w:t>
      </w:r>
      <w:r>
        <w:rPr>
          <w:rFonts w:ascii="Times New Roman" w:hAnsi="Times New Roman" w:eastAsia="Times New Roman" w:cs="Times New Roman"/>
          <w:spacing w:val="1"/>
          <w:sz w:val="24"/>
          <w:szCs w:val="24"/>
        </w:rPr>
        <w:t>2.4-6</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，确定本项目地下水</w:t>
      </w:r>
      <w:r>
        <w:rPr>
          <w:rFonts w:ascii="宋体" w:hAnsi="宋体" w:eastAsia="宋体" w:cs="宋体"/>
          <w:sz w:val="24"/>
          <w:szCs w:val="24"/>
        </w:rPr>
        <w:t xml:space="preserve">环境影响评价 </w:t>
      </w:r>
      <w:r>
        <w:rPr>
          <w:rFonts w:ascii="宋体" w:hAnsi="宋体" w:eastAsia="宋体" w:cs="宋体"/>
          <w:spacing w:val="-2"/>
          <w:sz w:val="24"/>
          <w:szCs w:val="24"/>
        </w:rPr>
        <w:t>范围</w:t>
      </w:r>
      <w:r>
        <w:rPr>
          <w:rFonts w:ascii="Times New Roman" w:hAnsi="Times New Roman" w:eastAsia="Times New Roman" w:cs="Times New Roman"/>
          <w:spacing w:val="-2"/>
          <w:sz w:val="24"/>
          <w:szCs w:val="24"/>
        </w:rPr>
        <w:t>≤6km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2"/>
          <w:position w:val="7"/>
          <w:sz w:val="15"/>
          <w:szCs w:val="15"/>
        </w:rPr>
        <w:t xml:space="preserve"> </w:t>
      </w:r>
      <w:r>
        <w:rPr>
          <w:rFonts w:ascii="宋体" w:hAnsi="宋体" w:eastAsia="宋体" w:cs="宋体"/>
          <w:spacing w:val="-2"/>
          <w:sz w:val="24"/>
          <w:szCs w:val="24"/>
        </w:rPr>
        <w:t>，本项目评价范围为项目周边</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1km</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范围内的潜水层和含水层。</w:t>
      </w:r>
    </w:p>
    <w:p w14:paraId="7B8B049A">
      <w:pPr>
        <w:spacing w:before="44"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2.4.5</w:t>
      </w:r>
      <w:r>
        <w:rPr>
          <w:rFonts w:ascii="宋体" w:hAnsi="宋体" w:eastAsia="宋体" w:cs="宋体"/>
          <w:b/>
          <w:bCs/>
          <w:spacing w:val="-2"/>
          <w:sz w:val="24"/>
          <w:szCs w:val="24"/>
        </w:rPr>
        <w:t>生态环境影响评价等级与范围</w:t>
      </w:r>
    </w:p>
    <w:p w14:paraId="43D76790">
      <w:pPr>
        <w:spacing w:before="170"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）评价等级</w:t>
      </w:r>
    </w:p>
    <w:p w14:paraId="4CE9823F">
      <w:pPr>
        <w:spacing w:before="127" w:line="367" w:lineRule="auto"/>
        <w:ind w:left="118" w:right="110" w:firstLine="484"/>
        <w:rPr>
          <w:rFonts w:ascii="宋体" w:hAnsi="宋体" w:eastAsia="宋体" w:cs="宋体"/>
          <w:sz w:val="24"/>
          <w:szCs w:val="24"/>
        </w:rPr>
      </w:pPr>
      <w:r>
        <w:rPr>
          <w:rFonts w:ascii="宋体" w:hAnsi="宋体" w:eastAsia="宋体" w:cs="宋体"/>
          <w:spacing w:val="-1"/>
          <w:sz w:val="24"/>
          <w:szCs w:val="24"/>
        </w:rPr>
        <w:t>根据《环境影响评价技术导则生态影响》（</w:t>
      </w:r>
      <w:r>
        <w:rPr>
          <w:rFonts w:ascii="Times New Roman" w:hAnsi="Times New Roman" w:eastAsia="Times New Roman" w:cs="Times New Roman"/>
          <w:spacing w:val="-1"/>
          <w:sz w:val="24"/>
          <w:szCs w:val="24"/>
        </w:rPr>
        <w:t>HJ19-2011</w:t>
      </w:r>
      <w:r>
        <w:rPr>
          <w:rFonts w:ascii="宋体" w:hAnsi="宋体" w:eastAsia="宋体" w:cs="宋体"/>
          <w:spacing w:val="5"/>
          <w:sz w:val="24"/>
          <w:szCs w:val="24"/>
        </w:rPr>
        <w:t>），</w:t>
      </w:r>
      <w:r>
        <w:rPr>
          <w:rFonts w:ascii="宋体" w:hAnsi="宋体" w:eastAsia="宋体" w:cs="宋体"/>
          <w:spacing w:val="-1"/>
          <w:sz w:val="24"/>
          <w:szCs w:val="24"/>
        </w:rPr>
        <w:t>建设项目所在地不属</w:t>
      </w:r>
      <w:r>
        <w:rPr>
          <w:rFonts w:ascii="宋体" w:hAnsi="宋体" w:eastAsia="宋体" w:cs="宋体"/>
          <w:spacing w:val="1"/>
          <w:sz w:val="24"/>
          <w:szCs w:val="24"/>
        </w:rPr>
        <w:t xml:space="preserve"> </w:t>
      </w:r>
      <w:r>
        <w:rPr>
          <w:rFonts w:ascii="宋体" w:hAnsi="宋体" w:eastAsia="宋体" w:cs="宋体"/>
          <w:spacing w:val="-4"/>
          <w:sz w:val="24"/>
          <w:szCs w:val="24"/>
        </w:rPr>
        <w:t>于特殊生态敏感区或重要生态敏感区，项目占地面积为</w:t>
      </w:r>
      <w:r>
        <w:rPr>
          <w:rFonts w:ascii="宋体" w:hAnsi="宋体" w:eastAsia="宋体" w:cs="宋体"/>
          <w:spacing w:val="-17"/>
          <w:sz w:val="24"/>
          <w:szCs w:val="24"/>
        </w:rPr>
        <w:t xml:space="preserve"> </w:t>
      </w:r>
      <w:r>
        <w:rPr>
          <w:rFonts w:ascii="Times New Roman" w:hAnsi="Times New Roman" w:eastAsia="Times New Roman" w:cs="Times New Roman"/>
          <w:spacing w:val="-4"/>
          <w:sz w:val="24"/>
          <w:szCs w:val="24"/>
        </w:rPr>
        <w:t>17194m</w:t>
      </w:r>
      <w:r>
        <w:rPr>
          <w:rFonts w:ascii="Times New Roman" w:hAnsi="Times New Roman" w:eastAsia="Times New Roman" w:cs="Times New Roman"/>
          <w:spacing w:val="-4"/>
          <w:position w:val="7"/>
          <w:sz w:val="15"/>
          <w:szCs w:val="15"/>
        </w:rPr>
        <w:t>2</w:t>
      </w:r>
      <w:r>
        <w:rPr>
          <w:rFonts w:ascii="宋体" w:hAnsi="宋体" w:eastAsia="宋体" w:cs="宋体"/>
          <w:spacing w:val="-4"/>
          <w:sz w:val="24"/>
          <w:szCs w:val="24"/>
        </w:rPr>
        <w:t>，项目占地面积为≤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。根据导则要求，报告书拟进行生态影响分析</w:t>
      </w:r>
      <w:r>
        <w:rPr>
          <w:rFonts w:ascii="宋体" w:hAnsi="宋体" w:eastAsia="宋体" w:cs="宋体"/>
          <w:sz w:val="24"/>
          <w:szCs w:val="24"/>
        </w:rPr>
        <w:t xml:space="preserve">，评价工作等级定为三级，仅作 </w:t>
      </w:r>
      <w:r>
        <w:rPr>
          <w:rFonts w:ascii="宋体" w:hAnsi="宋体" w:eastAsia="宋体" w:cs="宋体"/>
          <w:spacing w:val="-1"/>
          <w:sz w:val="24"/>
          <w:szCs w:val="24"/>
        </w:rPr>
        <w:t>简要的调查和评价。</w:t>
      </w:r>
    </w:p>
    <w:p w14:paraId="519DC25C">
      <w:pPr>
        <w:spacing w:before="50"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43F88AAE">
      <w:pPr>
        <w:spacing w:before="168" w:line="219" w:lineRule="auto"/>
        <w:ind w:left="603"/>
        <w:rPr>
          <w:rFonts w:ascii="宋体" w:hAnsi="宋体" w:eastAsia="宋体" w:cs="宋体"/>
          <w:sz w:val="24"/>
          <w:szCs w:val="24"/>
        </w:rPr>
      </w:pPr>
      <w:r>
        <w:rPr>
          <w:rFonts w:ascii="宋体" w:hAnsi="宋体" w:eastAsia="宋体" w:cs="宋体"/>
          <w:spacing w:val="-1"/>
          <w:sz w:val="24"/>
          <w:szCs w:val="24"/>
        </w:rPr>
        <w:t>本项目生态环境影响评价范围为项目用地范围内。</w:t>
      </w:r>
    </w:p>
    <w:p w14:paraId="2ED11572">
      <w:pPr>
        <w:spacing w:before="203"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2.4.6</w:t>
      </w:r>
      <w:r>
        <w:rPr>
          <w:rFonts w:ascii="宋体" w:hAnsi="宋体" w:eastAsia="宋体" w:cs="宋体"/>
          <w:b/>
          <w:bCs/>
          <w:spacing w:val="-2"/>
          <w:sz w:val="24"/>
          <w:szCs w:val="24"/>
        </w:rPr>
        <w:t>土壤环境评级等级与范围</w:t>
      </w:r>
    </w:p>
    <w:p w14:paraId="16C67564">
      <w:pPr>
        <w:spacing w:before="169" w:line="360" w:lineRule="exact"/>
        <w:ind w:left="621"/>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、评级等级</w:t>
      </w:r>
    </w:p>
    <w:p w14:paraId="6EB06B21">
      <w:pPr>
        <w:spacing w:before="127" w:line="372" w:lineRule="auto"/>
        <w:ind w:left="122" w:right="110" w:firstLine="424"/>
        <w:rPr>
          <w:rFonts w:ascii="宋体" w:hAnsi="宋体" w:eastAsia="宋体" w:cs="宋体"/>
          <w:sz w:val="24"/>
          <w:szCs w:val="24"/>
        </w:rPr>
      </w:pPr>
      <w:r>
        <w:rPr>
          <w:rFonts w:ascii="宋体" w:hAnsi="宋体" w:eastAsia="宋体" w:cs="宋体"/>
          <w:spacing w:val="-3"/>
          <w:sz w:val="24"/>
          <w:szCs w:val="24"/>
        </w:rPr>
        <w:t>根据《环境影响评价技术导则土壤环境（试行）》（</w:t>
      </w:r>
      <w:r>
        <w:rPr>
          <w:rFonts w:ascii="Times New Roman" w:hAnsi="Times New Roman" w:eastAsia="Times New Roman" w:cs="Times New Roman"/>
          <w:spacing w:val="-3"/>
          <w:sz w:val="24"/>
          <w:szCs w:val="24"/>
        </w:rPr>
        <w:t>HJ964-2018</w:t>
      </w:r>
      <w:r>
        <w:rPr>
          <w:rFonts w:ascii="宋体" w:hAnsi="宋体" w:eastAsia="宋体" w:cs="宋体"/>
          <w:spacing w:val="-3"/>
          <w:sz w:val="24"/>
          <w:szCs w:val="24"/>
        </w:rPr>
        <w:t>）附录</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，本项</w:t>
      </w:r>
      <w:r>
        <w:rPr>
          <w:rFonts w:ascii="宋体" w:hAnsi="宋体" w:eastAsia="宋体" w:cs="宋体"/>
          <w:sz w:val="24"/>
          <w:szCs w:val="24"/>
        </w:rPr>
        <w:t xml:space="preserve"> 目属于</w:t>
      </w:r>
      <w:r>
        <w:rPr>
          <w:rFonts w:ascii="Times New Roman" w:hAnsi="Times New Roman" w:eastAsia="Times New Roman" w:cs="Times New Roman"/>
          <w:sz w:val="24"/>
          <w:szCs w:val="24"/>
        </w:rPr>
        <w:t>“</w:t>
      </w:r>
      <w:r>
        <w:rPr>
          <w:rFonts w:ascii="宋体" w:hAnsi="宋体" w:eastAsia="宋体" w:cs="宋体"/>
          <w:sz w:val="24"/>
          <w:szCs w:val="24"/>
        </w:rPr>
        <w:t>农林牧渔业</w:t>
      </w:r>
      <w:r>
        <w:rPr>
          <w:rFonts w:ascii="Times New Roman" w:hAnsi="Times New Roman" w:eastAsia="Times New Roman" w:cs="Times New Roman"/>
          <w:sz w:val="24"/>
          <w:szCs w:val="24"/>
        </w:rPr>
        <w:t>—</w:t>
      </w:r>
      <w:r>
        <w:rPr>
          <w:rFonts w:ascii="宋体" w:hAnsi="宋体" w:eastAsia="宋体" w:cs="宋体"/>
          <w:sz w:val="24"/>
          <w:szCs w:val="24"/>
        </w:rPr>
        <w:t xml:space="preserve">年出栏生猪 </w:t>
      </w:r>
      <w:r>
        <w:rPr>
          <w:rFonts w:ascii="Times New Roman" w:hAnsi="Times New Roman" w:eastAsia="Times New Roman" w:cs="Times New Roman"/>
          <w:sz w:val="24"/>
          <w:szCs w:val="24"/>
        </w:rPr>
        <w:t>5000</w:t>
      </w:r>
      <w:r>
        <w:rPr>
          <w:rFonts w:ascii="Times New Roman" w:hAnsi="Times New Roman" w:eastAsia="Times New Roman" w:cs="Times New Roman"/>
          <w:spacing w:val="31"/>
          <w:w w:val="101"/>
          <w:sz w:val="24"/>
          <w:szCs w:val="24"/>
        </w:rPr>
        <w:t xml:space="preserve"> </w:t>
      </w:r>
      <w:r>
        <w:rPr>
          <w:rFonts w:ascii="宋体" w:hAnsi="宋体" w:eastAsia="宋体" w:cs="宋体"/>
          <w:sz w:val="24"/>
          <w:szCs w:val="24"/>
        </w:rPr>
        <w:t xml:space="preserve">头（其他畜禽种类折合猪的养殖规模）及以 </w:t>
      </w:r>
      <w:r>
        <w:rPr>
          <w:rFonts w:ascii="宋体" w:hAnsi="宋体" w:eastAsia="宋体" w:cs="宋体"/>
          <w:spacing w:val="-1"/>
          <w:sz w:val="24"/>
          <w:szCs w:val="24"/>
        </w:rPr>
        <w:t>上的畜禽养殖场或养殖小区</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，因此项目土壤环境影</w:t>
      </w:r>
      <w:r>
        <w:rPr>
          <w:rFonts w:ascii="宋体" w:hAnsi="宋体" w:eastAsia="宋体" w:cs="宋体"/>
          <w:spacing w:val="-2"/>
          <w:sz w:val="24"/>
          <w:szCs w:val="24"/>
        </w:rPr>
        <w:t>响评价项目类别为Ⅲ类。项目占</w:t>
      </w:r>
      <w:r>
        <w:rPr>
          <w:rFonts w:ascii="宋体" w:hAnsi="宋体" w:eastAsia="宋体" w:cs="宋体"/>
          <w:sz w:val="24"/>
          <w:szCs w:val="24"/>
        </w:rPr>
        <w:t xml:space="preserve"> </w:t>
      </w:r>
      <w:r>
        <w:rPr>
          <w:rFonts w:ascii="宋体" w:hAnsi="宋体" w:eastAsia="宋体" w:cs="宋体"/>
          <w:spacing w:val="2"/>
          <w:sz w:val="24"/>
          <w:szCs w:val="24"/>
        </w:rPr>
        <w:t>地面积为</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17194m</w:t>
      </w:r>
      <w:r>
        <w:rPr>
          <w:rFonts w:ascii="Times New Roman" w:hAnsi="Times New Roman" w:eastAsia="Times New Roman" w:cs="Times New Roman"/>
          <w:spacing w:val="2"/>
          <w:position w:val="7"/>
          <w:sz w:val="15"/>
          <w:szCs w:val="15"/>
        </w:rPr>
        <w:t>2</w:t>
      </w:r>
      <w:r>
        <w:rPr>
          <w:rFonts w:ascii="宋体" w:hAnsi="宋体" w:eastAsia="宋体" w:cs="宋体"/>
          <w:spacing w:val="-10"/>
          <w:sz w:val="24"/>
          <w:szCs w:val="24"/>
        </w:rPr>
        <w:t>（＜</w:t>
      </w:r>
      <w:r>
        <w:rPr>
          <w:rFonts w:ascii="Times New Roman" w:hAnsi="Times New Roman" w:eastAsia="Times New Roman" w:cs="Times New Roman"/>
          <w:spacing w:val="2"/>
          <w:sz w:val="24"/>
          <w:szCs w:val="24"/>
        </w:rPr>
        <w:t>5</w:t>
      </w:r>
      <w:r>
        <w:rPr>
          <w:rFonts w:ascii="Times New Roman" w:hAnsi="Times New Roman" w:eastAsia="Times New Roman" w:cs="Times New Roman"/>
          <w:sz w:val="24"/>
          <w:szCs w:val="24"/>
        </w:rPr>
        <w:t>hm</w:t>
      </w:r>
      <w:r>
        <w:rPr>
          <w:rFonts w:ascii="Times New Roman" w:hAnsi="Times New Roman" w:eastAsia="Times New Roman" w:cs="Times New Roman"/>
          <w:spacing w:val="2"/>
          <w:position w:val="7"/>
          <w:sz w:val="15"/>
          <w:szCs w:val="15"/>
        </w:rPr>
        <w:t xml:space="preserve">2 </w:t>
      </w:r>
      <w:r>
        <w:rPr>
          <w:rFonts w:ascii="宋体" w:hAnsi="宋体" w:eastAsia="宋体" w:cs="宋体"/>
          <w:spacing w:val="-10"/>
          <w:sz w:val="24"/>
          <w:szCs w:val="24"/>
        </w:rPr>
        <w:t>），</w:t>
      </w:r>
      <w:r>
        <w:rPr>
          <w:rFonts w:ascii="宋体" w:hAnsi="宋体" w:eastAsia="宋体" w:cs="宋体"/>
          <w:spacing w:val="2"/>
          <w:sz w:val="24"/>
          <w:szCs w:val="24"/>
        </w:rPr>
        <w:t>属于小型项目。项目周边土地为不敏感情</w:t>
      </w:r>
      <w:r>
        <w:rPr>
          <w:rFonts w:ascii="宋体" w:hAnsi="宋体" w:eastAsia="宋体" w:cs="宋体"/>
          <w:spacing w:val="1"/>
          <w:sz w:val="24"/>
          <w:szCs w:val="24"/>
        </w:rPr>
        <w:t>形，根据</w:t>
      </w:r>
      <w:r>
        <w:rPr>
          <w:rFonts w:ascii="宋体" w:hAnsi="宋体" w:eastAsia="宋体" w:cs="宋体"/>
          <w:sz w:val="24"/>
          <w:szCs w:val="24"/>
        </w:rPr>
        <w:t xml:space="preserve"> </w:t>
      </w:r>
      <w:r>
        <w:rPr>
          <w:rFonts w:ascii="宋体" w:hAnsi="宋体" w:eastAsia="宋体" w:cs="宋体"/>
          <w:spacing w:val="2"/>
          <w:sz w:val="24"/>
          <w:szCs w:val="24"/>
        </w:rPr>
        <w:t>《环境影响评价技术导则土壤环境（试行）》（</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964-2018</w:t>
      </w:r>
      <w:r>
        <w:rPr>
          <w:rFonts w:ascii="宋体" w:hAnsi="宋体" w:eastAsia="宋体" w:cs="宋体"/>
          <w:spacing w:val="2"/>
          <w:sz w:val="24"/>
          <w:szCs w:val="24"/>
        </w:rPr>
        <w:t>）的要求，污染影响评</w:t>
      </w:r>
      <w:r>
        <w:rPr>
          <w:rFonts w:ascii="宋体" w:hAnsi="宋体" w:eastAsia="宋体" w:cs="宋体"/>
          <w:spacing w:val="16"/>
          <w:sz w:val="24"/>
          <w:szCs w:val="24"/>
        </w:rPr>
        <w:t xml:space="preserve"> </w:t>
      </w:r>
      <w:r>
        <w:rPr>
          <w:rFonts w:ascii="宋体" w:hAnsi="宋体" w:eastAsia="宋体" w:cs="宋体"/>
          <w:spacing w:val="-1"/>
          <w:sz w:val="24"/>
          <w:szCs w:val="24"/>
        </w:rPr>
        <w:t>价工作等级划分表见下表。</w:t>
      </w:r>
    </w:p>
    <w:p w14:paraId="5DDD1C99">
      <w:pPr>
        <w:spacing w:line="372" w:lineRule="auto"/>
        <w:rPr>
          <w:rFonts w:ascii="宋体" w:hAnsi="宋体" w:eastAsia="宋体" w:cs="宋体"/>
          <w:sz w:val="24"/>
          <w:szCs w:val="24"/>
        </w:rPr>
        <w:sectPr>
          <w:footerReference r:id="rId44" w:type="default"/>
          <w:pgSz w:w="11906" w:h="16839"/>
          <w:pgMar w:top="1431" w:right="1475" w:bottom="1485" w:left="1475" w:header="0" w:footer="1249" w:gutter="0"/>
          <w:cols w:space="720" w:num="1"/>
        </w:sectPr>
      </w:pPr>
    </w:p>
    <w:p w14:paraId="45A1452E">
      <w:pPr>
        <w:spacing w:before="125" w:line="227" w:lineRule="auto"/>
        <w:ind w:left="261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6"/>
          <w:sz w:val="20"/>
          <w:szCs w:val="20"/>
        </w:rPr>
        <w:t xml:space="preserve">2.4-7  </w:t>
      </w:r>
      <w:r>
        <w:rPr>
          <w:rFonts w:ascii="宋体" w:hAnsi="宋体" w:eastAsia="宋体" w:cs="宋体"/>
          <w:b/>
          <w:bCs/>
          <w:spacing w:val="6"/>
          <w:sz w:val="20"/>
          <w:szCs w:val="20"/>
        </w:rPr>
        <w:t>污染影响型评价工作等级划分表</w:t>
      </w:r>
    </w:p>
    <w:p w14:paraId="496FC642">
      <w:pPr>
        <w:spacing w:line="104"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2"/>
        <w:gridCol w:w="793"/>
        <w:gridCol w:w="792"/>
        <w:gridCol w:w="794"/>
        <w:gridCol w:w="793"/>
        <w:gridCol w:w="792"/>
        <w:gridCol w:w="792"/>
        <w:gridCol w:w="793"/>
        <w:gridCol w:w="663"/>
        <w:gridCol w:w="660"/>
      </w:tblGrid>
      <w:tr w14:paraId="54124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852" w:type="dxa"/>
            <w:vMerge w:val="restart"/>
            <w:tcBorders>
              <w:bottom w:val="nil"/>
            </w:tcBorders>
            <w:vAlign w:val="top"/>
          </w:tcPr>
          <w:p w14:paraId="247E34CC">
            <w:pPr>
              <w:pStyle w:val="6"/>
              <w:spacing w:before="49" w:line="927" w:lineRule="exact"/>
              <w:ind w:firstLine="2"/>
            </w:pPr>
            <w:r>
              <w:rPr>
                <w:position w:val="-19"/>
              </w:rPr>
              <w:pict>
                <v:group id="_x0000_s1030" o:spid="_x0000_s1030" o:spt="203" style="height:46.65pt;width:92.7pt;" coordsize="1853,933">
                  <o:lock v:ext="edit"/>
                  <v:shape id="_x0000_s1031" o:spid="_x0000_s1031" o:spt="75" type="#_x0000_t75" style="position:absolute;left:0;top:0;height:933;width:1853;" filled="f" stroked="f" coordsize="21600,21600">
                    <v:path/>
                    <v:fill on="f" focussize="0,0"/>
                    <v:stroke on="f"/>
                    <v:imagedata r:id="rId205" o:title=""/>
                    <o:lock v:ext="edit" aspectratio="t"/>
                  </v:shape>
                  <v:shape id="_x0000_s1032" o:spid="_x0000_s1032" o:spt="202" type="#_x0000_t202" style="position:absolute;left:-20;top:-20;height:973;width:1893;" filled="f" stroked="f" coordsize="21600,21600">
                    <v:path/>
                    <v:fill on="f" focussize="0,0"/>
                    <v:stroke on="f"/>
                    <v:imagedata o:title=""/>
                    <o:lock v:ext="edit" aspectratio="f"/>
                    <v:textbox inset="0mm,0mm,0mm,0mm">
                      <w:txbxContent>
                        <w:p w14:paraId="35975022">
                          <w:pPr>
                            <w:spacing w:before="33" w:line="228" w:lineRule="auto"/>
                            <w:ind w:left="565"/>
                            <w:rPr>
                              <w:rFonts w:ascii="宋体" w:hAnsi="宋体" w:eastAsia="宋体" w:cs="宋体"/>
                              <w:sz w:val="20"/>
                              <w:szCs w:val="20"/>
                            </w:rPr>
                          </w:pPr>
                          <w:r>
                            <w:rPr>
                              <w:rFonts w:ascii="宋体" w:hAnsi="宋体" w:eastAsia="宋体" w:cs="宋体"/>
                              <w:spacing w:val="-2"/>
                              <w:sz w:val="20"/>
                              <w:szCs w:val="20"/>
                            </w:rPr>
                            <w:t>占地规模</w:t>
                          </w:r>
                        </w:p>
                        <w:p w14:paraId="19A1E544">
                          <w:pPr>
                            <w:spacing w:before="78" w:line="301" w:lineRule="auto"/>
                            <w:ind w:left="135" w:right="323" w:firstLine="183"/>
                            <w:rPr>
                              <w:rFonts w:ascii="宋体" w:hAnsi="宋体" w:eastAsia="宋体" w:cs="宋体"/>
                              <w:sz w:val="20"/>
                              <w:szCs w:val="20"/>
                            </w:rPr>
                          </w:pPr>
                          <w:r>
                            <w:rPr>
                              <w:rFonts w:ascii="宋体" w:hAnsi="宋体" w:eastAsia="宋体" w:cs="宋体"/>
                              <w:spacing w:val="8"/>
                              <w:sz w:val="20"/>
                              <w:szCs w:val="20"/>
                            </w:rPr>
                            <w:t>评价工作等级</w:t>
                          </w:r>
                          <w:r>
                            <w:rPr>
                              <w:rFonts w:ascii="宋体" w:hAnsi="宋体" w:eastAsia="宋体" w:cs="宋体"/>
                              <w:spacing w:val="1"/>
                              <w:sz w:val="20"/>
                              <w:szCs w:val="20"/>
                            </w:rPr>
                            <w:t xml:space="preserve"> </w:t>
                          </w:r>
                          <w:r>
                            <w:rPr>
                              <w:rFonts w:ascii="宋体" w:hAnsi="宋体" w:eastAsia="宋体" w:cs="宋体"/>
                              <w:spacing w:val="7"/>
                              <w:sz w:val="20"/>
                              <w:szCs w:val="20"/>
                            </w:rPr>
                            <w:t>敏感程度</w:t>
                          </w:r>
                        </w:p>
                      </w:txbxContent>
                    </v:textbox>
                  </v:shape>
                  <w10:wrap type="none"/>
                  <w10:anchorlock/>
                </v:group>
              </w:pict>
            </w:r>
          </w:p>
        </w:tc>
        <w:tc>
          <w:tcPr>
            <w:tcW w:w="2379" w:type="dxa"/>
            <w:gridSpan w:val="3"/>
            <w:vAlign w:val="top"/>
          </w:tcPr>
          <w:p w14:paraId="3DDB3709">
            <w:pPr>
              <w:pStyle w:val="6"/>
              <w:spacing w:before="105" w:line="228" w:lineRule="auto"/>
              <w:ind w:left="1051"/>
            </w:pPr>
            <w:r>
              <w:rPr>
                <w:spacing w:val="-30"/>
              </w:rPr>
              <w:t>Ⅰ类</w:t>
            </w:r>
          </w:p>
        </w:tc>
        <w:tc>
          <w:tcPr>
            <w:tcW w:w="2377" w:type="dxa"/>
            <w:gridSpan w:val="3"/>
            <w:vAlign w:val="top"/>
          </w:tcPr>
          <w:p w14:paraId="4F6DB497">
            <w:pPr>
              <w:pStyle w:val="6"/>
              <w:spacing w:before="105" w:line="228" w:lineRule="auto"/>
              <w:ind w:left="1021"/>
            </w:pPr>
            <w:r>
              <w:rPr>
                <w:spacing w:val="-14"/>
              </w:rPr>
              <w:t>Ⅱ类</w:t>
            </w:r>
          </w:p>
        </w:tc>
        <w:tc>
          <w:tcPr>
            <w:tcW w:w="2116" w:type="dxa"/>
            <w:gridSpan w:val="3"/>
            <w:vAlign w:val="top"/>
          </w:tcPr>
          <w:p w14:paraId="2B363D54">
            <w:pPr>
              <w:pStyle w:val="6"/>
              <w:spacing w:before="105" w:line="228" w:lineRule="auto"/>
              <w:ind w:left="851"/>
            </w:pPr>
            <w:r>
              <w:rPr>
                <w:spacing w:val="6"/>
              </w:rPr>
              <w:t>Ⅲ类</w:t>
            </w:r>
          </w:p>
        </w:tc>
      </w:tr>
      <w:tr w14:paraId="5A701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852" w:type="dxa"/>
            <w:vMerge w:val="continue"/>
            <w:tcBorders>
              <w:top w:val="nil"/>
            </w:tcBorders>
            <w:vAlign w:val="top"/>
          </w:tcPr>
          <w:p w14:paraId="3A15014D">
            <w:pPr>
              <w:rPr>
                <w:rFonts w:ascii="Arial"/>
                <w:sz w:val="21"/>
              </w:rPr>
            </w:pPr>
          </w:p>
        </w:tc>
        <w:tc>
          <w:tcPr>
            <w:tcW w:w="793" w:type="dxa"/>
            <w:vAlign w:val="top"/>
          </w:tcPr>
          <w:p w14:paraId="7D20A0E4">
            <w:pPr>
              <w:pStyle w:val="6"/>
              <w:spacing w:before="174" w:line="229" w:lineRule="auto"/>
              <w:ind w:left="297"/>
            </w:pPr>
            <w:r>
              <w:t>大</w:t>
            </w:r>
          </w:p>
        </w:tc>
        <w:tc>
          <w:tcPr>
            <w:tcW w:w="792" w:type="dxa"/>
            <w:vAlign w:val="top"/>
          </w:tcPr>
          <w:p w14:paraId="7B3407FB">
            <w:pPr>
              <w:pStyle w:val="6"/>
              <w:spacing w:before="174" w:line="229" w:lineRule="auto"/>
              <w:ind w:left="313"/>
            </w:pPr>
            <w:r>
              <w:t>中</w:t>
            </w:r>
          </w:p>
        </w:tc>
        <w:tc>
          <w:tcPr>
            <w:tcW w:w="794" w:type="dxa"/>
            <w:vAlign w:val="top"/>
          </w:tcPr>
          <w:p w14:paraId="7589409F">
            <w:pPr>
              <w:pStyle w:val="6"/>
              <w:spacing w:before="174" w:line="231" w:lineRule="auto"/>
              <w:ind w:left="302"/>
            </w:pPr>
            <w:r>
              <w:t>小</w:t>
            </w:r>
          </w:p>
        </w:tc>
        <w:tc>
          <w:tcPr>
            <w:tcW w:w="793" w:type="dxa"/>
            <w:vAlign w:val="top"/>
          </w:tcPr>
          <w:p w14:paraId="69BC73C4">
            <w:pPr>
              <w:pStyle w:val="6"/>
              <w:spacing w:before="174" w:line="229" w:lineRule="auto"/>
              <w:ind w:left="299"/>
            </w:pPr>
            <w:r>
              <w:t>大</w:t>
            </w:r>
          </w:p>
        </w:tc>
        <w:tc>
          <w:tcPr>
            <w:tcW w:w="792" w:type="dxa"/>
            <w:vAlign w:val="top"/>
          </w:tcPr>
          <w:p w14:paraId="032C7F8D">
            <w:pPr>
              <w:pStyle w:val="6"/>
              <w:spacing w:before="174" w:line="229" w:lineRule="auto"/>
              <w:ind w:left="317"/>
            </w:pPr>
            <w:r>
              <w:t>中</w:t>
            </w:r>
          </w:p>
        </w:tc>
        <w:tc>
          <w:tcPr>
            <w:tcW w:w="792" w:type="dxa"/>
            <w:vAlign w:val="top"/>
          </w:tcPr>
          <w:p w14:paraId="7B45385A">
            <w:pPr>
              <w:pStyle w:val="6"/>
              <w:spacing w:before="174" w:line="231" w:lineRule="auto"/>
              <w:ind w:left="303"/>
            </w:pPr>
            <w:r>
              <w:t>小</w:t>
            </w:r>
          </w:p>
        </w:tc>
        <w:tc>
          <w:tcPr>
            <w:tcW w:w="793" w:type="dxa"/>
            <w:vAlign w:val="top"/>
          </w:tcPr>
          <w:p w14:paraId="06A20FE9">
            <w:pPr>
              <w:pStyle w:val="6"/>
              <w:spacing w:before="174" w:line="229" w:lineRule="auto"/>
              <w:ind w:left="300"/>
            </w:pPr>
            <w:r>
              <w:t>大</w:t>
            </w:r>
          </w:p>
        </w:tc>
        <w:tc>
          <w:tcPr>
            <w:tcW w:w="663" w:type="dxa"/>
            <w:vAlign w:val="top"/>
          </w:tcPr>
          <w:p w14:paraId="503AC8BA">
            <w:pPr>
              <w:pStyle w:val="6"/>
              <w:spacing w:before="174" w:line="229" w:lineRule="auto"/>
              <w:ind w:left="254"/>
            </w:pPr>
            <w:r>
              <w:t>中</w:t>
            </w:r>
          </w:p>
        </w:tc>
        <w:tc>
          <w:tcPr>
            <w:tcW w:w="660" w:type="dxa"/>
            <w:vAlign w:val="top"/>
          </w:tcPr>
          <w:p w14:paraId="6807CA2A">
            <w:pPr>
              <w:pStyle w:val="6"/>
              <w:spacing w:before="174" w:line="231" w:lineRule="auto"/>
              <w:ind w:left="237"/>
            </w:pPr>
            <w:r>
              <w:t>小</w:t>
            </w:r>
          </w:p>
        </w:tc>
      </w:tr>
      <w:tr w14:paraId="4A456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52" w:type="dxa"/>
            <w:vAlign w:val="top"/>
          </w:tcPr>
          <w:p w14:paraId="09CE09E5">
            <w:pPr>
              <w:pStyle w:val="6"/>
              <w:spacing w:before="60" w:line="228" w:lineRule="auto"/>
              <w:ind w:left="722"/>
            </w:pPr>
            <w:r>
              <w:rPr>
                <w:spacing w:val="4"/>
              </w:rPr>
              <w:t>敏感</w:t>
            </w:r>
          </w:p>
        </w:tc>
        <w:tc>
          <w:tcPr>
            <w:tcW w:w="793" w:type="dxa"/>
            <w:vAlign w:val="top"/>
          </w:tcPr>
          <w:p w14:paraId="1E6C38C0">
            <w:pPr>
              <w:pStyle w:val="6"/>
              <w:spacing w:before="59" w:line="231" w:lineRule="auto"/>
              <w:ind w:left="192"/>
            </w:pPr>
            <w:r>
              <w:rPr>
                <w:spacing w:val="3"/>
              </w:rPr>
              <w:t>一级</w:t>
            </w:r>
          </w:p>
        </w:tc>
        <w:tc>
          <w:tcPr>
            <w:tcW w:w="792" w:type="dxa"/>
            <w:vAlign w:val="top"/>
          </w:tcPr>
          <w:p w14:paraId="0299DAD3">
            <w:pPr>
              <w:pStyle w:val="6"/>
              <w:spacing w:before="59" w:line="231" w:lineRule="auto"/>
              <w:ind w:left="194"/>
            </w:pPr>
            <w:r>
              <w:rPr>
                <w:spacing w:val="3"/>
              </w:rPr>
              <w:t>一级</w:t>
            </w:r>
          </w:p>
        </w:tc>
        <w:tc>
          <w:tcPr>
            <w:tcW w:w="794" w:type="dxa"/>
            <w:vAlign w:val="top"/>
          </w:tcPr>
          <w:p w14:paraId="0201F567">
            <w:pPr>
              <w:pStyle w:val="6"/>
              <w:spacing w:before="59" w:line="231" w:lineRule="auto"/>
              <w:ind w:left="194"/>
            </w:pPr>
            <w:r>
              <w:rPr>
                <w:spacing w:val="3"/>
              </w:rPr>
              <w:t>一级</w:t>
            </w:r>
          </w:p>
        </w:tc>
        <w:tc>
          <w:tcPr>
            <w:tcW w:w="793" w:type="dxa"/>
            <w:vAlign w:val="top"/>
          </w:tcPr>
          <w:p w14:paraId="148D7C27">
            <w:pPr>
              <w:pStyle w:val="6"/>
              <w:spacing w:before="59" w:line="231" w:lineRule="auto"/>
              <w:ind w:left="197"/>
            </w:pPr>
            <w:r>
              <w:rPr>
                <w:spacing w:val="3"/>
              </w:rPr>
              <w:t>二级</w:t>
            </w:r>
          </w:p>
        </w:tc>
        <w:tc>
          <w:tcPr>
            <w:tcW w:w="792" w:type="dxa"/>
            <w:vAlign w:val="top"/>
          </w:tcPr>
          <w:p w14:paraId="6A6DB820">
            <w:pPr>
              <w:pStyle w:val="6"/>
              <w:spacing w:before="59" w:line="231" w:lineRule="auto"/>
              <w:ind w:left="196"/>
            </w:pPr>
            <w:r>
              <w:rPr>
                <w:spacing w:val="3"/>
              </w:rPr>
              <w:t>二级</w:t>
            </w:r>
          </w:p>
        </w:tc>
        <w:tc>
          <w:tcPr>
            <w:tcW w:w="792" w:type="dxa"/>
            <w:vAlign w:val="top"/>
          </w:tcPr>
          <w:p w14:paraId="2EB0F488">
            <w:pPr>
              <w:pStyle w:val="6"/>
              <w:spacing w:before="59" w:line="231" w:lineRule="auto"/>
              <w:ind w:left="196"/>
            </w:pPr>
            <w:r>
              <w:rPr>
                <w:spacing w:val="3"/>
              </w:rPr>
              <w:t>二级</w:t>
            </w:r>
          </w:p>
        </w:tc>
        <w:tc>
          <w:tcPr>
            <w:tcW w:w="793" w:type="dxa"/>
            <w:vAlign w:val="top"/>
          </w:tcPr>
          <w:p w14:paraId="624780AA">
            <w:pPr>
              <w:pStyle w:val="6"/>
              <w:spacing w:before="59" w:line="231" w:lineRule="auto"/>
              <w:ind w:left="192"/>
            </w:pPr>
            <w:r>
              <w:rPr>
                <w:spacing w:val="4"/>
              </w:rPr>
              <w:t>三级</w:t>
            </w:r>
          </w:p>
        </w:tc>
        <w:tc>
          <w:tcPr>
            <w:tcW w:w="663" w:type="dxa"/>
            <w:vAlign w:val="top"/>
          </w:tcPr>
          <w:p w14:paraId="632665BE">
            <w:pPr>
              <w:pStyle w:val="6"/>
              <w:spacing w:before="59" w:line="231" w:lineRule="auto"/>
              <w:ind w:left="129"/>
            </w:pPr>
            <w:r>
              <w:rPr>
                <w:spacing w:val="4"/>
              </w:rPr>
              <w:t>三级</w:t>
            </w:r>
          </w:p>
        </w:tc>
        <w:tc>
          <w:tcPr>
            <w:tcW w:w="660" w:type="dxa"/>
            <w:vAlign w:val="top"/>
          </w:tcPr>
          <w:p w14:paraId="2A0E266B">
            <w:pPr>
              <w:pStyle w:val="6"/>
              <w:spacing w:before="59" w:line="231" w:lineRule="auto"/>
              <w:ind w:left="126"/>
            </w:pPr>
            <w:r>
              <w:rPr>
                <w:spacing w:val="4"/>
              </w:rPr>
              <w:t>三级</w:t>
            </w:r>
          </w:p>
        </w:tc>
      </w:tr>
      <w:tr w14:paraId="4EFF6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52" w:type="dxa"/>
            <w:vAlign w:val="top"/>
          </w:tcPr>
          <w:p w14:paraId="02A1081A">
            <w:pPr>
              <w:pStyle w:val="6"/>
              <w:spacing w:before="61" w:line="228" w:lineRule="auto"/>
              <w:ind w:left="615"/>
            </w:pPr>
            <w:r>
              <w:rPr>
                <w:spacing w:val="6"/>
              </w:rPr>
              <w:t>较敏感</w:t>
            </w:r>
          </w:p>
        </w:tc>
        <w:tc>
          <w:tcPr>
            <w:tcW w:w="793" w:type="dxa"/>
            <w:vAlign w:val="top"/>
          </w:tcPr>
          <w:p w14:paraId="571A1056">
            <w:pPr>
              <w:pStyle w:val="6"/>
              <w:spacing w:before="60" w:line="231" w:lineRule="auto"/>
              <w:ind w:left="192"/>
            </w:pPr>
            <w:r>
              <w:rPr>
                <w:spacing w:val="3"/>
              </w:rPr>
              <w:t>一级</w:t>
            </w:r>
          </w:p>
        </w:tc>
        <w:tc>
          <w:tcPr>
            <w:tcW w:w="792" w:type="dxa"/>
            <w:vAlign w:val="top"/>
          </w:tcPr>
          <w:p w14:paraId="48C14546">
            <w:pPr>
              <w:pStyle w:val="6"/>
              <w:spacing w:before="60" w:line="231" w:lineRule="auto"/>
              <w:ind w:left="194"/>
            </w:pPr>
            <w:r>
              <w:rPr>
                <w:spacing w:val="3"/>
              </w:rPr>
              <w:t>一级</w:t>
            </w:r>
          </w:p>
        </w:tc>
        <w:tc>
          <w:tcPr>
            <w:tcW w:w="794" w:type="dxa"/>
            <w:vAlign w:val="top"/>
          </w:tcPr>
          <w:p w14:paraId="41D4C35A">
            <w:pPr>
              <w:pStyle w:val="6"/>
              <w:spacing w:before="60" w:line="231" w:lineRule="auto"/>
              <w:ind w:left="194"/>
            </w:pPr>
            <w:r>
              <w:rPr>
                <w:spacing w:val="3"/>
              </w:rPr>
              <w:t>二级</w:t>
            </w:r>
          </w:p>
        </w:tc>
        <w:tc>
          <w:tcPr>
            <w:tcW w:w="793" w:type="dxa"/>
            <w:vAlign w:val="top"/>
          </w:tcPr>
          <w:p w14:paraId="38EAB5A2">
            <w:pPr>
              <w:pStyle w:val="6"/>
              <w:spacing w:before="60" w:line="231" w:lineRule="auto"/>
              <w:ind w:left="197"/>
            </w:pPr>
            <w:r>
              <w:rPr>
                <w:spacing w:val="3"/>
              </w:rPr>
              <w:t>二级</w:t>
            </w:r>
          </w:p>
        </w:tc>
        <w:tc>
          <w:tcPr>
            <w:tcW w:w="792" w:type="dxa"/>
            <w:vAlign w:val="top"/>
          </w:tcPr>
          <w:p w14:paraId="4C0A4910">
            <w:pPr>
              <w:pStyle w:val="6"/>
              <w:spacing w:before="60" w:line="231" w:lineRule="auto"/>
              <w:ind w:left="196"/>
            </w:pPr>
            <w:r>
              <w:rPr>
                <w:spacing w:val="3"/>
              </w:rPr>
              <w:t>二级</w:t>
            </w:r>
          </w:p>
        </w:tc>
        <w:tc>
          <w:tcPr>
            <w:tcW w:w="792" w:type="dxa"/>
            <w:vAlign w:val="top"/>
          </w:tcPr>
          <w:p w14:paraId="0DFB3CBB">
            <w:pPr>
              <w:pStyle w:val="6"/>
              <w:spacing w:before="60" w:line="231" w:lineRule="auto"/>
              <w:ind w:left="192"/>
            </w:pPr>
            <w:r>
              <w:rPr>
                <w:spacing w:val="4"/>
              </w:rPr>
              <w:t>三级</w:t>
            </w:r>
          </w:p>
        </w:tc>
        <w:tc>
          <w:tcPr>
            <w:tcW w:w="793" w:type="dxa"/>
            <w:vAlign w:val="top"/>
          </w:tcPr>
          <w:p w14:paraId="39D49355">
            <w:pPr>
              <w:pStyle w:val="6"/>
              <w:spacing w:before="60" w:line="231" w:lineRule="auto"/>
              <w:ind w:left="192"/>
            </w:pPr>
            <w:r>
              <w:rPr>
                <w:spacing w:val="4"/>
              </w:rPr>
              <w:t>三级</w:t>
            </w:r>
          </w:p>
        </w:tc>
        <w:tc>
          <w:tcPr>
            <w:tcW w:w="663" w:type="dxa"/>
            <w:vAlign w:val="top"/>
          </w:tcPr>
          <w:p w14:paraId="0AAE806B">
            <w:pPr>
              <w:pStyle w:val="6"/>
              <w:spacing w:before="60" w:line="231" w:lineRule="auto"/>
              <w:ind w:left="129"/>
            </w:pPr>
            <w:r>
              <w:rPr>
                <w:spacing w:val="4"/>
              </w:rPr>
              <w:t>三级</w:t>
            </w:r>
          </w:p>
        </w:tc>
        <w:tc>
          <w:tcPr>
            <w:tcW w:w="660" w:type="dxa"/>
            <w:vAlign w:val="top"/>
          </w:tcPr>
          <w:p w14:paraId="2C5FEE9F">
            <w:pPr>
              <w:spacing w:before="185" w:line="97" w:lineRule="exact"/>
              <w:ind w:left="3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6B6C6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52" w:type="dxa"/>
            <w:vAlign w:val="top"/>
          </w:tcPr>
          <w:p w14:paraId="13A242D0">
            <w:pPr>
              <w:pStyle w:val="6"/>
              <w:spacing w:before="62" w:line="228" w:lineRule="auto"/>
              <w:ind w:left="619"/>
            </w:pPr>
            <w:r>
              <w:rPr>
                <w:spacing w:val="5"/>
              </w:rPr>
              <w:t>不敏感</w:t>
            </w:r>
          </w:p>
        </w:tc>
        <w:tc>
          <w:tcPr>
            <w:tcW w:w="793" w:type="dxa"/>
            <w:vAlign w:val="top"/>
          </w:tcPr>
          <w:p w14:paraId="4787EB0A">
            <w:pPr>
              <w:pStyle w:val="6"/>
              <w:spacing w:before="61" w:line="231" w:lineRule="auto"/>
              <w:ind w:left="192"/>
            </w:pPr>
            <w:r>
              <w:rPr>
                <w:spacing w:val="3"/>
              </w:rPr>
              <w:t>一级</w:t>
            </w:r>
          </w:p>
        </w:tc>
        <w:tc>
          <w:tcPr>
            <w:tcW w:w="792" w:type="dxa"/>
            <w:vAlign w:val="top"/>
          </w:tcPr>
          <w:p w14:paraId="08B3A00F">
            <w:pPr>
              <w:pStyle w:val="6"/>
              <w:spacing w:before="61" w:line="231" w:lineRule="auto"/>
              <w:ind w:left="194"/>
            </w:pPr>
            <w:r>
              <w:rPr>
                <w:spacing w:val="3"/>
              </w:rPr>
              <w:t>二级</w:t>
            </w:r>
          </w:p>
        </w:tc>
        <w:tc>
          <w:tcPr>
            <w:tcW w:w="794" w:type="dxa"/>
            <w:vAlign w:val="top"/>
          </w:tcPr>
          <w:p w14:paraId="433D42B5">
            <w:pPr>
              <w:pStyle w:val="6"/>
              <w:spacing w:before="61" w:line="231" w:lineRule="auto"/>
              <w:ind w:left="194"/>
            </w:pPr>
            <w:r>
              <w:rPr>
                <w:spacing w:val="3"/>
              </w:rPr>
              <w:t>二级</w:t>
            </w:r>
          </w:p>
        </w:tc>
        <w:tc>
          <w:tcPr>
            <w:tcW w:w="793" w:type="dxa"/>
            <w:vAlign w:val="top"/>
          </w:tcPr>
          <w:p w14:paraId="01331FFD">
            <w:pPr>
              <w:pStyle w:val="6"/>
              <w:spacing w:before="61" w:line="231" w:lineRule="auto"/>
              <w:ind w:left="197"/>
            </w:pPr>
            <w:r>
              <w:rPr>
                <w:spacing w:val="3"/>
              </w:rPr>
              <w:t>二级</w:t>
            </w:r>
          </w:p>
        </w:tc>
        <w:tc>
          <w:tcPr>
            <w:tcW w:w="792" w:type="dxa"/>
            <w:vAlign w:val="top"/>
          </w:tcPr>
          <w:p w14:paraId="7F60602F">
            <w:pPr>
              <w:pStyle w:val="6"/>
              <w:spacing w:before="61" w:line="231" w:lineRule="auto"/>
              <w:ind w:left="192"/>
            </w:pPr>
            <w:r>
              <w:rPr>
                <w:spacing w:val="4"/>
              </w:rPr>
              <w:t>三级</w:t>
            </w:r>
          </w:p>
        </w:tc>
        <w:tc>
          <w:tcPr>
            <w:tcW w:w="792" w:type="dxa"/>
            <w:shd w:val="clear" w:color="auto" w:fill="CCE8CF"/>
            <w:vAlign w:val="top"/>
          </w:tcPr>
          <w:p w14:paraId="4DF9BE27">
            <w:pPr>
              <w:pStyle w:val="6"/>
              <w:spacing w:before="61" w:line="231" w:lineRule="auto"/>
              <w:ind w:left="192"/>
            </w:pPr>
            <w:r>
              <w:rPr>
                <w:spacing w:val="4"/>
              </w:rPr>
              <w:t>三级</w:t>
            </w:r>
          </w:p>
        </w:tc>
        <w:tc>
          <w:tcPr>
            <w:tcW w:w="793" w:type="dxa"/>
            <w:shd w:val="clear" w:color="auto" w:fill="CCE8CF"/>
            <w:vAlign w:val="top"/>
          </w:tcPr>
          <w:p w14:paraId="077224BC">
            <w:pPr>
              <w:pStyle w:val="6"/>
              <w:spacing w:before="61" w:line="231" w:lineRule="auto"/>
              <w:ind w:left="192"/>
            </w:pPr>
            <w:r>
              <w:rPr>
                <w:spacing w:val="4"/>
              </w:rPr>
              <w:t>三级</w:t>
            </w:r>
          </w:p>
        </w:tc>
        <w:tc>
          <w:tcPr>
            <w:tcW w:w="663" w:type="dxa"/>
            <w:shd w:val="clear" w:color="auto" w:fill="CCE8CF"/>
            <w:vAlign w:val="top"/>
          </w:tcPr>
          <w:p w14:paraId="761FBE41">
            <w:pPr>
              <w:spacing w:before="186" w:line="97" w:lineRule="exact"/>
              <w:ind w:left="3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660" w:type="dxa"/>
            <w:shd w:val="clear" w:color="auto" w:fill="9FD3A4"/>
            <w:vAlign w:val="top"/>
          </w:tcPr>
          <w:p w14:paraId="6A52AD63">
            <w:pPr>
              <w:spacing w:before="186" w:line="97" w:lineRule="exact"/>
              <w:ind w:left="3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52CF5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724" w:type="dxa"/>
            <w:gridSpan w:val="10"/>
            <w:vAlign w:val="top"/>
          </w:tcPr>
          <w:p w14:paraId="0D028E80">
            <w:pPr>
              <w:pStyle w:val="6"/>
              <w:spacing w:before="63" w:line="227" w:lineRule="auto"/>
              <w:ind w:left="116"/>
            </w:pPr>
            <w:r>
              <w:rPr>
                <w:spacing w:val="8"/>
              </w:rPr>
              <w:t>注：</w:t>
            </w:r>
            <w:r>
              <w:rPr>
                <w:rFonts w:ascii="Times New Roman" w:hAnsi="Times New Roman" w:eastAsia="Times New Roman" w:cs="Times New Roman"/>
                <w:spacing w:val="8"/>
              </w:rPr>
              <w:t>“-”</w:t>
            </w:r>
            <w:r>
              <w:rPr>
                <w:spacing w:val="8"/>
              </w:rPr>
              <w:t>表示可不开展土壤环境影响评价工作。</w:t>
            </w:r>
          </w:p>
        </w:tc>
      </w:tr>
    </w:tbl>
    <w:p w14:paraId="70E9ECCE">
      <w:pPr>
        <w:spacing w:before="124" w:line="219" w:lineRule="auto"/>
        <w:ind w:left="548"/>
        <w:rPr>
          <w:rFonts w:ascii="宋体" w:hAnsi="宋体" w:eastAsia="宋体" w:cs="宋体"/>
          <w:sz w:val="24"/>
          <w:szCs w:val="24"/>
        </w:rPr>
      </w:pPr>
      <w:r>
        <w:rPr>
          <w:rFonts w:ascii="宋体" w:hAnsi="宋体" w:eastAsia="宋体" w:cs="宋体"/>
          <w:spacing w:val="-1"/>
          <w:sz w:val="24"/>
          <w:szCs w:val="24"/>
        </w:rPr>
        <w:t>本项目属于</w:t>
      </w:r>
      <w:r>
        <w:rPr>
          <w:rFonts w:ascii="Times New Roman" w:hAnsi="Times New Roman" w:eastAsia="Times New Roman" w:cs="Times New Roman"/>
          <w:spacing w:val="-1"/>
          <w:sz w:val="24"/>
          <w:szCs w:val="24"/>
        </w:rPr>
        <w:t>“</w:t>
      </w:r>
      <w:r>
        <w:rPr>
          <w:rFonts w:ascii="宋体" w:hAnsi="宋体" w:eastAsia="宋体" w:cs="宋体"/>
          <w:spacing w:val="-1"/>
          <w:sz w:val="24"/>
          <w:szCs w:val="24"/>
        </w:rPr>
        <w:t>Ⅲ类</w:t>
      </w:r>
      <w:r>
        <w:rPr>
          <w:rFonts w:ascii="Times New Roman" w:hAnsi="Times New Roman" w:eastAsia="Times New Roman" w:cs="Times New Roman"/>
          <w:spacing w:val="-1"/>
          <w:sz w:val="24"/>
          <w:szCs w:val="24"/>
        </w:rPr>
        <w:t>-</w:t>
      </w:r>
      <w:r>
        <w:rPr>
          <w:rFonts w:ascii="宋体" w:hAnsi="宋体" w:eastAsia="宋体" w:cs="宋体"/>
          <w:spacing w:val="-1"/>
          <w:sz w:val="24"/>
          <w:szCs w:val="24"/>
        </w:rPr>
        <w:t>小型</w:t>
      </w:r>
      <w:r>
        <w:rPr>
          <w:rFonts w:ascii="Times New Roman" w:hAnsi="Times New Roman" w:eastAsia="Times New Roman" w:cs="Times New Roman"/>
          <w:spacing w:val="-1"/>
          <w:sz w:val="24"/>
          <w:szCs w:val="24"/>
        </w:rPr>
        <w:t>-</w:t>
      </w:r>
      <w:r>
        <w:rPr>
          <w:rFonts w:ascii="宋体" w:hAnsi="宋体" w:eastAsia="宋体" w:cs="宋体"/>
          <w:spacing w:val="-1"/>
          <w:sz w:val="24"/>
          <w:szCs w:val="24"/>
        </w:rPr>
        <w:t>不敏感</w:t>
      </w:r>
      <w:r>
        <w:rPr>
          <w:rFonts w:ascii="Times New Roman" w:hAnsi="Times New Roman" w:eastAsia="Times New Roman" w:cs="Times New Roman"/>
          <w:spacing w:val="-1"/>
          <w:sz w:val="24"/>
          <w:szCs w:val="24"/>
        </w:rPr>
        <w:t>”</w:t>
      </w:r>
      <w:r>
        <w:rPr>
          <w:rFonts w:ascii="宋体" w:hAnsi="宋体" w:eastAsia="宋体" w:cs="宋体"/>
          <w:spacing w:val="-1"/>
          <w:sz w:val="24"/>
          <w:szCs w:val="24"/>
        </w:rPr>
        <w:t>项目，不需开展土壤评价。</w:t>
      </w:r>
    </w:p>
    <w:p w14:paraId="4CBA4868">
      <w:pPr>
        <w:spacing w:before="204"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2.4.7</w:t>
      </w:r>
      <w:r>
        <w:rPr>
          <w:rFonts w:ascii="宋体" w:hAnsi="宋体" w:eastAsia="宋体" w:cs="宋体"/>
          <w:b/>
          <w:bCs/>
          <w:spacing w:val="-2"/>
          <w:sz w:val="24"/>
          <w:szCs w:val="24"/>
        </w:rPr>
        <w:t>风险评价等级与范围</w:t>
      </w:r>
    </w:p>
    <w:p w14:paraId="7B3FAE6F">
      <w:pPr>
        <w:spacing w:before="168" w:line="338" w:lineRule="exact"/>
        <w:ind w:left="621"/>
        <w:rPr>
          <w:rFonts w:ascii="宋体" w:hAnsi="宋体" w:eastAsia="宋体" w:cs="宋体"/>
          <w:sz w:val="24"/>
          <w:szCs w:val="24"/>
        </w:rPr>
      </w:pPr>
      <w:r>
        <w:rPr>
          <w:rFonts w:ascii="Times New Roman" w:hAnsi="Times New Roman" w:eastAsia="Times New Roman" w:cs="Times New Roman"/>
          <w:spacing w:val="-4"/>
          <w:position w:val="3"/>
          <w:sz w:val="24"/>
          <w:szCs w:val="24"/>
        </w:rPr>
        <w:t>1</w:t>
      </w:r>
      <w:r>
        <w:rPr>
          <w:rFonts w:ascii="Times New Roman" w:hAnsi="Times New Roman" w:eastAsia="Times New Roman" w:cs="Times New Roman"/>
          <w:spacing w:val="-18"/>
          <w:position w:val="3"/>
          <w:sz w:val="24"/>
          <w:szCs w:val="24"/>
        </w:rPr>
        <w:t xml:space="preserve"> </w:t>
      </w:r>
      <w:r>
        <w:rPr>
          <w:rFonts w:ascii="宋体" w:hAnsi="宋体" w:eastAsia="宋体" w:cs="宋体"/>
          <w:spacing w:val="-4"/>
          <w:position w:val="3"/>
          <w:sz w:val="24"/>
          <w:szCs w:val="24"/>
        </w:rPr>
        <w:t>、危险物质数量与临界量的比值（</w:t>
      </w:r>
      <w:r>
        <w:rPr>
          <w:rFonts w:ascii="Times New Roman" w:hAnsi="Times New Roman" w:eastAsia="Times New Roman" w:cs="Times New Roman"/>
          <w:spacing w:val="-4"/>
          <w:position w:val="3"/>
          <w:sz w:val="24"/>
          <w:szCs w:val="24"/>
        </w:rPr>
        <w:t>Q</w:t>
      </w:r>
      <w:r>
        <w:rPr>
          <w:rFonts w:ascii="宋体" w:hAnsi="宋体" w:eastAsia="宋体" w:cs="宋体"/>
          <w:spacing w:val="-4"/>
          <w:position w:val="3"/>
          <w:sz w:val="24"/>
          <w:szCs w:val="24"/>
        </w:rPr>
        <w:t>）</w:t>
      </w:r>
    </w:p>
    <w:p w14:paraId="15CDA189">
      <w:pPr>
        <w:spacing w:before="153" w:line="380" w:lineRule="auto"/>
        <w:ind w:left="122" w:right="110" w:firstLine="480"/>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169-2018</w:t>
      </w:r>
      <w:r>
        <w:rPr>
          <w:rFonts w:ascii="宋体" w:hAnsi="宋体" w:eastAsia="宋体" w:cs="宋体"/>
          <w:spacing w:val="12"/>
          <w:sz w:val="24"/>
          <w:szCs w:val="24"/>
        </w:rPr>
        <w:t>），</w:t>
      </w:r>
      <w:r>
        <w:rPr>
          <w:rFonts w:ascii="宋体" w:hAnsi="宋体" w:eastAsia="宋体" w:cs="宋体"/>
          <w:spacing w:val="2"/>
          <w:sz w:val="24"/>
          <w:szCs w:val="24"/>
        </w:rPr>
        <w:t>将本项目使用的原</w:t>
      </w:r>
      <w:r>
        <w:rPr>
          <w:rFonts w:ascii="宋体" w:hAnsi="宋体" w:eastAsia="宋体" w:cs="宋体"/>
          <w:sz w:val="24"/>
          <w:szCs w:val="24"/>
        </w:rPr>
        <w:t xml:space="preserve"> </w:t>
      </w:r>
      <w:r>
        <w:rPr>
          <w:rFonts w:ascii="宋体" w:hAnsi="宋体" w:eastAsia="宋体" w:cs="宋体"/>
          <w:spacing w:val="1"/>
          <w:sz w:val="24"/>
          <w:szCs w:val="24"/>
        </w:rPr>
        <w:t>辅料及废水、废物产生情况与附录</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进行核对，企业在生产过程中涉及不涉</w:t>
      </w:r>
      <w:r>
        <w:rPr>
          <w:rFonts w:ascii="宋体" w:hAnsi="宋体" w:eastAsia="宋体" w:cs="宋体"/>
          <w:sz w:val="24"/>
          <w:szCs w:val="24"/>
        </w:rPr>
        <w:t xml:space="preserve">及风险 </w:t>
      </w:r>
      <w:r>
        <w:rPr>
          <w:rFonts w:ascii="宋体" w:hAnsi="宋体" w:eastAsia="宋体" w:cs="宋体"/>
          <w:spacing w:val="-4"/>
          <w:sz w:val="24"/>
          <w:szCs w:val="24"/>
        </w:rPr>
        <w:t>物质。</w:t>
      </w:r>
    </w:p>
    <w:p w14:paraId="26D3968C">
      <w:pPr>
        <w:spacing w:before="309" w:line="338" w:lineRule="exact"/>
        <w:ind w:left="632"/>
        <w:rPr>
          <w:rFonts w:ascii="宋体" w:hAnsi="宋体" w:eastAsia="宋体" w:cs="宋体"/>
          <w:sz w:val="24"/>
          <w:szCs w:val="24"/>
        </w:rPr>
      </w:pPr>
      <w:r>
        <w:rPr>
          <w:rFonts w:ascii="宋体" w:hAnsi="宋体" w:eastAsia="宋体" w:cs="宋体"/>
          <w:spacing w:val="-8"/>
          <w:position w:val="3"/>
          <w:sz w:val="24"/>
          <w:szCs w:val="24"/>
        </w:rPr>
        <w:t>由于企业</w:t>
      </w:r>
      <w:r>
        <w:rPr>
          <w:rFonts w:ascii="宋体" w:hAnsi="宋体" w:eastAsia="宋体" w:cs="宋体"/>
          <w:spacing w:val="-42"/>
          <w:position w:val="3"/>
          <w:sz w:val="24"/>
          <w:szCs w:val="24"/>
        </w:rPr>
        <w:t xml:space="preserve"> </w:t>
      </w:r>
      <w:r>
        <w:rPr>
          <w:rFonts w:ascii="Times New Roman" w:hAnsi="Times New Roman" w:eastAsia="Times New Roman" w:cs="Times New Roman"/>
          <w:spacing w:val="-8"/>
          <w:position w:val="3"/>
          <w:sz w:val="24"/>
          <w:szCs w:val="24"/>
        </w:rPr>
        <w:t>Q&lt;</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8"/>
          <w:position w:val="3"/>
          <w:sz w:val="24"/>
          <w:szCs w:val="24"/>
        </w:rPr>
        <w:t>1</w:t>
      </w:r>
      <w:r>
        <w:rPr>
          <w:rFonts w:ascii="Times New Roman" w:hAnsi="Times New Roman" w:eastAsia="Times New Roman" w:cs="Times New Roman"/>
          <w:spacing w:val="-33"/>
          <w:position w:val="3"/>
          <w:sz w:val="24"/>
          <w:szCs w:val="24"/>
        </w:rPr>
        <w:t xml:space="preserve"> </w:t>
      </w:r>
      <w:r>
        <w:rPr>
          <w:rFonts w:ascii="宋体" w:hAnsi="宋体" w:eastAsia="宋体" w:cs="宋体"/>
          <w:spacing w:val="-8"/>
          <w:position w:val="3"/>
          <w:sz w:val="24"/>
          <w:szCs w:val="24"/>
        </w:rPr>
        <w:t>，可直接判定，企业环境风险潜势为</w:t>
      </w:r>
      <w:r>
        <w:rPr>
          <w:rFonts w:ascii="宋体" w:hAnsi="宋体" w:eastAsia="宋体" w:cs="宋体"/>
          <w:spacing w:val="-33"/>
          <w:position w:val="3"/>
          <w:sz w:val="24"/>
          <w:szCs w:val="24"/>
        </w:rPr>
        <w:t xml:space="preserve"> </w:t>
      </w:r>
      <w:r>
        <w:rPr>
          <w:rFonts w:ascii="宋体" w:hAnsi="宋体" w:eastAsia="宋体" w:cs="宋体"/>
          <w:spacing w:val="-8"/>
          <w:position w:val="3"/>
          <w:sz w:val="24"/>
          <w:szCs w:val="24"/>
        </w:rPr>
        <w:t>Ⅰ。</w:t>
      </w:r>
    </w:p>
    <w:p w14:paraId="5FF37594">
      <w:pPr>
        <w:spacing w:before="152" w:line="358"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、工作评价等级</w:t>
      </w:r>
    </w:p>
    <w:p w14:paraId="1E44BDE6">
      <w:pPr>
        <w:spacing w:before="129" w:line="380" w:lineRule="auto"/>
        <w:ind w:left="122" w:right="110" w:firstLine="480"/>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169-2018</w:t>
      </w:r>
      <w:r>
        <w:rPr>
          <w:rFonts w:ascii="宋体" w:hAnsi="宋体" w:eastAsia="宋体" w:cs="宋体"/>
          <w:spacing w:val="12"/>
          <w:sz w:val="24"/>
          <w:szCs w:val="24"/>
        </w:rPr>
        <w:t>），</w:t>
      </w:r>
      <w:r>
        <w:rPr>
          <w:rFonts w:ascii="宋体" w:hAnsi="宋体" w:eastAsia="宋体" w:cs="宋体"/>
          <w:spacing w:val="2"/>
          <w:sz w:val="24"/>
          <w:szCs w:val="24"/>
        </w:rPr>
        <w:t>环境风险评价等级</w:t>
      </w:r>
      <w:r>
        <w:rPr>
          <w:rFonts w:ascii="宋体" w:hAnsi="宋体" w:eastAsia="宋体" w:cs="宋体"/>
          <w:sz w:val="24"/>
          <w:szCs w:val="24"/>
        </w:rPr>
        <w:t xml:space="preserve"> </w:t>
      </w:r>
      <w:r>
        <w:rPr>
          <w:rFonts w:ascii="宋体" w:hAnsi="宋体" w:eastAsia="宋体" w:cs="宋体"/>
          <w:spacing w:val="2"/>
          <w:sz w:val="24"/>
          <w:szCs w:val="24"/>
        </w:rPr>
        <w:t>工作划分为一级、二级、三级。根据建设项目涉及的物质及工艺系统危险性和所在</w:t>
      </w:r>
      <w:r>
        <w:rPr>
          <w:rFonts w:ascii="宋体" w:hAnsi="宋体" w:eastAsia="宋体" w:cs="宋体"/>
          <w:spacing w:val="6"/>
          <w:sz w:val="24"/>
          <w:szCs w:val="24"/>
        </w:rPr>
        <w:t xml:space="preserve"> </w:t>
      </w:r>
      <w:r>
        <w:rPr>
          <w:rFonts w:ascii="宋体" w:hAnsi="宋体" w:eastAsia="宋体" w:cs="宋体"/>
          <w:spacing w:val="-1"/>
          <w:sz w:val="24"/>
          <w:szCs w:val="24"/>
        </w:rPr>
        <w:t>地的环境敏感性确定环境风险潜势，按下表确定工作等级。</w:t>
      </w:r>
    </w:p>
    <w:p w14:paraId="028DC50F">
      <w:pPr>
        <w:spacing w:before="37" w:line="228" w:lineRule="auto"/>
        <w:ind w:left="345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2.4-8  </w:t>
      </w:r>
      <w:r>
        <w:rPr>
          <w:rFonts w:ascii="宋体" w:hAnsi="宋体" w:eastAsia="宋体" w:cs="宋体"/>
          <w:b/>
          <w:bCs/>
          <w:spacing w:val="5"/>
          <w:sz w:val="20"/>
          <w:szCs w:val="20"/>
        </w:rPr>
        <w:t>评级工作等级划分</w:t>
      </w:r>
    </w:p>
    <w:p w14:paraId="4B38D69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1788"/>
        <w:gridCol w:w="1788"/>
        <w:gridCol w:w="1788"/>
        <w:gridCol w:w="1793"/>
      </w:tblGrid>
      <w:tr w14:paraId="0EE55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93" w:type="dxa"/>
            <w:vAlign w:val="top"/>
          </w:tcPr>
          <w:p w14:paraId="38AFE749">
            <w:pPr>
              <w:pStyle w:val="6"/>
              <w:spacing w:before="63" w:line="228" w:lineRule="auto"/>
              <w:ind w:left="272"/>
            </w:pPr>
            <w:r>
              <w:rPr>
                <w:spacing w:val="8"/>
              </w:rPr>
              <w:t>环境风险潜势</w:t>
            </w:r>
          </w:p>
        </w:tc>
        <w:tc>
          <w:tcPr>
            <w:tcW w:w="1788" w:type="dxa"/>
            <w:vAlign w:val="top"/>
          </w:tcPr>
          <w:p w14:paraId="0F70BF21">
            <w:pPr>
              <w:pStyle w:val="6"/>
              <w:spacing w:before="62" w:line="241" w:lineRule="auto"/>
              <w:ind w:left="554"/>
              <w:rPr>
                <w:rFonts w:ascii="Times New Roman" w:hAnsi="Times New Roman" w:eastAsia="Times New Roman" w:cs="Times New Roman"/>
                <w:sz w:val="13"/>
                <w:szCs w:val="13"/>
              </w:rPr>
            </w:pPr>
            <w:r>
              <w:rPr>
                <w:spacing w:val="-8"/>
              </w:rPr>
              <w:t>Ⅳ</w:t>
            </w:r>
            <w:r>
              <w:rPr>
                <w:spacing w:val="-78"/>
              </w:rPr>
              <w:t xml:space="preserve"> </w:t>
            </w:r>
            <w:r>
              <w:rPr>
                <w:spacing w:val="-8"/>
              </w:rPr>
              <w:t>、</w:t>
            </w:r>
            <w:r>
              <w:rPr>
                <w:spacing w:val="-75"/>
              </w:rPr>
              <w:t xml:space="preserve"> </w:t>
            </w:r>
            <w:r>
              <w:rPr>
                <w:spacing w:val="-8"/>
              </w:rPr>
              <w:t>Ⅳ</w:t>
            </w:r>
            <w:r>
              <w:rPr>
                <w:rFonts w:ascii="Times New Roman" w:hAnsi="Times New Roman" w:eastAsia="Times New Roman" w:cs="Times New Roman"/>
                <w:spacing w:val="-8"/>
                <w:position w:val="6"/>
                <w:sz w:val="13"/>
                <w:szCs w:val="13"/>
              </w:rPr>
              <w:t>+</w:t>
            </w:r>
          </w:p>
        </w:tc>
        <w:tc>
          <w:tcPr>
            <w:tcW w:w="1788" w:type="dxa"/>
            <w:vAlign w:val="top"/>
          </w:tcPr>
          <w:p w14:paraId="248CB1B6">
            <w:pPr>
              <w:pStyle w:val="6"/>
              <w:spacing w:before="62" w:line="241" w:lineRule="auto"/>
              <w:ind w:left="794"/>
            </w:pPr>
            <w:r>
              <w:rPr>
                <w:spacing w:val="1"/>
              </w:rPr>
              <w:t>Ⅲ</w:t>
            </w:r>
          </w:p>
        </w:tc>
        <w:tc>
          <w:tcPr>
            <w:tcW w:w="1788" w:type="dxa"/>
            <w:vAlign w:val="top"/>
          </w:tcPr>
          <w:p w14:paraId="02F4EC5C">
            <w:pPr>
              <w:pStyle w:val="6"/>
              <w:spacing w:before="62" w:line="241" w:lineRule="auto"/>
              <w:ind w:left="831"/>
            </w:pPr>
            <w:r>
              <w:t>Ⅱ</w:t>
            </w:r>
          </w:p>
        </w:tc>
        <w:tc>
          <w:tcPr>
            <w:tcW w:w="1793" w:type="dxa"/>
            <w:vAlign w:val="top"/>
          </w:tcPr>
          <w:p w14:paraId="32B44DAC">
            <w:pPr>
              <w:pStyle w:val="6"/>
              <w:spacing w:before="62" w:line="241" w:lineRule="auto"/>
              <w:ind w:left="863"/>
            </w:pPr>
            <w:r>
              <w:t>Ⅰ</w:t>
            </w:r>
          </w:p>
        </w:tc>
      </w:tr>
      <w:tr w14:paraId="16647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Align w:val="top"/>
          </w:tcPr>
          <w:p w14:paraId="53AAA53B">
            <w:pPr>
              <w:pStyle w:val="6"/>
              <w:spacing w:before="60" w:line="227" w:lineRule="auto"/>
              <w:ind w:left="271"/>
            </w:pPr>
            <w:r>
              <w:rPr>
                <w:spacing w:val="8"/>
              </w:rPr>
              <w:t>评价工作等级</w:t>
            </w:r>
          </w:p>
        </w:tc>
        <w:tc>
          <w:tcPr>
            <w:tcW w:w="1788" w:type="dxa"/>
            <w:vAlign w:val="top"/>
          </w:tcPr>
          <w:p w14:paraId="1DB6563E">
            <w:pPr>
              <w:pStyle w:val="6"/>
              <w:spacing w:before="138" w:line="156" w:lineRule="exact"/>
              <w:ind w:left="796"/>
            </w:pPr>
            <w:r>
              <w:rPr>
                <w:position w:val="-4"/>
              </w:rPr>
              <w:t>一</w:t>
            </w:r>
          </w:p>
        </w:tc>
        <w:tc>
          <w:tcPr>
            <w:tcW w:w="1788" w:type="dxa"/>
            <w:vAlign w:val="top"/>
          </w:tcPr>
          <w:p w14:paraId="2C85E04C">
            <w:pPr>
              <w:pStyle w:val="6"/>
              <w:spacing w:before="99" w:line="183" w:lineRule="auto"/>
              <w:ind w:left="799"/>
            </w:pPr>
            <w:r>
              <w:t>二</w:t>
            </w:r>
          </w:p>
        </w:tc>
        <w:tc>
          <w:tcPr>
            <w:tcW w:w="1788" w:type="dxa"/>
            <w:vAlign w:val="top"/>
          </w:tcPr>
          <w:p w14:paraId="67FCC9B1">
            <w:pPr>
              <w:pStyle w:val="6"/>
              <w:spacing w:before="60"/>
              <w:ind w:left="795"/>
            </w:pPr>
            <w:r>
              <w:t>三</w:t>
            </w:r>
          </w:p>
        </w:tc>
        <w:tc>
          <w:tcPr>
            <w:tcW w:w="1793" w:type="dxa"/>
            <w:vAlign w:val="top"/>
          </w:tcPr>
          <w:p w14:paraId="1B4AD493">
            <w:pPr>
              <w:pStyle w:val="6"/>
              <w:spacing w:before="59" w:line="228" w:lineRule="auto"/>
              <w:ind w:left="456"/>
              <w:rPr>
                <w:rFonts w:ascii="Times New Roman" w:hAnsi="Times New Roman" w:eastAsia="Times New Roman" w:cs="Times New Roman"/>
                <w:sz w:val="13"/>
                <w:szCs w:val="13"/>
              </w:rPr>
            </w:pPr>
            <w:r>
              <w:rPr>
                <w:spacing w:val="6"/>
              </w:rPr>
              <w:t>简单分析</w:t>
            </w:r>
            <w:r>
              <w:rPr>
                <w:rFonts w:ascii="Times New Roman" w:hAnsi="Times New Roman" w:eastAsia="Times New Roman" w:cs="Times New Roman"/>
                <w:spacing w:val="6"/>
                <w:sz w:val="13"/>
                <w:szCs w:val="13"/>
              </w:rPr>
              <w:t>a</w:t>
            </w:r>
          </w:p>
        </w:tc>
      </w:tr>
      <w:tr w14:paraId="27B02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950" w:type="dxa"/>
            <w:gridSpan w:val="5"/>
            <w:vAlign w:val="top"/>
          </w:tcPr>
          <w:p w14:paraId="47AA1568">
            <w:pPr>
              <w:pStyle w:val="6"/>
              <w:spacing w:before="61" w:line="227" w:lineRule="auto"/>
              <w:ind w:left="110"/>
            </w:pPr>
            <w:r>
              <w:rPr>
                <w:rFonts w:ascii="Times New Roman" w:hAnsi="Times New Roman" w:eastAsia="Times New Roman" w:cs="Times New Roman"/>
                <w:spacing w:val="9"/>
              </w:rPr>
              <w:t>A</w:t>
            </w:r>
            <w:r>
              <w:rPr>
                <w:spacing w:val="9"/>
              </w:rPr>
              <w:t>是相对于详细评价工作内容而言，在描述危险物质、环境影响途径、环境危害后果、风险防范</w:t>
            </w:r>
          </w:p>
          <w:p w14:paraId="256823BA">
            <w:pPr>
              <w:pStyle w:val="6"/>
              <w:spacing w:before="80" w:line="228" w:lineRule="auto"/>
              <w:ind w:left="2725"/>
              <w:rPr>
                <w:rFonts w:ascii="Times New Roman" w:hAnsi="Times New Roman" w:eastAsia="Times New Roman" w:cs="Times New Roman"/>
              </w:rPr>
            </w:pPr>
            <w:r>
              <w:rPr>
                <w:spacing w:val="9"/>
              </w:rPr>
              <w:t>措施等方面给出定性的说明。见附录</w:t>
            </w:r>
            <w:r>
              <w:rPr>
                <w:rFonts w:ascii="Times New Roman" w:hAnsi="Times New Roman" w:eastAsia="Times New Roman" w:cs="Times New Roman"/>
                <w:spacing w:val="9"/>
              </w:rPr>
              <w:t>A</w:t>
            </w:r>
          </w:p>
        </w:tc>
      </w:tr>
    </w:tbl>
    <w:p w14:paraId="6912F7DE">
      <w:pPr>
        <w:spacing w:before="127" w:line="219" w:lineRule="auto"/>
        <w:ind w:left="603"/>
        <w:rPr>
          <w:rFonts w:ascii="宋体" w:hAnsi="宋体" w:eastAsia="宋体" w:cs="宋体"/>
          <w:sz w:val="24"/>
          <w:szCs w:val="24"/>
        </w:rPr>
      </w:pPr>
      <w:r>
        <w:rPr>
          <w:rFonts w:ascii="宋体" w:hAnsi="宋体" w:eastAsia="宋体" w:cs="宋体"/>
          <w:spacing w:val="-2"/>
          <w:sz w:val="24"/>
          <w:szCs w:val="24"/>
        </w:rPr>
        <w:t>本项目为简单分析。</w:t>
      </w:r>
    </w:p>
    <w:p w14:paraId="093FF342">
      <w:pPr>
        <w:spacing w:before="201" w:line="222"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2.4.8</w:t>
      </w:r>
      <w:r>
        <w:rPr>
          <w:rFonts w:ascii="宋体" w:hAnsi="宋体" w:eastAsia="宋体" w:cs="宋体"/>
          <w:b/>
          <w:bCs/>
          <w:spacing w:val="-2"/>
          <w:sz w:val="24"/>
          <w:szCs w:val="24"/>
        </w:rPr>
        <w:t>小结</w:t>
      </w:r>
    </w:p>
    <w:p w14:paraId="01DA034A">
      <w:pPr>
        <w:spacing w:before="201" w:line="379" w:lineRule="auto"/>
        <w:ind w:left="122" w:right="113" w:firstLine="480"/>
        <w:rPr>
          <w:rFonts w:ascii="宋体" w:hAnsi="宋体" w:eastAsia="宋体" w:cs="宋体"/>
          <w:sz w:val="24"/>
          <w:szCs w:val="24"/>
        </w:rPr>
      </w:pPr>
      <w:r>
        <w:rPr>
          <w:rFonts w:ascii="宋体" w:hAnsi="宋体" w:eastAsia="宋体" w:cs="宋体"/>
          <w:spacing w:val="2"/>
          <w:sz w:val="24"/>
          <w:szCs w:val="24"/>
        </w:rPr>
        <w:t>根据上述各环境要素评级工作等级确定依据与实际情况，各环境要素评价等级</w:t>
      </w:r>
      <w:r>
        <w:rPr>
          <w:rFonts w:ascii="宋体" w:hAnsi="宋体" w:eastAsia="宋体" w:cs="宋体"/>
          <w:spacing w:val="10"/>
          <w:sz w:val="24"/>
          <w:szCs w:val="24"/>
        </w:rPr>
        <w:t xml:space="preserve"> </w:t>
      </w:r>
      <w:r>
        <w:rPr>
          <w:rFonts w:ascii="宋体" w:hAnsi="宋体" w:eastAsia="宋体" w:cs="宋体"/>
          <w:spacing w:val="-2"/>
          <w:sz w:val="24"/>
          <w:szCs w:val="24"/>
        </w:rPr>
        <w:t>汇总见下表。</w:t>
      </w:r>
    </w:p>
    <w:p w14:paraId="39255CE3">
      <w:pPr>
        <w:spacing w:line="379" w:lineRule="auto"/>
        <w:rPr>
          <w:rFonts w:ascii="宋体" w:hAnsi="宋体" w:eastAsia="宋体" w:cs="宋体"/>
          <w:sz w:val="24"/>
          <w:szCs w:val="24"/>
        </w:rPr>
        <w:sectPr>
          <w:footerReference r:id="rId45" w:type="default"/>
          <w:pgSz w:w="11906" w:h="16839"/>
          <w:pgMar w:top="1431" w:right="1475" w:bottom="1485" w:left="1475" w:header="0" w:footer="1249" w:gutter="0"/>
          <w:cols w:space="720" w:num="1"/>
        </w:sectPr>
      </w:pPr>
    </w:p>
    <w:p w14:paraId="1091C681">
      <w:pPr>
        <w:spacing w:before="125" w:line="227" w:lineRule="auto"/>
        <w:ind w:left="309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6"/>
          <w:sz w:val="20"/>
          <w:szCs w:val="20"/>
        </w:rPr>
        <w:t xml:space="preserve">2.4-9 </w:t>
      </w:r>
      <w:r>
        <w:rPr>
          <w:rFonts w:ascii="宋体" w:hAnsi="宋体" w:eastAsia="宋体" w:cs="宋体"/>
          <w:b/>
          <w:bCs/>
          <w:spacing w:val="6"/>
          <w:sz w:val="20"/>
          <w:szCs w:val="20"/>
        </w:rPr>
        <w:t>评价工作等级及依据汇总表</w:t>
      </w:r>
    </w:p>
    <w:p w14:paraId="57F04CA0">
      <w:pPr>
        <w:spacing w:before="48"/>
      </w:pPr>
    </w:p>
    <w:p w14:paraId="5F5DB15D">
      <w:pPr>
        <w:spacing w:before="47"/>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9"/>
        <w:gridCol w:w="1276"/>
        <w:gridCol w:w="6285"/>
      </w:tblGrid>
      <w:tr w14:paraId="06D31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9" w:type="dxa"/>
            <w:vAlign w:val="top"/>
          </w:tcPr>
          <w:p w14:paraId="39F0CB91">
            <w:pPr>
              <w:pStyle w:val="6"/>
              <w:spacing w:before="63" w:line="227" w:lineRule="auto"/>
              <w:ind w:left="280"/>
            </w:pPr>
            <w:r>
              <w:rPr>
                <w:b/>
                <w:bCs/>
                <w:spacing w:val="6"/>
              </w:rPr>
              <w:t>评价内容</w:t>
            </w:r>
          </w:p>
        </w:tc>
        <w:tc>
          <w:tcPr>
            <w:tcW w:w="1276" w:type="dxa"/>
            <w:vAlign w:val="top"/>
          </w:tcPr>
          <w:p w14:paraId="4D98C6FD">
            <w:pPr>
              <w:pStyle w:val="6"/>
              <w:spacing w:before="63" w:line="228" w:lineRule="auto"/>
              <w:ind w:left="224"/>
            </w:pPr>
            <w:r>
              <w:rPr>
                <w:b/>
                <w:bCs/>
                <w:spacing w:val="5"/>
              </w:rPr>
              <w:t>工作等级</w:t>
            </w:r>
          </w:p>
        </w:tc>
        <w:tc>
          <w:tcPr>
            <w:tcW w:w="6285" w:type="dxa"/>
            <w:vAlign w:val="top"/>
          </w:tcPr>
          <w:p w14:paraId="454ECE85">
            <w:pPr>
              <w:pStyle w:val="6"/>
              <w:spacing w:before="63" w:line="228" w:lineRule="auto"/>
              <w:ind w:left="2727"/>
            </w:pPr>
            <w:r>
              <w:rPr>
                <w:b/>
                <w:bCs/>
                <w:spacing w:val="6"/>
              </w:rPr>
              <w:t>确定依据</w:t>
            </w:r>
          </w:p>
        </w:tc>
      </w:tr>
      <w:tr w14:paraId="37DAE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89" w:type="dxa"/>
            <w:vAlign w:val="top"/>
          </w:tcPr>
          <w:p w14:paraId="5830B916">
            <w:pPr>
              <w:pStyle w:val="6"/>
              <w:spacing w:before="59" w:line="228" w:lineRule="auto"/>
              <w:ind w:left="175"/>
            </w:pPr>
            <w:r>
              <w:rPr>
                <w:spacing w:val="8"/>
              </w:rPr>
              <w:t>地表水环境</w:t>
            </w:r>
          </w:p>
        </w:tc>
        <w:tc>
          <w:tcPr>
            <w:tcW w:w="1276" w:type="dxa"/>
            <w:vAlign w:val="top"/>
          </w:tcPr>
          <w:p w14:paraId="6051E147">
            <w:pPr>
              <w:pStyle w:val="6"/>
              <w:spacing w:before="59" w:line="230" w:lineRule="auto"/>
              <w:ind w:left="330"/>
            </w:pPr>
            <w:r>
              <w:rPr>
                <w:spacing w:val="5"/>
              </w:rPr>
              <w:t>不开展</w:t>
            </w:r>
          </w:p>
        </w:tc>
        <w:tc>
          <w:tcPr>
            <w:tcW w:w="6285" w:type="dxa"/>
            <w:vAlign w:val="top"/>
          </w:tcPr>
          <w:p w14:paraId="53F38C5A">
            <w:pPr>
              <w:pStyle w:val="6"/>
              <w:spacing w:before="59" w:line="228" w:lineRule="auto"/>
              <w:ind w:left="2311"/>
            </w:pPr>
            <w:r>
              <w:rPr>
                <w:spacing w:val="8"/>
              </w:rPr>
              <w:t>项目没有废水外排</w:t>
            </w:r>
          </w:p>
        </w:tc>
      </w:tr>
      <w:tr w14:paraId="50DD2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9" w:type="dxa"/>
            <w:vAlign w:val="top"/>
          </w:tcPr>
          <w:p w14:paraId="00A937AA">
            <w:pPr>
              <w:pStyle w:val="6"/>
              <w:spacing w:before="59" w:line="229" w:lineRule="auto"/>
              <w:ind w:left="283"/>
            </w:pPr>
            <w:r>
              <w:rPr>
                <w:spacing w:val="6"/>
              </w:rPr>
              <w:t>大气环境</w:t>
            </w:r>
          </w:p>
        </w:tc>
        <w:tc>
          <w:tcPr>
            <w:tcW w:w="1276" w:type="dxa"/>
            <w:vAlign w:val="top"/>
          </w:tcPr>
          <w:p w14:paraId="7C190ABD">
            <w:pPr>
              <w:pStyle w:val="6"/>
              <w:spacing w:before="59" w:line="231" w:lineRule="auto"/>
              <w:ind w:left="436"/>
            </w:pPr>
            <w:r>
              <w:rPr>
                <w:spacing w:val="3"/>
              </w:rPr>
              <w:t>二级</w:t>
            </w:r>
          </w:p>
        </w:tc>
        <w:tc>
          <w:tcPr>
            <w:tcW w:w="6285" w:type="dxa"/>
            <w:vAlign w:val="top"/>
          </w:tcPr>
          <w:p w14:paraId="0D501AE4">
            <w:pPr>
              <w:pStyle w:val="6"/>
              <w:spacing w:before="28" w:line="274" w:lineRule="exact"/>
              <w:ind w:left="769"/>
              <w:rPr>
                <w:rFonts w:ascii="Times New Roman" w:hAnsi="Times New Roman" w:eastAsia="Times New Roman" w:cs="Times New Roman"/>
              </w:rPr>
            </w:pPr>
            <w:r>
              <w:rPr>
                <w:spacing w:val="6"/>
                <w:position w:val="1"/>
              </w:rPr>
              <w:t>大气污染物最大地面浓度占标率均大于</w:t>
            </w:r>
            <w:r>
              <w:rPr>
                <w:spacing w:val="-8"/>
                <w:position w:val="1"/>
              </w:rPr>
              <w:t xml:space="preserve"> </w:t>
            </w:r>
            <w:r>
              <w:rPr>
                <w:rFonts w:ascii="Times New Roman" w:hAnsi="Times New Roman" w:eastAsia="Times New Roman" w:cs="Times New Roman"/>
                <w:spacing w:val="6"/>
                <w:position w:val="1"/>
              </w:rPr>
              <w:t>1%</w:t>
            </w:r>
            <w:r>
              <w:rPr>
                <w:spacing w:val="6"/>
                <w:position w:val="1"/>
              </w:rPr>
              <w:t>小于</w:t>
            </w:r>
            <w:r>
              <w:rPr>
                <w:spacing w:val="-21"/>
                <w:position w:val="1"/>
              </w:rPr>
              <w:t xml:space="preserve"> </w:t>
            </w:r>
            <w:r>
              <w:rPr>
                <w:rFonts w:ascii="Times New Roman" w:hAnsi="Times New Roman" w:eastAsia="Times New Roman" w:cs="Times New Roman"/>
                <w:spacing w:val="6"/>
                <w:position w:val="1"/>
              </w:rPr>
              <w:t>10%</w:t>
            </w:r>
          </w:p>
        </w:tc>
      </w:tr>
      <w:tr w14:paraId="0C992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89" w:type="dxa"/>
            <w:vAlign w:val="top"/>
          </w:tcPr>
          <w:p w14:paraId="0B52694D">
            <w:pPr>
              <w:pStyle w:val="6"/>
              <w:spacing w:before="223" w:line="229" w:lineRule="auto"/>
              <w:ind w:left="388"/>
            </w:pPr>
            <w:r>
              <w:rPr>
                <w:spacing w:val="5"/>
              </w:rPr>
              <w:t>声环境</w:t>
            </w:r>
          </w:p>
        </w:tc>
        <w:tc>
          <w:tcPr>
            <w:tcW w:w="1276" w:type="dxa"/>
            <w:vAlign w:val="top"/>
          </w:tcPr>
          <w:p w14:paraId="071C0044">
            <w:pPr>
              <w:pStyle w:val="6"/>
              <w:spacing w:before="223" w:line="231" w:lineRule="auto"/>
              <w:ind w:left="436"/>
            </w:pPr>
            <w:r>
              <w:rPr>
                <w:spacing w:val="3"/>
              </w:rPr>
              <w:t>二级</w:t>
            </w:r>
          </w:p>
        </w:tc>
        <w:tc>
          <w:tcPr>
            <w:tcW w:w="6285" w:type="dxa"/>
            <w:vAlign w:val="top"/>
          </w:tcPr>
          <w:p w14:paraId="093C899C">
            <w:pPr>
              <w:pStyle w:val="6"/>
              <w:spacing w:before="29" w:line="274" w:lineRule="exact"/>
              <w:ind w:left="111"/>
            </w:pPr>
            <w:r>
              <w:rPr>
                <w:spacing w:val="8"/>
                <w:position w:val="1"/>
              </w:rPr>
              <w:t>位于声环境质量</w:t>
            </w:r>
            <w:r>
              <w:rPr>
                <w:spacing w:val="-32"/>
                <w:position w:val="1"/>
              </w:rPr>
              <w:t xml:space="preserve"> </w:t>
            </w:r>
            <w:r>
              <w:rPr>
                <w:rFonts w:ascii="Times New Roman" w:hAnsi="Times New Roman" w:eastAsia="Times New Roman" w:cs="Times New Roman"/>
                <w:spacing w:val="8"/>
                <w:position w:val="1"/>
              </w:rPr>
              <w:t xml:space="preserve">2 </w:t>
            </w:r>
            <w:r>
              <w:rPr>
                <w:spacing w:val="8"/>
                <w:position w:val="1"/>
              </w:rPr>
              <w:t>类功能区内，建设前后噪声级增加较小（噪声级</w:t>
            </w:r>
          </w:p>
          <w:p w14:paraId="4F91D609">
            <w:pPr>
              <w:pStyle w:val="6"/>
              <w:spacing w:before="52" w:line="274" w:lineRule="exact"/>
              <w:ind w:left="1442"/>
            </w:pPr>
            <w:r>
              <w:rPr>
                <w:spacing w:val="6"/>
                <w:position w:val="2"/>
              </w:rPr>
              <w:t>小于</w:t>
            </w:r>
            <w:r>
              <w:rPr>
                <w:spacing w:val="-38"/>
                <w:position w:val="2"/>
              </w:rPr>
              <w:t xml:space="preserve"> </w:t>
            </w:r>
            <w:r>
              <w:rPr>
                <w:rFonts w:ascii="Times New Roman" w:hAnsi="Times New Roman" w:eastAsia="Times New Roman" w:cs="Times New Roman"/>
                <w:spacing w:val="6"/>
                <w:position w:val="2"/>
              </w:rPr>
              <w:t>3</w:t>
            </w:r>
            <w:r>
              <w:rPr>
                <w:rFonts w:ascii="Times New Roman" w:hAnsi="Times New Roman" w:eastAsia="Times New Roman" w:cs="Times New Roman"/>
                <w:position w:val="2"/>
              </w:rPr>
              <w:t>dB</w:t>
            </w:r>
            <w:r>
              <w:rPr>
                <w:rFonts w:ascii="Times New Roman" w:hAnsi="Times New Roman" w:eastAsia="Times New Roman" w:cs="Times New Roman"/>
                <w:spacing w:val="6"/>
                <w:position w:val="2"/>
              </w:rPr>
              <w:t>(A)</w:t>
            </w:r>
            <w:r>
              <w:rPr>
                <w:spacing w:val="22"/>
                <w:position w:val="2"/>
              </w:rPr>
              <w:t>），</w:t>
            </w:r>
            <w:r>
              <w:rPr>
                <w:spacing w:val="6"/>
                <w:position w:val="2"/>
              </w:rPr>
              <w:t>受影响人口变化不大</w:t>
            </w:r>
          </w:p>
        </w:tc>
      </w:tr>
      <w:tr w14:paraId="48C03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9" w:type="dxa"/>
            <w:vAlign w:val="top"/>
          </w:tcPr>
          <w:p w14:paraId="4411D582">
            <w:pPr>
              <w:pStyle w:val="6"/>
              <w:spacing w:before="62" w:line="228" w:lineRule="auto"/>
              <w:ind w:left="384"/>
            </w:pPr>
            <w:r>
              <w:rPr>
                <w:spacing w:val="6"/>
              </w:rPr>
              <w:t>地下水</w:t>
            </w:r>
          </w:p>
        </w:tc>
        <w:tc>
          <w:tcPr>
            <w:tcW w:w="1276" w:type="dxa"/>
            <w:vAlign w:val="top"/>
          </w:tcPr>
          <w:p w14:paraId="52DA625F">
            <w:pPr>
              <w:pStyle w:val="6"/>
              <w:spacing w:before="61" w:line="231" w:lineRule="auto"/>
              <w:ind w:left="432"/>
            </w:pPr>
            <w:r>
              <w:rPr>
                <w:spacing w:val="4"/>
              </w:rPr>
              <w:t>三级</w:t>
            </w:r>
          </w:p>
        </w:tc>
        <w:tc>
          <w:tcPr>
            <w:tcW w:w="6285" w:type="dxa"/>
            <w:vAlign w:val="top"/>
          </w:tcPr>
          <w:p w14:paraId="5C0B9D31">
            <w:pPr>
              <w:pStyle w:val="6"/>
              <w:spacing w:before="62" w:line="228" w:lineRule="auto"/>
              <w:ind w:left="1784"/>
            </w:pPr>
            <w:r>
              <w:rPr>
                <w:spacing w:val="9"/>
              </w:rPr>
              <w:t>属于不敏感区的Ⅲ类建设项目</w:t>
            </w:r>
          </w:p>
        </w:tc>
      </w:tr>
      <w:tr w14:paraId="58B98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89" w:type="dxa"/>
            <w:vAlign w:val="top"/>
          </w:tcPr>
          <w:p w14:paraId="2C29D7B7">
            <w:pPr>
              <w:pStyle w:val="6"/>
              <w:spacing w:before="226" w:line="229" w:lineRule="auto"/>
              <w:ind w:left="282"/>
            </w:pPr>
            <w:r>
              <w:rPr>
                <w:spacing w:val="6"/>
              </w:rPr>
              <w:t>生态环境</w:t>
            </w:r>
          </w:p>
        </w:tc>
        <w:tc>
          <w:tcPr>
            <w:tcW w:w="1276" w:type="dxa"/>
            <w:vAlign w:val="top"/>
          </w:tcPr>
          <w:p w14:paraId="12A38895">
            <w:pPr>
              <w:pStyle w:val="6"/>
              <w:spacing w:before="225" w:line="231" w:lineRule="auto"/>
              <w:ind w:left="432"/>
            </w:pPr>
            <w:r>
              <w:rPr>
                <w:spacing w:val="4"/>
              </w:rPr>
              <w:t>三级</w:t>
            </w:r>
          </w:p>
        </w:tc>
        <w:tc>
          <w:tcPr>
            <w:tcW w:w="6285" w:type="dxa"/>
            <w:vAlign w:val="top"/>
          </w:tcPr>
          <w:p w14:paraId="4096480F">
            <w:pPr>
              <w:pStyle w:val="6"/>
              <w:spacing w:before="63" w:line="228" w:lineRule="auto"/>
              <w:ind w:left="114"/>
            </w:pPr>
            <w:r>
              <w:rPr>
                <w:spacing w:val="9"/>
              </w:rPr>
              <w:t>建设项目所在地不属于特殊生态敏感区或重要生态敏</w:t>
            </w:r>
            <w:r>
              <w:rPr>
                <w:spacing w:val="8"/>
              </w:rPr>
              <w:t>感区，项目占</w:t>
            </w:r>
          </w:p>
          <w:p w14:paraId="14739AF4">
            <w:pPr>
              <w:pStyle w:val="6"/>
              <w:spacing w:before="48" w:line="274" w:lineRule="exact"/>
              <w:ind w:left="2348"/>
              <w:rPr>
                <w:rFonts w:ascii="Times New Roman" w:hAnsi="Times New Roman" w:eastAsia="Times New Roman" w:cs="Times New Roman"/>
                <w:sz w:val="13"/>
                <w:szCs w:val="13"/>
              </w:rPr>
            </w:pPr>
            <w:r>
              <w:rPr>
                <w:spacing w:val="14"/>
                <w:position w:val="1"/>
              </w:rPr>
              <w:t>地面积小于</w:t>
            </w:r>
            <w:r>
              <w:rPr>
                <w:rFonts w:ascii="Times New Roman" w:hAnsi="Times New Roman" w:eastAsia="Times New Roman" w:cs="Times New Roman"/>
                <w:spacing w:val="14"/>
                <w:position w:val="1"/>
              </w:rPr>
              <w:t xml:space="preserve">2 </w:t>
            </w:r>
            <w:r>
              <w:rPr>
                <w:rFonts w:ascii="Times New Roman" w:hAnsi="Times New Roman" w:eastAsia="Times New Roman" w:cs="Times New Roman"/>
                <w:position w:val="1"/>
              </w:rPr>
              <w:t>km</w:t>
            </w:r>
            <w:r>
              <w:rPr>
                <w:rFonts w:ascii="Times New Roman" w:hAnsi="Times New Roman" w:eastAsia="Times New Roman" w:cs="Times New Roman"/>
                <w:spacing w:val="14"/>
                <w:position w:val="7"/>
                <w:sz w:val="13"/>
                <w:szCs w:val="13"/>
              </w:rPr>
              <w:t>2</w:t>
            </w:r>
          </w:p>
        </w:tc>
      </w:tr>
      <w:tr w14:paraId="3869E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89" w:type="dxa"/>
            <w:vAlign w:val="top"/>
          </w:tcPr>
          <w:p w14:paraId="6652D427">
            <w:pPr>
              <w:pStyle w:val="6"/>
              <w:spacing w:before="64" w:line="229" w:lineRule="auto"/>
              <w:ind w:left="281"/>
            </w:pPr>
            <w:r>
              <w:rPr>
                <w:spacing w:val="7"/>
              </w:rPr>
              <w:t>土壤环境</w:t>
            </w:r>
          </w:p>
        </w:tc>
        <w:tc>
          <w:tcPr>
            <w:tcW w:w="1276" w:type="dxa"/>
            <w:vAlign w:val="top"/>
          </w:tcPr>
          <w:p w14:paraId="6CB62BFE">
            <w:pPr>
              <w:pStyle w:val="6"/>
              <w:spacing w:before="64" w:line="230" w:lineRule="auto"/>
              <w:ind w:left="330"/>
            </w:pPr>
            <w:r>
              <w:rPr>
                <w:spacing w:val="5"/>
              </w:rPr>
              <w:t>不开展</w:t>
            </w:r>
          </w:p>
        </w:tc>
        <w:tc>
          <w:tcPr>
            <w:tcW w:w="6285" w:type="dxa"/>
            <w:vAlign w:val="top"/>
          </w:tcPr>
          <w:p w14:paraId="619ADD44">
            <w:pPr>
              <w:spacing w:before="33" w:line="274" w:lineRule="exact"/>
              <w:ind w:left="31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D89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9" w:type="dxa"/>
            <w:vAlign w:val="top"/>
          </w:tcPr>
          <w:p w14:paraId="499DA7E5">
            <w:pPr>
              <w:pStyle w:val="6"/>
              <w:spacing w:before="64" w:line="229" w:lineRule="auto"/>
              <w:ind w:left="490"/>
            </w:pPr>
            <w:r>
              <w:rPr>
                <w:spacing w:val="4"/>
              </w:rPr>
              <w:t>风险</w:t>
            </w:r>
          </w:p>
        </w:tc>
        <w:tc>
          <w:tcPr>
            <w:tcW w:w="1276" w:type="dxa"/>
            <w:vAlign w:val="top"/>
          </w:tcPr>
          <w:p w14:paraId="534D46E3">
            <w:pPr>
              <w:pStyle w:val="6"/>
              <w:spacing w:before="63" w:line="228" w:lineRule="auto"/>
              <w:ind w:left="225"/>
            </w:pPr>
            <w:r>
              <w:rPr>
                <w:spacing w:val="6"/>
              </w:rPr>
              <w:t>简单分析</w:t>
            </w:r>
          </w:p>
        </w:tc>
        <w:tc>
          <w:tcPr>
            <w:tcW w:w="6285" w:type="dxa"/>
            <w:vAlign w:val="top"/>
          </w:tcPr>
          <w:p w14:paraId="19439AAA">
            <w:pPr>
              <w:pStyle w:val="6"/>
              <w:spacing w:before="33" w:line="274" w:lineRule="exact"/>
              <w:ind w:left="2911"/>
              <w:rPr>
                <w:rFonts w:ascii="Times New Roman" w:hAnsi="Times New Roman" w:eastAsia="Times New Roman" w:cs="Times New Roman"/>
              </w:rPr>
            </w:pPr>
            <w:r>
              <w:rPr>
                <w:rFonts w:ascii="Times New Roman" w:hAnsi="Times New Roman" w:eastAsia="Times New Roman" w:cs="Times New Roman"/>
                <w:spacing w:val="5"/>
                <w:position w:val="3"/>
              </w:rPr>
              <w:t>Q</w:t>
            </w:r>
            <w:r>
              <w:rPr>
                <w:spacing w:val="5"/>
                <w:position w:val="3"/>
              </w:rPr>
              <w:t>＜</w:t>
            </w:r>
            <w:r>
              <w:rPr>
                <w:rFonts w:ascii="Times New Roman" w:hAnsi="Times New Roman" w:eastAsia="Times New Roman" w:cs="Times New Roman"/>
                <w:spacing w:val="5"/>
                <w:position w:val="3"/>
              </w:rPr>
              <w:t>1</w:t>
            </w:r>
          </w:p>
        </w:tc>
      </w:tr>
    </w:tbl>
    <w:p w14:paraId="428E1153">
      <w:pPr>
        <w:spacing w:before="289" w:line="219" w:lineRule="auto"/>
        <w:ind w:left="640"/>
        <w:rPr>
          <w:rFonts w:ascii="宋体" w:hAnsi="宋体" w:eastAsia="宋体" w:cs="宋体"/>
          <w:sz w:val="24"/>
          <w:szCs w:val="24"/>
        </w:rPr>
      </w:pPr>
      <w:r>
        <w:rPr>
          <w:rFonts w:ascii="宋体" w:hAnsi="宋体" w:eastAsia="宋体" w:cs="宋体"/>
          <w:spacing w:val="-1"/>
          <w:sz w:val="24"/>
          <w:szCs w:val="24"/>
        </w:rPr>
        <w:t>本次环境影响评价的范围汇总见下表。</w:t>
      </w:r>
    </w:p>
    <w:p w14:paraId="16A89A35">
      <w:pPr>
        <w:spacing w:before="217" w:line="227" w:lineRule="auto"/>
        <w:ind w:left="3359"/>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5"/>
          <w:sz w:val="20"/>
          <w:szCs w:val="20"/>
        </w:rPr>
        <w:t xml:space="preserve">2.4-10 </w:t>
      </w:r>
      <w:r>
        <w:rPr>
          <w:rFonts w:ascii="宋体" w:hAnsi="宋体" w:eastAsia="宋体" w:cs="宋体"/>
          <w:b/>
          <w:bCs/>
          <w:spacing w:val="5"/>
          <w:sz w:val="20"/>
          <w:szCs w:val="20"/>
        </w:rPr>
        <w:t>评价范围汇总表</w:t>
      </w:r>
    </w:p>
    <w:p w14:paraId="0018FCA8">
      <w:pPr>
        <w:spacing w:line="104" w:lineRule="exact"/>
      </w:pPr>
    </w:p>
    <w:tbl>
      <w:tblPr>
        <w:tblStyle w:val="5"/>
        <w:tblW w:w="8950"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7562"/>
      </w:tblGrid>
      <w:tr w14:paraId="0F634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8" w:type="dxa"/>
            <w:vAlign w:val="top"/>
          </w:tcPr>
          <w:p w14:paraId="6C81F059">
            <w:pPr>
              <w:pStyle w:val="6"/>
              <w:spacing w:before="64" w:line="227" w:lineRule="auto"/>
              <w:ind w:left="279"/>
            </w:pPr>
            <w:r>
              <w:rPr>
                <w:b/>
                <w:bCs/>
                <w:spacing w:val="6"/>
              </w:rPr>
              <w:t>评价内容</w:t>
            </w:r>
          </w:p>
        </w:tc>
        <w:tc>
          <w:tcPr>
            <w:tcW w:w="7562" w:type="dxa"/>
            <w:vAlign w:val="top"/>
          </w:tcPr>
          <w:p w14:paraId="74DB4FC6">
            <w:pPr>
              <w:pStyle w:val="6"/>
              <w:spacing w:before="64" w:line="227" w:lineRule="auto"/>
              <w:ind w:left="3364"/>
            </w:pPr>
            <w:r>
              <w:rPr>
                <w:b/>
                <w:bCs/>
                <w:spacing w:val="6"/>
              </w:rPr>
              <w:t>评价范围</w:t>
            </w:r>
          </w:p>
        </w:tc>
      </w:tr>
      <w:tr w14:paraId="0B848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42748460">
            <w:pPr>
              <w:pStyle w:val="6"/>
              <w:spacing w:before="60" w:line="229" w:lineRule="auto"/>
              <w:ind w:left="282"/>
            </w:pPr>
            <w:r>
              <w:rPr>
                <w:spacing w:val="6"/>
              </w:rPr>
              <w:t>大气环境</w:t>
            </w:r>
          </w:p>
        </w:tc>
        <w:tc>
          <w:tcPr>
            <w:tcW w:w="7562" w:type="dxa"/>
            <w:vAlign w:val="top"/>
          </w:tcPr>
          <w:p w14:paraId="06374166">
            <w:pPr>
              <w:pStyle w:val="6"/>
              <w:spacing w:before="29" w:line="274" w:lineRule="exact"/>
              <w:ind w:left="2394"/>
            </w:pPr>
            <w:r>
              <w:rPr>
                <w:spacing w:val="7"/>
                <w:position w:val="1"/>
              </w:rPr>
              <w:t>项目外围边长</w:t>
            </w:r>
            <w:r>
              <w:rPr>
                <w:spacing w:val="-33"/>
                <w:position w:val="1"/>
              </w:rPr>
              <w:t xml:space="preserve"> </w:t>
            </w:r>
            <w:r>
              <w:rPr>
                <w:rFonts w:ascii="Times New Roman" w:hAnsi="Times New Roman" w:eastAsia="Times New Roman" w:cs="Times New Roman"/>
                <w:spacing w:val="7"/>
                <w:position w:val="1"/>
              </w:rPr>
              <w:t>5</w:t>
            </w:r>
            <w:r>
              <w:rPr>
                <w:rFonts w:ascii="Times New Roman" w:hAnsi="Times New Roman" w:eastAsia="Times New Roman" w:cs="Times New Roman"/>
                <w:position w:val="1"/>
              </w:rPr>
              <w:t>km</w:t>
            </w:r>
            <w:r>
              <w:rPr>
                <w:rFonts w:ascii="Times New Roman" w:hAnsi="Times New Roman" w:eastAsia="Times New Roman" w:cs="Times New Roman"/>
                <w:spacing w:val="17"/>
                <w:w w:val="101"/>
                <w:position w:val="1"/>
              </w:rPr>
              <w:t xml:space="preserve"> </w:t>
            </w:r>
            <w:r>
              <w:rPr>
                <w:spacing w:val="7"/>
                <w:position w:val="1"/>
              </w:rPr>
              <w:t>范围的区域</w:t>
            </w:r>
          </w:p>
        </w:tc>
      </w:tr>
      <w:tr w14:paraId="631B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34DBAA94">
            <w:pPr>
              <w:pStyle w:val="6"/>
              <w:spacing w:before="61" w:line="229" w:lineRule="auto"/>
              <w:ind w:left="389"/>
            </w:pPr>
            <w:r>
              <w:rPr>
                <w:spacing w:val="5"/>
              </w:rPr>
              <w:t>声环境</w:t>
            </w:r>
          </w:p>
        </w:tc>
        <w:tc>
          <w:tcPr>
            <w:tcW w:w="7562" w:type="dxa"/>
            <w:vAlign w:val="top"/>
          </w:tcPr>
          <w:p w14:paraId="0EB4B7D2">
            <w:pPr>
              <w:pStyle w:val="6"/>
              <w:spacing w:before="30" w:line="274" w:lineRule="exact"/>
              <w:ind w:left="2656"/>
            </w:pPr>
            <w:r>
              <w:rPr>
                <w:spacing w:val="9"/>
                <w:position w:val="1"/>
              </w:rPr>
              <w:t>项目边界外</w:t>
            </w:r>
            <w:r>
              <w:rPr>
                <w:rFonts w:ascii="Times New Roman" w:hAnsi="Times New Roman" w:eastAsia="Times New Roman" w:cs="Times New Roman"/>
                <w:spacing w:val="9"/>
                <w:position w:val="1"/>
              </w:rPr>
              <w:t>200m</w:t>
            </w:r>
            <w:r>
              <w:rPr>
                <w:rFonts w:ascii="Times New Roman" w:hAnsi="Times New Roman" w:eastAsia="Times New Roman" w:cs="Times New Roman"/>
                <w:spacing w:val="37"/>
                <w:position w:val="1"/>
              </w:rPr>
              <w:t xml:space="preserve"> </w:t>
            </w:r>
            <w:r>
              <w:rPr>
                <w:spacing w:val="9"/>
                <w:position w:val="1"/>
              </w:rPr>
              <w:t>的区域</w:t>
            </w:r>
          </w:p>
        </w:tc>
      </w:tr>
      <w:tr w14:paraId="453D3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13D76DBC">
            <w:pPr>
              <w:pStyle w:val="6"/>
              <w:spacing w:before="62" w:line="228" w:lineRule="auto"/>
              <w:ind w:left="174"/>
            </w:pPr>
            <w:r>
              <w:rPr>
                <w:spacing w:val="8"/>
              </w:rPr>
              <w:t>地下水环境</w:t>
            </w:r>
          </w:p>
        </w:tc>
        <w:tc>
          <w:tcPr>
            <w:tcW w:w="7562" w:type="dxa"/>
            <w:vAlign w:val="top"/>
          </w:tcPr>
          <w:p w14:paraId="60037732">
            <w:pPr>
              <w:pStyle w:val="6"/>
              <w:spacing w:before="31" w:line="274" w:lineRule="exact"/>
              <w:ind w:left="2368"/>
            </w:pPr>
            <w:r>
              <w:rPr>
                <w:spacing w:val="5"/>
                <w:position w:val="1"/>
              </w:rPr>
              <w:t>项目边界外边长为</w:t>
            </w:r>
            <w:r>
              <w:rPr>
                <w:spacing w:val="-21"/>
                <w:position w:val="1"/>
              </w:rPr>
              <w:t xml:space="preserve"> </w:t>
            </w:r>
            <w:r>
              <w:rPr>
                <w:rFonts w:ascii="Times New Roman" w:hAnsi="Times New Roman" w:eastAsia="Times New Roman" w:cs="Times New Roman"/>
                <w:spacing w:val="5"/>
                <w:position w:val="1"/>
              </w:rPr>
              <w:t>1</w:t>
            </w:r>
            <w:r>
              <w:rPr>
                <w:rFonts w:ascii="Times New Roman" w:hAnsi="Times New Roman" w:eastAsia="Times New Roman" w:cs="Times New Roman"/>
                <w:position w:val="1"/>
              </w:rPr>
              <w:t>km</w:t>
            </w:r>
            <w:r>
              <w:rPr>
                <w:rFonts w:ascii="Times New Roman" w:hAnsi="Times New Roman" w:eastAsia="Times New Roman" w:cs="Times New Roman"/>
                <w:spacing w:val="16"/>
                <w:position w:val="1"/>
              </w:rPr>
              <w:t xml:space="preserve">  </w:t>
            </w:r>
            <w:r>
              <w:rPr>
                <w:spacing w:val="5"/>
                <w:position w:val="1"/>
              </w:rPr>
              <w:t>的区域</w:t>
            </w:r>
          </w:p>
        </w:tc>
      </w:tr>
      <w:tr w14:paraId="51868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6839774C">
            <w:pPr>
              <w:pStyle w:val="6"/>
              <w:spacing w:before="63" w:line="229" w:lineRule="auto"/>
              <w:ind w:left="281"/>
            </w:pPr>
            <w:r>
              <w:rPr>
                <w:spacing w:val="6"/>
              </w:rPr>
              <w:t>生态环境</w:t>
            </w:r>
          </w:p>
        </w:tc>
        <w:tc>
          <w:tcPr>
            <w:tcW w:w="7562" w:type="dxa"/>
            <w:vAlign w:val="top"/>
          </w:tcPr>
          <w:p w14:paraId="41E8FBBA">
            <w:pPr>
              <w:pStyle w:val="6"/>
              <w:spacing w:before="63" w:line="228" w:lineRule="auto"/>
              <w:ind w:left="3052"/>
            </w:pPr>
            <w:r>
              <w:rPr>
                <w:spacing w:val="8"/>
              </w:rPr>
              <w:t>项目用地范围内</w:t>
            </w:r>
          </w:p>
        </w:tc>
      </w:tr>
      <w:tr w14:paraId="4E30D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8" w:type="dxa"/>
            <w:vAlign w:val="top"/>
          </w:tcPr>
          <w:p w14:paraId="426F57EE">
            <w:pPr>
              <w:pStyle w:val="6"/>
              <w:spacing w:before="64" w:line="229" w:lineRule="auto"/>
              <w:ind w:left="489"/>
            </w:pPr>
            <w:r>
              <w:rPr>
                <w:spacing w:val="4"/>
              </w:rPr>
              <w:t>风险</w:t>
            </w:r>
          </w:p>
        </w:tc>
        <w:tc>
          <w:tcPr>
            <w:tcW w:w="7562" w:type="dxa"/>
            <w:vAlign w:val="top"/>
          </w:tcPr>
          <w:p w14:paraId="780005BB">
            <w:pPr>
              <w:spacing w:before="33" w:line="274" w:lineRule="exact"/>
              <w:ind w:left="37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0CB88671">
      <w:pPr>
        <w:pStyle w:val="2"/>
      </w:pPr>
    </w:p>
    <w:p w14:paraId="1B853F7A">
      <w:pPr>
        <w:sectPr>
          <w:footerReference r:id="rId46" w:type="default"/>
          <w:pgSz w:w="11906" w:h="16839"/>
          <w:pgMar w:top="1431" w:right="1475" w:bottom="1485" w:left="1438" w:header="0" w:footer="1249" w:gutter="0"/>
          <w:cols w:space="720" w:num="1"/>
        </w:sectPr>
      </w:pPr>
    </w:p>
    <w:p w14:paraId="2FD94FE1">
      <w:pPr>
        <w:pStyle w:val="2"/>
        <w:spacing w:line="312" w:lineRule="auto"/>
      </w:pPr>
    </w:p>
    <w:p w14:paraId="7C662BD1">
      <w:pPr>
        <w:spacing w:before="101" w:line="224" w:lineRule="auto"/>
        <w:ind w:left="121"/>
        <w:outlineLvl w:val="1"/>
        <w:rPr>
          <w:rFonts w:ascii="宋体" w:hAnsi="宋体" w:eastAsia="宋体" w:cs="宋体"/>
          <w:sz w:val="31"/>
          <w:szCs w:val="31"/>
        </w:rPr>
      </w:pPr>
      <w:bookmarkStart w:id="14" w:name="bookmark13"/>
      <w:bookmarkEnd w:id="14"/>
      <w:r>
        <w:rPr>
          <w:rFonts w:ascii="Times New Roman" w:hAnsi="Times New Roman" w:eastAsia="Times New Roman" w:cs="Times New Roman"/>
          <w:b/>
          <w:bCs/>
          <w:spacing w:val="4"/>
          <w:sz w:val="31"/>
          <w:szCs w:val="31"/>
        </w:rPr>
        <w:t>2.5</w:t>
      </w:r>
      <w:r>
        <w:rPr>
          <w:rFonts w:ascii="宋体" w:hAnsi="宋体" w:eastAsia="宋体" w:cs="宋体"/>
          <w:b/>
          <w:bCs/>
          <w:spacing w:val="4"/>
          <w:sz w:val="31"/>
          <w:szCs w:val="31"/>
        </w:rPr>
        <w:t>评价标准</w:t>
      </w:r>
    </w:p>
    <w:p w14:paraId="536C9299">
      <w:pPr>
        <w:pStyle w:val="2"/>
        <w:spacing w:line="412" w:lineRule="auto"/>
      </w:pPr>
    </w:p>
    <w:p w14:paraId="067BA2F0">
      <w:pPr>
        <w:spacing w:before="78" w:line="221"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2.5.1</w:t>
      </w:r>
      <w:r>
        <w:rPr>
          <w:rFonts w:ascii="宋体" w:hAnsi="宋体" w:eastAsia="宋体" w:cs="宋体"/>
          <w:b/>
          <w:bCs/>
          <w:spacing w:val="-2"/>
          <w:sz w:val="24"/>
          <w:szCs w:val="24"/>
        </w:rPr>
        <w:t>环境质量标准</w:t>
      </w:r>
    </w:p>
    <w:p w14:paraId="20346D67">
      <w:pPr>
        <w:spacing w:before="200" w:line="219" w:lineRule="auto"/>
        <w:ind w:left="602"/>
        <w:rPr>
          <w:rFonts w:ascii="宋体" w:hAnsi="宋体" w:eastAsia="宋体" w:cs="宋体"/>
          <w:sz w:val="24"/>
          <w:szCs w:val="24"/>
        </w:rPr>
      </w:pPr>
      <w:r>
        <w:rPr>
          <w:rFonts w:ascii="宋体" w:hAnsi="宋体" w:eastAsia="宋体" w:cs="宋体"/>
          <w:sz w:val="24"/>
          <w:szCs w:val="24"/>
        </w:rPr>
        <w:t>根据项目所在区域环境功能区划，确定本项</w:t>
      </w:r>
      <w:r>
        <w:rPr>
          <w:rFonts w:ascii="宋体" w:hAnsi="宋体" w:eastAsia="宋体" w:cs="宋体"/>
          <w:spacing w:val="-1"/>
          <w:sz w:val="24"/>
          <w:szCs w:val="24"/>
        </w:rPr>
        <w:t>目的环境质量标准如下：</w:t>
      </w:r>
    </w:p>
    <w:p w14:paraId="69AF4775">
      <w:pPr>
        <w:pStyle w:val="2"/>
        <w:spacing w:line="252" w:lineRule="auto"/>
      </w:pPr>
    </w:p>
    <w:p w14:paraId="10E97462">
      <w:pPr>
        <w:spacing w:before="78" w:line="362" w:lineRule="exact"/>
        <w:ind w:left="621"/>
        <w:rPr>
          <w:rFonts w:ascii="宋体" w:hAnsi="宋体" w:eastAsia="宋体" w:cs="宋体"/>
          <w:sz w:val="24"/>
          <w:szCs w:val="24"/>
        </w:rPr>
      </w:pPr>
      <w:r>
        <w:rPr>
          <w:rFonts w:ascii="Times New Roman" w:hAnsi="Times New Roman" w:eastAsia="Times New Roman" w:cs="Times New Roman"/>
          <w:spacing w:val="-6"/>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6"/>
          <w:position w:val="2"/>
          <w:sz w:val="24"/>
          <w:szCs w:val="24"/>
        </w:rPr>
        <w:t>、环境空气质量标准</w:t>
      </w:r>
    </w:p>
    <w:p w14:paraId="4ABC9FD8">
      <w:pPr>
        <w:spacing w:before="127" w:line="375" w:lineRule="auto"/>
        <w:ind w:left="122" w:right="11" w:firstLine="481"/>
        <w:rPr>
          <w:rFonts w:ascii="宋体" w:hAnsi="宋体" w:eastAsia="宋体" w:cs="宋体"/>
          <w:sz w:val="24"/>
          <w:szCs w:val="24"/>
        </w:rPr>
      </w:pPr>
      <w:r>
        <w:rPr>
          <w:rFonts w:ascii="宋体" w:hAnsi="宋体" w:eastAsia="宋体" w:cs="宋体"/>
          <w:spacing w:val="-6"/>
          <w:sz w:val="24"/>
          <w:szCs w:val="24"/>
        </w:rPr>
        <w:t>本项目环境空气质量指标中基本因子执行《环境空气质量标准》（</w:t>
      </w:r>
      <w:r>
        <w:rPr>
          <w:rFonts w:ascii="Times New Roman" w:hAnsi="Times New Roman" w:eastAsia="Times New Roman" w:cs="Times New Roman"/>
          <w:spacing w:val="-6"/>
          <w:sz w:val="24"/>
          <w:szCs w:val="24"/>
        </w:rPr>
        <w:t>GB3095-2012</w:t>
      </w:r>
      <w:r>
        <w:rPr>
          <w:rFonts w:ascii="宋体" w:hAnsi="宋体" w:eastAsia="宋体" w:cs="宋体"/>
          <w:spacing w:val="-6"/>
          <w:sz w:val="24"/>
          <w:szCs w:val="24"/>
        </w:rPr>
        <w:t>）</w:t>
      </w:r>
      <w:r>
        <w:rPr>
          <w:rFonts w:ascii="宋体" w:hAnsi="宋体" w:eastAsia="宋体" w:cs="宋体"/>
          <w:spacing w:val="11"/>
          <w:sz w:val="24"/>
          <w:szCs w:val="24"/>
        </w:rPr>
        <w:t xml:space="preserve"> </w:t>
      </w:r>
      <w:r>
        <w:rPr>
          <w:rFonts w:ascii="宋体" w:hAnsi="宋体" w:eastAsia="宋体" w:cs="宋体"/>
          <w:spacing w:val="-1"/>
          <w:sz w:val="24"/>
          <w:szCs w:val="24"/>
        </w:rPr>
        <w:t>及其</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年修改单二级标准；大气特征污染因子硫化氢及氨执行《</w:t>
      </w:r>
      <w:r>
        <w:rPr>
          <w:rFonts w:ascii="宋体" w:hAnsi="宋体" w:eastAsia="宋体" w:cs="宋体"/>
          <w:spacing w:val="-2"/>
          <w:sz w:val="24"/>
          <w:szCs w:val="24"/>
        </w:rPr>
        <w:t>环境影响评价技</w:t>
      </w:r>
      <w:r>
        <w:rPr>
          <w:rFonts w:ascii="宋体" w:hAnsi="宋体" w:eastAsia="宋体" w:cs="宋体"/>
          <w:sz w:val="24"/>
          <w:szCs w:val="24"/>
        </w:rPr>
        <w:t xml:space="preserve">  </w:t>
      </w:r>
      <w:r>
        <w:rPr>
          <w:rFonts w:ascii="宋体" w:hAnsi="宋体" w:eastAsia="宋体" w:cs="宋体"/>
          <w:spacing w:val="2"/>
          <w:sz w:val="24"/>
          <w:szCs w:val="24"/>
        </w:rPr>
        <w:t>术导则大气环境》（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）中附录</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标准限值。臭气浓度参考执行《恶臭污</w:t>
      </w:r>
      <w:r>
        <w:rPr>
          <w:rFonts w:ascii="宋体" w:hAnsi="宋体" w:eastAsia="宋体" w:cs="宋体"/>
          <w:sz w:val="24"/>
          <w:szCs w:val="24"/>
        </w:rPr>
        <w:t xml:space="preserve"> </w:t>
      </w:r>
      <w:r>
        <w:rPr>
          <w:rFonts w:ascii="宋体" w:hAnsi="宋体" w:eastAsia="宋体" w:cs="宋体"/>
          <w:spacing w:val="-1"/>
          <w:sz w:val="24"/>
          <w:szCs w:val="24"/>
        </w:rPr>
        <w:t>染物排放标准》（</w:t>
      </w:r>
      <w:r>
        <w:rPr>
          <w:rFonts w:ascii="Times New Roman" w:hAnsi="Times New Roman" w:eastAsia="Times New Roman" w:cs="Times New Roman"/>
          <w:spacing w:val="-1"/>
          <w:sz w:val="24"/>
          <w:szCs w:val="24"/>
        </w:rPr>
        <w:t>GB14554-93</w:t>
      </w:r>
      <w:r>
        <w:rPr>
          <w:rFonts w:ascii="宋体" w:hAnsi="宋体" w:eastAsia="宋体" w:cs="宋体"/>
          <w:spacing w:val="-1"/>
          <w:sz w:val="24"/>
          <w:szCs w:val="24"/>
        </w:rPr>
        <w:t>）的二级标准值</w:t>
      </w:r>
    </w:p>
    <w:p w14:paraId="65084649">
      <w:pPr>
        <w:spacing w:before="56" w:line="227"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2.5-1 </w:t>
      </w:r>
      <w:r>
        <w:rPr>
          <w:rFonts w:ascii="宋体" w:hAnsi="宋体" w:eastAsia="宋体" w:cs="宋体"/>
          <w:b/>
          <w:bCs/>
          <w:spacing w:val="6"/>
          <w:sz w:val="20"/>
          <w:szCs w:val="20"/>
        </w:rPr>
        <w:t>环境空气质量评价执行标准</w:t>
      </w:r>
    </w:p>
    <w:p w14:paraId="5D3B19F3">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125"/>
        <w:gridCol w:w="1559"/>
        <w:gridCol w:w="1133"/>
        <w:gridCol w:w="3312"/>
      </w:tblGrid>
      <w:tr w14:paraId="399D7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21" w:type="dxa"/>
            <w:vAlign w:val="top"/>
          </w:tcPr>
          <w:p w14:paraId="4D9536FA">
            <w:pPr>
              <w:pStyle w:val="6"/>
              <w:spacing w:before="99" w:line="230" w:lineRule="auto"/>
              <w:ind w:left="204"/>
            </w:pPr>
            <w:r>
              <w:rPr>
                <w:spacing w:val="5"/>
              </w:rPr>
              <w:t>序号</w:t>
            </w:r>
          </w:p>
        </w:tc>
        <w:tc>
          <w:tcPr>
            <w:tcW w:w="2125" w:type="dxa"/>
            <w:vAlign w:val="top"/>
          </w:tcPr>
          <w:p w14:paraId="179D44FD">
            <w:pPr>
              <w:pStyle w:val="6"/>
              <w:spacing w:before="99" w:line="229" w:lineRule="auto"/>
              <w:ind w:left="859"/>
            </w:pPr>
            <w:r>
              <w:rPr>
                <w:spacing w:val="3"/>
              </w:rPr>
              <w:t>项目</w:t>
            </w:r>
          </w:p>
        </w:tc>
        <w:tc>
          <w:tcPr>
            <w:tcW w:w="1559" w:type="dxa"/>
            <w:vAlign w:val="top"/>
          </w:tcPr>
          <w:p w14:paraId="51E12441">
            <w:pPr>
              <w:pStyle w:val="6"/>
              <w:spacing w:before="99" w:line="228" w:lineRule="auto"/>
              <w:ind w:left="367"/>
            </w:pPr>
            <w:r>
              <w:rPr>
                <w:spacing w:val="6"/>
              </w:rPr>
              <w:t>取值时间</w:t>
            </w:r>
          </w:p>
        </w:tc>
        <w:tc>
          <w:tcPr>
            <w:tcW w:w="1133" w:type="dxa"/>
            <w:vAlign w:val="top"/>
          </w:tcPr>
          <w:p w14:paraId="0F32E15B">
            <w:pPr>
              <w:pStyle w:val="6"/>
              <w:spacing w:before="99" w:line="228" w:lineRule="auto"/>
              <w:ind w:left="152"/>
            </w:pPr>
            <w:r>
              <w:rPr>
                <w:spacing w:val="7"/>
              </w:rPr>
              <w:t>浓度限值</w:t>
            </w:r>
          </w:p>
        </w:tc>
        <w:tc>
          <w:tcPr>
            <w:tcW w:w="3312" w:type="dxa"/>
            <w:vAlign w:val="top"/>
          </w:tcPr>
          <w:p w14:paraId="20954CBD">
            <w:pPr>
              <w:pStyle w:val="6"/>
              <w:spacing w:before="99" w:line="229" w:lineRule="auto"/>
              <w:ind w:left="1241"/>
            </w:pPr>
            <w:r>
              <w:rPr>
                <w:spacing w:val="7"/>
              </w:rPr>
              <w:t>选用标准</w:t>
            </w:r>
          </w:p>
        </w:tc>
      </w:tr>
      <w:tr w14:paraId="7028E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78D60F3D">
            <w:pPr>
              <w:spacing w:line="411" w:lineRule="auto"/>
              <w:rPr>
                <w:rFonts w:ascii="Arial"/>
                <w:sz w:val="21"/>
              </w:rPr>
            </w:pPr>
          </w:p>
          <w:p w14:paraId="0B2C508E">
            <w:pPr>
              <w:spacing w:before="57" w:line="275"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25" w:type="dxa"/>
            <w:vMerge w:val="restart"/>
            <w:tcBorders>
              <w:bottom w:val="nil"/>
            </w:tcBorders>
            <w:vAlign w:val="top"/>
          </w:tcPr>
          <w:p w14:paraId="78C60AB9">
            <w:pPr>
              <w:spacing w:line="403" w:lineRule="auto"/>
              <w:rPr>
                <w:rFonts w:ascii="Arial"/>
                <w:sz w:val="21"/>
              </w:rPr>
            </w:pPr>
          </w:p>
          <w:p w14:paraId="025EA63F">
            <w:pPr>
              <w:pStyle w:val="6"/>
              <w:spacing w:before="65" w:line="275" w:lineRule="exact"/>
              <w:ind w:left="440"/>
            </w:pPr>
            <w:r>
              <w:rPr>
                <w:rFonts w:ascii="Times New Roman" w:hAnsi="Times New Roman" w:eastAsia="Times New Roman" w:cs="Times New Roman"/>
                <w:position w:val="2"/>
              </w:rPr>
              <w:t>SO</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6"/>
                <w:sz w:val="13"/>
                <w:szCs w:val="13"/>
              </w:rPr>
              <w:t xml:space="preserve">   </w:t>
            </w:r>
            <w:r>
              <w:rPr>
                <w:spacing w:val="2"/>
                <w:position w:val="2"/>
              </w:rPr>
              <w:t>(</w:t>
            </w:r>
            <w:r>
              <w:rPr>
                <w:rFonts w:ascii="Times New Roman" w:hAnsi="Times New Roman" w:eastAsia="Times New Roman" w:cs="Times New Roman"/>
                <w:spacing w:val="2"/>
                <w:position w:val="2"/>
              </w:rPr>
              <w:t>μg/m</w:t>
            </w:r>
            <w:r>
              <w:rPr>
                <w:rFonts w:ascii="Times New Roman" w:hAnsi="Times New Roman" w:eastAsia="Times New Roman" w:cs="Times New Roman"/>
                <w:spacing w:val="2"/>
                <w:position w:val="8"/>
                <w:sz w:val="13"/>
                <w:szCs w:val="13"/>
              </w:rPr>
              <w:t>3</w:t>
            </w:r>
            <w:r>
              <w:rPr>
                <w:spacing w:val="2"/>
                <w:position w:val="2"/>
              </w:rPr>
              <w:t>）</w:t>
            </w:r>
          </w:p>
        </w:tc>
        <w:tc>
          <w:tcPr>
            <w:tcW w:w="1559" w:type="dxa"/>
            <w:vAlign w:val="top"/>
          </w:tcPr>
          <w:p w14:paraId="6D229C69">
            <w:pPr>
              <w:pStyle w:val="6"/>
              <w:spacing w:before="94" w:line="228" w:lineRule="auto"/>
              <w:ind w:left="471"/>
            </w:pPr>
            <w:r>
              <w:rPr>
                <w:spacing w:val="6"/>
              </w:rPr>
              <w:t>年平均</w:t>
            </w:r>
          </w:p>
        </w:tc>
        <w:tc>
          <w:tcPr>
            <w:tcW w:w="1133" w:type="dxa"/>
            <w:vAlign w:val="top"/>
          </w:tcPr>
          <w:p w14:paraId="51D257E9">
            <w:pPr>
              <w:spacing w:before="63" w:line="274"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3312" w:type="dxa"/>
            <w:vMerge w:val="restart"/>
            <w:tcBorders>
              <w:bottom w:val="nil"/>
            </w:tcBorders>
            <w:vAlign w:val="top"/>
          </w:tcPr>
          <w:p w14:paraId="6002AD95">
            <w:pPr>
              <w:spacing w:line="260" w:lineRule="auto"/>
              <w:rPr>
                <w:rFonts w:ascii="Arial"/>
                <w:sz w:val="21"/>
              </w:rPr>
            </w:pPr>
          </w:p>
          <w:p w14:paraId="40BAA569">
            <w:pPr>
              <w:spacing w:line="260" w:lineRule="auto"/>
              <w:rPr>
                <w:rFonts w:ascii="Arial"/>
                <w:sz w:val="21"/>
              </w:rPr>
            </w:pPr>
          </w:p>
          <w:p w14:paraId="42664850">
            <w:pPr>
              <w:spacing w:line="260" w:lineRule="auto"/>
              <w:rPr>
                <w:rFonts w:ascii="Arial"/>
                <w:sz w:val="21"/>
              </w:rPr>
            </w:pPr>
          </w:p>
          <w:p w14:paraId="39BFF4BC">
            <w:pPr>
              <w:spacing w:line="260" w:lineRule="auto"/>
              <w:rPr>
                <w:rFonts w:ascii="Arial"/>
                <w:sz w:val="21"/>
              </w:rPr>
            </w:pPr>
          </w:p>
          <w:p w14:paraId="00073508">
            <w:pPr>
              <w:spacing w:line="260" w:lineRule="auto"/>
              <w:rPr>
                <w:rFonts w:ascii="Arial"/>
                <w:sz w:val="21"/>
              </w:rPr>
            </w:pPr>
          </w:p>
          <w:p w14:paraId="0DD1DDC6">
            <w:pPr>
              <w:spacing w:line="260" w:lineRule="auto"/>
              <w:rPr>
                <w:rFonts w:ascii="Arial"/>
                <w:sz w:val="21"/>
              </w:rPr>
            </w:pPr>
          </w:p>
          <w:p w14:paraId="1CB837BB">
            <w:pPr>
              <w:spacing w:line="261" w:lineRule="auto"/>
              <w:rPr>
                <w:rFonts w:ascii="Arial"/>
                <w:sz w:val="21"/>
              </w:rPr>
            </w:pPr>
          </w:p>
          <w:p w14:paraId="2794FCBA">
            <w:pPr>
              <w:spacing w:line="261" w:lineRule="auto"/>
              <w:rPr>
                <w:rFonts w:ascii="Arial"/>
                <w:sz w:val="21"/>
              </w:rPr>
            </w:pPr>
          </w:p>
          <w:p w14:paraId="5629592D">
            <w:pPr>
              <w:spacing w:line="261" w:lineRule="auto"/>
              <w:rPr>
                <w:rFonts w:ascii="Arial"/>
                <w:sz w:val="21"/>
              </w:rPr>
            </w:pPr>
          </w:p>
          <w:p w14:paraId="13498A1C">
            <w:pPr>
              <w:spacing w:line="261" w:lineRule="auto"/>
              <w:rPr>
                <w:rFonts w:ascii="Arial"/>
                <w:sz w:val="21"/>
              </w:rPr>
            </w:pPr>
          </w:p>
          <w:p w14:paraId="4567AF62">
            <w:pPr>
              <w:spacing w:line="261" w:lineRule="auto"/>
              <w:rPr>
                <w:rFonts w:ascii="Arial"/>
                <w:sz w:val="21"/>
              </w:rPr>
            </w:pPr>
          </w:p>
          <w:p w14:paraId="4A826ADC">
            <w:pPr>
              <w:pStyle w:val="6"/>
              <w:spacing w:before="65" w:line="229" w:lineRule="auto"/>
              <w:ind w:left="366"/>
              <w:rPr>
                <w:rFonts w:ascii="Times New Roman" w:hAnsi="Times New Roman" w:eastAsia="Times New Roman" w:cs="Times New Roman"/>
              </w:rPr>
            </w:pPr>
            <w:r>
              <w:rPr>
                <w:spacing w:val="9"/>
              </w:rPr>
              <w:t>《环境空气质量标准》（</w:t>
            </w:r>
            <w:r>
              <w:rPr>
                <w:rFonts w:ascii="Times New Roman" w:hAnsi="Times New Roman" w:eastAsia="Times New Roman" w:cs="Times New Roman"/>
              </w:rPr>
              <w:t>GB</w:t>
            </w:r>
          </w:p>
          <w:p w14:paraId="39F3309C">
            <w:pPr>
              <w:pStyle w:val="6"/>
              <w:spacing w:before="47" w:line="274" w:lineRule="exact"/>
              <w:ind w:left="116"/>
            </w:pPr>
            <w:r>
              <w:rPr>
                <w:rFonts w:ascii="Times New Roman" w:hAnsi="Times New Roman" w:eastAsia="Times New Roman" w:cs="Times New Roman"/>
                <w:spacing w:val="4"/>
                <w:position w:val="1"/>
              </w:rPr>
              <w:t>3095-2012</w:t>
            </w:r>
            <w:r>
              <w:rPr>
                <w:spacing w:val="4"/>
                <w:position w:val="1"/>
              </w:rPr>
              <w:t>）及其</w:t>
            </w:r>
            <w:r>
              <w:rPr>
                <w:spacing w:val="-23"/>
                <w:position w:val="1"/>
              </w:rPr>
              <w:t xml:space="preserve"> </w:t>
            </w:r>
            <w:r>
              <w:rPr>
                <w:rFonts w:ascii="Times New Roman" w:hAnsi="Times New Roman" w:eastAsia="Times New Roman" w:cs="Times New Roman"/>
                <w:spacing w:val="4"/>
                <w:position w:val="1"/>
              </w:rPr>
              <w:t xml:space="preserve">2018 </w:t>
            </w:r>
            <w:r>
              <w:rPr>
                <w:spacing w:val="4"/>
                <w:position w:val="1"/>
              </w:rPr>
              <w:t>年修改单二</w:t>
            </w:r>
          </w:p>
          <w:p w14:paraId="6B0FDB62">
            <w:pPr>
              <w:pStyle w:val="6"/>
              <w:spacing w:before="83" w:line="229" w:lineRule="auto"/>
              <w:ind w:left="1348"/>
            </w:pPr>
            <w:r>
              <w:rPr>
                <w:spacing w:val="5"/>
              </w:rPr>
              <w:t>级标准</w:t>
            </w:r>
          </w:p>
        </w:tc>
      </w:tr>
      <w:tr w14:paraId="2FE8F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bottom w:val="nil"/>
            </w:tcBorders>
            <w:vAlign w:val="top"/>
          </w:tcPr>
          <w:p w14:paraId="7015D47E">
            <w:pPr>
              <w:rPr>
                <w:rFonts w:ascii="Arial"/>
                <w:sz w:val="21"/>
              </w:rPr>
            </w:pPr>
          </w:p>
        </w:tc>
        <w:tc>
          <w:tcPr>
            <w:tcW w:w="2125" w:type="dxa"/>
            <w:vMerge w:val="continue"/>
            <w:tcBorders>
              <w:top w:val="nil"/>
              <w:bottom w:val="nil"/>
            </w:tcBorders>
            <w:vAlign w:val="top"/>
          </w:tcPr>
          <w:p w14:paraId="6350515C">
            <w:pPr>
              <w:rPr>
                <w:rFonts w:ascii="Arial"/>
                <w:sz w:val="21"/>
              </w:rPr>
            </w:pPr>
          </w:p>
        </w:tc>
        <w:tc>
          <w:tcPr>
            <w:tcW w:w="1559" w:type="dxa"/>
            <w:vAlign w:val="top"/>
          </w:tcPr>
          <w:p w14:paraId="40409589">
            <w:pPr>
              <w:pStyle w:val="6"/>
              <w:spacing w:before="64"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76F6215C">
            <w:pPr>
              <w:spacing w:before="64"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3312" w:type="dxa"/>
            <w:vMerge w:val="continue"/>
            <w:tcBorders>
              <w:top w:val="nil"/>
              <w:bottom w:val="nil"/>
            </w:tcBorders>
            <w:vAlign w:val="top"/>
          </w:tcPr>
          <w:p w14:paraId="6E832D03">
            <w:pPr>
              <w:rPr>
                <w:rFonts w:ascii="Arial"/>
                <w:sz w:val="21"/>
              </w:rPr>
            </w:pPr>
          </w:p>
        </w:tc>
      </w:tr>
      <w:tr w14:paraId="04B24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2FC9D726">
            <w:pPr>
              <w:rPr>
                <w:rFonts w:ascii="Arial"/>
                <w:sz w:val="21"/>
              </w:rPr>
            </w:pPr>
          </w:p>
        </w:tc>
        <w:tc>
          <w:tcPr>
            <w:tcW w:w="2125" w:type="dxa"/>
            <w:vMerge w:val="continue"/>
            <w:tcBorders>
              <w:top w:val="nil"/>
            </w:tcBorders>
            <w:vAlign w:val="top"/>
          </w:tcPr>
          <w:p w14:paraId="6546C350">
            <w:pPr>
              <w:rPr>
                <w:rFonts w:ascii="Arial"/>
                <w:sz w:val="21"/>
              </w:rPr>
            </w:pPr>
          </w:p>
        </w:tc>
        <w:tc>
          <w:tcPr>
            <w:tcW w:w="1559" w:type="dxa"/>
            <w:vAlign w:val="top"/>
          </w:tcPr>
          <w:p w14:paraId="5F9E371E">
            <w:pPr>
              <w:pStyle w:val="6"/>
              <w:spacing w:before="62" w:line="275"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5D80DA38">
            <w:pPr>
              <w:spacing w:before="62" w:line="275"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3312" w:type="dxa"/>
            <w:vMerge w:val="continue"/>
            <w:tcBorders>
              <w:top w:val="nil"/>
              <w:bottom w:val="nil"/>
            </w:tcBorders>
            <w:vAlign w:val="top"/>
          </w:tcPr>
          <w:p w14:paraId="32B3450A">
            <w:pPr>
              <w:rPr>
                <w:rFonts w:ascii="Arial"/>
                <w:sz w:val="21"/>
              </w:rPr>
            </w:pPr>
          </w:p>
        </w:tc>
      </w:tr>
      <w:tr w14:paraId="11B62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2DB52D5E">
            <w:pPr>
              <w:spacing w:line="409" w:lineRule="auto"/>
              <w:rPr>
                <w:rFonts w:ascii="Arial"/>
                <w:sz w:val="21"/>
              </w:rPr>
            </w:pPr>
          </w:p>
          <w:p w14:paraId="06BF7987">
            <w:pPr>
              <w:spacing w:before="58" w:line="274" w:lineRule="exact"/>
              <w:ind w:left="3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25" w:type="dxa"/>
            <w:vMerge w:val="restart"/>
            <w:tcBorders>
              <w:bottom w:val="nil"/>
            </w:tcBorders>
            <w:vAlign w:val="top"/>
          </w:tcPr>
          <w:p w14:paraId="60C1254A">
            <w:pPr>
              <w:spacing w:line="402" w:lineRule="auto"/>
              <w:rPr>
                <w:rFonts w:ascii="Arial"/>
                <w:sz w:val="21"/>
              </w:rPr>
            </w:pPr>
          </w:p>
          <w:p w14:paraId="11CEB275">
            <w:pPr>
              <w:pStyle w:val="6"/>
              <w:spacing w:before="65" w:line="274" w:lineRule="exact"/>
              <w:ind w:left="408"/>
            </w:pPr>
            <w:r>
              <w:rPr>
                <w:rFonts w:ascii="Times New Roman" w:hAnsi="Times New Roman" w:eastAsia="Times New Roman" w:cs="Times New Roman"/>
                <w:position w:val="2"/>
              </w:rPr>
              <w:t>NO</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7"/>
                <w:sz w:val="13"/>
                <w:szCs w:val="13"/>
              </w:rPr>
              <w:t xml:space="preserve">   </w:t>
            </w:r>
            <w:r>
              <w:rPr>
                <w:spacing w:val="4"/>
                <w:position w:val="2"/>
              </w:rPr>
              <w:t>(</w:t>
            </w:r>
            <w:r>
              <w:rPr>
                <w:rFonts w:ascii="Times New Roman" w:hAnsi="Times New Roman" w:eastAsia="Times New Roman" w:cs="Times New Roman"/>
                <w:spacing w:val="4"/>
                <w:position w:val="2"/>
              </w:rPr>
              <w:t>μg/m</w:t>
            </w:r>
            <w:r>
              <w:rPr>
                <w:rFonts w:ascii="Times New Roman" w:hAnsi="Times New Roman" w:eastAsia="Times New Roman" w:cs="Times New Roman"/>
                <w:spacing w:val="4"/>
                <w:position w:val="8"/>
                <w:sz w:val="13"/>
                <w:szCs w:val="13"/>
              </w:rPr>
              <w:t>3</w:t>
            </w:r>
            <w:r>
              <w:rPr>
                <w:spacing w:val="4"/>
                <w:position w:val="2"/>
              </w:rPr>
              <w:t>）</w:t>
            </w:r>
          </w:p>
        </w:tc>
        <w:tc>
          <w:tcPr>
            <w:tcW w:w="1559" w:type="dxa"/>
            <w:vAlign w:val="top"/>
          </w:tcPr>
          <w:p w14:paraId="655896D7">
            <w:pPr>
              <w:pStyle w:val="6"/>
              <w:spacing w:before="95" w:line="228" w:lineRule="auto"/>
              <w:ind w:left="471"/>
            </w:pPr>
            <w:r>
              <w:rPr>
                <w:spacing w:val="6"/>
              </w:rPr>
              <w:t>年平均</w:t>
            </w:r>
          </w:p>
        </w:tc>
        <w:tc>
          <w:tcPr>
            <w:tcW w:w="1133" w:type="dxa"/>
            <w:vAlign w:val="top"/>
          </w:tcPr>
          <w:p w14:paraId="567A3298">
            <w:pPr>
              <w:spacing w:before="63" w:line="275"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3312" w:type="dxa"/>
            <w:vMerge w:val="continue"/>
            <w:tcBorders>
              <w:top w:val="nil"/>
              <w:bottom w:val="nil"/>
            </w:tcBorders>
            <w:vAlign w:val="top"/>
          </w:tcPr>
          <w:p w14:paraId="67C03169">
            <w:pPr>
              <w:rPr>
                <w:rFonts w:ascii="Arial"/>
                <w:sz w:val="21"/>
              </w:rPr>
            </w:pPr>
          </w:p>
        </w:tc>
      </w:tr>
      <w:tr w14:paraId="16BC8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bottom w:val="nil"/>
            </w:tcBorders>
            <w:vAlign w:val="top"/>
          </w:tcPr>
          <w:p w14:paraId="3C61CE0A">
            <w:pPr>
              <w:rPr>
                <w:rFonts w:ascii="Arial"/>
                <w:sz w:val="21"/>
              </w:rPr>
            </w:pPr>
          </w:p>
        </w:tc>
        <w:tc>
          <w:tcPr>
            <w:tcW w:w="2125" w:type="dxa"/>
            <w:vMerge w:val="continue"/>
            <w:tcBorders>
              <w:top w:val="nil"/>
              <w:bottom w:val="nil"/>
            </w:tcBorders>
            <w:vAlign w:val="top"/>
          </w:tcPr>
          <w:p w14:paraId="133D027A">
            <w:pPr>
              <w:rPr>
                <w:rFonts w:ascii="Arial"/>
                <w:sz w:val="21"/>
              </w:rPr>
            </w:pPr>
          </w:p>
        </w:tc>
        <w:tc>
          <w:tcPr>
            <w:tcW w:w="1559" w:type="dxa"/>
            <w:vAlign w:val="top"/>
          </w:tcPr>
          <w:p w14:paraId="7186AF66">
            <w:pPr>
              <w:pStyle w:val="6"/>
              <w:spacing w:before="62"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57E01857">
            <w:pPr>
              <w:spacing w:before="62"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3312" w:type="dxa"/>
            <w:vMerge w:val="continue"/>
            <w:tcBorders>
              <w:top w:val="nil"/>
              <w:bottom w:val="nil"/>
            </w:tcBorders>
            <w:vAlign w:val="top"/>
          </w:tcPr>
          <w:p w14:paraId="407DC3FF">
            <w:pPr>
              <w:rPr>
                <w:rFonts w:ascii="Arial"/>
                <w:sz w:val="21"/>
              </w:rPr>
            </w:pPr>
          </w:p>
        </w:tc>
      </w:tr>
      <w:tr w14:paraId="039A2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03C4A4CC">
            <w:pPr>
              <w:rPr>
                <w:rFonts w:ascii="Arial"/>
                <w:sz w:val="21"/>
              </w:rPr>
            </w:pPr>
          </w:p>
        </w:tc>
        <w:tc>
          <w:tcPr>
            <w:tcW w:w="2125" w:type="dxa"/>
            <w:vMerge w:val="continue"/>
            <w:tcBorders>
              <w:top w:val="nil"/>
            </w:tcBorders>
            <w:vAlign w:val="top"/>
          </w:tcPr>
          <w:p w14:paraId="040519F1">
            <w:pPr>
              <w:rPr>
                <w:rFonts w:ascii="Arial"/>
                <w:sz w:val="21"/>
              </w:rPr>
            </w:pPr>
          </w:p>
        </w:tc>
        <w:tc>
          <w:tcPr>
            <w:tcW w:w="1559" w:type="dxa"/>
            <w:vAlign w:val="top"/>
          </w:tcPr>
          <w:p w14:paraId="3D6803C0">
            <w:pPr>
              <w:pStyle w:val="6"/>
              <w:spacing w:before="63"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570F6312">
            <w:pPr>
              <w:spacing w:before="63"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continue"/>
            <w:tcBorders>
              <w:top w:val="nil"/>
              <w:bottom w:val="nil"/>
            </w:tcBorders>
            <w:vAlign w:val="top"/>
          </w:tcPr>
          <w:p w14:paraId="298B470F">
            <w:pPr>
              <w:rPr>
                <w:rFonts w:ascii="Arial"/>
                <w:sz w:val="21"/>
              </w:rPr>
            </w:pPr>
          </w:p>
        </w:tc>
      </w:tr>
      <w:tr w14:paraId="2B143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6622B617">
            <w:pPr>
              <w:spacing w:before="268" w:line="274" w:lineRule="exact"/>
              <w:ind w:left="3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25" w:type="dxa"/>
            <w:vMerge w:val="restart"/>
            <w:tcBorders>
              <w:bottom w:val="nil"/>
            </w:tcBorders>
            <w:vAlign w:val="top"/>
          </w:tcPr>
          <w:p w14:paraId="5B9092E7">
            <w:pPr>
              <w:pStyle w:val="6"/>
              <w:spacing w:before="268" w:line="274" w:lineRule="exact"/>
              <w:ind w:left="432"/>
            </w:pPr>
            <w:r>
              <w:rPr>
                <w:rFonts w:ascii="Times New Roman" w:hAnsi="Times New Roman" w:eastAsia="Times New Roman" w:cs="Times New Roman"/>
                <w:position w:val="3"/>
              </w:rPr>
              <w:t>CO</w:t>
            </w:r>
            <w:r>
              <w:rPr>
                <w:spacing w:val="8"/>
                <w:position w:val="3"/>
              </w:rPr>
              <w:t>（</w:t>
            </w:r>
            <w:r>
              <w:rPr>
                <w:rFonts w:ascii="Times New Roman" w:hAnsi="Times New Roman" w:eastAsia="Times New Roman" w:cs="Times New Roman"/>
                <w:position w:val="3"/>
              </w:rPr>
              <w:t>mg</w:t>
            </w:r>
            <w:r>
              <w:rPr>
                <w:rFonts w:ascii="Times New Roman" w:hAnsi="Times New Roman" w:eastAsia="Times New Roman" w:cs="Times New Roman"/>
                <w:spacing w:val="8"/>
                <w:position w:val="3"/>
              </w:rPr>
              <w:t>/m</w:t>
            </w:r>
            <w:r>
              <w:rPr>
                <w:rFonts w:ascii="Times New Roman" w:hAnsi="Times New Roman" w:eastAsia="Times New Roman" w:cs="Times New Roman"/>
                <w:spacing w:val="8"/>
                <w:position w:val="9"/>
                <w:sz w:val="13"/>
                <w:szCs w:val="13"/>
              </w:rPr>
              <w:t>3</w:t>
            </w:r>
            <w:r>
              <w:rPr>
                <w:spacing w:val="8"/>
                <w:position w:val="3"/>
              </w:rPr>
              <w:t>）</w:t>
            </w:r>
          </w:p>
        </w:tc>
        <w:tc>
          <w:tcPr>
            <w:tcW w:w="1559" w:type="dxa"/>
            <w:vAlign w:val="top"/>
          </w:tcPr>
          <w:p w14:paraId="45D58DF3">
            <w:pPr>
              <w:pStyle w:val="6"/>
              <w:spacing w:before="64"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6375AB9F">
            <w:pPr>
              <w:spacing w:before="64"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312" w:type="dxa"/>
            <w:vMerge w:val="continue"/>
            <w:tcBorders>
              <w:top w:val="nil"/>
              <w:bottom w:val="nil"/>
            </w:tcBorders>
            <w:vAlign w:val="top"/>
          </w:tcPr>
          <w:p w14:paraId="60809C7B">
            <w:pPr>
              <w:rPr>
                <w:rFonts w:ascii="Arial"/>
                <w:sz w:val="21"/>
              </w:rPr>
            </w:pPr>
          </w:p>
        </w:tc>
      </w:tr>
      <w:tr w14:paraId="71655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451AA037">
            <w:pPr>
              <w:rPr>
                <w:rFonts w:ascii="Arial"/>
                <w:sz w:val="21"/>
              </w:rPr>
            </w:pPr>
          </w:p>
        </w:tc>
        <w:tc>
          <w:tcPr>
            <w:tcW w:w="2125" w:type="dxa"/>
            <w:vMerge w:val="continue"/>
            <w:tcBorders>
              <w:top w:val="nil"/>
            </w:tcBorders>
            <w:vAlign w:val="top"/>
          </w:tcPr>
          <w:p w14:paraId="571D5487">
            <w:pPr>
              <w:rPr>
                <w:rFonts w:ascii="Arial"/>
                <w:sz w:val="21"/>
              </w:rPr>
            </w:pPr>
          </w:p>
        </w:tc>
        <w:tc>
          <w:tcPr>
            <w:tcW w:w="1559" w:type="dxa"/>
            <w:vAlign w:val="top"/>
          </w:tcPr>
          <w:p w14:paraId="3D564B3B">
            <w:pPr>
              <w:pStyle w:val="6"/>
              <w:spacing w:before="63"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6500BE70">
            <w:pPr>
              <w:spacing w:before="63"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312" w:type="dxa"/>
            <w:vMerge w:val="continue"/>
            <w:tcBorders>
              <w:top w:val="nil"/>
              <w:bottom w:val="nil"/>
            </w:tcBorders>
            <w:vAlign w:val="top"/>
          </w:tcPr>
          <w:p w14:paraId="53037FDD">
            <w:pPr>
              <w:rPr>
                <w:rFonts w:ascii="Arial"/>
                <w:sz w:val="21"/>
              </w:rPr>
            </w:pPr>
          </w:p>
        </w:tc>
      </w:tr>
      <w:tr w14:paraId="13431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21" w:type="dxa"/>
            <w:vMerge w:val="restart"/>
            <w:tcBorders>
              <w:bottom w:val="nil"/>
            </w:tcBorders>
            <w:vAlign w:val="top"/>
          </w:tcPr>
          <w:p w14:paraId="6AB7FD28">
            <w:pPr>
              <w:spacing w:line="335" w:lineRule="auto"/>
              <w:rPr>
                <w:rFonts w:ascii="Arial"/>
                <w:sz w:val="21"/>
              </w:rPr>
            </w:pPr>
          </w:p>
          <w:p w14:paraId="4F19A273">
            <w:pPr>
              <w:spacing w:before="58"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125" w:type="dxa"/>
            <w:vMerge w:val="restart"/>
            <w:tcBorders>
              <w:bottom w:val="nil"/>
            </w:tcBorders>
            <w:vAlign w:val="top"/>
          </w:tcPr>
          <w:p w14:paraId="64746D0C">
            <w:pPr>
              <w:spacing w:line="328" w:lineRule="auto"/>
              <w:rPr>
                <w:rFonts w:ascii="Arial"/>
                <w:sz w:val="21"/>
              </w:rPr>
            </w:pPr>
          </w:p>
          <w:p w14:paraId="52DF7D8A">
            <w:pPr>
              <w:pStyle w:val="6"/>
              <w:spacing w:before="65" w:line="274" w:lineRule="exact"/>
              <w:ind w:left="492"/>
            </w:pPr>
            <w:r>
              <w:rPr>
                <w:rFonts w:ascii="Times New Roman" w:hAnsi="Times New Roman" w:eastAsia="Times New Roman" w:cs="Times New Roman"/>
                <w:spacing w:val="1"/>
                <w:position w:val="2"/>
              </w:rPr>
              <w:t>O</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7"/>
                <w:sz w:val="13"/>
                <w:szCs w:val="13"/>
              </w:rPr>
              <w:t xml:space="preserve">   </w:t>
            </w:r>
            <w:r>
              <w:rPr>
                <w:spacing w:val="2"/>
                <w:position w:val="2"/>
              </w:rPr>
              <w:t>(</w:t>
            </w:r>
            <w:r>
              <w:rPr>
                <w:rFonts w:ascii="Times New Roman" w:hAnsi="Times New Roman" w:eastAsia="Times New Roman" w:cs="Times New Roman"/>
                <w:spacing w:val="2"/>
                <w:position w:val="2"/>
              </w:rPr>
              <w:t>μg/m</w:t>
            </w:r>
            <w:r>
              <w:rPr>
                <w:rFonts w:ascii="Times New Roman" w:hAnsi="Times New Roman" w:eastAsia="Times New Roman" w:cs="Times New Roman"/>
                <w:spacing w:val="2"/>
                <w:position w:val="8"/>
                <w:sz w:val="13"/>
                <w:szCs w:val="13"/>
              </w:rPr>
              <w:t>3</w:t>
            </w:r>
            <w:r>
              <w:rPr>
                <w:spacing w:val="2"/>
                <w:position w:val="2"/>
              </w:rPr>
              <w:t>）</w:t>
            </w:r>
          </w:p>
        </w:tc>
        <w:tc>
          <w:tcPr>
            <w:tcW w:w="1559" w:type="dxa"/>
            <w:vAlign w:val="top"/>
          </w:tcPr>
          <w:p w14:paraId="7EC5EEB6">
            <w:pPr>
              <w:pStyle w:val="6"/>
              <w:spacing w:before="28" w:line="274" w:lineRule="exact"/>
              <w:ind w:left="189"/>
            </w:pPr>
            <w:r>
              <w:rPr>
                <w:spacing w:val="-4"/>
                <w:position w:val="1"/>
              </w:rPr>
              <w:t>日最大</w:t>
            </w:r>
            <w:r>
              <w:rPr>
                <w:spacing w:val="-29"/>
                <w:position w:val="1"/>
              </w:rPr>
              <w:t xml:space="preserve"> </w:t>
            </w:r>
            <w:r>
              <w:rPr>
                <w:rFonts w:ascii="Times New Roman" w:hAnsi="Times New Roman" w:eastAsia="Times New Roman" w:cs="Times New Roman"/>
                <w:spacing w:val="-4"/>
                <w:position w:val="1"/>
              </w:rPr>
              <w:t>8</w:t>
            </w:r>
            <w:r>
              <w:rPr>
                <w:rFonts w:ascii="Times New Roman" w:hAnsi="Times New Roman" w:eastAsia="Times New Roman" w:cs="Times New Roman"/>
                <w:spacing w:val="15"/>
                <w:w w:val="101"/>
                <w:position w:val="1"/>
              </w:rPr>
              <w:t xml:space="preserve"> </w:t>
            </w:r>
            <w:r>
              <w:rPr>
                <w:spacing w:val="-4"/>
                <w:position w:val="1"/>
              </w:rPr>
              <w:t>小时</w:t>
            </w:r>
          </w:p>
          <w:p w14:paraId="74C06406">
            <w:pPr>
              <w:pStyle w:val="6"/>
              <w:spacing w:before="83" w:line="229" w:lineRule="auto"/>
              <w:ind w:left="573"/>
            </w:pPr>
            <w:r>
              <w:rPr>
                <w:spacing w:val="5"/>
              </w:rPr>
              <w:t>平均</w:t>
            </w:r>
          </w:p>
        </w:tc>
        <w:tc>
          <w:tcPr>
            <w:tcW w:w="1133" w:type="dxa"/>
            <w:vAlign w:val="top"/>
          </w:tcPr>
          <w:p w14:paraId="08327132">
            <w:pPr>
              <w:spacing w:before="191"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3312" w:type="dxa"/>
            <w:vMerge w:val="continue"/>
            <w:tcBorders>
              <w:top w:val="nil"/>
              <w:bottom w:val="nil"/>
            </w:tcBorders>
            <w:vAlign w:val="top"/>
          </w:tcPr>
          <w:p w14:paraId="64607846">
            <w:pPr>
              <w:rPr>
                <w:rFonts w:ascii="Arial"/>
                <w:sz w:val="21"/>
              </w:rPr>
            </w:pPr>
          </w:p>
        </w:tc>
      </w:tr>
      <w:tr w14:paraId="69252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03DED52F">
            <w:pPr>
              <w:rPr>
                <w:rFonts w:ascii="Arial"/>
                <w:sz w:val="21"/>
              </w:rPr>
            </w:pPr>
          </w:p>
        </w:tc>
        <w:tc>
          <w:tcPr>
            <w:tcW w:w="2125" w:type="dxa"/>
            <w:vMerge w:val="continue"/>
            <w:tcBorders>
              <w:top w:val="nil"/>
            </w:tcBorders>
            <w:vAlign w:val="top"/>
          </w:tcPr>
          <w:p w14:paraId="2C6F20D0">
            <w:pPr>
              <w:rPr>
                <w:rFonts w:ascii="Arial"/>
                <w:sz w:val="21"/>
              </w:rPr>
            </w:pPr>
          </w:p>
        </w:tc>
        <w:tc>
          <w:tcPr>
            <w:tcW w:w="1559" w:type="dxa"/>
            <w:vAlign w:val="top"/>
          </w:tcPr>
          <w:p w14:paraId="0F4A2D0F">
            <w:pPr>
              <w:pStyle w:val="6"/>
              <w:spacing w:before="65"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474AA9D7">
            <w:pPr>
              <w:spacing w:before="65"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continue"/>
            <w:tcBorders>
              <w:top w:val="nil"/>
              <w:bottom w:val="nil"/>
            </w:tcBorders>
            <w:vAlign w:val="top"/>
          </w:tcPr>
          <w:p w14:paraId="798A9E03">
            <w:pPr>
              <w:rPr>
                <w:rFonts w:ascii="Arial"/>
                <w:sz w:val="21"/>
              </w:rPr>
            </w:pPr>
          </w:p>
        </w:tc>
      </w:tr>
      <w:tr w14:paraId="64AB9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233261CE">
            <w:pPr>
              <w:spacing w:line="278" w:lineRule="auto"/>
              <w:rPr>
                <w:rFonts w:ascii="Arial"/>
                <w:sz w:val="21"/>
              </w:rPr>
            </w:pPr>
          </w:p>
          <w:p w14:paraId="75ADB1B2">
            <w:pPr>
              <w:spacing w:before="57"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25" w:type="dxa"/>
            <w:vMerge w:val="restart"/>
            <w:tcBorders>
              <w:bottom w:val="nil"/>
            </w:tcBorders>
            <w:vAlign w:val="top"/>
          </w:tcPr>
          <w:p w14:paraId="05E07146">
            <w:pPr>
              <w:pStyle w:val="6"/>
              <w:spacing w:before="268" w:line="274" w:lineRule="exact"/>
              <w:ind w:left="380"/>
            </w:pPr>
            <w:r>
              <w:rPr>
                <w:rFonts w:ascii="Times New Roman" w:hAnsi="Times New Roman" w:eastAsia="Times New Roman" w:cs="Times New Roman"/>
                <w:position w:val="2"/>
              </w:rPr>
              <w:t>PM</w:t>
            </w:r>
            <w:r>
              <w:rPr>
                <w:rFonts w:ascii="Times New Roman" w:hAnsi="Times New Roman" w:eastAsia="Times New Roman" w:cs="Times New Roman"/>
                <w:spacing w:val="3"/>
                <w:sz w:val="13"/>
                <w:szCs w:val="13"/>
              </w:rPr>
              <w:t>10</w:t>
            </w:r>
            <w:r>
              <w:rPr>
                <w:rFonts w:ascii="Times New Roman" w:hAnsi="Times New Roman" w:eastAsia="Times New Roman" w:cs="Times New Roman"/>
                <w:spacing w:val="8"/>
                <w:sz w:val="13"/>
                <w:szCs w:val="13"/>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79E65685">
            <w:pPr>
              <w:pStyle w:val="6"/>
              <w:spacing w:before="95" w:line="228" w:lineRule="auto"/>
              <w:ind w:left="471"/>
            </w:pPr>
            <w:r>
              <w:rPr>
                <w:spacing w:val="6"/>
              </w:rPr>
              <w:t>年平均</w:t>
            </w:r>
          </w:p>
        </w:tc>
        <w:tc>
          <w:tcPr>
            <w:tcW w:w="1133" w:type="dxa"/>
            <w:vAlign w:val="top"/>
          </w:tcPr>
          <w:p w14:paraId="56712E70">
            <w:pPr>
              <w:spacing w:before="64" w:line="274" w:lineRule="exact"/>
              <w:ind w:left="4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3312" w:type="dxa"/>
            <w:vMerge w:val="continue"/>
            <w:tcBorders>
              <w:top w:val="nil"/>
              <w:bottom w:val="nil"/>
            </w:tcBorders>
            <w:vAlign w:val="top"/>
          </w:tcPr>
          <w:p w14:paraId="35724C32">
            <w:pPr>
              <w:rPr>
                <w:rFonts w:ascii="Arial"/>
                <w:sz w:val="21"/>
              </w:rPr>
            </w:pPr>
          </w:p>
        </w:tc>
      </w:tr>
      <w:tr w14:paraId="1B832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50F92B61">
            <w:pPr>
              <w:rPr>
                <w:rFonts w:ascii="Arial"/>
                <w:sz w:val="21"/>
              </w:rPr>
            </w:pPr>
          </w:p>
        </w:tc>
        <w:tc>
          <w:tcPr>
            <w:tcW w:w="2125" w:type="dxa"/>
            <w:vMerge w:val="continue"/>
            <w:tcBorders>
              <w:top w:val="nil"/>
            </w:tcBorders>
            <w:vAlign w:val="top"/>
          </w:tcPr>
          <w:p w14:paraId="5B6B7E55">
            <w:pPr>
              <w:rPr>
                <w:rFonts w:ascii="Arial"/>
                <w:sz w:val="21"/>
              </w:rPr>
            </w:pPr>
          </w:p>
        </w:tc>
        <w:tc>
          <w:tcPr>
            <w:tcW w:w="1559" w:type="dxa"/>
            <w:vAlign w:val="top"/>
          </w:tcPr>
          <w:p w14:paraId="21B2DF28">
            <w:pPr>
              <w:pStyle w:val="6"/>
              <w:spacing w:before="65"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07E6573E">
            <w:pPr>
              <w:spacing w:before="65"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3312" w:type="dxa"/>
            <w:vMerge w:val="continue"/>
            <w:tcBorders>
              <w:top w:val="nil"/>
              <w:bottom w:val="nil"/>
            </w:tcBorders>
            <w:vAlign w:val="top"/>
          </w:tcPr>
          <w:p w14:paraId="67AD8862">
            <w:pPr>
              <w:rPr>
                <w:rFonts w:ascii="Arial"/>
                <w:sz w:val="21"/>
              </w:rPr>
            </w:pPr>
          </w:p>
        </w:tc>
      </w:tr>
      <w:tr w14:paraId="520F1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1" w:type="dxa"/>
            <w:vMerge w:val="restart"/>
            <w:tcBorders>
              <w:bottom w:val="nil"/>
            </w:tcBorders>
            <w:vAlign w:val="top"/>
          </w:tcPr>
          <w:p w14:paraId="3578B502">
            <w:pPr>
              <w:spacing w:before="267" w:line="274" w:lineRule="exact"/>
              <w:ind w:left="3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125" w:type="dxa"/>
            <w:vMerge w:val="restart"/>
            <w:tcBorders>
              <w:bottom w:val="nil"/>
            </w:tcBorders>
            <w:vAlign w:val="top"/>
          </w:tcPr>
          <w:p w14:paraId="0F02B3EB">
            <w:pPr>
              <w:pStyle w:val="6"/>
              <w:spacing w:before="267" w:line="274" w:lineRule="exact"/>
              <w:ind w:left="363"/>
            </w:pPr>
            <w:r>
              <w:rPr>
                <w:rFonts w:ascii="Times New Roman" w:hAnsi="Times New Roman" w:eastAsia="Times New Roman" w:cs="Times New Roman"/>
                <w:position w:val="2"/>
              </w:rPr>
              <w:t>PM</w:t>
            </w:r>
            <w:r>
              <w:rPr>
                <w:rFonts w:ascii="Times New Roman" w:hAnsi="Times New Roman" w:eastAsia="Times New Roman" w:cs="Times New Roman"/>
                <w:spacing w:val="3"/>
                <w:sz w:val="13"/>
                <w:szCs w:val="13"/>
              </w:rPr>
              <w:t>2.5</w:t>
            </w:r>
            <w:r>
              <w:rPr>
                <w:rFonts w:ascii="Times New Roman" w:hAnsi="Times New Roman" w:eastAsia="Times New Roman" w:cs="Times New Roman"/>
                <w:spacing w:val="7"/>
                <w:sz w:val="13"/>
                <w:szCs w:val="13"/>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39C9606D">
            <w:pPr>
              <w:pStyle w:val="6"/>
              <w:spacing w:before="94" w:line="228" w:lineRule="auto"/>
              <w:ind w:left="471"/>
            </w:pPr>
            <w:r>
              <w:rPr>
                <w:spacing w:val="6"/>
              </w:rPr>
              <w:t>年平均</w:t>
            </w:r>
          </w:p>
        </w:tc>
        <w:tc>
          <w:tcPr>
            <w:tcW w:w="1133" w:type="dxa"/>
            <w:vAlign w:val="top"/>
          </w:tcPr>
          <w:p w14:paraId="472AEFB7">
            <w:pPr>
              <w:spacing w:before="63" w:line="274"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3312" w:type="dxa"/>
            <w:vMerge w:val="continue"/>
            <w:tcBorders>
              <w:top w:val="nil"/>
              <w:bottom w:val="nil"/>
            </w:tcBorders>
            <w:vAlign w:val="top"/>
          </w:tcPr>
          <w:p w14:paraId="7E621D71">
            <w:pPr>
              <w:rPr>
                <w:rFonts w:ascii="Arial"/>
                <w:sz w:val="21"/>
              </w:rPr>
            </w:pPr>
          </w:p>
        </w:tc>
      </w:tr>
      <w:tr w14:paraId="35AB2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707508A8">
            <w:pPr>
              <w:rPr>
                <w:rFonts w:ascii="Arial"/>
                <w:sz w:val="21"/>
              </w:rPr>
            </w:pPr>
          </w:p>
        </w:tc>
        <w:tc>
          <w:tcPr>
            <w:tcW w:w="2125" w:type="dxa"/>
            <w:vMerge w:val="continue"/>
            <w:tcBorders>
              <w:top w:val="nil"/>
            </w:tcBorders>
            <w:vAlign w:val="top"/>
          </w:tcPr>
          <w:p w14:paraId="47D6180B">
            <w:pPr>
              <w:rPr>
                <w:rFonts w:ascii="Arial"/>
                <w:sz w:val="21"/>
              </w:rPr>
            </w:pPr>
          </w:p>
        </w:tc>
        <w:tc>
          <w:tcPr>
            <w:tcW w:w="1559" w:type="dxa"/>
            <w:vAlign w:val="top"/>
          </w:tcPr>
          <w:p w14:paraId="56A75C75">
            <w:pPr>
              <w:pStyle w:val="6"/>
              <w:spacing w:before="65"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2DA2CB3D">
            <w:pPr>
              <w:spacing w:before="135" w:line="192"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3312" w:type="dxa"/>
            <w:vMerge w:val="continue"/>
            <w:tcBorders>
              <w:top w:val="nil"/>
              <w:bottom w:val="nil"/>
            </w:tcBorders>
            <w:vAlign w:val="top"/>
          </w:tcPr>
          <w:p w14:paraId="14EBF844">
            <w:pPr>
              <w:rPr>
                <w:rFonts w:ascii="Arial"/>
                <w:sz w:val="21"/>
              </w:rPr>
            </w:pPr>
          </w:p>
        </w:tc>
      </w:tr>
      <w:tr w14:paraId="47D50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1" w:type="dxa"/>
            <w:vMerge w:val="restart"/>
            <w:tcBorders>
              <w:bottom w:val="nil"/>
            </w:tcBorders>
            <w:vAlign w:val="top"/>
          </w:tcPr>
          <w:p w14:paraId="24AD2840">
            <w:pPr>
              <w:spacing w:line="281" w:lineRule="auto"/>
              <w:rPr>
                <w:rFonts w:ascii="Arial"/>
                <w:sz w:val="21"/>
              </w:rPr>
            </w:pPr>
          </w:p>
          <w:p w14:paraId="7FB9C7B0">
            <w:pPr>
              <w:spacing w:before="57" w:line="192"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5" w:type="dxa"/>
            <w:vMerge w:val="restart"/>
            <w:tcBorders>
              <w:bottom w:val="nil"/>
            </w:tcBorders>
            <w:vAlign w:val="top"/>
          </w:tcPr>
          <w:p w14:paraId="42966C4F">
            <w:pPr>
              <w:pStyle w:val="6"/>
              <w:spacing w:before="270" w:line="274" w:lineRule="exact"/>
              <w:ind w:left="421"/>
            </w:pPr>
            <w:r>
              <w:rPr>
                <w:rFonts w:ascii="Times New Roman" w:hAnsi="Times New Roman" w:eastAsia="Times New Roman" w:cs="Times New Roman"/>
                <w:position w:val="2"/>
              </w:rPr>
              <w:t>TSP</w:t>
            </w:r>
            <w:r>
              <w:rPr>
                <w:rFonts w:ascii="Times New Roman" w:hAnsi="Times New Roman" w:eastAsia="Times New Roman" w:cs="Times New Roman"/>
                <w:spacing w:val="11"/>
                <w:position w:val="2"/>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42B4B099">
            <w:pPr>
              <w:pStyle w:val="6"/>
              <w:spacing w:before="97" w:line="228" w:lineRule="auto"/>
              <w:ind w:left="471"/>
            </w:pPr>
            <w:r>
              <w:rPr>
                <w:spacing w:val="6"/>
              </w:rPr>
              <w:t>年平均</w:t>
            </w:r>
          </w:p>
        </w:tc>
        <w:tc>
          <w:tcPr>
            <w:tcW w:w="1133" w:type="dxa"/>
            <w:vAlign w:val="top"/>
          </w:tcPr>
          <w:p w14:paraId="55A9F643">
            <w:pPr>
              <w:spacing w:before="66"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continue"/>
            <w:tcBorders>
              <w:top w:val="nil"/>
              <w:bottom w:val="nil"/>
            </w:tcBorders>
            <w:vAlign w:val="top"/>
          </w:tcPr>
          <w:p w14:paraId="7265CE8E">
            <w:pPr>
              <w:rPr>
                <w:rFonts w:ascii="Arial"/>
                <w:sz w:val="21"/>
              </w:rPr>
            </w:pPr>
          </w:p>
        </w:tc>
      </w:tr>
      <w:tr w14:paraId="5814B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1686CBE1">
            <w:pPr>
              <w:rPr>
                <w:rFonts w:ascii="Arial"/>
                <w:sz w:val="21"/>
              </w:rPr>
            </w:pPr>
          </w:p>
        </w:tc>
        <w:tc>
          <w:tcPr>
            <w:tcW w:w="2125" w:type="dxa"/>
            <w:vMerge w:val="continue"/>
            <w:tcBorders>
              <w:top w:val="nil"/>
            </w:tcBorders>
            <w:vAlign w:val="top"/>
          </w:tcPr>
          <w:p w14:paraId="5DC80CF6">
            <w:pPr>
              <w:rPr>
                <w:rFonts w:ascii="Arial"/>
                <w:sz w:val="21"/>
              </w:rPr>
            </w:pPr>
          </w:p>
        </w:tc>
        <w:tc>
          <w:tcPr>
            <w:tcW w:w="1559" w:type="dxa"/>
            <w:vAlign w:val="top"/>
          </w:tcPr>
          <w:p w14:paraId="54DAA58E">
            <w:pPr>
              <w:pStyle w:val="6"/>
              <w:spacing w:before="66"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414BE76C">
            <w:pPr>
              <w:spacing w:before="66"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3312" w:type="dxa"/>
            <w:vMerge w:val="continue"/>
            <w:tcBorders>
              <w:top w:val="nil"/>
            </w:tcBorders>
            <w:vAlign w:val="top"/>
          </w:tcPr>
          <w:p w14:paraId="360C0538">
            <w:pPr>
              <w:rPr>
                <w:rFonts w:ascii="Arial"/>
                <w:sz w:val="21"/>
              </w:rPr>
            </w:pPr>
          </w:p>
        </w:tc>
      </w:tr>
      <w:tr w14:paraId="22D8E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Align w:val="top"/>
          </w:tcPr>
          <w:p w14:paraId="242C2952">
            <w:pPr>
              <w:spacing w:before="67" w:line="274" w:lineRule="exact"/>
              <w:ind w:left="3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125" w:type="dxa"/>
            <w:vAlign w:val="top"/>
          </w:tcPr>
          <w:p w14:paraId="74AF7F48">
            <w:pPr>
              <w:pStyle w:val="6"/>
              <w:spacing w:before="67" w:line="274" w:lineRule="exact"/>
              <w:ind w:left="394"/>
            </w:pPr>
            <w:r>
              <w:rPr>
                <w:spacing w:val="2"/>
                <w:position w:val="2"/>
              </w:rPr>
              <w:t>氨气</w:t>
            </w:r>
            <w:r>
              <w:rPr>
                <w:spacing w:val="25"/>
                <w:position w:val="2"/>
              </w:rPr>
              <w:t xml:space="preserve"> </w:t>
            </w:r>
            <w:r>
              <w:rPr>
                <w:spacing w:val="2"/>
                <w:position w:val="2"/>
              </w:rPr>
              <w:t>(</w:t>
            </w:r>
            <w:r>
              <w:rPr>
                <w:rFonts w:ascii="Times New Roman" w:hAnsi="Times New Roman" w:eastAsia="Times New Roman" w:cs="Times New Roman"/>
                <w:spacing w:val="2"/>
                <w:position w:val="2"/>
              </w:rPr>
              <w:t>μg/m</w:t>
            </w:r>
            <w:r>
              <w:rPr>
                <w:rFonts w:ascii="Times New Roman" w:hAnsi="Times New Roman" w:eastAsia="Times New Roman" w:cs="Times New Roman"/>
                <w:spacing w:val="2"/>
                <w:position w:val="8"/>
                <w:sz w:val="13"/>
                <w:szCs w:val="13"/>
              </w:rPr>
              <w:t>3</w:t>
            </w:r>
            <w:r>
              <w:rPr>
                <w:spacing w:val="2"/>
                <w:position w:val="2"/>
              </w:rPr>
              <w:t>）</w:t>
            </w:r>
          </w:p>
        </w:tc>
        <w:tc>
          <w:tcPr>
            <w:tcW w:w="1559" w:type="dxa"/>
            <w:vAlign w:val="top"/>
          </w:tcPr>
          <w:p w14:paraId="5D24F2C2">
            <w:pPr>
              <w:pStyle w:val="6"/>
              <w:spacing w:before="67"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3DA9CA90">
            <w:pPr>
              <w:spacing w:before="67"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restart"/>
            <w:tcBorders>
              <w:bottom w:val="nil"/>
            </w:tcBorders>
            <w:vAlign w:val="top"/>
          </w:tcPr>
          <w:p w14:paraId="698FA8E5">
            <w:pPr>
              <w:pStyle w:val="6"/>
              <w:spacing w:before="62" w:line="227" w:lineRule="auto"/>
              <w:ind w:left="196"/>
            </w:pPr>
            <w:r>
              <w:rPr>
                <w:spacing w:val="9"/>
              </w:rPr>
              <w:t>《环境影响评价技术导则大气环</w:t>
            </w:r>
          </w:p>
          <w:p w14:paraId="140996C9">
            <w:pPr>
              <w:pStyle w:val="6"/>
              <w:spacing w:before="49" w:line="275" w:lineRule="exact"/>
              <w:ind w:left="119"/>
            </w:pPr>
            <w:r>
              <w:rPr>
                <w:spacing w:val="4"/>
                <w:position w:val="1"/>
              </w:rPr>
              <w:t>境》（</w:t>
            </w:r>
            <w:r>
              <w:rPr>
                <w:rFonts w:ascii="Times New Roman" w:hAnsi="Times New Roman" w:eastAsia="Times New Roman" w:cs="Times New Roman"/>
                <w:position w:val="1"/>
              </w:rPr>
              <w:t>HJ</w:t>
            </w:r>
            <w:r>
              <w:rPr>
                <w:rFonts w:ascii="Times New Roman" w:hAnsi="Times New Roman" w:eastAsia="Times New Roman" w:cs="Times New Roman"/>
                <w:spacing w:val="4"/>
                <w:position w:val="1"/>
              </w:rPr>
              <w:t>2.2-2018</w:t>
            </w:r>
            <w:r>
              <w:rPr>
                <w:spacing w:val="4"/>
                <w:position w:val="1"/>
              </w:rPr>
              <w:t>）中附录</w:t>
            </w:r>
            <w:r>
              <w:rPr>
                <w:spacing w:val="-31"/>
                <w:position w:val="1"/>
              </w:rPr>
              <w:t xml:space="preserve"> </w:t>
            </w:r>
            <w:r>
              <w:rPr>
                <w:rFonts w:ascii="Times New Roman" w:hAnsi="Times New Roman" w:eastAsia="Times New Roman" w:cs="Times New Roman"/>
                <w:spacing w:val="4"/>
                <w:position w:val="1"/>
              </w:rPr>
              <w:t xml:space="preserve">D </w:t>
            </w:r>
            <w:r>
              <w:rPr>
                <w:spacing w:val="4"/>
                <w:position w:val="1"/>
              </w:rPr>
              <w:t>标准</w:t>
            </w:r>
          </w:p>
          <w:p w14:paraId="4D416D2C">
            <w:pPr>
              <w:pStyle w:val="6"/>
              <w:spacing w:before="83" w:line="228" w:lineRule="auto"/>
              <w:ind w:left="1465"/>
            </w:pPr>
            <w:r>
              <w:rPr>
                <w:spacing w:val="-3"/>
              </w:rPr>
              <w:t>限值</w:t>
            </w:r>
          </w:p>
        </w:tc>
      </w:tr>
      <w:tr w14:paraId="64022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vAlign w:val="top"/>
          </w:tcPr>
          <w:p w14:paraId="2310D563">
            <w:pPr>
              <w:spacing w:before="154" w:line="274" w:lineRule="exact"/>
              <w:ind w:left="3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25" w:type="dxa"/>
            <w:vAlign w:val="top"/>
          </w:tcPr>
          <w:p w14:paraId="62CC2719">
            <w:pPr>
              <w:pStyle w:val="6"/>
              <w:spacing w:before="154" w:line="274" w:lineRule="exact"/>
              <w:ind w:left="288"/>
            </w:pPr>
            <w:r>
              <w:rPr>
                <w:spacing w:val="3"/>
                <w:position w:val="2"/>
              </w:rPr>
              <w:t>硫化氢</w:t>
            </w:r>
            <w:r>
              <w:rPr>
                <w:spacing w:val="26"/>
                <w:position w:val="2"/>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7C038CAF">
            <w:pPr>
              <w:pStyle w:val="6"/>
              <w:spacing w:before="154"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17433502">
            <w:pPr>
              <w:spacing w:before="154"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312" w:type="dxa"/>
            <w:vMerge w:val="continue"/>
            <w:tcBorders>
              <w:top w:val="nil"/>
            </w:tcBorders>
            <w:vAlign w:val="top"/>
          </w:tcPr>
          <w:p w14:paraId="25FDF0E3">
            <w:pPr>
              <w:rPr>
                <w:rFonts w:ascii="Arial"/>
                <w:sz w:val="21"/>
              </w:rPr>
            </w:pPr>
          </w:p>
        </w:tc>
      </w:tr>
      <w:tr w14:paraId="10939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21" w:type="dxa"/>
            <w:vAlign w:val="top"/>
          </w:tcPr>
          <w:p w14:paraId="37B43888">
            <w:pPr>
              <w:spacing w:before="66"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25" w:type="dxa"/>
            <w:vAlign w:val="top"/>
          </w:tcPr>
          <w:p w14:paraId="6B1A422D">
            <w:pPr>
              <w:pStyle w:val="6"/>
              <w:spacing w:before="97" w:line="228" w:lineRule="auto"/>
              <w:ind w:left="121"/>
            </w:pPr>
            <w:r>
              <w:rPr>
                <w:spacing w:val="7"/>
              </w:rPr>
              <w:t>臭气浓度（无量纲）</w:t>
            </w:r>
          </w:p>
        </w:tc>
        <w:tc>
          <w:tcPr>
            <w:tcW w:w="1559" w:type="dxa"/>
            <w:vAlign w:val="top"/>
          </w:tcPr>
          <w:p w14:paraId="4EBDFB85">
            <w:pPr>
              <w:pStyle w:val="6"/>
              <w:spacing w:before="97" w:line="228" w:lineRule="auto"/>
              <w:ind w:left="577"/>
            </w:pPr>
            <w:r>
              <w:rPr>
                <w:spacing w:val="3"/>
              </w:rPr>
              <w:t>一次</w:t>
            </w:r>
          </w:p>
        </w:tc>
        <w:tc>
          <w:tcPr>
            <w:tcW w:w="1133" w:type="dxa"/>
            <w:vAlign w:val="top"/>
          </w:tcPr>
          <w:p w14:paraId="27C55259">
            <w:pPr>
              <w:spacing w:before="66" w:line="274" w:lineRule="exact"/>
              <w:ind w:left="4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3312" w:type="dxa"/>
            <w:vAlign w:val="top"/>
          </w:tcPr>
          <w:p w14:paraId="242E2048">
            <w:pPr>
              <w:pStyle w:val="6"/>
              <w:spacing w:before="97" w:line="228" w:lineRule="auto"/>
              <w:ind w:left="510"/>
            </w:pPr>
            <w:r>
              <w:rPr>
                <w:spacing w:val="7"/>
              </w:rPr>
              <w:t>《恶臭污染物排放标准》</w:t>
            </w:r>
          </w:p>
        </w:tc>
      </w:tr>
    </w:tbl>
    <w:p w14:paraId="1EF92E0A">
      <w:pPr>
        <w:pStyle w:val="2"/>
        <w:spacing w:line="91" w:lineRule="exact"/>
        <w:rPr>
          <w:sz w:val="7"/>
        </w:rPr>
      </w:pPr>
    </w:p>
    <w:p w14:paraId="4C34DAA0">
      <w:pPr>
        <w:spacing w:line="91" w:lineRule="exact"/>
        <w:rPr>
          <w:sz w:val="7"/>
          <w:szCs w:val="7"/>
        </w:rPr>
        <w:sectPr>
          <w:footerReference r:id="rId47"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125"/>
        <w:gridCol w:w="1559"/>
        <w:gridCol w:w="1133"/>
        <w:gridCol w:w="3312"/>
      </w:tblGrid>
      <w:tr w14:paraId="5CD44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21" w:type="dxa"/>
            <w:vAlign w:val="top"/>
          </w:tcPr>
          <w:p w14:paraId="50758378">
            <w:pPr>
              <w:rPr>
                <w:rFonts w:ascii="Arial"/>
                <w:sz w:val="21"/>
              </w:rPr>
            </w:pPr>
          </w:p>
        </w:tc>
        <w:tc>
          <w:tcPr>
            <w:tcW w:w="2125" w:type="dxa"/>
            <w:vAlign w:val="top"/>
          </w:tcPr>
          <w:p w14:paraId="00F2EA34">
            <w:pPr>
              <w:rPr>
                <w:rFonts w:ascii="Arial"/>
                <w:sz w:val="21"/>
              </w:rPr>
            </w:pPr>
          </w:p>
        </w:tc>
        <w:tc>
          <w:tcPr>
            <w:tcW w:w="1559" w:type="dxa"/>
            <w:vAlign w:val="top"/>
          </w:tcPr>
          <w:p w14:paraId="00198C10">
            <w:pPr>
              <w:rPr>
                <w:rFonts w:ascii="Arial"/>
                <w:sz w:val="21"/>
              </w:rPr>
            </w:pPr>
          </w:p>
        </w:tc>
        <w:tc>
          <w:tcPr>
            <w:tcW w:w="1133" w:type="dxa"/>
            <w:vAlign w:val="top"/>
          </w:tcPr>
          <w:p w14:paraId="422DFE20">
            <w:pPr>
              <w:rPr>
                <w:rFonts w:ascii="Arial"/>
                <w:sz w:val="21"/>
              </w:rPr>
            </w:pPr>
          </w:p>
        </w:tc>
        <w:tc>
          <w:tcPr>
            <w:tcW w:w="3312" w:type="dxa"/>
            <w:vAlign w:val="top"/>
          </w:tcPr>
          <w:p w14:paraId="310931BF">
            <w:pPr>
              <w:pStyle w:val="6"/>
              <w:spacing w:before="33" w:line="274" w:lineRule="exact"/>
              <w:ind w:left="983"/>
              <w:rPr>
                <w:rFonts w:ascii="Times New Roman" w:hAnsi="Times New Roman" w:eastAsia="Times New Roman" w:cs="Times New Roman"/>
              </w:rPr>
            </w:pPr>
            <w:r>
              <w:rPr>
                <w:spacing w:val="4"/>
                <w:position w:val="3"/>
              </w:rPr>
              <w:t>（</w:t>
            </w:r>
            <w:r>
              <w:rPr>
                <w:rFonts w:ascii="Times New Roman" w:hAnsi="Times New Roman" w:eastAsia="Times New Roman" w:cs="Times New Roman"/>
                <w:position w:val="3"/>
              </w:rPr>
              <w:t>GB</w:t>
            </w:r>
            <w:r>
              <w:rPr>
                <w:rFonts w:ascii="Times New Roman" w:hAnsi="Times New Roman" w:eastAsia="Times New Roman" w:cs="Times New Roman"/>
                <w:spacing w:val="4"/>
                <w:position w:val="3"/>
              </w:rPr>
              <w:t>14554-93)</w:t>
            </w:r>
          </w:p>
        </w:tc>
      </w:tr>
    </w:tbl>
    <w:p w14:paraId="7AD07B36">
      <w:pPr>
        <w:spacing w:before="161" w:line="361"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、声环境质量标准</w:t>
      </w:r>
    </w:p>
    <w:p w14:paraId="073C10DF">
      <w:pPr>
        <w:spacing w:before="195" w:line="372" w:lineRule="auto"/>
        <w:ind w:left="122" w:right="47" w:firstLine="480"/>
        <w:rPr>
          <w:rFonts w:ascii="宋体" w:hAnsi="宋体" w:eastAsia="宋体" w:cs="宋体"/>
          <w:sz w:val="24"/>
          <w:szCs w:val="24"/>
        </w:rPr>
      </w:pPr>
      <w:r>
        <w:rPr>
          <w:rFonts w:ascii="宋体" w:hAnsi="宋体" w:eastAsia="宋体" w:cs="宋体"/>
          <w:spacing w:val="-6"/>
          <w:sz w:val="24"/>
          <w:szCs w:val="24"/>
        </w:rPr>
        <w:t>本项目所在地属于《声环境质量标准》（</w:t>
      </w:r>
      <w:r>
        <w:rPr>
          <w:rFonts w:ascii="Times New Roman" w:hAnsi="Times New Roman" w:eastAsia="Times New Roman" w:cs="Times New Roman"/>
          <w:spacing w:val="-6"/>
          <w:sz w:val="24"/>
          <w:szCs w:val="24"/>
        </w:rPr>
        <w:t>GB 3096-2008</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类声环境功能控制区，</w:t>
      </w:r>
      <w:r>
        <w:rPr>
          <w:rFonts w:ascii="宋体" w:hAnsi="宋体" w:eastAsia="宋体" w:cs="宋体"/>
          <w:sz w:val="24"/>
          <w:szCs w:val="24"/>
        </w:rPr>
        <w:t xml:space="preserve"> 执行《声环境质量标准》（</w:t>
      </w:r>
      <w:r>
        <w:rPr>
          <w:rFonts w:ascii="Times New Roman" w:hAnsi="Times New Roman" w:eastAsia="Times New Roman" w:cs="Times New Roman"/>
          <w:sz w:val="24"/>
          <w:szCs w:val="24"/>
        </w:rPr>
        <w:t>GB 3096-</w:t>
      </w:r>
      <w:r>
        <w:rPr>
          <w:rFonts w:ascii="Times New Roman" w:hAnsi="Times New Roman" w:eastAsia="Times New Roman" w:cs="Times New Roman"/>
          <w:spacing w:val="-1"/>
          <w:sz w:val="24"/>
          <w:szCs w:val="24"/>
        </w:rPr>
        <w:t>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248DF6BC">
      <w:pPr>
        <w:spacing w:before="61" w:line="229" w:lineRule="auto"/>
        <w:ind w:left="282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2.5-2  </w:t>
      </w:r>
      <w:r>
        <w:rPr>
          <w:rFonts w:ascii="宋体" w:hAnsi="宋体" w:eastAsia="宋体" w:cs="宋体"/>
          <w:b/>
          <w:bCs/>
          <w:spacing w:val="6"/>
          <w:sz w:val="20"/>
          <w:szCs w:val="20"/>
        </w:rPr>
        <w:t>声环境质量标准单位：</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5E397F29">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8"/>
        <w:gridCol w:w="2234"/>
        <w:gridCol w:w="2237"/>
        <w:gridCol w:w="2241"/>
      </w:tblGrid>
      <w:tr w14:paraId="1E92F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238" w:type="dxa"/>
            <w:vAlign w:val="top"/>
          </w:tcPr>
          <w:p w14:paraId="448D43CF">
            <w:pPr>
              <w:pStyle w:val="6"/>
              <w:spacing w:before="62" w:line="230" w:lineRule="auto"/>
              <w:ind w:left="915"/>
            </w:pPr>
            <w:r>
              <w:rPr>
                <w:spacing w:val="4"/>
              </w:rPr>
              <w:t>位置</w:t>
            </w:r>
          </w:p>
        </w:tc>
        <w:tc>
          <w:tcPr>
            <w:tcW w:w="2234" w:type="dxa"/>
            <w:vAlign w:val="top"/>
          </w:tcPr>
          <w:p w14:paraId="02357C73">
            <w:pPr>
              <w:pStyle w:val="6"/>
              <w:spacing w:before="63" w:line="228" w:lineRule="auto"/>
              <w:ind w:left="912"/>
            </w:pPr>
            <w:r>
              <w:rPr>
                <w:spacing w:val="4"/>
              </w:rPr>
              <w:t>类别</w:t>
            </w:r>
          </w:p>
        </w:tc>
        <w:tc>
          <w:tcPr>
            <w:tcW w:w="2237" w:type="dxa"/>
            <w:vAlign w:val="top"/>
          </w:tcPr>
          <w:p w14:paraId="38ECFC0E">
            <w:pPr>
              <w:pStyle w:val="6"/>
              <w:spacing w:before="63" w:line="231" w:lineRule="auto"/>
              <w:ind w:left="914"/>
            </w:pPr>
            <w:r>
              <w:rPr>
                <w:spacing w:val="5"/>
              </w:rPr>
              <w:t>昼间</w:t>
            </w:r>
          </w:p>
        </w:tc>
        <w:tc>
          <w:tcPr>
            <w:tcW w:w="2241" w:type="dxa"/>
            <w:vAlign w:val="top"/>
          </w:tcPr>
          <w:p w14:paraId="31709E7E">
            <w:pPr>
              <w:pStyle w:val="6"/>
              <w:spacing w:before="63" w:line="228" w:lineRule="auto"/>
              <w:ind w:left="918"/>
            </w:pPr>
            <w:r>
              <w:rPr>
                <w:spacing w:val="3"/>
              </w:rPr>
              <w:t>夜间</w:t>
            </w:r>
          </w:p>
        </w:tc>
      </w:tr>
      <w:tr w14:paraId="02634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238" w:type="dxa"/>
            <w:vAlign w:val="top"/>
          </w:tcPr>
          <w:p w14:paraId="7BE686DC">
            <w:pPr>
              <w:pStyle w:val="6"/>
              <w:spacing w:before="61" w:line="229" w:lineRule="auto"/>
              <w:ind w:left="708"/>
            </w:pPr>
            <w:r>
              <w:rPr>
                <w:spacing w:val="6"/>
              </w:rPr>
              <w:t>项目位置</w:t>
            </w:r>
          </w:p>
        </w:tc>
        <w:tc>
          <w:tcPr>
            <w:tcW w:w="2234" w:type="dxa"/>
            <w:vAlign w:val="top"/>
          </w:tcPr>
          <w:p w14:paraId="30605D2F">
            <w:pPr>
              <w:pStyle w:val="6"/>
              <w:spacing w:before="30" w:line="274" w:lineRule="exact"/>
              <w:ind w:left="934"/>
            </w:pPr>
            <w:r>
              <w:rPr>
                <w:rFonts w:ascii="Times New Roman" w:hAnsi="Times New Roman" w:eastAsia="Times New Roman" w:cs="Times New Roman"/>
                <w:position w:val="1"/>
              </w:rPr>
              <w:t>2</w:t>
            </w:r>
            <w:r>
              <w:rPr>
                <w:rFonts w:ascii="Times New Roman" w:hAnsi="Times New Roman" w:eastAsia="Times New Roman" w:cs="Times New Roman"/>
                <w:spacing w:val="9"/>
                <w:position w:val="1"/>
              </w:rPr>
              <w:t xml:space="preserve"> </w:t>
            </w:r>
            <w:r>
              <w:rPr>
                <w:position w:val="1"/>
              </w:rPr>
              <w:t>类</w:t>
            </w:r>
          </w:p>
        </w:tc>
        <w:tc>
          <w:tcPr>
            <w:tcW w:w="2237" w:type="dxa"/>
            <w:vAlign w:val="top"/>
          </w:tcPr>
          <w:p w14:paraId="0ABC9149">
            <w:pPr>
              <w:spacing w:before="30" w:line="274" w:lineRule="exact"/>
              <w:ind w:left="10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2241" w:type="dxa"/>
            <w:vAlign w:val="top"/>
          </w:tcPr>
          <w:p w14:paraId="72757023">
            <w:pPr>
              <w:spacing w:before="30" w:line="274" w:lineRule="exact"/>
              <w:ind w:left="10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bl>
    <w:p w14:paraId="1A279088">
      <w:pPr>
        <w:spacing w:before="87" w:line="360" w:lineRule="exact"/>
        <w:ind w:left="597"/>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2"/>
          <w:position w:val="2"/>
          <w:sz w:val="24"/>
          <w:szCs w:val="24"/>
        </w:rPr>
        <w:t xml:space="preserve"> </w:t>
      </w:r>
      <w:r>
        <w:rPr>
          <w:rFonts w:ascii="宋体" w:hAnsi="宋体" w:eastAsia="宋体" w:cs="宋体"/>
          <w:spacing w:val="-3"/>
          <w:position w:val="2"/>
          <w:sz w:val="24"/>
          <w:szCs w:val="24"/>
        </w:rPr>
        <w:t>、地下水环境质量标准</w:t>
      </w:r>
    </w:p>
    <w:p w14:paraId="7255D99F">
      <w:pPr>
        <w:spacing w:before="131" w:line="383" w:lineRule="auto"/>
        <w:ind w:left="126" w:right="110" w:firstLine="476"/>
        <w:rPr>
          <w:rFonts w:ascii="宋体" w:hAnsi="宋体" w:eastAsia="宋体" w:cs="宋体"/>
          <w:sz w:val="24"/>
          <w:szCs w:val="24"/>
        </w:rPr>
      </w:pPr>
      <w:r>
        <w:rPr>
          <w:rFonts w:ascii="宋体" w:hAnsi="宋体" w:eastAsia="宋体" w:cs="宋体"/>
          <w:spacing w:val="-7"/>
          <w:sz w:val="24"/>
          <w:szCs w:val="24"/>
        </w:rPr>
        <w:t>根据广东省水利厅《广东省地下水功能区划》（粤水资源﹝</w:t>
      </w:r>
      <w:r>
        <w:rPr>
          <w:rFonts w:ascii="Times New Roman" w:hAnsi="Times New Roman" w:eastAsia="Times New Roman" w:cs="Times New Roman"/>
          <w:spacing w:val="-7"/>
          <w:sz w:val="24"/>
          <w:szCs w:val="24"/>
        </w:rPr>
        <w:t>2009</w:t>
      </w:r>
      <w:r>
        <w:rPr>
          <w:rFonts w:ascii="宋体" w:hAnsi="宋体" w:eastAsia="宋体" w:cs="宋体"/>
          <w:spacing w:val="-7"/>
          <w:sz w:val="24"/>
          <w:szCs w:val="24"/>
        </w:rPr>
        <w:t>﹞</w:t>
      </w:r>
      <w:r>
        <w:rPr>
          <w:rFonts w:ascii="宋体" w:hAnsi="宋体" w:eastAsia="宋体" w:cs="宋体"/>
          <w:spacing w:val="-91"/>
          <w:sz w:val="24"/>
          <w:szCs w:val="24"/>
        </w:rPr>
        <w:t xml:space="preserve"> </w:t>
      </w:r>
      <w:r>
        <w:rPr>
          <w:rFonts w:ascii="Times New Roman" w:hAnsi="Times New Roman" w:eastAsia="Times New Roman" w:cs="Times New Roman"/>
          <w:spacing w:val="-7"/>
          <w:sz w:val="24"/>
          <w:szCs w:val="24"/>
        </w:rPr>
        <w:t>19</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号）和《关</w:t>
      </w:r>
      <w:r>
        <w:rPr>
          <w:rFonts w:ascii="宋体" w:hAnsi="宋体" w:eastAsia="宋体" w:cs="宋体"/>
          <w:sz w:val="24"/>
          <w:szCs w:val="24"/>
        </w:rPr>
        <w:t xml:space="preserve"> </w:t>
      </w:r>
      <w:r>
        <w:rPr>
          <w:rFonts w:ascii="宋体" w:hAnsi="宋体" w:eastAsia="宋体" w:cs="宋体"/>
          <w:spacing w:val="-3"/>
          <w:sz w:val="24"/>
          <w:szCs w:val="24"/>
        </w:rPr>
        <w:t>于同意广东省地下水功能区划的复函》（粤府办﹝</w:t>
      </w:r>
      <w:r>
        <w:rPr>
          <w:rFonts w:ascii="Times New Roman" w:hAnsi="Times New Roman" w:eastAsia="Times New Roman" w:cs="Times New Roman"/>
          <w:spacing w:val="-3"/>
          <w:sz w:val="24"/>
          <w:szCs w:val="24"/>
        </w:rPr>
        <w:t>2009</w:t>
      </w:r>
      <w:r>
        <w:rPr>
          <w:rFonts w:ascii="宋体" w:hAnsi="宋体" w:eastAsia="宋体" w:cs="宋体"/>
          <w:spacing w:val="-3"/>
          <w:sz w:val="24"/>
          <w:szCs w:val="24"/>
        </w:rPr>
        <w:t>﹞</w:t>
      </w:r>
      <w:r>
        <w:rPr>
          <w:rFonts w:ascii="Times New Roman" w:hAnsi="Times New Roman" w:eastAsia="Times New Roman" w:cs="Times New Roman"/>
          <w:spacing w:val="-3"/>
          <w:sz w:val="24"/>
          <w:szCs w:val="24"/>
        </w:rPr>
        <w:t>459</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号）中相关划定，本项</w:t>
      </w:r>
      <w:r>
        <w:rPr>
          <w:rFonts w:ascii="宋体" w:hAnsi="宋体" w:eastAsia="宋体" w:cs="宋体"/>
          <w:sz w:val="24"/>
          <w:szCs w:val="24"/>
        </w:rPr>
        <w:t xml:space="preserve"> </w:t>
      </w:r>
      <w:r>
        <w:rPr>
          <w:rFonts w:ascii="宋体" w:hAnsi="宋体" w:eastAsia="宋体" w:cs="宋体"/>
          <w:spacing w:val="2"/>
          <w:sz w:val="24"/>
          <w:szCs w:val="24"/>
        </w:rPr>
        <w:t>目所在区域地下水功能区保护目标水质类别为Ⅲ类水体，执行《地</w:t>
      </w:r>
      <w:r>
        <w:rPr>
          <w:rFonts w:ascii="宋体" w:hAnsi="宋体" w:eastAsia="宋体" w:cs="宋体"/>
          <w:spacing w:val="1"/>
          <w:sz w:val="24"/>
          <w:szCs w:val="24"/>
        </w:rPr>
        <w:t>下水质量标准》</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3"/>
          <w:sz w:val="24"/>
          <w:szCs w:val="24"/>
        </w:rPr>
        <w:t>14848-93</w:t>
      </w:r>
      <w:r>
        <w:rPr>
          <w:rFonts w:ascii="宋体" w:hAnsi="宋体" w:eastAsia="宋体" w:cs="宋体"/>
          <w:spacing w:val="-3"/>
          <w:sz w:val="24"/>
          <w:szCs w:val="24"/>
        </w:rPr>
        <w:t>）Ⅲ类水质标准。</w:t>
      </w:r>
    </w:p>
    <w:p w14:paraId="78D4961E">
      <w:pPr>
        <w:spacing w:before="13" w:line="221" w:lineRule="auto"/>
        <w:ind w:left="113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 xml:space="preserve">2.5-3  </w:t>
      </w:r>
      <w:r>
        <w:rPr>
          <w:rFonts w:ascii="宋体" w:hAnsi="宋体" w:eastAsia="宋体" w:cs="宋体"/>
          <w:b/>
          <w:bCs/>
          <w:spacing w:val="6"/>
          <w:sz w:val="20"/>
          <w:szCs w:val="20"/>
        </w:rPr>
        <w:t>地下水环境质量标准（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/T14848-201</w:t>
      </w:r>
      <w:r>
        <w:rPr>
          <w:rFonts w:ascii="Times New Roman" w:hAnsi="Times New Roman" w:eastAsia="Times New Roman" w:cs="Times New Roman"/>
          <w:b/>
          <w:bCs/>
          <w:spacing w:val="5"/>
          <w:sz w:val="20"/>
          <w:szCs w:val="20"/>
        </w:rPr>
        <w:t>7</w:t>
      </w:r>
      <w:r>
        <w:rPr>
          <w:rFonts w:ascii="宋体" w:hAnsi="宋体" w:eastAsia="宋体" w:cs="宋体"/>
          <w:b/>
          <w:bCs/>
          <w:spacing w:val="5"/>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r>
        <w:rPr>
          <w:rFonts w:ascii="Times New Roman" w:hAnsi="Times New Roman" w:eastAsia="Times New Roman" w:cs="Times New Roman"/>
          <w:b/>
          <w:bCs/>
          <w:spacing w:val="-23"/>
          <w:sz w:val="20"/>
          <w:szCs w:val="20"/>
        </w:rPr>
        <w:t xml:space="preserve"> </w:t>
      </w:r>
      <w:r>
        <w:rPr>
          <w:rFonts w:ascii="宋体" w:hAnsi="宋体" w:eastAsia="宋体" w:cs="宋体"/>
          <w:b/>
          <w:bCs/>
          <w:spacing w:val="5"/>
          <w:sz w:val="20"/>
          <w:szCs w:val="20"/>
        </w:rPr>
        <w:t>，</w:t>
      </w:r>
      <w:r>
        <w:rPr>
          <w:rFonts w:ascii="Times New Roman" w:hAnsi="Times New Roman" w:eastAsia="Times New Roman" w:cs="Times New Roman"/>
          <w:b/>
          <w:bCs/>
          <w:sz w:val="20"/>
          <w:szCs w:val="20"/>
        </w:rPr>
        <w:t>pH</w:t>
      </w:r>
      <w:r>
        <w:rPr>
          <w:rFonts w:ascii="Times New Roman" w:hAnsi="Times New Roman" w:eastAsia="Times New Roman" w:cs="Times New Roman"/>
          <w:b/>
          <w:bCs/>
          <w:spacing w:val="24"/>
          <w:w w:val="101"/>
          <w:sz w:val="20"/>
          <w:szCs w:val="20"/>
        </w:rPr>
        <w:t xml:space="preserve"> </w:t>
      </w:r>
      <w:r>
        <w:rPr>
          <w:rFonts w:ascii="宋体" w:hAnsi="宋体" w:eastAsia="宋体" w:cs="宋体"/>
          <w:b/>
          <w:bCs/>
          <w:spacing w:val="5"/>
          <w:sz w:val="20"/>
          <w:szCs w:val="20"/>
        </w:rPr>
        <w:t>除外</w:t>
      </w:r>
    </w:p>
    <w:p w14:paraId="208ED5B2">
      <w:pPr>
        <w:spacing w:line="112" w:lineRule="exact"/>
      </w:pPr>
    </w:p>
    <w:tbl>
      <w:tblPr>
        <w:tblStyle w:val="5"/>
        <w:tblW w:w="8526" w:type="dxa"/>
        <w:tblInd w:w="2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30"/>
        <w:gridCol w:w="5296"/>
      </w:tblGrid>
      <w:tr w14:paraId="09D0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230" w:type="dxa"/>
            <w:vAlign w:val="top"/>
          </w:tcPr>
          <w:p w14:paraId="44E5B09F">
            <w:pPr>
              <w:pStyle w:val="6"/>
              <w:spacing w:before="61" w:line="229" w:lineRule="auto"/>
              <w:ind w:left="1415"/>
            </w:pPr>
            <w:r>
              <w:rPr>
                <w:spacing w:val="3"/>
              </w:rPr>
              <w:t>项目</w:t>
            </w:r>
          </w:p>
        </w:tc>
        <w:tc>
          <w:tcPr>
            <w:tcW w:w="5296" w:type="dxa"/>
            <w:vAlign w:val="top"/>
          </w:tcPr>
          <w:p w14:paraId="7A95D4A7">
            <w:pPr>
              <w:pStyle w:val="6"/>
              <w:spacing w:before="30" w:line="274" w:lineRule="exact"/>
              <w:ind w:left="443"/>
            </w:pPr>
            <w:r>
              <w:rPr>
                <w:spacing w:val="7"/>
                <w:position w:val="1"/>
              </w:rPr>
              <w:t>《地下水质量标准》（</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/T</w:t>
            </w:r>
            <w:r>
              <w:rPr>
                <w:rFonts w:ascii="Times New Roman" w:hAnsi="Times New Roman" w:eastAsia="Times New Roman" w:cs="Times New Roman"/>
                <w:spacing w:val="-26"/>
                <w:position w:val="1"/>
              </w:rPr>
              <w:t xml:space="preserve"> </w:t>
            </w:r>
            <w:r>
              <w:rPr>
                <w:rFonts w:ascii="Times New Roman" w:hAnsi="Times New Roman" w:eastAsia="Times New Roman" w:cs="Times New Roman"/>
                <w:spacing w:val="7"/>
                <w:position w:val="1"/>
              </w:rPr>
              <w:t>14848-9</w:t>
            </w:r>
            <w:r>
              <w:rPr>
                <w:rFonts w:ascii="Times New Roman" w:hAnsi="Times New Roman" w:eastAsia="Times New Roman" w:cs="Times New Roman"/>
                <w:spacing w:val="6"/>
                <w:position w:val="1"/>
              </w:rPr>
              <w:t>3</w:t>
            </w:r>
            <w:r>
              <w:rPr>
                <w:spacing w:val="6"/>
                <w:position w:val="1"/>
              </w:rPr>
              <w:t>）Ⅲ类标准</w:t>
            </w:r>
          </w:p>
        </w:tc>
      </w:tr>
      <w:tr w14:paraId="678E9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230" w:type="dxa"/>
            <w:vAlign w:val="top"/>
          </w:tcPr>
          <w:p w14:paraId="7F51D816">
            <w:pPr>
              <w:spacing w:before="95" w:line="194" w:lineRule="auto"/>
              <w:ind w:left="148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5296" w:type="dxa"/>
            <w:vAlign w:val="top"/>
          </w:tcPr>
          <w:p w14:paraId="0FF2670E">
            <w:pPr>
              <w:spacing w:before="26" w:line="274" w:lineRule="exact"/>
              <w:ind w:left="2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6.5-8.5</w:t>
            </w:r>
          </w:p>
        </w:tc>
      </w:tr>
      <w:tr w14:paraId="07B03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0" w:type="dxa"/>
            <w:vAlign w:val="top"/>
          </w:tcPr>
          <w:p w14:paraId="3E4A2C8A">
            <w:pPr>
              <w:pStyle w:val="6"/>
              <w:spacing w:before="57" w:line="229" w:lineRule="auto"/>
              <w:ind w:left="994"/>
            </w:pPr>
            <w:r>
              <w:rPr>
                <w:spacing w:val="7"/>
              </w:rPr>
              <w:t>溶解性总固体</w:t>
            </w:r>
          </w:p>
        </w:tc>
        <w:tc>
          <w:tcPr>
            <w:tcW w:w="5296" w:type="dxa"/>
            <w:vAlign w:val="top"/>
          </w:tcPr>
          <w:p w14:paraId="7821863B">
            <w:pPr>
              <w:spacing w:before="26" w:line="274" w:lineRule="exact"/>
              <w:ind w:left="24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r>
      <w:tr w14:paraId="694CD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3230" w:type="dxa"/>
            <w:vAlign w:val="top"/>
          </w:tcPr>
          <w:p w14:paraId="0C5D0728">
            <w:pPr>
              <w:pStyle w:val="6"/>
              <w:spacing w:before="31" w:line="228" w:lineRule="auto"/>
              <w:ind w:left="1307"/>
            </w:pPr>
            <w:r>
              <w:rPr>
                <w:spacing w:val="6"/>
              </w:rPr>
              <w:t>耗氧量</w:t>
            </w:r>
          </w:p>
          <w:p w14:paraId="518D8212">
            <w:pPr>
              <w:pStyle w:val="6"/>
              <w:spacing w:before="53"/>
              <w:ind w:left="517"/>
            </w:pPr>
            <w:r>
              <w:rPr>
                <w:spacing w:val="6"/>
              </w:rPr>
              <w:t>（</w:t>
            </w:r>
            <w:r>
              <w:rPr>
                <w:rFonts w:ascii="Times New Roman" w:hAnsi="Times New Roman" w:eastAsia="Times New Roman" w:cs="Times New Roman"/>
              </w:rPr>
              <w:t>COD</w:t>
            </w:r>
            <w:r>
              <w:rPr>
                <w:rFonts w:ascii="Times New Roman" w:hAnsi="Times New Roman" w:eastAsia="Times New Roman" w:cs="Times New Roman"/>
                <w:position w:val="-1"/>
                <w:sz w:val="13"/>
                <w:szCs w:val="13"/>
              </w:rPr>
              <w:t>Mn</w:t>
            </w:r>
            <w:r>
              <w:rPr>
                <w:rFonts w:ascii="Times New Roman" w:hAnsi="Times New Roman" w:eastAsia="Times New Roman" w:cs="Times New Roman"/>
                <w:spacing w:val="6"/>
                <w:position w:val="-1"/>
                <w:sz w:val="13"/>
                <w:szCs w:val="13"/>
              </w:rPr>
              <w:t xml:space="preserve"> </w:t>
            </w:r>
            <w:r>
              <w:rPr>
                <w:spacing w:val="6"/>
              </w:rPr>
              <w:t>法，以</w:t>
            </w:r>
            <w:r>
              <w:rPr>
                <w:spacing w:val="-40"/>
              </w:rPr>
              <w:t xml:space="preserve"> </w:t>
            </w:r>
            <w:r>
              <w:rPr>
                <w:rFonts w:ascii="Times New Roman" w:hAnsi="Times New Roman" w:eastAsia="Times New Roman" w:cs="Times New Roman"/>
                <w:spacing w:val="6"/>
              </w:rPr>
              <w:t>O</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10"/>
                <w:w w:val="101"/>
                <w:position w:val="-1"/>
                <w:sz w:val="13"/>
                <w:szCs w:val="13"/>
              </w:rPr>
              <w:t xml:space="preserve"> </w:t>
            </w:r>
            <w:r>
              <w:rPr>
                <w:spacing w:val="6"/>
              </w:rPr>
              <w:t>计）</w:t>
            </w:r>
          </w:p>
        </w:tc>
        <w:tc>
          <w:tcPr>
            <w:tcW w:w="5296" w:type="dxa"/>
            <w:vAlign w:val="top"/>
          </w:tcPr>
          <w:p w14:paraId="3C0659B1">
            <w:pPr>
              <w:spacing w:before="164" w:line="274" w:lineRule="exact"/>
              <w:ind w:left="25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11B74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230" w:type="dxa"/>
            <w:vAlign w:val="top"/>
          </w:tcPr>
          <w:p w14:paraId="55CE85EF">
            <w:pPr>
              <w:pStyle w:val="6"/>
              <w:spacing w:before="60" w:line="229" w:lineRule="auto"/>
              <w:ind w:left="574"/>
            </w:pPr>
            <w:r>
              <w:rPr>
                <w:spacing w:val="7"/>
              </w:rPr>
              <w:t>总硬度（钙和镁总量）</w:t>
            </w:r>
          </w:p>
        </w:tc>
        <w:tc>
          <w:tcPr>
            <w:tcW w:w="5296" w:type="dxa"/>
            <w:vAlign w:val="top"/>
          </w:tcPr>
          <w:p w14:paraId="3FA17140">
            <w:pPr>
              <w:spacing w:before="30" w:line="274" w:lineRule="exact"/>
              <w:ind w:left="248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r>
      <w:tr w14:paraId="18B78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0" w:type="dxa"/>
            <w:vAlign w:val="top"/>
          </w:tcPr>
          <w:p w14:paraId="32F30AD8">
            <w:pPr>
              <w:pStyle w:val="6"/>
              <w:spacing w:before="60" w:line="228" w:lineRule="auto"/>
              <w:ind w:left="1411"/>
            </w:pPr>
            <w:r>
              <w:rPr>
                <w:spacing w:val="4"/>
              </w:rPr>
              <w:t>氨氮</w:t>
            </w:r>
          </w:p>
        </w:tc>
        <w:tc>
          <w:tcPr>
            <w:tcW w:w="5296" w:type="dxa"/>
            <w:vAlign w:val="top"/>
          </w:tcPr>
          <w:p w14:paraId="50743854">
            <w:pPr>
              <w:spacing w:before="30" w:line="274" w:lineRule="exact"/>
              <w:ind w:left="25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74EC8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0" w:type="dxa"/>
            <w:vAlign w:val="top"/>
          </w:tcPr>
          <w:p w14:paraId="5CD19A36">
            <w:pPr>
              <w:pStyle w:val="6"/>
              <w:spacing w:before="61" w:line="230" w:lineRule="auto"/>
              <w:ind w:left="1308"/>
            </w:pPr>
            <w:r>
              <w:rPr>
                <w:spacing w:val="6"/>
              </w:rPr>
              <w:t>硝酸盐</w:t>
            </w:r>
          </w:p>
        </w:tc>
        <w:tc>
          <w:tcPr>
            <w:tcW w:w="5296" w:type="dxa"/>
            <w:vAlign w:val="top"/>
          </w:tcPr>
          <w:p w14:paraId="5C5533A2">
            <w:pPr>
              <w:spacing w:before="31" w:line="274" w:lineRule="exact"/>
              <w:ind w:left="25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3208F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230" w:type="dxa"/>
            <w:vAlign w:val="top"/>
          </w:tcPr>
          <w:p w14:paraId="480240D0">
            <w:pPr>
              <w:pStyle w:val="6"/>
              <w:spacing w:before="32" w:line="274" w:lineRule="exact"/>
              <w:ind w:left="689"/>
            </w:pPr>
            <w:r>
              <w:rPr>
                <w:spacing w:val="6"/>
                <w:position w:val="1"/>
              </w:rPr>
              <w:t>总大肠菌群（个</w:t>
            </w:r>
            <w:r>
              <w:rPr>
                <w:rFonts w:ascii="Times New Roman" w:hAnsi="Times New Roman" w:eastAsia="Times New Roman" w:cs="Times New Roman"/>
                <w:spacing w:val="6"/>
                <w:position w:val="1"/>
              </w:rPr>
              <w:t>/L</w:t>
            </w:r>
            <w:r>
              <w:rPr>
                <w:spacing w:val="6"/>
                <w:position w:val="1"/>
              </w:rPr>
              <w:t>）</w:t>
            </w:r>
          </w:p>
        </w:tc>
        <w:tc>
          <w:tcPr>
            <w:tcW w:w="5296" w:type="dxa"/>
            <w:vAlign w:val="top"/>
          </w:tcPr>
          <w:p w14:paraId="3E0D7681">
            <w:pPr>
              <w:spacing w:before="32" w:line="274" w:lineRule="exact"/>
              <w:ind w:left="25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bl>
    <w:p w14:paraId="7AB121E7">
      <w:pPr>
        <w:spacing w:before="125" w:line="221" w:lineRule="auto"/>
        <w:ind w:left="605"/>
        <w:rPr>
          <w:rFonts w:ascii="宋体" w:hAnsi="宋体" w:eastAsia="宋体" w:cs="宋体"/>
          <w:sz w:val="24"/>
          <w:szCs w:val="24"/>
        </w:rPr>
      </w:pPr>
      <w:r>
        <w:rPr>
          <w:rFonts w:ascii="Times New Roman" w:hAnsi="Times New Roman" w:eastAsia="Times New Roman" w:cs="Times New Roman"/>
          <w:spacing w:val="-4"/>
          <w:sz w:val="24"/>
          <w:szCs w:val="24"/>
        </w:rPr>
        <w:t>5</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、土壤环境质量标准</w:t>
      </w:r>
    </w:p>
    <w:p w14:paraId="06CD638B">
      <w:pPr>
        <w:spacing w:before="203" w:line="377" w:lineRule="auto"/>
        <w:ind w:left="126" w:right="113" w:firstLine="480"/>
        <w:rPr>
          <w:rFonts w:ascii="宋体" w:hAnsi="宋体" w:eastAsia="宋体" w:cs="宋体"/>
          <w:sz w:val="24"/>
          <w:szCs w:val="24"/>
        </w:rPr>
      </w:pPr>
      <w:r>
        <w:rPr>
          <w:rFonts w:ascii="宋体" w:hAnsi="宋体" w:eastAsia="宋体" w:cs="宋体"/>
          <w:spacing w:val="-5"/>
          <w:sz w:val="24"/>
          <w:szCs w:val="24"/>
        </w:rPr>
        <w:t>项目区域土壤环境质量执行《土壤环境质量建设用地土壤污染风险管控标准（试</w:t>
      </w:r>
      <w:r>
        <w:rPr>
          <w:rFonts w:ascii="宋体" w:hAnsi="宋体" w:eastAsia="宋体" w:cs="宋体"/>
          <w:spacing w:val="9"/>
          <w:sz w:val="24"/>
          <w:szCs w:val="24"/>
        </w:rPr>
        <w:t xml:space="preserve"> </w:t>
      </w:r>
      <w:r>
        <w:rPr>
          <w:rFonts w:ascii="宋体" w:hAnsi="宋体" w:eastAsia="宋体" w:cs="宋体"/>
          <w:sz w:val="24"/>
          <w:szCs w:val="24"/>
        </w:rPr>
        <w:t>行）》</w:t>
      </w:r>
      <w:r>
        <w:rPr>
          <w:rFonts w:ascii="Times New Roman" w:hAnsi="Times New Roman" w:eastAsia="Times New Roman" w:cs="Times New Roman"/>
          <w:sz w:val="24"/>
          <w:szCs w:val="24"/>
        </w:rPr>
        <w:t>(GB36600-2018)</w:t>
      </w:r>
      <w:r>
        <w:rPr>
          <w:rFonts w:ascii="宋体" w:hAnsi="宋体" w:eastAsia="宋体" w:cs="宋体"/>
          <w:sz w:val="24"/>
          <w:szCs w:val="24"/>
        </w:rPr>
        <w:t>第二</w:t>
      </w:r>
      <w:r>
        <w:rPr>
          <w:rFonts w:ascii="宋体" w:hAnsi="宋体" w:eastAsia="宋体" w:cs="宋体"/>
          <w:spacing w:val="-1"/>
          <w:sz w:val="24"/>
          <w:szCs w:val="24"/>
        </w:rPr>
        <w:t>类建设用地筛选值，具体限值见下表。</w:t>
      </w:r>
    </w:p>
    <w:p w14:paraId="7AB5F432">
      <w:pPr>
        <w:spacing w:before="11" w:line="228" w:lineRule="auto"/>
        <w:ind w:left="536"/>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7"/>
          <w:sz w:val="20"/>
          <w:szCs w:val="20"/>
        </w:rPr>
        <w:t>2.5-4</w:t>
      </w:r>
      <w:r>
        <w:rPr>
          <w:rFonts w:ascii="宋体" w:hAnsi="宋体" w:eastAsia="宋体" w:cs="宋体"/>
          <w:b/>
          <w:bCs/>
          <w:spacing w:val="7"/>
          <w:sz w:val="20"/>
          <w:szCs w:val="20"/>
        </w:rPr>
        <w:t>《土壤环境质量建设用地土壤污染风险管控标准（试行）》（</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36600-2018</w:t>
      </w:r>
      <w:r>
        <w:rPr>
          <w:rFonts w:ascii="宋体" w:hAnsi="宋体" w:eastAsia="宋体" w:cs="宋体"/>
          <w:b/>
          <w:bCs/>
          <w:spacing w:val="7"/>
          <w:sz w:val="20"/>
          <w:szCs w:val="20"/>
        </w:rPr>
        <w:t>）</w:t>
      </w:r>
    </w:p>
    <w:p w14:paraId="4B03ED9B">
      <w:pPr>
        <w:spacing w:line="103"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2285"/>
        <w:gridCol w:w="1762"/>
        <w:gridCol w:w="2012"/>
        <w:gridCol w:w="2063"/>
      </w:tblGrid>
      <w:tr w14:paraId="2AD5A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724" w:type="dxa"/>
            <w:gridSpan w:val="5"/>
            <w:vAlign w:val="top"/>
          </w:tcPr>
          <w:p w14:paraId="41070629">
            <w:pPr>
              <w:pStyle w:val="6"/>
              <w:spacing w:before="62" w:line="221" w:lineRule="auto"/>
              <w:ind w:left="1227"/>
            </w:pPr>
            <w:r>
              <w:rPr>
                <w:b/>
                <w:bCs/>
                <w:spacing w:val="7"/>
              </w:rPr>
              <w:t>表</w:t>
            </w:r>
            <w:r>
              <w:rPr>
                <w:spacing w:val="-34"/>
              </w:rPr>
              <w:t xml:space="preserve"> </w:t>
            </w:r>
            <w:r>
              <w:rPr>
                <w:rFonts w:ascii="Times New Roman" w:hAnsi="Times New Roman" w:eastAsia="Times New Roman" w:cs="Times New Roman"/>
                <w:b/>
                <w:bCs/>
                <w:spacing w:val="7"/>
              </w:rPr>
              <w:t xml:space="preserve">1  </w:t>
            </w:r>
            <w:r>
              <w:rPr>
                <w:b/>
                <w:bCs/>
                <w:spacing w:val="7"/>
              </w:rPr>
              <w:t>建设用地土壤污染风险筛选值和管制值（基本项目</w:t>
            </w:r>
            <w:r>
              <w:rPr>
                <w:b/>
                <w:bCs/>
                <w:spacing w:val="-6"/>
              </w:rPr>
              <w:t>）（</w:t>
            </w:r>
            <w:r>
              <w:rPr>
                <w:spacing w:val="-59"/>
              </w:rP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7"/>
              </w:rPr>
              <w:t>/</w:t>
            </w:r>
            <w:r>
              <w:rPr>
                <w:rFonts w:ascii="Times New Roman" w:hAnsi="Times New Roman" w:eastAsia="Times New Roman" w:cs="Times New Roman"/>
                <w:b/>
                <w:bCs/>
              </w:rPr>
              <w:t>kg</w:t>
            </w:r>
            <w:r>
              <w:rPr>
                <w:b/>
                <w:bCs/>
                <w:spacing w:val="7"/>
              </w:rPr>
              <w:t>）</w:t>
            </w:r>
          </w:p>
        </w:tc>
      </w:tr>
      <w:tr w14:paraId="4BAF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Merge w:val="restart"/>
            <w:tcBorders>
              <w:bottom w:val="nil"/>
            </w:tcBorders>
            <w:textDirection w:val="tbRlV"/>
            <w:vAlign w:val="top"/>
          </w:tcPr>
          <w:p w14:paraId="6EF2156F">
            <w:pPr>
              <w:pStyle w:val="6"/>
              <w:spacing w:before="195" w:line="218" w:lineRule="auto"/>
              <w:ind w:left="63"/>
            </w:pPr>
            <w:r>
              <w:rPr>
                <w:spacing w:val="9"/>
              </w:rPr>
              <w:t>序</w:t>
            </w:r>
            <w:r>
              <w:rPr>
                <w:spacing w:val="17"/>
              </w:rPr>
              <w:t xml:space="preserve"> </w:t>
            </w:r>
            <w:r>
              <w:rPr>
                <w:spacing w:val="9"/>
              </w:rPr>
              <w:t>号</w:t>
            </w:r>
          </w:p>
        </w:tc>
        <w:tc>
          <w:tcPr>
            <w:tcW w:w="2285" w:type="dxa"/>
            <w:vMerge w:val="restart"/>
            <w:tcBorders>
              <w:bottom w:val="nil"/>
            </w:tcBorders>
            <w:vAlign w:val="top"/>
          </w:tcPr>
          <w:p w14:paraId="746FCFE9">
            <w:pPr>
              <w:pStyle w:val="6"/>
              <w:spacing w:before="226" w:line="229" w:lineRule="auto"/>
              <w:ind w:left="622"/>
            </w:pPr>
            <w:r>
              <w:rPr>
                <w:spacing w:val="7"/>
              </w:rPr>
              <w:t>污染物项目</w:t>
            </w:r>
          </w:p>
        </w:tc>
        <w:tc>
          <w:tcPr>
            <w:tcW w:w="1762" w:type="dxa"/>
            <w:vMerge w:val="restart"/>
            <w:tcBorders>
              <w:bottom w:val="nil"/>
            </w:tcBorders>
            <w:vAlign w:val="top"/>
          </w:tcPr>
          <w:p w14:paraId="29EA9466">
            <w:pPr>
              <w:pStyle w:val="6"/>
              <w:spacing w:before="226" w:line="230" w:lineRule="auto"/>
              <w:ind w:left="550"/>
            </w:pPr>
            <w:r>
              <w:rPr>
                <w:rFonts w:ascii="Times New Roman" w:hAnsi="Times New Roman" w:eastAsia="Times New Roman" w:cs="Times New Roman"/>
              </w:rPr>
              <w:t>CAS</w:t>
            </w:r>
            <w:r>
              <w:rPr>
                <w:rFonts w:ascii="Times New Roman" w:hAnsi="Times New Roman" w:eastAsia="Times New Roman" w:cs="Times New Roman"/>
                <w:spacing w:val="17"/>
              </w:rPr>
              <w:t xml:space="preserve"> </w:t>
            </w:r>
            <w:r>
              <w:rPr>
                <w:spacing w:val="9"/>
              </w:rPr>
              <w:t>号</w:t>
            </w:r>
          </w:p>
        </w:tc>
        <w:tc>
          <w:tcPr>
            <w:tcW w:w="4075" w:type="dxa"/>
            <w:gridSpan w:val="2"/>
            <w:vAlign w:val="top"/>
          </w:tcPr>
          <w:p w14:paraId="1F693DD4">
            <w:pPr>
              <w:pStyle w:val="6"/>
              <w:spacing w:before="58" w:line="228" w:lineRule="auto"/>
              <w:ind w:left="1515"/>
            </w:pPr>
            <w:r>
              <w:rPr>
                <w:spacing w:val="8"/>
              </w:rPr>
              <w:t>第二类用地</w:t>
            </w:r>
          </w:p>
        </w:tc>
      </w:tr>
      <w:tr w14:paraId="06CFA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Merge w:val="continue"/>
            <w:tcBorders>
              <w:top w:val="nil"/>
            </w:tcBorders>
            <w:textDirection w:val="tbRlV"/>
            <w:vAlign w:val="top"/>
          </w:tcPr>
          <w:p w14:paraId="06F1A570">
            <w:pPr>
              <w:rPr>
                <w:rFonts w:ascii="Arial"/>
                <w:sz w:val="21"/>
              </w:rPr>
            </w:pPr>
          </w:p>
        </w:tc>
        <w:tc>
          <w:tcPr>
            <w:tcW w:w="2285" w:type="dxa"/>
            <w:vMerge w:val="continue"/>
            <w:tcBorders>
              <w:top w:val="nil"/>
            </w:tcBorders>
            <w:vAlign w:val="top"/>
          </w:tcPr>
          <w:p w14:paraId="002FBBCF">
            <w:pPr>
              <w:rPr>
                <w:rFonts w:ascii="Arial"/>
                <w:sz w:val="21"/>
              </w:rPr>
            </w:pPr>
          </w:p>
        </w:tc>
        <w:tc>
          <w:tcPr>
            <w:tcW w:w="1762" w:type="dxa"/>
            <w:vMerge w:val="continue"/>
            <w:tcBorders>
              <w:top w:val="nil"/>
            </w:tcBorders>
            <w:vAlign w:val="top"/>
          </w:tcPr>
          <w:p w14:paraId="35F2AD15">
            <w:pPr>
              <w:rPr>
                <w:rFonts w:ascii="Arial"/>
                <w:sz w:val="21"/>
              </w:rPr>
            </w:pPr>
          </w:p>
        </w:tc>
        <w:tc>
          <w:tcPr>
            <w:tcW w:w="2012" w:type="dxa"/>
            <w:vAlign w:val="top"/>
          </w:tcPr>
          <w:p w14:paraId="0381C871">
            <w:pPr>
              <w:pStyle w:val="6"/>
              <w:spacing w:before="59" w:line="228" w:lineRule="auto"/>
              <w:ind w:left="699"/>
            </w:pPr>
            <w:r>
              <w:rPr>
                <w:spacing w:val="6"/>
              </w:rPr>
              <w:t>筛选值</w:t>
            </w:r>
          </w:p>
        </w:tc>
        <w:tc>
          <w:tcPr>
            <w:tcW w:w="2063" w:type="dxa"/>
            <w:vAlign w:val="top"/>
          </w:tcPr>
          <w:p w14:paraId="22D52E01">
            <w:pPr>
              <w:pStyle w:val="6"/>
              <w:spacing w:before="59" w:line="228" w:lineRule="auto"/>
              <w:ind w:left="727"/>
            </w:pPr>
            <w:r>
              <w:rPr>
                <w:spacing w:val="5"/>
              </w:rPr>
              <w:t>管制值</w:t>
            </w:r>
          </w:p>
        </w:tc>
      </w:tr>
      <w:tr w14:paraId="45105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724" w:type="dxa"/>
            <w:gridSpan w:val="5"/>
            <w:vAlign w:val="top"/>
          </w:tcPr>
          <w:p w14:paraId="45BFE324">
            <w:pPr>
              <w:pStyle w:val="6"/>
              <w:spacing w:before="60" w:line="228" w:lineRule="auto"/>
              <w:ind w:left="3633"/>
            </w:pPr>
            <w:r>
              <w:rPr>
                <w:spacing w:val="8"/>
              </w:rPr>
              <w:t>重金属和无机物</w:t>
            </w:r>
          </w:p>
        </w:tc>
      </w:tr>
      <w:tr w14:paraId="22E71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43362AB">
            <w:pPr>
              <w:spacing w:before="30"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285" w:type="dxa"/>
            <w:vAlign w:val="top"/>
          </w:tcPr>
          <w:p w14:paraId="4A73EA99">
            <w:pPr>
              <w:pStyle w:val="6"/>
              <w:spacing w:before="61" w:line="229" w:lineRule="auto"/>
              <w:ind w:left="1040"/>
            </w:pPr>
            <w:r>
              <w:rPr>
                <w:spacing w:val="1"/>
              </w:rPr>
              <w:t>砷</w:t>
            </w:r>
          </w:p>
        </w:tc>
        <w:tc>
          <w:tcPr>
            <w:tcW w:w="1762" w:type="dxa"/>
            <w:vAlign w:val="top"/>
          </w:tcPr>
          <w:p w14:paraId="7C2103F9">
            <w:pPr>
              <w:spacing w:before="30"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7440-38-2</w:t>
            </w:r>
          </w:p>
        </w:tc>
        <w:tc>
          <w:tcPr>
            <w:tcW w:w="2012" w:type="dxa"/>
            <w:vAlign w:val="top"/>
          </w:tcPr>
          <w:p w14:paraId="7E8DF899">
            <w:pPr>
              <w:spacing w:before="30"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2063" w:type="dxa"/>
            <w:vAlign w:val="top"/>
          </w:tcPr>
          <w:p w14:paraId="2A7047BF">
            <w:pPr>
              <w:spacing w:before="30"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140</w:t>
            </w:r>
          </w:p>
        </w:tc>
      </w:tr>
      <w:tr w14:paraId="53A7E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Align w:val="top"/>
          </w:tcPr>
          <w:p w14:paraId="10C895B0">
            <w:pPr>
              <w:spacing w:before="30"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285" w:type="dxa"/>
            <w:vAlign w:val="top"/>
          </w:tcPr>
          <w:p w14:paraId="0B452BB8">
            <w:pPr>
              <w:pStyle w:val="6"/>
              <w:spacing w:before="61" w:line="231" w:lineRule="auto"/>
              <w:ind w:left="1039"/>
            </w:pPr>
            <w:r>
              <w:rPr>
                <w:spacing w:val="2"/>
              </w:rPr>
              <w:t>镉</w:t>
            </w:r>
          </w:p>
        </w:tc>
        <w:tc>
          <w:tcPr>
            <w:tcW w:w="1762" w:type="dxa"/>
            <w:vAlign w:val="top"/>
          </w:tcPr>
          <w:p w14:paraId="6DCB1519">
            <w:pPr>
              <w:spacing w:before="30"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7440-43-9</w:t>
            </w:r>
          </w:p>
        </w:tc>
        <w:tc>
          <w:tcPr>
            <w:tcW w:w="2012" w:type="dxa"/>
            <w:vAlign w:val="top"/>
          </w:tcPr>
          <w:p w14:paraId="4002B9FB">
            <w:pPr>
              <w:spacing w:before="30"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2063" w:type="dxa"/>
            <w:vAlign w:val="top"/>
          </w:tcPr>
          <w:p w14:paraId="6B332CB8">
            <w:pPr>
              <w:spacing w:before="30"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172</w:t>
            </w:r>
          </w:p>
        </w:tc>
      </w:tr>
      <w:tr w14:paraId="34F5B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51F787C">
            <w:pPr>
              <w:spacing w:before="31" w:line="274" w:lineRule="exact"/>
              <w:ind w:left="2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285" w:type="dxa"/>
            <w:vAlign w:val="top"/>
          </w:tcPr>
          <w:p w14:paraId="66048603">
            <w:pPr>
              <w:pStyle w:val="6"/>
              <w:spacing w:before="62" w:line="227" w:lineRule="auto"/>
              <w:ind w:left="620"/>
            </w:pPr>
            <w:r>
              <w:rPr>
                <w:spacing w:val="6"/>
              </w:rPr>
              <w:t>铬（六价）</w:t>
            </w:r>
          </w:p>
        </w:tc>
        <w:tc>
          <w:tcPr>
            <w:tcW w:w="1762" w:type="dxa"/>
            <w:vAlign w:val="top"/>
          </w:tcPr>
          <w:p w14:paraId="2290B7A3">
            <w:pPr>
              <w:spacing w:before="31"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18540-29-9</w:t>
            </w:r>
          </w:p>
        </w:tc>
        <w:tc>
          <w:tcPr>
            <w:tcW w:w="2012" w:type="dxa"/>
            <w:vAlign w:val="top"/>
          </w:tcPr>
          <w:p w14:paraId="61BD4F08">
            <w:pPr>
              <w:spacing w:before="101" w:line="192" w:lineRule="auto"/>
              <w:ind w:left="88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2063" w:type="dxa"/>
            <w:vAlign w:val="top"/>
          </w:tcPr>
          <w:p w14:paraId="38DDB271">
            <w:pPr>
              <w:spacing w:before="31" w:line="274" w:lineRule="exact"/>
              <w:ind w:left="9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r>
      <w:tr w14:paraId="09114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02" w:type="dxa"/>
            <w:vAlign w:val="top"/>
          </w:tcPr>
          <w:p w14:paraId="061C88C2">
            <w:pPr>
              <w:spacing w:before="31"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285" w:type="dxa"/>
            <w:vAlign w:val="top"/>
          </w:tcPr>
          <w:p w14:paraId="7DBE01EA">
            <w:pPr>
              <w:pStyle w:val="6"/>
              <w:spacing w:before="62" w:line="230" w:lineRule="auto"/>
              <w:ind w:left="1041"/>
            </w:pPr>
            <w:r>
              <w:t>铜</w:t>
            </w:r>
          </w:p>
        </w:tc>
        <w:tc>
          <w:tcPr>
            <w:tcW w:w="1762" w:type="dxa"/>
            <w:vAlign w:val="top"/>
          </w:tcPr>
          <w:p w14:paraId="72B6F6C9">
            <w:pPr>
              <w:spacing w:before="31"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7440-50-8</w:t>
            </w:r>
          </w:p>
        </w:tc>
        <w:tc>
          <w:tcPr>
            <w:tcW w:w="2012" w:type="dxa"/>
            <w:vAlign w:val="top"/>
          </w:tcPr>
          <w:p w14:paraId="3DA3897A">
            <w:pPr>
              <w:spacing w:before="31" w:line="274" w:lineRule="exact"/>
              <w:ind w:left="7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18000</w:t>
            </w:r>
          </w:p>
        </w:tc>
        <w:tc>
          <w:tcPr>
            <w:tcW w:w="2063" w:type="dxa"/>
            <w:vAlign w:val="top"/>
          </w:tcPr>
          <w:p w14:paraId="3C403C09">
            <w:pPr>
              <w:spacing w:before="31" w:line="274" w:lineRule="exact"/>
              <w:ind w:left="7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36000</w:t>
            </w:r>
          </w:p>
        </w:tc>
      </w:tr>
    </w:tbl>
    <w:p w14:paraId="6D73E9DD">
      <w:pPr>
        <w:pStyle w:val="2"/>
        <w:spacing w:line="173" w:lineRule="exact"/>
        <w:rPr>
          <w:sz w:val="15"/>
        </w:rPr>
      </w:pPr>
    </w:p>
    <w:p w14:paraId="19158E77">
      <w:pPr>
        <w:spacing w:line="173" w:lineRule="exact"/>
        <w:rPr>
          <w:sz w:val="15"/>
          <w:szCs w:val="15"/>
        </w:rPr>
        <w:sectPr>
          <w:footerReference r:id="rId48" w:type="default"/>
          <w:pgSz w:w="11906" w:h="16839"/>
          <w:pgMar w:top="1418" w:right="1475" w:bottom="1485" w:left="1475" w:header="0" w:footer="1249" w:gutter="0"/>
          <w:cols w:space="720" w:num="1"/>
        </w:sectPr>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2285"/>
        <w:gridCol w:w="1762"/>
        <w:gridCol w:w="2012"/>
        <w:gridCol w:w="2063"/>
      </w:tblGrid>
      <w:tr w14:paraId="3BC3D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02" w:type="dxa"/>
            <w:vAlign w:val="top"/>
          </w:tcPr>
          <w:p w14:paraId="73E54E80">
            <w:pPr>
              <w:spacing w:before="102" w:line="192"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85" w:type="dxa"/>
            <w:vAlign w:val="top"/>
          </w:tcPr>
          <w:p w14:paraId="117A73DC">
            <w:pPr>
              <w:pStyle w:val="6"/>
              <w:spacing w:before="63" w:line="233" w:lineRule="auto"/>
              <w:ind w:left="1041"/>
            </w:pPr>
            <w:r>
              <w:t>铅</w:t>
            </w:r>
          </w:p>
        </w:tc>
        <w:tc>
          <w:tcPr>
            <w:tcW w:w="1762" w:type="dxa"/>
            <w:vAlign w:val="top"/>
          </w:tcPr>
          <w:p w14:paraId="3E4F75C4">
            <w:pPr>
              <w:spacing w:before="33"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7439-92-1</w:t>
            </w:r>
          </w:p>
        </w:tc>
        <w:tc>
          <w:tcPr>
            <w:tcW w:w="2012" w:type="dxa"/>
            <w:vAlign w:val="top"/>
          </w:tcPr>
          <w:p w14:paraId="01D3B1F9">
            <w:pPr>
              <w:spacing w:before="33" w:line="274" w:lineRule="exact"/>
              <w:ind w:left="8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800</w:t>
            </w:r>
          </w:p>
        </w:tc>
        <w:tc>
          <w:tcPr>
            <w:tcW w:w="2063" w:type="dxa"/>
            <w:vAlign w:val="top"/>
          </w:tcPr>
          <w:p w14:paraId="4D85C599">
            <w:pPr>
              <w:spacing w:before="33"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r>
      <w:tr w14:paraId="60282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A2557D1">
            <w:pPr>
              <w:spacing w:before="29"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285" w:type="dxa"/>
            <w:vAlign w:val="top"/>
          </w:tcPr>
          <w:p w14:paraId="184E2B7D">
            <w:pPr>
              <w:pStyle w:val="6"/>
              <w:spacing w:before="60" w:line="229" w:lineRule="auto"/>
              <w:ind w:left="1041"/>
            </w:pPr>
            <w:r>
              <w:t>汞</w:t>
            </w:r>
          </w:p>
        </w:tc>
        <w:tc>
          <w:tcPr>
            <w:tcW w:w="1762" w:type="dxa"/>
            <w:vAlign w:val="top"/>
          </w:tcPr>
          <w:p w14:paraId="061AD8EC">
            <w:pPr>
              <w:spacing w:before="29"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7439-97-6</w:t>
            </w:r>
          </w:p>
        </w:tc>
        <w:tc>
          <w:tcPr>
            <w:tcW w:w="2012" w:type="dxa"/>
            <w:vAlign w:val="top"/>
          </w:tcPr>
          <w:p w14:paraId="3A89A194">
            <w:pPr>
              <w:spacing w:before="29"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c>
          <w:tcPr>
            <w:tcW w:w="2063" w:type="dxa"/>
            <w:vAlign w:val="top"/>
          </w:tcPr>
          <w:p w14:paraId="36BF2AA4">
            <w:pPr>
              <w:spacing w:before="29" w:line="274" w:lineRule="exact"/>
              <w:ind w:left="9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r>
      <w:tr w14:paraId="7229D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2273EBD">
            <w:pPr>
              <w:spacing w:before="98" w:line="192"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85" w:type="dxa"/>
            <w:vAlign w:val="top"/>
          </w:tcPr>
          <w:p w14:paraId="211B63D5">
            <w:pPr>
              <w:pStyle w:val="6"/>
              <w:spacing w:before="60" w:line="229" w:lineRule="auto"/>
              <w:ind w:left="1040"/>
            </w:pPr>
            <w:r>
              <w:rPr>
                <w:spacing w:val="1"/>
              </w:rPr>
              <w:t>镍</w:t>
            </w:r>
          </w:p>
        </w:tc>
        <w:tc>
          <w:tcPr>
            <w:tcW w:w="1762" w:type="dxa"/>
            <w:vAlign w:val="top"/>
          </w:tcPr>
          <w:p w14:paraId="228165F3">
            <w:pPr>
              <w:spacing w:before="29"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7440-02-0</w:t>
            </w:r>
          </w:p>
        </w:tc>
        <w:tc>
          <w:tcPr>
            <w:tcW w:w="2012" w:type="dxa"/>
            <w:vAlign w:val="top"/>
          </w:tcPr>
          <w:p w14:paraId="39B584E5">
            <w:pPr>
              <w:spacing w:before="29" w:line="274" w:lineRule="exact"/>
              <w:ind w:left="8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900</w:t>
            </w:r>
          </w:p>
        </w:tc>
        <w:tc>
          <w:tcPr>
            <w:tcW w:w="2063" w:type="dxa"/>
            <w:vAlign w:val="top"/>
          </w:tcPr>
          <w:p w14:paraId="293EDFA7">
            <w:pPr>
              <w:spacing w:before="29"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r>
      <w:tr w14:paraId="05F20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724" w:type="dxa"/>
            <w:gridSpan w:val="5"/>
            <w:vAlign w:val="top"/>
          </w:tcPr>
          <w:p w14:paraId="1309EC8B">
            <w:pPr>
              <w:pStyle w:val="6"/>
              <w:spacing w:before="59" w:line="228" w:lineRule="auto"/>
              <w:ind w:left="3737"/>
            </w:pPr>
            <w:r>
              <w:rPr>
                <w:spacing w:val="8"/>
              </w:rPr>
              <w:t>挥发性有机物</w:t>
            </w:r>
          </w:p>
        </w:tc>
      </w:tr>
      <w:tr w14:paraId="12B04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DD14BD1">
            <w:pPr>
              <w:spacing w:before="30" w:line="274" w:lineRule="exact"/>
              <w:ind w:left="2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285" w:type="dxa"/>
            <w:vAlign w:val="top"/>
          </w:tcPr>
          <w:p w14:paraId="1E33EE7F">
            <w:pPr>
              <w:pStyle w:val="6"/>
              <w:spacing w:before="61" w:line="229" w:lineRule="auto"/>
              <w:ind w:left="746"/>
            </w:pPr>
            <w:r>
              <w:rPr>
                <w:spacing w:val="2"/>
              </w:rPr>
              <w:t>四氯化碳</w:t>
            </w:r>
          </w:p>
        </w:tc>
        <w:tc>
          <w:tcPr>
            <w:tcW w:w="1762" w:type="dxa"/>
            <w:vAlign w:val="top"/>
          </w:tcPr>
          <w:p w14:paraId="185A7E33">
            <w:pPr>
              <w:spacing w:before="30"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56-23-5</w:t>
            </w:r>
          </w:p>
        </w:tc>
        <w:tc>
          <w:tcPr>
            <w:tcW w:w="2012" w:type="dxa"/>
            <w:vAlign w:val="top"/>
          </w:tcPr>
          <w:p w14:paraId="17BDF39A">
            <w:pPr>
              <w:spacing w:before="30"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71733B43">
            <w:pPr>
              <w:spacing w:before="30" w:line="274" w:lineRule="exact"/>
              <w:ind w:left="9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r>
      <w:tr w14:paraId="4EAA0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Align w:val="top"/>
          </w:tcPr>
          <w:p w14:paraId="34B97013">
            <w:pPr>
              <w:spacing w:before="30" w:line="274" w:lineRule="exact"/>
              <w:ind w:left="2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285" w:type="dxa"/>
            <w:vAlign w:val="top"/>
          </w:tcPr>
          <w:p w14:paraId="368BF89D">
            <w:pPr>
              <w:pStyle w:val="6"/>
              <w:spacing w:before="61" w:line="229" w:lineRule="auto"/>
              <w:ind w:left="941"/>
            </w:pPr>
            <w:r>
              <w:rPr>
                <w:spacing w:val="3"/>
              </w:rPr>
              <w:t>氯仿</w:t>
            </w:r>
          </w:p>
        </w:tc>
        <w:tc>
          <w:tcPr>
            <w:tcW w:w="1762" w:type="dxa"/>
            <w:vAlign w:val="top"/>
          </w:tcPr>
          <w:p w14:paraId="324EBACF">
            <w:pPr>
              <w:spacing w:before="30"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67-66-3</w:t>
            </w:r>
          </w:p>
        </w:tc>
        <w:tc>
          <w:tcPr>
            <w:tcW w:w="2012" w:type="dxa"/>
            <w:vAlign w:val="top"/>
          </w:tcPr>
          <w:p w14:paraId="08C1BD84">
            <w:pPr>
              <w:spacing w:before="30"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2063" w:type="dxa"/>
            <w:vAlign w:val="top"/>
          </w:tcPr>
          <w:p w14:paraId="73A2A943">
            <w:pPr>
              <w:spacing w:before="30"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68C8C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4C389CC2">
            <w:pPr>
              <w:spacing w:before="3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285" w:type="dxa"/>
            <w:vAlign w:val="top"/>
          </w:tcPr>
          <w:p w14:paraId="01E9DA7C">
            <w:pPr>
              <w:pStyle w:val="6"/>
              <w:spacing w:before="62" w:line="229" w:lineRule="auto"/>
              <w:ind w:left="835"/>
            </w:pPr>
            <w:r>
              <w:rPr>
                <w:spacing w:val="5"/>
              </w:rPr>
              <w:t>氯甲烷</w:t>
            </w:r>
          </w:p>
        </w:tc>
        <w:tc>
          <w:tcPr>
            <w:tcW w:w="1762" w:type="dxa"/>
            <w:vAlign w:val="top"/>
          </w:tcPr>
          <w:p w14:paraId="608F8754">
            <w:pPr>
              <w:spacing w:before="31"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74-87-3</w:t>
            </w:r>
          </w:p>
        </w:tc>
        <w:tc>
          <w:tcPr>
            <w:tcW w:w="2012" w:type="dxa"/>
            <w:vAlign w:val="top"/>
          </w:tcPr>
          <w:p w14:paraId="3FFA3948">
            <w:pPr>
              <w:spacing w:before="31"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c>
          <w:tcPr>
            <w:tcW w:w="2063" w:type="dxa"/>
            <w:vAlign w:val="top"/>
          </w:tcPr>
          <w:p w14:paraId="475B1EFF">
            <w:pPr>
              <w:spacing w:before="31"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r>
      <w:tr w14:paraId="5D093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9801FF5">
            <w:pPr>
              <w:spacing w:before="3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285" w:type="dxa"/>
            <w:vAlign w:val="top"/>
          </w:tcPr>
          <w:p w14:paraId="7C79BFA1">
            <w:pPr>
              <w:pStyle w:val="6"/>
              <w:spacing w:before="31" w:line="274" w:lineRule="exact"/>
              <w:ind w:left="577"/>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1762" w:type="dxa"/>
            <w:vAlign w:val="top"/>
          </w:tcPr>
          <w:p w14:paraId="1A9D6C9E">
            <w:pPr>
              <w:spacing w:before="31"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75-34-3</w:t>
            </w:r>
          </w:p>
        </w:tc>
        <w:tc>
          <w:tcPr>
            <w:tcW w:w="2012" w:type="dxa"/>
            <w:vAlign w:val="top"/>
          </w:tcPr>
          <w:p w14:paraId="22254E27">
            <w:pPr>
              <w:spacing w:before="31" w:line="274" w:lineRule="exact"/>
              <w:ind w:left="9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063" w:type="dxa"/>
            <w:vAlign w:val="top"/>
          </w:tcPr>
          <w:p w14:paraId="4EE6E59D">
            <w:pPr>
              <w:spacing w:before="31"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r>
      <w:tr w14:paraId="650F2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Align w:val="top"/>
          </w:tcPr>
          <w:p w14:paraId="10E477ED">
            <w:pPr>
              <w:spacing w:before="3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285" w:type="dxa"/>
            <w:vAlign w:val="top"/>
          </w:tcPr>
          <w:p w14:paraId="0B95611C">
            <w:pPr>
              <w:pStyle w:val="6"/>
              <w:spacing w:before="31" w:line="274" w:lineRule="exact"/>
              <w:ind w:left="577"/>
            </w:pPr>
            <w:r>
              <w:rPr>
                <w:rFonts w:ascii="Times New Roman" w:hAnsi="Times New Roman" w:eastAsia="Times New Roman" w:cs="Times New Roman"/>
                <w:spacing w:val="3"/>
                <w:position w:val="2"/>
              </w:rPr>
              <w:t>1,2-</w:t>
            </w:r>
            <w:r>
              <w:rPr>
                <w:spacing w:val="3"/>
                <w:position w:val="2"/>
              </w:rPr>
              <w:t>二氯乙烷</w:t>
            </w:r>
          </w:p>
        </w:tc>
        <w:tc>
          <w:tcPr>
            <w:tcW w:w="1762" w:type="dxa"/>
            <w:vAlign w:val="top"/>
          </w:tcPr>
          <w:p w14:paraId="2C51223D">
            <w:pPr>
              <w:spacing w:before="31"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107-06-2</w:t>
            </w:r>
          </w:p>
        </w:tc>
        <w:tc>
          <w:tcPr>
            <w:tcW w:w="2012" w:type="dxa"/>
            <w:vAlign w:val="top"/>
          </w:tcPr>
          <w:p w14:paraId="3BE4DEE0">
            <w:pPr>
              <w:spacing w:before="100" w:line="192"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63" w:type="dxa"/>
            <w:vAlign w:val="top"/>
          </w:tcPr>
          <w:p w14:paraId="17CDD5BD">
            <w:pPr>
              <w:spacing w:before="31" w:line="274" w:lineRule="exact"/>
              <w:ind w:left="9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r>
      <w:tr w14:paraId="0A12C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4E3BB190">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285" w:type="dxa"/>
            <w:vAlign w:val="top"/>
          </w:tcPr>
          <w:p w14:paraId="74AA0292">
            <w:pPr>
              <w:pStyle w:val="6"/>
              <w:spacing w:before="32" w:line="274" w:lineRule="exact"/>
              <w:ind w:left="577"/>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1762" w:type="dxa"/>
            <w:vAlign w:val="top"/>
          </w:tcPr>
          <w:p w14:paraId="77621112">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75-35-4</w:t>
            </w:r>
          </w:p>
        </w:tc>
        <w:tc>
          <w:tcPr>
            <w:tcW w:w="2012" w:type="dxa"/>
            <w:vAlign w:val="top"/>
          </w:tcPr>
          <w:p w14:paraId="4166D101">
            <w:pPr>
              <w:spacing w:before="32"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2063" w:type="dxa"/>
            <w:vAlign w:val="top"/>
          </w:tcPr>
          <w:p w14:paraId="4985058C">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19BF7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2CCDE299">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2285" w:type="dxa"/>
            <w:vAlign w:val="top"/>
          </w:tcPr>
          <w:p w14:paraId="624CBB84">
            <w:pPr>
              <w:pStyle w:val="6"/>
              <w:spacing w:before="32" w:line="274" w:lineRule="exact"/>
              <w:ind w:left="317"/>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1762" w:type="dxa"/>
            <w:vAlign w:val="top"/>
          </w:tcPr>
          <w:p w14:paraId="3963BF04">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156-59-2</w:t>
            </w:r>
          </w:p>
        </w:tc>
        <w:tc>
          <w:tcPr>
            <w:tcW w:w="2012" w:type="dxa"/>
            <w:vAlign w:val="top"/>
          </w:tcPr>
          <w:p w14:paraId="01EAEA04">
            <w:pPr>
              <w:spacing w:before="32" w:line="274" w:lineRule="exact"/>
              <w:ind w:left="8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596</w:t>
            </w:r>
          </w:p>
        </w:tc>
        <w:tc>
          <w:tcPr>
            <w:tcW w:w="2063" w:type="dxa"/>
            <w:vAlign w:val="top"/>
          </w:tcPr>
          <w:p w14:paraId="0CBC607D">
            <w:pPr>
              <w:spacing w:before="32"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r>
      <w:tr w14:paraId="425CE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5264BC9E">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285" w:type="dxa"/>
            <w:vAlign w:val="top"/>
          </w:tcPr>
          <w:p w14:paraId="19481A99">
            <w:pPr>
              <w:pStyle w:val="6"/>
              <w:spacing w:before="32" w:line="274" w:lineRule="exact"/>
              <w:ind w:left="317"/>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1762" w:type="dxa"/>
            <w:vAlign w:val="top"/>
          </w:tcPr>
          <w:p w14:paraId="0E23AD0D">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156-60-5</w:t>
            </w:r>
          </w:p>
        </w:tc>
        <w:tc>
          <w:tcPr>
            <w:tcW w:w="2012" w:type="dxa"/>
            <w:vAlign w:val="top"/>
          </w:tcPr>
          <w:p w14:paraId="65448479">
            <w:pPr>
              <w:spacing w:before="32" w:line="274" w:lineRule="exact"/>
              <w:ind w:left="9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2063" w:type="dxa"/>
            <w:vAlign w:val="top"/>
          </w:tcPr>
          <w:p w14:paraId="4480D2F4">
            <w:pPr>
              <w:spacing w:before="32"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163</w:t>
            </w:r>
          </w:p>
        </w:tc>
      </w:tr>
      <w:tr w14:paraId="66827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A7929D4">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2285" w:type="dxa"/>
            <w:vAlign w:val="top"/>
          </w:tcPr>
          <w:p w14:paraId="2A9A61B4">
            <w:pPr>
              <w:pStyle w:val="6"/>
              <w:spacing w:before="63" w:line="229" w:lineRule="auto"/>
              <w:ind w:left="730"/>
            </w:pPr>
            <w:r>
              <w:rPr>
                <w:spacing w:val="6"/>
              </w:rPr>
              <w:t>二氯甲烷</w:t>
            </w:r>
          </w:p>
        </w:tc>
        <w:tc>
          <w:tcPr>
            <w:tcW w:w="1762" w:type="dxa"/>
            <w:vAlign w:val="top"/>
          </w:tcPr>
          <w:p w14:paraId="79574673">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75-09-2</w:t>
            </w:r>
          </w:p>
        </w:tc>
        <w:tc>
          <w:tcPr>
            <w:tcW w:w="2012" w:type="dxa"/>
            <w:vAlign w:val="top"/>
          </w:tcPr>
          <w:p w14:paraId="2078C77F">
            <w:pPr>
              <w:spacing w:before="32" w:line="274" w:lineRule="exact"/>
              <w:ind w:left="8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616</w:t>
            </w:r>
          </w:p>
        </w:tc>
        <w:tc>
          <w:tcPr>
            <w:tcW w:w="2063" w:type="dxa"/>
            <w:vAlign w:val="top"/>
          </w:tcPr>
          <w:p w14:paraId="29041D9F">
            <w:pPr>
              <w:spacing w:before="32"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r>
      <w:tr w14:paraId="726C5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71007D6C">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2285" w:type="dxa"/>
            <w:vAlign w:val="top"/>
          </w:tcPr>
          <w:p w14:paraId="52B4B8AF">
            <w:pPr>
              <w:pStyle w:val="6"/>
              <w:spacing w:before="32" w:line="274" w:lineRule="exact"/>
              <w:ind w:left="577"/>
            </w:pPr>
            <w:r>
              <w:rPr>
                <w:rFonts w:ascii="Times New Roman" w:hAnsi="Times New Roman" w:eastAsia="Times New Roman" w:cs="Times New Roman"/>
                <w:spacing w:val="3"/>
                <w:position w:val="2"/>
              </w:rPr>
              <w:t>1,2-</w:t>
            </w:r>
            <w:r>
              <w:rPr>
                <w:spacing w:val="3"/>
                <w:position w:val="2"/>
              </w:rPr>
              <w:t>二氯丙烷</w:t>
            </w:r>
          </w:p>
        </w:tc>
        <w:tc>
          <w:tcPr>
            <w:tcW w:w="1762" w:type="dxa"/>
            <w:vAlign w:val="top"/>
          </w:tcPr>
          <w:p w14:paraId="46226789">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78-87-5</w:t>
            </w:r>
          </w:p>
        </w:tc>
        <w:tc>
          <w:tcPr>
            <w:tcW w:w="2012" w:type="dxa"/>
            <w:vAlign w:val="top"/>
          </w:tcPr>
          <w:p w14:paraId="5F70775E">
            <w:pPr>
              <w:spacing w:before="101" w:line="192"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63" w:type="dxa"/>
            <w:vAlign w:val="top"/>
          </w:tcPr>
          <w:p w14:paraId="0766E60E">
            <w:pPr>
              <w:spacing w:before="32" w:line="274" w:lineRule="exact"/>
              <w:ind w:left="9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r>
      <w:tr w14:paraId="0BD23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4D58C2E">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2285" w:type="dxa"/>
            <w:vAlign w:val="top"/>
          </w:tcPr>
          <w:p w14:paraId="104B2F0B">
            <w:pPr>
              <w:pStyle w:val="6"/>
              <w:spacing w:before="32" w:line="274" w:lineRule="exact"/>
              <w:ind w:left="419"/>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1762" w:type="dxa"/>
            <w:vAlign w:val="top"/>
          </w:tcPr>
          <w:p w14:paraId="6690FA1E">
            <w:pPr>
              <w:spacing w:before="32"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630-20-6</w:t>
            </w:r>
          </w:p>
        </w:tc>
        <w:tc>
          <w:tcPr>
            <w:tcW w:w="2012" w:type="dxa"/>
            <w:vAlign w:val="top"/>
          </w:tcPr>
          <w:p w14:paraId="0F4A6E44">
            <w:pPr>
              <w:spacing w:before="32"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063" w:type="dxa"/>
            <w:vAlign w:val="top"/>
          </w:tcPr>
          <w:p w14:paraId="3EC76784">
            <w:pPr>
              <w:spacing w:before="32"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r>
      <w:tr w14:paraId="3E2D8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E9964E1">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19</w:t>
            </w:r>
          </w:p>
        </w:tc>
        <w:tc>
          <w:tcPr>
            <w:tcW w:w="2285" w:type="dxa"/>
            <w:vAlign w:val="top"/>
          </w:tcPr>
          <w:p w14:paraId="638E4936">
            <w:pPr>
              <w:pStyle w:val="6"/>
              <w:spacing w:before="32" w:line="274" w:lineRule="exact"/>
              <w:ind w:left="419"/>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1762" w:type="dxa"/>
            <w:vAlign w:val="top"/>
          </w:tcPr>
          <w:p w14:paraId="71160A22">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79-34-5</w:t>
            </w:r>
          </w:p>
        </w:tc>
        <w:tc>
          <w:tcPr>
            <w:tcW w:w="2012" w:type="dxa"/>
            <w:vAlign w:val="top"/>
          </w:tcPr>
          <w:p w14:paraId="44FBBA63">
            <w:pPr>
              <w:spacing w:before="32" w:line="274" w:lineRule="exact"/>
              <w:ind w:left="8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6.8</w:t>
            </w:r>
          </w:p>
        </w:tc>
        <w:tc>
          <w:tcPr>
            <w:tcW w:w="2063" w:type="dxa"/>
            <w:vAlign w:val="top"/>
          </w:tcPr>
          <w:p w14:paraId="4D2A16FC">
            <w:pPr>
              <w:spacing w:before="32" w:line="274" w:lineRule="exact"/>
              <w:ind w:left="9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5784C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51D738D8">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285" w:type="dxa"/>
            <w:vAlign w:val="top"/>
          </w:tcPr>
          <w:p w14:paraId="7991F87D">
            <w:pPr>
              <w:pStyle w:val="6"/>
              <w:spacing w:before="63" w:line="228" w:lineRule="auto"/>
              <w:ind w:left="746"/>
            </w:pPr>
            <w:r>
              <w:rPr>
                <w:spacing w:val="2"/>
              </w:rPr>
              <w:t>四氯乙烯</w:t>
            </w:r>
          </w:p>
        </w:tc>
        <w:tc>
          <w:tcPr>
            <w:tcW w:w="1762" w:type="dxa"/>
            <w:vAlign w:val="top"/>
          </w:tcPr>
          <w:p w14:paraId="18E1DA85">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127-18-4</w:t>
            </w:r>
          </w:p>
        </w:tc>
        <w:tc>
          <w:tcPr>
            <w:tcW w:w="2012" w:type="dxa"/>
            <w:vAlign w:val="top"/>
          </w:tcPr>
          <w:p w14:paraId="3CACFC07">
            <w:pPr>
              <w:spacing w:before="32" w:line="274" w:lineRule="exact"/>
              <w:ind w:left="9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2063" w:type="dxa"/>
            <w:vAlign w:val="top"/>
          </w:tcPr>
          <w:p w14:paraId="667DF0C1">
            <w:pPr>
              <w:spacing w:before="32"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183</w:t>
            </w:r>
          </w:p>
        </w:tc>
      </w:tr>
      <w:tr w14:paraId="7E2A3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29A6DEC2">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2285" w:type="dxa"/>
            <w:vAlign w:val="top"/>
          </w:tcPr>
          <w:p w14:paraId="03D8DB4B">
            <w:pPr>
              <w:pStyle w:val="6"/>
              <w:spacing w:before="32" w:line="274" w:lineRule="exact"/>
              <w:ind w:left="498"/>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1762" w:type="dxa"/>
            <w:vAlign w:val="top"/>
          </w:tcPr>
          <w:p w14:paraId="24A92F2B">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71-55-6</w:t>
            </w:r>
          </w:p>
        </w:tc>
        <w:tc>
          <w:tcPr>
            <w:tcW w:w="2012" w:type="dxa"/>
            <w:vAlign w:val="top"/>
          </w:tcPr>
          <w:p w14:paraId="5A9892A4">
            <w:pPr>
              <w:spacing w:before="32" w:line="274" w:lineRule="exact"/>
              <w:ind w:left="8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c>
          <w:tcPr>
            <w:tcW w:w="2063" w:type="dxa"/>
            <w:vAlign w:val="top"/>
          </w:tcPr>
          <w:p w14:paraId="39F134AD">
            <w:pPr>
              <w:spacing w:before="32" w:line="274" w:lineRule="exact"/>
              <w:ind w:left="8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r>
      <w:tr w14:paraId="2F31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39279D0">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2285" w:type="dxa"/>
            <w:vAlign w:val="top"/>
          </w:tcPr>
          <w:p w14:paraId="7439EEEA">
            <w:pPr>
              <w:pStyle w:val="6"/>
              <w:spacing w:before="32" w:line="274" w:lineRule="exact"/>
              <w:ind w:left="498"/>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1762" w:type="dxa"/>
            <w:vAlign w:val="top"/>
          </w:tcPr>
          <w:p w14:paraId="0DD837BB">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79-00-5</w:t>
            </w:r>
          </w:p>
        </w:tc>
        <w:tc>
          <w:tcPr>
            <w:tcW w:w="2012" w:type="dxa"/>
            <w:vAlign w:val="top"/>
          </w:tcPr>
          <w:p w14:paraId="6B0BF593">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70BE84BE">
            <w:pPr>
              <w:spacing w:before="32"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3F9D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AF0876F">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2285" w:type="dxa"/>
            <w:vAlign w:val="top"/>
          </w:tcPr>
          <w:p w14:paraId="37EE1186">
            <w:pPr>
              <w:pStyle w:val="6"/>
              <w:spacing w:before="63" w:line="228" w:lineRule="auto"/>
              <w:ind w:left="726"/>
            </w:pPr>
            <w:r>
              <w:rPr>
                <w:spacing w:val="7"/>
              </w:rPr>
              <w:t>三氯乙烯</w:t>
            </w:r>
          </w:p>
        </w:tc>
        <w:tc>
          <w:tcPr>
            <w:tcW w:w="1762" w:type="dxa"/>
            <w:vAlign w:val="top"/>
          </w:tcPr>
          <w:p w14:paraId="71681B2A">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79-01-6</w:t>
            </w:r>
          </w:p>
        </w:tc>
        <w:tc>
          <w:tcPr>
            <w:tcW w:w="2012" w:type="dxa"/>
            <w:vAlign w:val="top"/>
          </w:tcPr>
          <w:p w14:paraId="6773D6FE">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7C58BEBD">
            <w:pPr>
              <w:spacing w:before="32" w:line="274" w:lineRule="exact"/>
              <w:ind w:left="9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2323E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084D7CA">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24</w:t>
            </w:r>
          </w:p>
        </w:tc>
        <w:tc>
          <w:tcPr>
            <w:tcW w:w="2285" w:type="dxa"/>
            <w:vAlign w:val="top"/>
          </w:tcPr>
          <w:p w14:paraId="007179F9">
            <w:pPr>
              <w:pStyle w:val="6"/>
              <w:spacing w:before="32" w:line="274" w:lineRule="exact"/>
              <w:ind w:left="498"/>
            </w:pPr>
            <w:r>
              <w:rPr>
                <w:rFonts w:ascii="Times New Roman" w:hAnsi="Times New Roman" w:eastAsia="Times New Roman" w:cs="Times New Roman"/>
                <w:spacing w:val="3"/>
                <w:position w:val="2"/>
              </w:rPr>
              <w:t>1,2,3-</w:t>
            </w:r>
            <w:r>
              <w:rPr>
                <w:spacing w:val="3"/>
                <w:position w:val="2"/>
              </w:rPr>
              <w:t>三氯丙烷</w:t>
            </w:r>
          </w:p>
        </w:tc>
        <w:tc>
          <w:tcPr>
            <w:tcW w:w="1762" w:type="dxa"/>
            <w:vAlign w:val="top"/>
          </w:tcPr>
          <w:p w14:paraId="1D03BB68">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96-18-4</w:t>
            </w:r>
          </w:p>
        </w:tc>
        <w:tc>
          <w:tcPr>
            <w:tcW w:w="2012" w:type="dxa"/>
            <w:vAlign w:val="top"/>
          </w:tcPr>
          <w:p w14:paraId="39523A94">
            <w:pPr>
              <w:spacing w:before="32"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2063" w:type="dxa"/>
            <w:vAlign w:val="top"/>
          </w:tcPr>
          <w:p w14:paraId="68A594CA">
            <w:pPr>
              <w:spacing w:before="101" w:line="192" w:lineRule="auto"/>
              <w:ind w:left="98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DFB4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62D9AFB">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2285" w:type="dxa"/>
            <w:vAlign w:val="top"/>
          </w:tcPr>
          <w:p w14:paraId="7952FCF6">
            <w:pPr>
              <w:pStyle w:val="6"/>
              <w:spacing w:before="63" w:line="228" w:lineRule="auto"/>
              <w:ind w:left="835"/>
            </w:pPr>
            <w:r>
              <w:rPr>
                <w:spacing w:val="5"/>
              </w:rPr>
              <w:t>氯乙烯</w:t>
            </w:r>
          </w:p>
        </w:tc>
        <w:tc>
          <w:tcPr>
            <w:tcW w:w="1762" w:type="dxa"/>
            <w:vAlign w:val="top"/>
          </w:tcPr>
          <w:p w14:paraId="3B6E0973">
            <w:pPr>
              <w:spacing w:before="32" w:line="274" w:lineRule="exact"/>
              <w:ind w:left="6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75-01</w:t>
            </w:r>
          </w:p>
        </w:tc>
        <w:tc>
          <w:tcPr>
            <w:tcW w:w="2012" w:type="dxa"/>
            <w:vAlign w:val="top"/>
          </w:tcPr>
          <w:p w14:paraId="12157919">
            <w:pPr>
              <w:spacing w:before="32" w:line="274" w:lineRule="exact"/>
              <w:ind w:left="8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0.43</w:t>
            </w:r>
          </w:p>
        </w:tc>
        <w:tc>
          <w:tcPr>
            <w:tcW w:w="2063" w:type="dxa"/>
            <w:vAlign w:val="top"/>
          </w:tcPr>
          <w:p w14:paraId="0250D030">
            <w:pPr>
              <w:spacing w:before="32" w:line="274" w:lineRule="exact"/>
              <w:ind w:left="9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r>
      <w:tr w14:paraId="70AB2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A89AF37">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w:t>
            </w:r>
          </w:p>
        </w:tc>
        <w:tc>
          <w:tcPr>
            <w:tcW w:w="2285" w:type="dxa"/>
            <w:vAlign w:val="top"/>
          </w:tcPr>
          <w:p w14:paraId="5AED5BA7">
            <w:pPr>
              <w:pStyle w:val="6"/>
              <w:spacing w:before="62" w:line="228" w:lineRule="auto"/>
              <w:ind w:left="1043"/>
            </w:pPr>
            <w:r>
              <w:t>苯</w:t>
            </w:r>
          </w:p>
        </w:tc>
        <w:tc>
          <w:tcPr>
            <w:tcW w:w="1762" w:type="dxa"/>
            <w:vAlign w:val="top"/>
          </w:tcPr>
          <w:p w14:paraId="60B1472C">
            <w:pPr>
              <w:spacing w:before="32" w:line="274"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7-43-2</w:t>
            </w:r>
          </w:p>
        </w:tc>
        <w:tc>
          <w:tcPr>
            <w:tcW w:w="2012" w:type="dxa"/>
            <w:vAlign w:val="top"/>
          </w:tcPr>
          <w:p w14:paraId="02D818EC">
            <w:pPr>
              <w:spacing w:before="32" w:line="274" w:lineRule="exact"/>
              <w:ind w:left="95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063" w:type="dxa"/>
            <w:vAlign w:val="top"/>
          </w:tcPr>
          <w:p w14:paraId="1F11969B">
            <w:pPr>
              <w:spacing w:before="32" w:line="274" w:lineRule="exact"/>
              <w:ind w:left="9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3FB01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3033B44">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27</w:t>
            </w:r>
          </w:p>
        </w:tc>
        <w:tc>
          <w:tcPr>
            <w:tcW w:w="2285" w:type="dxa"/>
            <w:vAlign w:val="top"/>
          </w:tcPr>
          <w:p w14:paraId="718417B6">
            <w:pPr>
              <w:pStyle w:val="6"/>
              <w:spacing w:before="62" w:line="228" w:lineRule="auto"/>
              <w:ind w:left="941"/>
            </w:pPr>
            <w:r>
              <w:rPr>
                <w:spacing w:val="3"/>
              </w:rPr>
              <w:t>氯苯</w:t>
            </w:r>
          </w:p>
        </w:tc>
        <w:tc>
          <w:tcPr>
            <w:tcW w:w="1762" w:type="dxa"/>
            <w:vAlign w:val="top"/>
          </w:tcPr>
          <w:p w14:paraId="27E64F89">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108-90-7</w:t>
            </w:r>
          </w:p>
        </w:tc>
        <w:tc>
          <w:tcPr>
            <w:tcW w:w="2012" w:type="dxa"/>
            <w:vAlign w:val="top"/>
          </w:tcPr>
          <w:p w14:paraId="7EAB72CB">
            <w:pPr>
              <w:spacing w:before="32"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270</w:t>
            </w:r>
          </w:p>
        </w:tc>
        <w:tc>
          <w:tcPr>
            <w:tcW w:w="2063" w:type="dxa"/>
            <w:vAlign w:val="top"/>
          </w:tcPr>
          <w:p w14:paraId="3C9012DB">
            <w:pPr>
              <w:spacing w:before="32"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r>
      <w:tr w14:paraId="0ACFD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CBCCDE1">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285" w:type="dxa"/>
            <w:vAlign w:val="top"/>
          </w:tcPr>
          <w:p w14:paraId="535925FD">
            <w:pPr>
              <w:pStyle w:val="6"/>
              <w:spacing w:before="32" w:line="274" w:lineRule="exact"/>
              <w:ind w:left="683"/>
            </w:pPr>
            <w:r>
              <w:rPr>
                <w:rFonts w:ascii="Times New Roman" w:hAnsi="Times New Roman" w:eastAsia="Times New Roman" w:cs="Times New Roman"/>
                <w:spacing w:val="2"/>
                <w:position w:val="2"/>
              </w:rPr>
              <w:t>1,2-</w:t>
            </w:r>
            <w:r>
              <w:rPr>
                <w:spacing w:val="2"/>
                <w:position w:val="2"/>
              </w:rPr>
              <w:t>二氯苯</w:t>
            </w:r>
          </w:p>
        </w:tc>
        <w:tc>
          <w:tcPr>
            <w:tcW w:w="1762" w:type="dxa"/>
            <w:vAlign w:val="top"/>
          </w:tcPr>
          <w:p w14:paraId="1FAA7E5B">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95-50-1</w:t>
            </w:r>
          </w:p>
        </w:tc>
        <w:tc>
          <w:tcPr>
            <w:tcW w:w="2012" w:type="dxa"/>
            <w:vAlign w:val="top"/>
          </w:tcPr>
          <w:p w14:paraId="71E16E94">
            <w:pPr>
              <w:spacing w:before="32" w:line="274" w:lineRule="exact"/>
              <w:ind w:left="8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c>
          <w:tcPr>
            <w:tcW w:w="2063" w:type="dxa"/>
            <w:vAlign w:val="top"/>
          </w:tcPr>
          <w:p w14:paraId="0F04B7E9">
            <w:pPr>
              <w:spacing w:before="32" w:line="274" w:lineRule="exact"/>
              <w:ind w:left="8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r>
      <w:tr w14:paraId="2E0D2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441C4F68">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c>
          <w:tcPr>
            <w:tcW w:w="2285" w:type="dxa"/>
            <w:vAlign w:val="top"/>
          </w:tcPr>
          <w:p w14:paraId="6E5BE003">
            <w:pPr>
              <w:pStyle w:val="6"/>
              <w:spacing w:before="32" w:line="274" w:lineRule="exact"/>
              <w:ind w:left="683"/>
            </w:pPr>
            <w:r>
              <w:rPr>
                <w:rFonts w:ascii="Times New Roman" w:hAnsi="Times New Roman" w:eastAsia="Times New Roman" w:cs="Times New Roman"/>
                <w:spacing w:val="2"/>
                <w:position w:val="2"/>
              </w:rPr>
              <w:t>1,4-</w:t>
            </w:r>
            <w:r>
              <w:rPr>
                <w:spacing w:val="2"/>
                <w:position w:val="2"/>
              </w:rPr>
              <w:t>二氯苯</w:t>
            </w:r>
          </w:p>
        </w:tc>
        <w:tc>
          <w:tcPr>
            <w:tcW w:w="1762" w:type="dxa"/>
            <w:vAlign w:val="top"/>
          </w:tcPr>
          <w:p w14:paraId="260F5E9E">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106-46-7</w:t>
            </w:r>
          </w:p>
        </w:tc>
        <w:tc>
          <w:tcPr>
            <w:tcW w:w="2012" w:type="dxa"/>
            <w:vAlign w:val="top"/>
          </w:tcPr>
          <w:p w14:paraId="2DE9D9E4">
            <w:pPr>
              <w:spacing w:before="32" w:line="274" w:lineRule="exact"/>
              <w:ind w:left="9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063" w:type="dxa"/>
            <w:vAlign w:val="top"/>
          </w:tcPr>
          <w:p w14:paraId="65FF92E9">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7617B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9191D7A">
            <w:pPr>
              <w:spacing w:before="3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2285" w:type="dxa"/>
            <w:vAlign w:val="top"/>
          </w:tcPr>
          <w:p w14:paraId="0550092C">
            <w:pPr>
              <w:pStyle w:val="6"/>
              <w:spacing w:before="62" w:line="228" w:lineRule="auto"/>
              <w:ind w:left="955"/>
            </w:pPr>
            <w:r>
              <w:rPr>
                <w:spacing w:val="-4"/>
              </w:rPr>
              <w:t>乙苯</w:t>
            </w:r>
          </w:p>
        </w:tc>
        <w:tc>
          <w:tcPr>
            <w:tcW w:w="1762" w:type="dxa"/>
            <w:vAlign w:val="top"/>
          </w:tcPr>
          <w:p w14:paraId="24C9A802">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106-41-4</w:t>
            </w:r>
          </w:p>
        </w:tc>
        <w:tc>
          <w:tcPr>
            <w:tcW w:w="2012" w:type="dxa"/>
            <w:vAlign w:val="top"/>
          </w:tcPr>
          <w:p w14:paraId="7951E6C8">
            <w:pPr>
              <w:spacing w:before="32" w:line="274" w:lineRule="exact"/>
              <w:ind w:left="9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031E622B">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280</w:t>
            </w:r>
          </w:p>
        </w:tc>
      </w:tr>
      <w:tr w14:paraId="67F81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6364091">
            <w:pPr>
              <w:spacing w:before="3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c>
        <w:tc>
          <w:tcPr>
            <w:tcW w:w="2285" w:type="dxa"/>
            <w:vAlign w:val="top"/>
          </w:tcPr>
          <w:p w14:paraId="3AD95503">
            <w:pPr>
              <w:pStyle w:val="6"/>
              <w:spacing w:before="62" w:line="228" w:lineRule="auto"/>
              <w:ind w:left="834"/>
            </w:pPr>
            <w:r>
              <w:rPr>
                <w:spacing w:val="6"/>
              </w:rPr>
              <w:t>苯乙烯</w:t>
            </w:r>
          </w:p>
        </w:tc>
        <w:tc>
          <w:tcPr>
            <w:tcW w:w="1762" w:type="dxa"/>
            <w:vAlign w:val="top"/>
          </w:tcPr>
          <w:p w14:paraId="378E8E9A">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100-42-5</w:t>
            </w:r>
          </w:p>
        </w:tc>
        <w:tc>
          <w:tcPr>
            <w:tcW w:w="2012" w:type="dxa"/>
            <w:vAlign w:val="top"/>
          </w:tcPr>
          <w:p w14:paraId="40F7B790">
            <w:pPr>
              <w:spacing w:before="32" w:line="274" w:lineRule="exact"/>
              <w:ind w:left="8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1290</w:t>
            </w:r>
          </w:p>
        </w:tc>
        <w:tc>
          <w:tcPr>
            <w:tcW w:w="2063" w:type="dxa"/>
            <w:vAlign w:val="top"/>
          </w:tcPr>
          <w:p w14:paraId="4E707023">
            <w:pPr>
              <w:spacing w:before="32"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1290</w:t>
            </w:r>
          </w:p>
        </w:tc>
      </w:tr>
      <w:tr w14:paraId="130D4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EEDEBEB">
            <w:pPr>
              <w:spacing w:before="3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2285" w:type="dxa"/>
            <w:vAlign w:val="top"/>
          </w:tcPr>
          <w:p w14:paraId="0F1D8C80">
            <w:pPr>
              <w:pStyle w:val="6"/>
              <w:spacing w:before="62" w:line="228" w:lineRule="auto"/>
              <w:ind w:left="964"/>
            </w:pPr>
            <w:r>
              <w:rPr>
                <w:spacing w:val="-9"/>
              </w:rPr>
              <w:t>甲苯</w:t>
            </w:r>
          </w:p>
        </w:tc>
        <w:tc>
          <w:tcPr>
            <w:tcW w:w="1762" w:type="dxa"/>
            <w:vAlign w:val="top"/>
          </w:tcPr>
          <w:p w14:paraId="7F81F566">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108-88-3</w:t>
            </w:r>
          </w:p>
        </w:tc>
        <w:tc>
          <w:tcPr>
            <w:tcW w:w="2012" w:type="dxa"/>
            <w:vAlign w:val="top"/>
          </w:tcPr>
          <w:p w14:paraId="6E2CCD06">
            <w:pPr>
              <w:spacing w:before="32" w:line="274" w:lineRule="exact"/>
              <w:ind w:left="8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1200</w:t>
            </w:r>
          </w:p>
        </w:tc>
        <w:tc>
          <w:tcPr>
            <w:tcW w:w="2063" w:type="dxa"/>
            <w:vAlign w:val="top"/>
          </w:tcPr>
          <w:p w14:paraId="4C1DD6CA">
            <w:pPr>
              <w:spacing w:before="32"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r>
      <w:tr w14:paraId="34E93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602" w:type="dxa"/>
            <w:vAlign w:val="top"/>
          </w:tcPr>
          <w:p w14:paraId="5196F3DB">
            <w:pPr>
              <w:spacing w:before="195"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2285" w:type="dxa"/>
            <w:vAlign w:val="top"/>
          </w:tcPr>
          <w:p w14:paraId="7C5F68D4">
            <w:pPr>
              <w:pStyle w:val="6"/>
              <w:spacing w:before="62" w:line="228" w:lineRule="auto"/>
              <w:ind w:left="263"/>
            </w:pPr>
            <w:r>
              <w:rPr>
                <w:spacing w:val="6"/>
              </w:rPr>
              <w:t>间二甲苯</w:t>
            </w:r>
            <w:r>
              <w:rPr>
                <w:rFonts w:ascii="Times New Roman" w:hAnsi="Times New Roman" w:eastAsia="Times New Roman" w:cs="Times New Roman"/>
                <w:spacing w:val="6"/>
              </w:rPr>
              <w:t>+</w:t>
            </w:r>
            <w:r>
              <w:rPr>
                <w:spacing w:val="6"/>
              </w:rPr>
              <w:t>对二甲苯</w:t>
            </w:r>
          </w:p>
        </w:tc>
        <w:tc>
          <w:tcPr>
            <w:tcW w:w="1762" w:type="dxa"/>
            <w:vAlign w:val="top"/>
          </w:tcPr>
          <w:p w14:paraId="2F5D6344">
            <w:pPr>
              <w:spacing w:before="3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108-38-3,</w:t>
            </w:r>
            <w:r>
              <w:rPr>
                <w:rFonts w:ascii="Times New Roman" w:hAnsi="Times New Roman" w:eastAsia="Times New Roman" w:cs="Times New Roman"/>
                <w:spacing w:val="-23"/>
                <w:position w:val="3"/>
                <w:sz w:val="20"/>
                <w:szCs w:val="20"/>
              </w:rPr>
              <w:t xml:space="preserve"> </w:t>
            </w:r>
            <w:r>
              <w:rPr>
                <w:rFonts w:ascii="Times New Roman" w:hAnsi="Times New Roman" w:eastAsia="Times New Roman" w:cs="Times New Roman"/>
                <w:spacing w:val="1"/>
                <w:position w:val="3"/>
                <w:sz w:val="20"/>
                <w:szCs w:val="20"/>
              </w:rPr>
              <w:t>106-42-</w:t>
            </w:r>
          </w:p>
          <w:p w14:paraId="34C12999">
            <w:pPr>
              <w:spacing w:before="52"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012" w:type="dxa"/>
            <w:vAlign w:val="top"/>
          </w:tcPr>
          <w:p w14:paraId="51F93E90">
            <w:pPr>
              <w:spacing w:before="195" w:line="274" w:lineRule="exact"/>
              <w:ind w:left="8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570</w:t>
            </w:r>
          </w:p>
        </w:tc>
        <w:tc>
          <w:tcPr>
            <w:tcW w:w="2063" w:type="dxa"/>
            <w:vAlign w:val="top"/>
          </w:tcPr>
          <w:p w14:paraId="224F2BA8">
            <w:pPr>
              <w:spacing w:before="195" w:line="274" w:lineRule="exact"/>
              <w:ind w:left="8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570</w:t>
            </w:r>
          </w:p>
        </w:tc>
      </w:tr>
      <w:tr w14:paraId="27945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54173E29">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34</w:t>
            </w:r>
          </w:p>
        </w:tc>
        <w:tc>
          <w:tcPr>
            <w:tcW w:w="2285" w:type="dxa"/>
            <w:vAlign w:val="top"/>
          </w:tcPr>
          <w:p w14:paraId="5D1C1859">
            <w:pPr>
              <w:pStyle w:val="6"/>
              <w:spacing w:before="64" w:line="228" w:lineRule="auto"/>
              <w:ind w:left="725"/>
            </w:pPr>
            <w:r>
              <w:rPr>
                <w:spacing w:val="7"/>
              </w:rPr>
              <w:t>邻二甲苯</w:t>
            </w:r>
          </w:p>
        </w:tc>
        <w:tc>
          <w:tcPr>
            <w:tcW w:w="1762" w:type="dxa"/>
            <w:vAlign w:val="top"/>
          </w:tcPr>
          <w:p w14:paraId="5C04F5A9">
            <w:pPr>
              <w:spacing w:before="33"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95-47-6</w:t>
            </w:r>
          </w:p>
        </w:tc>
        <w:tc>
          <w:tcPr>
            <w:tcW w:w="2012" w:type="dxa"/>
            <w:vAlign w:val="top"/>
          </w:tcPr>
          <w:p w14:paraId="43660825">
            <w:pPr>
              <w:spacing w:before="33" w:line="274" w:lineRule="exact"/>
              <w:ind w:left="8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c>
          <w:tcPr>
            <w:tcW w:w="2063" w:type="dxa"/>
            <w:vAlign w:val="top"/>
          </w:tcPr>
          <w:p w14:paraId="0DC58152">
            <w:pPr>
              <w:spacing w:before="33"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r>
      <w:tr w14:paraId="41F3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724" w:type="dxa"/>
            <w:gridSpan w:val="5"/>
            <w:vAlign w:val="top"/>
          </w:tcPr>
          <w:p w14:paraId="473EBCCD">
            <w:pPr>
              <w:pStyle w:val="6"/>
              <w:spacing w:before="64" w:line="228" w:lineRule="auto"/>
              <w:ind w:left="3636"/>
            </w:pPr>
            <w:r>
              <w:rPr>
                <w:spacing w:val="8"/>
              </w:rPr>
              <w:t>半挥发性有机物</w:t>
            </w:r>
          </w:p>
        </w:tc>
      </w:tr>
      <w:tr w14:paraId="4922E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6E5F9DF8">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2285" w:type="dxa"/>
            <w:vAlign w:val="top"/>
          </w:tcPr>
          <w:p w14:paraId="5F8C77CF">
            <w:pPr>
              <w:pStyle w:val="6"/>
              <w:spacing w:before="64" w:line="228" w:lineRule="auto"/>
              <w:ind w:left="834"/>
            </w:pPr>
            <w:r>
              <w:rPr>
                <w:spacing w:val="6"/>
              </w:rPr>
              <w:t>硝基苯</w:t>
            </w:r>
          </w:p>
        </w:tc>
        <w:tc>
          <w:tcPr>
            <w:tcW w:w="1762" w:type="dxa"/>
            <w:vAlign w:val="top"/>
          </w:tcPr>
          <w:p w14:paraId="1A714C57">
            <w:pPr>
              <w:spacing w:before="33"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98-95-3</w:t>
            </w:r>
          </w:p>
        </w:tc>
        <w:tc>
          <w:tcPr>
            <w:tcW w:w="2012" w:type="dxa"/>
            <w:vAlign w:val="top"/>
          </w:tcPr>
          <w:p w14:paraId="1B7463E8">
            <w:pPr>
              <w:spacing w:before="33" w:line="274" w:lineRule="exact"/>
              <w:ind w:left="9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2063" w:type="dxa"/>
            <w:vAlign w:val="top"/>
          </w:tcPr>
          <w:p w14:paraId="4A75F909">
            <w:pPr>
              <w:spacing w:before="33"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760</w:t>
            </w:r>
          </w:p>
        </w:tc>
      </w:tr>
      <w:tr w14:paraId="160F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2B47D0F4">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c>
          <w:tcPr>
            <w:tcW w:w="2285" w:type="dxa"/>
            <w:vAlign w:val="top"/>
          </w:tcPr>
          <w:p w14:paraId="26F18148">
            <w:pPr>
              <w:pStyle w:val="6"/>
              <w:spacing w:before="64" w:line="228" w:lineRule="auto"/>
              <w:ind w:left="940"/>
            </w:pPr>
            <w:r>
              <w:rPr>
                <w:spacing w:val="3"/>
              </w:rPr>
              <w:t>苯胺</w:t>
            </w:r>
          </w:p>
        </w:tc>
        <w:tc>
          <w:tcPr>
            <w:tcW w:w="1762" w:type="dxa"/>
            <w:vAlign w:val="top"/>
          </w:tcPr>
          <w:p w14:paraId="47D711CE">
            <w:pPr>
              <w:spacing w:before="33"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62-53-3</w:t>
            </w:r>
          </w:p>
        </w:tc>
        <w:tc>
          <w:tcPr>
            <w:tcW w:w="2012" w:type="dxa"/>
            <w:vAlign w:val="top"/>
          </w:tcPr>
          <w:p w14:paraId="20EA6857">
            <w:pPr>
              <w:spacing w:before="33"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260</w:t>
            </w:r>
          </w:p>
        </w:tc>
        <w:tc>
          <w:tcPr>
            <w:tcW w:w="2063" w:type="dxa"/>
            <w:vAlign w:val="top"/>
          </w:tcPr>
          <w:p w14:paraId="07734CEC">
            <w:pPr>
              <w:spacing w:before="33"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663</w:t>
            </w:r>
          </w:p>
        </w:tc>
      </w:tr>
      <w:tr w14:paraId="670DD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3B4476C">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c>
          <w:tcPr>
            <w:tcW w:w="2285" w:type="dxa"/>
            <w:vAlign w:val="top"/>
          </w:tcPr>
          <w:p w14:paraId="266C12AB">
            <w:pPr>
              <w:pStyle w:val="6"/>
              <w:spacing w:before="33" w:line="274" w:lineRule="exact"/>
              <w:ind w:left="845"/>
            </w:pPr>
            <w:r>
              <w:rPr>
                <w:rFonts w:ascii="Times New Roman" w:hAnsi="Times New Roman" w:eastAsia="Times New Roman" w:cs="Times New Roman"/>
                <w:spacing w:val="5"/>
                <w:position w:val="1"/>
              </w:rPr>
              <w:t>2-</w:t>
            </w:r>
            <w:r>
              <w:rPr>
                <w:spacing w:val="5"/>
                <w:position w:val="1"/>
              </w:rPr>
              <w:t>氯酚</w:t>
            </w:r>
          </w:p>
        </w:tc>
        <w:tc>
          <w:tcPr>
            <w:tcW w:w="1762" w:type="dxa"/>
            <w:vAlign w:val="top"/>
          </w:tcPr>
          <w:p w14:paraId="3558A45E">
            <w:pPr>
              <w:spacing w:before="33"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95-57-8</w:t>
            </w:r>
          </w:p>
        </w:tc>
        <w:tc>
          <w:tcPr>
            <w:tcW w:w="2012" w:type="dxa"/>
            <w:vAlign w:val="top"/>
          </w:tcPr>
          <w:p w14:paraId="0F39DD55">
            <w:pPr>
              <w:spacing w:before="33" w:line="274" w:lineRule="exact"/>
              <w:ind w:left="7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2256</w:t>
            </w:r>
          </w:p>
        </w:tc>
        <w:tc>
          <w:tcPr>
            <w:tcW w:w="2063" w:type="dxa"/>
            <w:vAlign w:val="top"/>
          </w:tcPr>
          <w:p w14:paraId="47C7658B">
            <w:pPr>
              <w:spacing w:before="33" w:line="274" w:lineRule="exact"/>
              <w:ind w:left="82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4500</w:t>
            </w:r>
          </w:p>
        </w:tc>
      </w:tr>
      <w:tr w14:paraId="18FE2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3F20A3F">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c>
          <w:tcPr>
            <w:tcW w:w="2285" w:type="dxa"/>
            <w:vAlign w:val="top"/>
          </w:tcPr>
          <w:p w14:paraId="37BA6F0B">
            <w:pPr>
              <w:pStyle w:val="6"/>
              <w:spacing w:before="33" w:line="274" w:lineRule="exact"/>
              <w:ind w:left="717"/>
            </w:pPr>
            <w:r>
              <w:rPr>
                <w:spacing w:val="5"/>
                <w:position w:val="2"/>
              </w:rPr>
              <w:t>苯并</w:t>
            </w:r>
            <w:r>
              <w:rPr>
                <w:rFonts w:ascii="Times New Roman" w:hAnsi="Times New Roman" w:eastAsia="Times New Roman" w:cs="Times New Roman"/>
                <w:spacing w:val="5"/>
                <w:position w:val="2"/>
              </w:rPr>
              <w:t>(a)</w:t>
            </w:r>
            <w:r>
              <w:rPr>
                <w:spacing w:val="5"/>
                <w:position w:val="2"/>
              </w:rPr>
              <w:t>蒽</w:t>
            </w:r>
          </w:p>
        </w:tc>
        <w:tc>
          <w:tcPr>
            <w:tcW w:w="1762" w:type="dxa"/>
            <w:vAlign w:val="top"/>
          </w:tcPr>
          <w:p w14:paraId="7A822383">
            <w:pPr>
              <w:spacing w:before="33"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56-55-3</w:t>
            </w:r>
          </w:p>
        </w:tc>
        <w:tc>
          <w:tcPr>
            <w:tcW w:w="2012" w:type="dxa"/>
            <w:vAlign w:val="top"/>
          </w:tcPr>
          <w:p w14:paraId="69188431">
            <w:pPr>
              <w:spacing w:before="33"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063" w:type="dxa"/>
            <w:vAlign w:val="top"/>
          </w:tcPr>
          <w:p w14:paraId="4BAF00D9">
            <w:pPr>
              <w:spacing w:before="33"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50DF2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9D121E5">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39</w:t>
            </w:r>
          </w:p>
        </w:tc>
        <w:tc>
          <w:tcPr>
            <w:tcW w:w="2285" w:type="dxa"/>
            <w:vAlign w:val="top"/>
          </w:tcPr>
          <w:p w14:paraId="625B773B">
            <w:pPr>
              <w:pStyle w:val="6"/>
              <w:spacing w:before="33" w:line="274" w:lineRule="exact"/>
              <w:ind w:left="717"/>
            </w:pPr>
            <w:r>
              <w:rPr>
                <w:spacing w:val="5"/>
                <w:position w:val="2"/>
              </w:rPr>
              <w:t>苯并</w:t>
            </w:r>
            <w:r>
              <w:rPr>
                <w:rFonts w:ascii="Times New Roman" w:hAnsi="Times New Roman" w:eastAsia="Times New Roman" w:cs="Times New Roman"/>
                <w:spacing w:val="5"/>
                <w:position w:val="2"/>
              </w:rPr>
              <w:t>(a)</w:t>
            </w:r>
            <w:r>
              <w:rPr>
                <w:spacing w:val="5"/>
                <w:position w:val="2"/>
              </w:rPr>
              <w:t>芘</w:t>
            </w:r>
          </w:p>
        </w:tc>
        <w:tc>
          <w:tcPr>
            <w:tcW w:w="1762" w:type="dxa"/>
            <w:vAlign w:val="top"/>
          </w:tcPr>
          <w:p w14:paraId="03CB6ED1">
            <w:pPr>
              <w:spacing w:before="33"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50-32-8</w:t>
            </w:r>
          </w:p>
        </w:tc>
        <w:tc>
          <w:tcPr>
            <w:tcW w:w="2012" w:type="dxa"/>
            <w:vAlign w:val="top"/>
          </w:tcPr>
          <w:p w14:paraId="39991FA2">
            <w:pPr>
              <w:spacing w:before="33" w:line="274" w:lineRule="exact"/>
              <w:ind w:left="89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2063" w:type="dxa"/>
            <w:vAlign w:val="top"/>
          </w:tcPr>
          <w:p w14:paraId="33ED89B5">
            <w:pPr>
              <w:spacing w:before="33"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19AF4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98D5D10">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2285" w:type="dxa"/>
            <w:vAlign w:val="top"/>
          </w:tcPr>
          <w:p w14:paraId="3CDC7FA1">
            <w:pPr>
              <w:pStyle w:val="6"/>
              <w:spacing w:before="33" w:line="274" w:lineRule="exact"/>
              <w:ind w:left="606"/>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1762" w:type="dxa"/>
            <w:vAlign w:val="top"/>
          </w:tcPr>
          <w:p w14:paraId="615E6C69">
            <w:pPr>
              <w:spacing w:before="33"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205-99-2</w:t>
            </w:r>
          </w:p>
        </w:tc>
        <w:tc>
          <w:tcPr>
            <w:tcW w:w="2012" w:type="dxa"/>
            <w:vAlign w:val="top"/>
          </w:tcPr>
          <w:p w14:paraId="74ABEB13">
            <w:pPr>
              <w:spacing w:before="33"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063" w:type="dxa"/>
            <w:vAlign w:val="top"/>
          </w:tcPr>
          <w:p w14:paraId="24A93528">
            <w:pPr>
              <w:spacing w:before="33"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4260F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0833739">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2285" w:type="dxa"/>
            <w:vAlign w:val="top"/>
          </w:tcPr>
          <w:p w14:paraId="73AD2A19">
            <w:pPr>
              <w:pStyle w:val="6"/>
              <w:spacing w:before="33" w:line="274" w:lineRule="exact"/>
              <w:ind w:left="606"/>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1762" w:type="dxa"/>
            <w:vAlign w:val="top"/>
          </w:tcPr>
          <w:p w14:paraId="1912BCE4">
            <w:pPr>
              <w:spacing w:before="33"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207-08-9</w:t>
            </w:r>
          </w:p>
        </w:tc>
        <w:tc>
          <w:tcPr>
            <w:tcW w:w="2012" w:type="dxa"/>
            <w:vAlign w:val="top"/>
          </w:tcPr>
          <w:p w14:paraId="6D38216A">
            <w:pPr>
              <w:spacing w:before="33" w:line="274" w:lineRule="exact"/>
              <w:ind w:left="8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c>
          <w:tcPr>
            <w:tcW w:w="2063" w:type="dxa"/>
            <w:vAlign w:val="top"/>
          </w:tcPr>
          <w:p w14:paraId="5E8C7525">
            <w:pPr>
              <w:spacing w:before="33"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r>
      <w:tr w14:paraId="12116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02" w:type="dxa"/>
            <w:vAlign w:val="top"/>
          </w:tcPr>
          <w:p w14:paraId="6B381ED3">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w:t>
            </w:r>
          </w:p>
        </w:tc>
        <w:tc>
          <w:tcPr>
            <w:tcW w:w="2285" w:type="dxa"/>
            <w:vAlign w:val="top"/>
          </w:tcPr>
          <w:p w14:paraId="075C159A">
            <w:pPr>
              <w:pStyle w:val="6"/>
              <w:spacing w:before="64" w:line="230" w:lineRule="auto"/>
              <w:ind w:left="1039"/>
            </w:pPr>
            <w:r>
              <w:rPr>
                <w:spacing w:val="2"/>
              </w:rPr>
              <w:t>䓛</w:t>
            </w:r>
          </w:p>
        </w:tc>
        <w:tc>
          <w:tcPr>
            <w:tcW w:w="1762" w:type="dxa"/>
            <w:vAlign w:val="top"/>
          </w:tcPr>
          <w:p w14:paraId="53F7527E">
            <w:pPr>
              <w:spacing w:before="33"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218-01-9</w:t>
            </w:r>
          </w:p>
        </w:tc>
        <w:tc>
          <w:tcPr>
            <w:tcW w:w="2012" w:type="dxa"/>
            <w:vAlign w:val="top"/>
          </w:tcPr>
          <w:p w14:paraId="45079536">
            <w:pPr>
              <w:spacing w:before="33" w:line="274" w:lineRule="exact"/>
              <w:ind w:left="8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1293</w:t>
            </w:r>
          </w:p>
        </w:tc>
        <w:tc>
          <w:tcPr>
            <w:tcW w:w="2063" w:type="dxa"/>
            <w:vAlign w:val="top"/>
          </w:tcPr>
          <w:p w14:paraId="5141F13A">
            <w:pPr>
              <w:spacing w:before="33" w:line="274" w:lineRule="exact"/>
              <w:ind w:left="7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12900</w:t>
            </w:r>
          </w:p>
        </w:tc>
      </w:tr>
    </w:tbl>
    <w:p w14:paraId="179D4337">
      <w:pPr>
        <w:pStyle w:val="2"/>
        <w:spacing w:line="151" w:lineRule="exact"/>
        <w:rPr>
          <w:sz w:val="13"/>
        </w:rPr>
      </w:pPr>
    </w:p>
    <w:p w14:paraId="3FAAA04D">
      <w:pPr>
        <w:spacing w:line="151" w:lineRule="exact"/>
        <w:rPr>
          <w:sz w:val="13"/>
          <w:szCs w:val="13"/>
        </w:rPr>
        <w:sectPr>
          <w:footerReference r:id="rId49" w:type="default"/>
          <w:pgSz w:w="11906" w:h="16839"/>
          <w:pgMar w:top="1418" w:right="1701" w:bottom="1485" w:left="1475" w:header="0" w:footer="1249" w:gutter="0"/>
          <w:cols w:space="720" w:num="1"/>
        </w:sectPr>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2285"/>
        <w:gridCol w:w="1762"/>
        <w:gridCol w:w="2012"/>
        <w:gridCol w:w="2063"/>
      </w:tblGrid>
      <w:tr w14:paraId="0F4AE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02" w:type="dxa"/>
            <w:vAlign w:val="top"/>
          </w:tcPr>
          <w:p w14:paraId="4FB5560D">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c>
          <w:tcPr>
            <w:tcW w:w="2285" w:type="dxa"/>
            <w:vAlign w:val="top"/>
          </w:tcPr>
          <w:p w14:paraId="3493D164">
            <w:pPr>
              <w:pStyle w:val="6"/>
              <w:spacing w:before="33" w:line="274" w:lineRule="exact"/>
              <w:ind w:left="535"/>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1762" w:type="dxa"/>
            <w:vAlign w:val="top"/>
          </w:tcPr>
          <w:p w14:paraId="469AE6F5">
            <w:pPr>
              <w:spacing w:before="33"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53-07-3</w:t>
            </w:r>
          </w:p>
        </w:tc>
        <w:tc>
          <w:tcPr>
            <w:tcW w:w="2012" w:type="dxa"/>
            <w:vAlign w:val="top"/>
          </w:tcPr>
          <w:p w14:paraId="353F2147">
            <w:pPr>
              <w:spacing w:before="33" w:line="274" w:lineRule="exact"/>
              <w:ind w:left="89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2063" w:type="dxa"/>
            <w:vAlign w:val="top"/>
          </w:tcPr>
          <w:p w14:paraId="659CD26F">
            <w:pPr>
              <w:spacing w:before="33"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252AD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602" w:type="dxa"/>
            <w:vAlign w:val="top"/>
          </w:tcPr>
          <w:p w14:paraId="0BCE185C">
            <w:pPr>
              <w:spacing w:before="30"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2285" w:type="dxa"/>
            <w:vAlign w:val="top"/>
          </w:tcPr>
          <w:p w14:paraId="6014DB6F">
            <w:pPr>
              <w:pStyle w:val="6"/>
              <w:spacing w:before="30" w:line="274" w:lineRule="exact"/>
              <w:ind w:left="423"/>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1762" w:type="dxa"/>
            <w:vAlign w:val="top"/>
          </w:tcPr>
          <w:p w14:paraId="15E7576B">
            <w:pPr>
              <w:spacing w:before="30"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193-39-5</w:t>
            </w:r>
          </w:p>
        </w:tc>
        <w:tc>
          <w:tcPr>
            <w:tcW w:w="2012" w:type="dxa"/>
            <w:vAlign w:val="top"/>
          </w:tcPr>
          <w:p w14:paraId="61CC0C0E">
            <w:pPr>
              <w:spacing w:before="30"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063" w:type="dxa"/>
            <w:vAlign w:val="top"/>
          </w:tcPr>
          <w:p w14:paraId="49FFA737">
            <w:pPr>
              <w:spacing w:before="30"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4F1C9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02" w:type="dxa"/>
            <w:vAlign w:val="top"/>
          </w:tcPr>
          <w:p w14:paraId="613C4EC6">
            <w:pPr>
              <w:spacing w:before="32"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2285" w:type="dxa"/>
            <w:vAlign w:val="top"/>
          </w:tcPr>
          <w:p w14:paraId="51B2B035">
            <w:pPr>
              <w:pStyle w:val="6"/>
              <w:spacing w:before="63" w:line="229" w:lineRule="auto"/>
              <w:ind w:left="1041"/>
            </w:pPr>
            <w:r>
              <w:t>萘</w:t>
            </w:r>
          </w:p>
        </w:tc>
        <w:tc>
          <w:tcPr>
            <w:tcW w:w="1762" w:type="dxa"/>
            <w:vAlign w:val="top"/>
          </w:tcPr>
          <w:p w14:paraId="367F9154">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91-20-3</w:t>
            </w:r>
          </w:p>
        </w:tc>
        <w:tc>
          <w:tcPr>
            <w:tcW w:w="2012" w:type="dxa"/>
            <w:vAlign w:val="top"/>
          </w:tcPr>
          <w:p w14:paraId="5C04DE3C">
            <w:pPr>
              <w:spacing w:before="32" w:line="274" w:lineRule="exact"/>
              <w:ind w:left="9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2063" w:type="dxa"/>
            <w:vAlign w:val="top"/>
          </w:tcPr>
          <w:p w14:paraId="54BA6F1A">
            <w:pPr>
              <w:spacing w:before="32"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w:t>
            </w:r>
          </w:p>
        </w:tc>
      </w:tr>
    </w:tbl>
    <w:p w14:paraId="38074CFD">
      <w:pPr>
        <w:spacing w:before="286" w:line="221"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2.5.2</w:t>
      </w:r>
      <w:r>
        <w:rPr>
          <w:rFonts w:ascii="宋体" w:hAnsi="宋体" w:eastAsia="宋体" w:cs="宋体"/>
          <w:b/>
          <w:bCs/>
          <w:spacing w:val="-2"/>
          <w:sz w:val="24"/>
          <w:szCs w:val="24"/>
        </w:rPr>
        <w:t>污染物排放标准</w:t>
      </w:r>
    </w:p>
    <w:p w14:paraId="226C0579">
      <w:pPr>
        <w:spacing w:before="167" w:line="360" w:lineRule="exact"/>
        <w:ind w:left="621"/>
        <w:rPr>
          <w:rFonts w:ascii="宋体" w:hAnsi="宋体" w:eastAsia="宋体" w:cs="宋体"/>
          <w:sz w:val="24"/>
          <w:szCs w:val="24"/>
        </w:rPr>
      </w:pPr>
      <w:r>
        <w:rPr>
          <w:rFonts w:ascii="Times New Roman" w:hAnsi="Times New Roman" w:eastAsia="Times New Roman" w:cs="Times New Roman"/>
          <w:spacing w:val="-6"/>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6"/>
          <w:position w:val="2"/>
          <w:sz w:val="24"/>
          <w:szCs w:val="24"/>
        </w:rPr>
        <w:t>、水污染物排放标准</w:t>
      </w:r>
    </w:p>
    <w:p w14:paraId="3A2A8963">
      <w:pPr>
        <w:spacing w:before="164" w:line="362" w:lineRule="auto"/>
        <w:ind w:left="127" w:right="122" w:firstLine="479"/>
        <w:rPr>
          <w:rFonts w:ascii="宋体" w:hAnsi="宋体" w:eastAsia="宋体" w:cs="宋体"/>
          <w:sz w:val="24"/>
          <w:szCs w:val="24"/>
        </w:rPr>
      </w:pPr>
      <w:r>
        <w:rPr>
          <w:rFonts w:ascii="宋体" w:hAnsi="宋体" w:eastAsia="宋体" w:cs="宋体"/>
          <w:spacing w:val="2"/>
          <w:sz w:val="24"/>
          <w:szCs w:val="24"/>
        </w:rPr>
        <w:t>项目养殖废水、生活污水与猪只粪便一起经异位发酵床发酵制成有机肥半成品</w:t>
      </w:r>
      <w:r>
        <w:rPr>
          <w:rFonts w:ascii="宋体" w:hAnsi="宋体" w:eastAsia="宋体" w:cs="宋体"/>
          <w:spacing w:val="6"/>
          <w:sz w:val="24"/>
          <w:szCs w:val="24"/>
        </w:rPr>
        <w:t xml:space="preserve"> </w:t>
      </w:r>
      <w:r>
        <w:rPr>
          <w:rFonts w:ascii="宋体" w:hAnsi="宋体" w:eastAsia="宋体" w:cs="宋体"/>
          <w:spacing w:val="-2"/>
          <w:sz w:val="24"/>
          <w:szCs w:val="24"/>
        </w:rPr>
        <w:t>外售，没有外排废水。</w:t>
      </w:r>
    </w:p>
    <w:p w14:paraId="21BE4602">
      <w:pPr>
        <w:spacing w:line="361" w:lineRule="exact"/>
        <w:ind w:left="598"/>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、大气污染物排放标准</w:t>
      </w:r>
    </w:p>
    <w:p w14:paraId="7B5B60D4">
      <w:pPr>
        <w:spacing w:before="129" w:line="361" w:lineRule="exact"/>
        <w:ind w:left="588"/>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）施工期废气排放标准</w:t>
      </w:r>
    </w:p>
    <w:p w14:paraId="6F44B840">
      <w:pPr>
        <w:spacing w:before="126" w:line="368" w:lineRule="auto"/>
        <w:ind w:left="131" w:firstLine="443"/>
        <w:rPr>
          <w:rFonts w:ascii="宋体" w:hAnsi="宋体" w:eastAsia="宋体" w:cs="宋体"/>
          <w:sz w:val="24"/>
          <w:szCs w:val="24"/>
        </w:rPr>
      </w:pPr>
      <w:r>
        <w:rPr>
          <w:rFonts w:ascii="宋体" w:hAnsi="宋体" w:eastAsia="宋体" w:cs="宋体"/>
          <w:sz w:val="24"/>
          <w:szCs w:val="24"/>
        </w:rPr>
        <w:t>施工期施工扬尘排放执行广东省《大气污染物排放限值》（</w:t>
      </w:r>
      <w:r>
        <w:rPr>
          <w:rFonts w:ascii="Times New Roman" w:hAnsi="Times New Roman" w:eastAsia="Times New Roman" w:cs="Times New Roman"/>
          <w:sz w:val="24"/>
          <w:szCs w:val="24"/>
        </w:rPr>
        <w:t>DB4</w:t>
      </w:r>
      <w:r>
        <w:rPr>
          <w:rFonts w:ascii="Times New Roman" w:hAnsi="Times New Roman" w:eastAsia="Times New Roman" w:cs="Times New Roman"/>
          <w:spacing w:val="-1"/>
          <w:sz w:val="24"/>
          <w:szCs w:val="24"/>
        </w:rPr>
        <w:t>4/27-2001</w:t>
      </w:r>
      <w:r>
        <w:rPr>
          <w:rFonts w:ascii="宋体" w:hAnsi="宋体" w:eastAsia="宋体" w:cs="宋体"/>
          <w:spacing w:val="-1"/>
          <w:sz w:val="24"/>
          <w:szCs w:val="24"/>
        </w:rPr>
        <w:t>）第二</w:t>
      </w:r>
      <w:r>
        <w:rPr>
          <w:rFonts w:ascii="宋体" w:hAnsi="宋体" w:eastAsia="宋体" w:cs="宋体"/>
          <w:sz w:val="24"/>
          <w:szCs w:val="24"/>
        </w:rPr>
        <w:t xml:space="preserve"> </w:t>
      </w:r>
      <w:r>
        <w:rPr>
          <w:rFonts w:ascii="宋体" w:hAnsi="宋体" w:eastAsia="宋体" w:cs="宋体"/>
          <w:spacing w:val="-2"/>
          <w:sz w:val="24"/>
          <w:szCs w:val="24"/>
        </w:rPr>
        <w:t>时段无组织排放周界外浓度最高点监控限值。</w:t>
      </w:r>
    </w:p>
    <w:p w14:paraId="0E3FB355">
      <w:pPr>
        <w:spacing w:before="73" w:line="228" w:lineRule="auto"/>
        <w:ind w:left="128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b/>
          <w:bCs/>
          <w:spacing w:val="7"/>
          <w:sz w:val="20"/>
          <w:szCs w:val="20"/>
        </w:rPr>
        <w:t xml:space="preserve">2.5-5  </w:t>
      </w:r>
      <w:r>
        <w:rPr>
          <w:rFonts w:ascii="宋体" w:hAnsi="宋体" w:eastAsia="宋体" w:cs="宋体"/>
          <w:b/>
          <w:bCs/>
          <w:spacing w:val="7"/>
          <w:sz w:val="20"/>
          <w:szCs w:val="20"/>
        </w:rPr>
        <w:t>（</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7"/>
          <w:sz w:val="20"/>
          <w:szCs w:val="20"/>
        </w:rPr>
        <w:t>44/27-2001</w:t>
      </w:r>
      <w:r>
        <w:rPr>
          <w:rFonts w:ascii="宋体" w:hAnsi="宋体" w:eastAsia="宋体" w:cs="宋体"/>
          <w:b/>
          <w:bCs/>
          <w:spacing w:val="7"/>
          <w:sz w:val="20"/>
          <w:szCs w:val="20"/>
        </w:rPr>
        <w:t>）第二时段无组织排放周界外浓</w:t>
      </w:r>
      <w:r>
        <w:rPr>
          <w:rFonts w:ascii="宋体" w:hAnsi="宋体" w:eastAsia="宋体" w:cs="宋体"/>
          <w:b/>
          <w:bCs/>
          <w:spacing w:val="6"/>
          <w:sz w:val="20"/>
          <w:szCs w:val="20"/>
        </w:rPr>
        <w:t>度最高点监控限值</w:t>
      </w:r>
    </w:p>
    <w:p w14:paraId="10913FD6">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9"/>
        <w:gridCol w:w="2110"/>
        <w:gridCol w:w="5571"/>
      </w:tblGrid>
      <w:tr w14:paraId="554A9080">
        <w:tblPrEx>
          <w:tblCellMar>
            <w:top w:w="0" w:type="dxa"/>
            <w:left w:w="0" w:type="dxa"/>
            <w:bottom w:w="0" w:type="dxa"/>
            <w:right w:w="0" w:type="dxa"/>
          </w:tblCellMar>
        </w:tblPrEx>
        <w:trPr>
          <w:trHeight w:val="334" w:hRule="atLeast"/>
        </w:trPr>
        <w:tc>
          <w:tcPr>
            <w:tcW w:w="1269" w:type="dxa"/>
            <w:vAlign w:val="top"/>
          </w:tcPr>
          <w:p w14:paraId="4BC0B31F">
            <w:pPr>
              <w:pStyle w:val="6"/>
              <w:spacing w:before="64" w:line="230" w:lineRule="auto"/>
              <w:ind w:left="427"/>
            </w:pPr>
            <w:r>
              <w:rPr>
                <w:spacing w:val="5"/>
              </w:rPr>
              <w:t>序号</w:t>
            </w:r>
          </w:p>
        </w:tc>
        <w:tc>
          <w:tcPr>
            <w:tcW w:w="2110" w:type="dxa"/>
            <w:vAlign w:val="top"/>
          </w:tcPr>
          <w:p w14:paraId="7E4D8A13">
            <w:pPr>
              <w:pStyle w:val="6"/>
              <w:spacing w:before="64" w:line="229" w:lineRule="auto"/>
              <w:ind w:left="745"/>
            </w:pPr>
            <w:r>
              <w:rPr>
                <w:spacing w:val="6"/>
              </w:rPr>
              <w:t>污染物</w:t>
            </w:r>
          </w:p>
        </w:tc>
        <w:tc>
          <w:tcPr>
            <w:tcW w:w="5571" w:type="dxa"/>
            <w:vAlign w:val="top"/>
          </w:tcPr>
          <w:p w14:paraId="4080E95F">
            <w:pPr>
              <w:pStyle w:val="6"/>
              <w:spacing w:before="33" w:line="274" w:lineRule="exact"/>
              <w:ind w:left="937"/>
            </w:pPr>
            <w:r>
              <w:rPr>
                <w:spacing w:val="8"/>
                <w:position w:val="2"/>
              </w:rPr>
              <w:t>无组织排放监控浓度限值标准（</w:t>
            </w:r>
            <w:r>
              <w:rPr>
                <w:rFonts w:ascii="Times New Roman" w:hAnsi="Times New Roman" w:eastAsia="Times New Roman" w:cs="Times New Roman"/>
                <w:position w:val="2"/>
              </w:rPr>
              <w:t>mg</w:t>
            </w:r>
            <w:r>
              <w:rPr>
                <w:rFonts w:ascii="Times New Roman" w:hAnsi="Times New Roman" w:eastAsia="Times New Roman" w:cs="Times New Roman"/>
                <w:spacing w:val="8"/>
                <w:position w:val="2"/>
              </w:rPr>
              <w:t>/m</w:t>
            </w:r>
            <w:r>
              <w:rPr>
                <w:rFonts w:ascii="Times New Roman" w:hAnsi="Times New Roman" w:eastAsia="Times New Roman" w:cs="Times New Roman"/>
                <w:spacing w:val="8"/>
                <w:position w:val="8"/>
                <w:sz w:val="13"/>
                <w:szCs w:val="13"/>
              </w:rPr>
              <w:t>3</w:t>
            </w:r>
            <w:r>
              <w:rPr>
                <w:spacing w:val="8"/>
                <w:position w:val="2"/>
              </w:rPr>
              <w:t>）</w:t>
            </w:r>
          </w:p>
        </w:tc>
      </w:tr>
      <w:tr w14:paraId="7CF24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69" w:type="dxa"/>
            <w:vAlign w:val="top"/>
          </w:tcPr>
          <w:p w14:paraId="5E49F02B">
            <w:pPr>
              <w:spacing w:before="30" w:line="274" w:lineRule="exact"/>
              <w:ind w:left="6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10" w:type="dxa"/>
            <w:vAlign w:val="top"/>
          </w:tcPr>
          <w:p w14:paraId="4DE09882">
            <w:pPr>
              <w:pStyle w:val="6"/>
              <w:spacing w:before="61" w:line="229" w:lineRule="auto"/>
              <w:ind w:left="742"/>
            </w:pPr>
            <w:r>
              <w:rPr>
                <w:spacing w:val="7"/>
              </w:rPr>
              <w:t>颗粒物</w:t>
            </w:r>
          </w:p>
        </w:tc>
        <w:tc>
          <w:tcPr>
            <w:tcW w:w="5571" w:type="dxa"/>
            <w:vAlign w:val="top"/>
          </w:tcPr>
          <w:p w14:paraId="1F16FEC1">
            <w:pPr>
              <w:spacing w:before="30" w:line="274" w:lineRule="exact"/>
              <w:ind w:left="26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r w14:paraId="3F8CE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69" w:type="dxa"/>
            <w:vAlign w:val="top"/>
          </w:tcPr>
          <w:p w14:paraId="623CB608">
            <w:pPr>
              <w:spacing w:before="31" w:line="274" w:lineRule="exact"/>
              <w:ind w:left="5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10" w:type="dxa"/>
            <w:vAlign w:val="top"/>
          </w:tcPr>
          <w:p w14:paraId="33663405">
            <w:pPr>
              <w:spacing w:before="98" w:line="231" w:lineRule="auto"/>
              <w:ind w:left="89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5571" w:type="dxa"/>
            <w:vAlign w:val="top"/>
          </w:tcPr>
          <w:p w14:paraId="4384E8A7">
            <w:pPr>
              <w:spacing w:before="31" w:line="274" w:lineRule="exact"/>
              <w:ind w:left="2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r>
      <w:tr w14:paraId="381F3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69" w:type="dxa"/>
            <w:vAlign w:val="top"/>
          </w:tcPr>
          <w:p w14:paraId="4A132D9C">
            <w:pPr>
              <w:spacing w:before="32" w:line="274" w:lineRule="exact"/>
              <w:ind w:left="5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10" w:type="dxa"/>
            <w:vAlign w:val="top"/>
          </w:tcPr>
          <w:p w14:paraId="45E75595">
            <w:pPr>
              <w:spacing w:before="99" w:line="202" w:lineRule="auto"/>
              <w:ind w:left="84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5571" w:type="dxa"/>
            <w:vAlign w:val="top"/>
          </w:tcPr>
          <w:p w14:paraId="65EC7492">
            <w:pPr>
              <w:spacing w:before="32" w:line="274" w:lineRule="exact"/>
              <w:ind w:left="2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r>
    </w:tbl>
    <w:p w14:paraId="00A66FB4">
      <w:pPr>
        <w:spacing w:before="252"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）臭气执行标准</w:t>
      </w:r>
    </w:p>
    <w:p w14:paraId="679092E8">
      <w:pPr>
        <w:spacing w:before="164" w:line="373" w:lineRule="auto"/>
        <w:ind w:left="122" w:right="14" w:firstLine="483"/>
        <w:rPr>
          <w:rFonts w:ascii="宋体" w:hAnsi="宋体" w:eastAsia="宋体" w:cs="宋体"/>
          <w:sz w:val="24"/>
          <w:szCs w:val="24"/>
        </w:rPr>
      </w:pPr>
      <w:r>
        <w:rPr>
          <w:rFonts w:ascii="宋体" w:hAnsi="宋体" w:eastAsia="宋体" w:cs="宋体"/>
          <w:spacing w:val="2"/>
          <w:sz w:val="24"/>
          <w:szCs w:val="24"/>
        </w:rPr>
        <w:t>项目废气污染源主要为猪舍、有机肥发酵车间产生的恶臭，无组织排放废气排</w:t>
      </w:r>
      <w:r>
        <w:rPr>
          <w:rFonts w:ascii="宋体" w:hAnsi="宋体" w:eastAsia="宋体" w:cs="宋体"/>
          <w:spacing w:val="3"/>
          <w:sz w:val="24"/>
          <w:szCs w:val="24"/>
        </w:rPr>
        <w:t xml:space="preserve">  </w:t>
      </w:r>
      <w:r>
        <w:rPr>
          <w:rFonts w:ascii="宋体" w:hAnsi="宋体" w:eastAsia="宋体" w:cs="宋体"/>
          <w:spacing w:val="-2"/>
          <w:sz w:val="24"/>
          <w:szCs w:val="24"/>
        </w:rPr>
        <w:t>放执行《恶臭污染物排放标准》（</w:t>
      </w:r>
      <w:r>
        <w:rPr>
          <w:rFonts w:ascii="Times New Roman" w:hAnsi="Times New Roman" w:eastAsia="Times New Roman" w:cs="Times New Roman"/>
          <w:spacing w:val="-2"/>
          <w:sz w:val="24"/>
          <w:szCs w:val="24"/>
        </w:rPr>
        <w:t>GB14</w:t>
      </w:r>
      <w:r>
        <w:rPr>
          <w:rFonts w:ascii="Times New Roman" w:hAnsi="Times New Roman" w:eastAsia="Times New Roman" w:cs="Times New Roman"/>
          <w:spacing w:val="-3"/>
          <w:sz w:val="24"/>
          <w:szCs w:val="24"/>
        </w:rPr>
        <w:t>554-93</w:t>
      </w:r>
      <w:r>
        <w:rPr>
          <w:rFonts w:ascii="宋体" w:hAnsi="宋体" w:eastAsia="宋体" w:cs="宋体"/>
          <w:spacing w:val="-3"/>
          <w:sz w:val="24"/>
          <w:szCs w:val="24"/>
        </w:rPr>
        <w:t>）以及《畜禽养殖业污染物排放标准》</w:t>
      </w:r>
      <w:r>
        <w:rPr>
          <w:rFonts w:ascii="宋体" w:hAnsi="宋体" w:eastAsia="宋体" w:cs="宋体"/>
          <w:sz w:val="24"/>
          <w:szCs w:val="24"/>
        </w:rPr>
        <w:t xml:space="preserve"> （</w:t>
      </w:r>
      <w:r>
        <w:rPr>
          <w:rFonts w:ascii="Times New Roman" w:hAnsi="Times New Roman" w:eastAsia="Times New Roman" w:cs="Times New Roman"/>
          <w:sz w:val="24"/>
          <w:szCs w:val="24"/>
        </w:rPr>
        <w:t>DB44/613-2009</w:t>
      </w:r>
      <w:r>
        <w:rPr>
          <w:rFonts w:ascii="宋体" w:hAnsi="宋体" w:eastAsia="宋体" w:cs="宋体"/>
          <w:sz w:val="24"/>
          <w:szCs w:val="24"/>
        </w:rPr>
        <w:t>）的集约化畜禽养殖业恶臭污染</w:t>
      </w:r>
      <w:r>
        <w:rPr>
          <w:rFonts w:ascii="宋体" w:hAnsi="宋体" w:eastAsia="宋体" w:cs="宋体"/>
          <w:spacing w:val="-1"/>
          <w:sz w:val="24"/>
          <w:szCs w:val="24"/>
        </w:rPr>
        <w:t>物排放标准，详见下表。</w:t>
      </w:r>
    </w:p>
    <w:p w14:paraId="6DB9D939">
      <w:pPr>
        <w:spacing w:before="28" w:line="228" w:lineRule="auto"/>
        <w:ind w:left="319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5"/>
          <w:sz w:val="20"/>
          <w:szCs w:val="20"/>
        </w:rPr>
        <w:t xml:space="preserve">2.5-6    </w:t>
      </w:r>
      <w:r>
        <w:rPr>
          <w:rFonts w:ascii="宋体" w:hAnsi="宋体" w:eastAsia="宋体" w:cs="宋体"/>
          <w:b/>
          <w:bCs/>
          <w:spacing w:val="5"/>
          <w:sz w:val="20"/>
          <w:szCs w:val="20"/>
        </w:rPr>
        <w:t>恶臭污染物标准值</w:t>
      </w:r>
    </w:p>
    <w:p w14:paraId="4167A899">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7"/>
        <w:gridCol w:w="2669"/>
        <w:gridCol w:w="3934"/>
      </w:tblGrid>
      <w:tr w14:paraId="3CB98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347" w:type="dxa"/>
            <w:vAlign w:val="top"/>
          </w:tcPr>
          <w:p w14:paraId="12BF4282">
            <w:pPr>
              <w:pStyle w:val="6"/>
              <w:spacing w:before="62" w:line="229" w:lineRule="auto"/>
              <w:ind w:left="759"/>
            </w:pPr>
            <w:r>
              <w:rPr>
                <w:b/>
                <w:bCs/>
                <w:spacing w:val="6"/>
              </w:rPr>
              <w:t>控制项目</w:t>
            </w:r>
          </w:p>
        </w:tc>
        <w:tc>
          <w:tcPr>
            <w:tcW w:w="2669" w:type="dxa"/>
            <w:vAlign w:val="top"/>
          </w:tcPr>
          <w:p w14:paraId="29C88152">
            <w:pPr>
              <w:pStyle w:val="6"/>
              <w:spacing w:before="62" w:line="228" w:lineRule="auto"/>
              <w:ind w:left="1024"/>
            </w:pPr>
            <w:r>
              <w:rPr>
                <w:b/>
                <w:bCs/>
                <w:spacing w:val="5"/>
              </w:rPr>
              <w:t>标准值</w:t>
            </w:r>
          </w:p>
        </w:tc>
        <w:tc>
          <w:tcPr>
            <w:tcW w:w="3934" w:type="dxa"/>
            <w:vAlign w:val="top"/>
          </w:tcPr>
          <w:p w14:paraId="4114FED1">
            <w:pPr>
              <w:pStyle w:val="6"/>
              <w:spacing w:before="62" w:line="229" w:lineRule="auto"/>
              <w:ind w:left="1551"/>
            </w:pPr>
            <w:r>
              <w:rPr>
                <w:b/>
                <w:bCs/>
                <w:spacing w:val="6"/>
              </w:rPr>
              <w:t>排放标准</w:t>
            </w:r>
          </w:p>
        </w:tc>
      </w:tr>
      <w:tr w14:paraId="1DD13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347" w:type="dxa"/>
            <w:vAlign w:val="top"/>
          </w:tcPr>
          <w:p w14:paraId="79EF7B51">
            <w:pPr>
              <w:pStyle w:val="6"/>
              <w:spacing w:before="223" w:line="228" w:lineRule="auto"/>
              <w:ind w:left="759"/>
            </w:pPr>
            <w:r>
              <w:rPr>
                <w:spacing w:val="7"/>
              </w:rPr>
              <w:t>臭气浓度</w:t>
            </w:r>
          </w:p>
        </w:tc>
        <w:tc>
          <w:tcPr>
            <w:tcW w:w="2669" w:type="dxa"/>
            <w:vAlign w:val="top"/>
          </w:tcPr>
          <w:p w14:paraId="7B3EB962">
            <w:pPr>
              <w:pStyle w:val="6"/>
              <w:spacing w:before="191" w:line="275" w:lineRule="exact"/>
              <w:ind w:left="646"/>
            </w:pPr>
            <w:r>
              <w:rPr>
                <w:rFonts w:ascii="Times New Roman" w:hAnsi="Times New Roman" w:eastAsia="Times New Roman" w:cs="Times New Roman"/>
                <w:spacing w:val="6"/>
                <w:position w:val="1"/>
              </w:rPr>
              <w:t>≤60</w:t>
            </w:r>
            <w:r>
              <w:rPr>
                <w:spacing w:val="6"/>
                <w:position w:val="1"/>
              </w:rPr>
              <w:t>（无量纲）</w:t>
            </w:r>
          </w:p>
        </w:tc>
        <w:tc>
          <w:tcPr>
            <w:tcW w:w="3934" w:type="dxa"/>
            <w:vAlign w:val="top"/>
          </w:tcPr>
          <w:p w14:paraId="08C13359">
            <w:pPr>
              <w:pStyle w:val="6"/>
              <w:spacing w:before="59" w:line="228" w:lineRule="auto"/>
              <w:ind w:left="506"/>
            </w:pPr>
            <w:r>
              <w:rPr>
                <w:spacing w:val="8"/>
              </w:rPr>
              <w:t>《畜禽养殖业污染物排放标准》</w:t>
            </w:r>
          </w:p>
          <w:p w14:paraId="34A15DDA">
            <w:pPr>
              <w:pStyle w:val="6"/>
              <w:spacing w:before="24" w:line="314" w:lineRule="exact"/>
              <w:ind w:left="993"/>
            </w:pPr>
            <w:r>
              <w:rPr>
                <w:spacing w:val="-1"/>
                <w:position w:val="1"/>
              </w:rPr>
              <w:t>（</w:t>
            </w:r>
            <w:r>
              <w:rPr>
                <w:rFonts w:ascii="Times New Roman" w:hAnsi="Times New Roman" w:eastAsia="Times New Roman" w:cs="Times New Roman"/>
                <w:spacing w:val="-1"/>
                <w:position w:val="1"/>
                <w:sz w:val="24"/>
                <w:szCs w:val="24"/>
              </w:rPr>
              <w:t>DB44/613-2009</w:t>
            </w:r>
            <w:r>
              <w:rPr>
                <w:spacing w:val="-1"/>
                <w:position w:val="1"/>
              </w:rPr>
              <w:t>）</w:t>
            </w:r>
          </w:p>
        </w:tc>
      </w:tr>
      <w:tr w14:paraId="7F444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47" w:type="dxa"/>
            <w:vAlign w:val="top"/>
          </w:tcPr>
          <w:p w14:paraId="1340B052">
            <w:pPr>
              <w:pStyle w:val="6"/>
              <w:spacing w:before="62" w:line="229" w:lineRule="auto"/>
              <w:ind w:left="1074"/>
            </w:pPr>
            <w:r>
              <w:t>氨</w:t>
            </w:r>
          </w:p>
        </w:tc>
        <w:tc>
          <w:tcPr>
            <w:tcW w:w="2669" w:type="dxa"/>
            <w:vAlign w:val="top"/>
          </w:tcPr>
          <w:p w14:paraId="6CB3E4FC">
            <w:pPr>
              <w:spacing w:before="31" w:line="274" w:lineRule="exact"/>
              <w:ind w:left="867"/>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w:t>
            </w:r>
            <w:r>
              <w:rPr>
                <w:rFonts w:ascii="Times New Roman" w:hAnsi="Times New Roman" w:eastAsia="Times New Roman" w:cs="Times New Roman"/>
                <w:spacing w:val="-25"/>
                <w:position w:val="3"/>
                <w:sz w:val="20"/>
                <w:szCs w:val="20"/>
              </w:rPr>
              <w:t xml:space="preserve"> </w:t>
            </w:r>
            <w:r>
              <w:rPr>
                <w:rFonts w:ascii="Times New Roman" w:hAnsi="Times New Roman" w:eastAsia="Times New Roman" w:cs="Times New Roman"/>
                <w:spacing w:val="2"/>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3934" w:type="dxa"/>
            <w:vMerge w:val="restart"/>
            <w:tcBorders>
              <w:bottom w:val="nil"/>
            </w:tcBorders>
            <w:vAlign w:val="top"/>
          </w:tcPr>
          <w:p w14:paraId="4E9A0EDD">
            <w:pPr>
              <w:pStyle w:val="6"/>
              <w:spacing w:before="35" w:line="275" w:lineRule="exact"/>
              <w:ind w:right="11"/>
              <w:jc w:val="right"/>
            </w:pPr>
            <w:r>
              <w:rPr>
                <w:spacing w:val="7"/>
                <w:position w:val="1"/>
              </w:rPr>
              <w:t>《恶臭污染物排放标准》（</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14554-93</w:t>
            </w:r>
            <w:r>
              <w:rPr>
                <w:spacing w:val="7"/>
                <w:position w:val="1"/>
              </w:rPr>
              <w:t>）</w:t>
            </w:r>
          </w:p>
          <w:p w14:paraId="06415C5A">
            <w:pPr>
              <w:pStyle w:val="6"/>
              <w:spacing w:before="83" w:line="229" w:lineRule="auto"/>
              <w:ind w:left="1151"/>
            </w:pPr>
            <w:r>
              <w:rPr>
                <w:spacing w:val="6"/>
              </w:rPr>
              <w:t>中的厂界二级标准</w:t>
            </w:r>
          </w:p>
        </w:tc>
      </w:tr>
      <w:tr w14:paraId="67BC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347" w:type="dxa"/>
            <w:vAlign w:val="top"/>
          </w:tcPr>
          <w:p w14:paraId="7509238C">
            <w:pPr>
              <w:pStyle w:val="6"/>
              <w:spacing w:before="62" w:line="230" w:lineRule="auto"/>
              <w:ind w:left="864"/>
            </w:pPr>
            <w:r>
              <w:rPr>
                <w:spacing w:val="7"/>
              </w:rPr>
              <w:t>硫化氢</w:t>
            </w:r>
          </w:p>
        </w:tc>
        <w:tc>
          <w:tcPr>
            <w:tcW w:w="2669" w:type="dxa"/>
            <w:vAlign w:val="top"/>
          </w:tcPr>
          <w:p w14:paraId="32767C01">
            <w:pPr>
              <w:spacing w:before="32" w:line="274" w:lineRule="exact"/>
              <w:ind w:left="814"/>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3934" w:type="dxa"/>
            <w:vMerge w:val="continue"/>
            <w:tcBorders>
              <w:top w:val="nil"/>
            </w:tcBorders>
            <w:vAlign w:val="top"/>
          </w:tcPr>
          <w:p w14:paraId="7603C64B">
            <w:pPr>
              <w:rPr>
                <w:rFonts w:ascii="Arial"/>
                <w:sz w:val="21"/>
              </w:rPr>
            </w:pPr>
          </w:p>
        </w:tc>
      </w:tr>
    </w:tbl>
    <w:p w14:paraId="51BA10E4">
      <w:pPr>
        <w:spacing w:before="251"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）饲料加工车间粉尘</w:t>
      </w:r>
    </w:p>
    <w:p w14:paraId="6DBD7349">
      <w:pPr>
        <w:spacing w:before="129" w:line="367" w:lineRule="auto"/>
        <w:ind w:left="121" w:right="120" w:firstLine="454"/>
        <w:rPr>
          <w:rFonts w:ascii="宋体" w:hAnsi="宋体" w:eastAsia="宋体" w:cs="宋体"/>
          <w:sz w:val="24"/>
          <w:szCs w:val="24"/>
        </w:rPr>
      </w:pPr>
      <w:r>
        <w:rPr>
          <w:rFonts w:ascii="宋体" w:hAnsi="宋体" w:eastAsia="宋体" w:cs="宋体"/>
          <w:spacing w:val="3"/>
          <w:sz w:val="24"/>
          <w:szCs w:val="24"/>
        </w:rPr>
        <w:t>饲料加工房粉尘执行广东省《大气污染物排放限值》（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3"/>
          <w:sz w:val="24"/>
          <w:szCs w:val="24"/>
        </w:rPr>
        <w:t>44/27-20</w:t>
      </w:r>
      <w:r>
        <w:rPr>
          <w:rFonts w:ascii="Times New Roman" w:hAnsi="Times New Roman" w:eastAsia="Times New Roman" w:cs="Times New Roman"/>
          <w:spacing w:val="2"/>
          <w:sz w:val="24"/>
          <w:szCs w:val="24"/>
        </w:rPr>
        <w:t>01</w:t>
      </w:r>
      <w:r>
        <w:rPr>
          <w:rFonts w:ascii="宋体" w:hAnsi="宋体" w:eastAsia="宋体" w:cs="宋体"/>
          <w:spacing w:val="2"/>
          <w:sz w:val="24"/>
          <w:szCs w:val="24"/>
        </w:rPr>
        <w:t>）第二时</w:t>
      </w:r>
      <w:r>
        <w:rPr>
          <w:rFonts w:ascii="宋体" w:hAnsi="宋体" w:eastAsia="宋体" w:cs="宋体"/>
          <w:sz w:val="24"/>
          <w:szCs w:val="24"/>
        </w:rPr>
        <w:t xml:space="preserve"> </w:t>
      </w:r>
      <w:r>
        <w:rPr>
          <w:rFonts w:ascii="宋体" w:hAnsi="宋体" w:eastAsia="宋体" w:cs="宋体"/>
          <w:spacing w:val="-1"/>
          <w:sz w:val="24"/>
          <w:szCs w:val="24"/>
        </w:rPr>
        <w:t>段无组织排放周界外浓度最高点监控限值。</w:t>
      </w:r>
    </w:p>
    <w:p w14:paraId="6DF93DD7">
      <w:pPr>
        <w:spacing w:line="367" w:lineRule="auto"/>
        <w:rPr>
          <w:rFonts w:ascii="宋体" w:hAnsi="宋体" w:eastAsia="宋体" w:cs="宋体"/>
          <w:sz w:val="24"/>
          <w:szCs w:val="24"/>
        </w:rPr>
        <w:sectPr>
          <w:footerReference r:id="rId50" w:type="default"/>
          <w:pgSz w:w="11906" w:h="16839"/>
          <w:pgMar w:top="1418" w:right="1465" w:bottom="1485" w:left="1475" w:header="0" w:footer="1249" w:gutter="0"/>
          <w:cols w:space="720" w:num="1"/>
        </w:sectPr>
      </w:pPr>
    </w:p>
    <w:p w14:paraId="5612ECAE">
      <w:pPr>
        <w:spacing w:before="125" w:line="228" w:lineRule="auto"/>
        <w:ind w:left="104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b/>
          <w:bCs/>
          <w:spacing w:val="7"/>
          <w:sz w:val="20"/>
          <w:szCs w:val="20"/>
        </w:rPr>
        <w:t xml:space="preserve">2.5-7  </w:t>
      </w:r>
      <w:r>
        <w:rPr>
          <w:rFonts w:ascii="宋体" w:hAnsi="宋体" w:eastAsia="宋体" w:cs="宋体"/>
          <w:b/>
          <w:bCs/>
          <w:spacing w:val="7"/>
          <w:sz w:val="20"/>
          <w:szCs w:val="20"/>
        </w:rPr>
        <w:t>（</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7"/>
          <w:sz w:val="20"/>
          <w:szCs w:val="20"/>
        </w:rPr>
        <w:t>44/27-2001</w:t>
      </w:r>
      <w:r>
        <w:rPr>
          <w:rFonts w:ascii="宋体" w:hAnsi="宋体" w:eastAsia="宋体" w:cs="宋体"/>
          <w:b/>
          <w:bCs/>
          <w:spacing w:val="7"/>
          <w:sz w:val="20"/>
          <w:szCs w:val="20"/>
        </w:rPr>
        <w:t>）第二时段无组织排放周界外浓</w:t>
      </w:r>
      <w:r>
        <w:rPr>
          <w:rFonts w:ascii="宋体" w:hAnsi="宋体" w:eastAsia="宋体" w:cs="宋体"/>
          <w:b/>
          <w:bCs/>
          <w:spacing w:val="6"/>
          <w:sz w:val="20"/>
          <w:szCs w:val="20"/>
        </w:rPr>
        <w:t>度最高点监控限值</w:t>
      </w:r>
    </w:p>
    <w:p w14:paraId="292FB4D5">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9"/>
        <w:gridCol w:w="2110"/>
        <w:gridCol w:w="5571"/>
      </w:tblGrid>
      <w:tr w14:paraId="4B305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69" w:type="dxa"/>
            <w:vAlign w:val="top"/>
          </w:tcPr>
          <w:p w14:paraId="3FBD56A2">
            <w:pPr>
              <w:pStyle w:val="6"/>
              <w:spacing w:before="62" w:line="230" w:lineRule="auto"/>
              <w:ind w:left="427"/>
            </w:pPr>
            <w:r>
              <w:rPr>
                <w:b/>
                <w:bCs/>
                <w:spacing w:val="4"/>
              </w:rPr>
              <w:t>序号</w:t>
            </w:r>
          </w:p>
        </w:tc>
        <w:tc>
          <w:tcPr>
            <w:tcW w:w="2110" w:type="dxa"/>
            <w:vAlign w:val="top"/>
          </w:tcPr>
          <w:p w14:paraId="2EC1262B">
            <w:pPr>
              <w:pStyle w:val="6"/>
              <w:spacing w:before="62" w:line="229" w:lineRule="auto"/>
              <w:ind w:left="745"/>
            </w:pPr>
            <w:r>
              <w:rPr>
                <w:b/>
                <w:bCs/>
                <w:spacing w:val="5"/>
              </w:rPr>
              <w:t>污染物</w:t>
            </w:r>
          </w:p>
        </w:tc>
        <w:tc>
          <w:tcPr>
            <w:tcW w:w="5571" w:type="dxa"/>
            <w:vAlign w:val="top"/>
          </w:tcPr>
          <w:p w14:paraId="091376F7">
            <w:pPr>
              <w:pStyle w:val="6"/>
              <w:spacing w:before="62" w:line="221" w:lineRule="auto"/>
              <w:ind w:left="927"/>
            </w:pPr>
            <w:r>
              <w:rPr>
                <w:b/>
                <w:bCs/>
                <w:spacing w:val="7"/>
              </w:rPr>
              <w:t>无组织排放监控浓度限值标准（</w:t>
            </w:r>
            <w:r>
              <w:rPr>
                <w:rFonts w:ascii="Times New Roman" w:hAnsi="Times New Roman" w:eastAsia="Times New Roman" w:cs="Times New Roman"/>
                <w:b/>
                <w:bCs/>
              </w:rPr>
              <w:t>mg</w:t>
            </w:r>
            <w:r>
              <w:rPr>
                <w:rFonts w:ascii="Times New Roman" w:hAnsi="Times New Roman" w:eastAsia="Times New Roman" w:cs="Times New Roman"/>
                <w:b/>
                <w:bCs/>
                <w:spacing w:val="7"/>
              </w:rPr>
              <w:t>/m</w:t>
            </w:r>
            <w:r>
              <w:rPr>
                <w:rFonts w:ascii="Times New Roman" w:hAnsi="Times New Roman" w:eastAsia="Times New Roman" w:cs="Times New Roman"/>
                <w:b/>
                <w:bCs/>
                <w:spacing w:val="7"/>
                <w:position w:val="6"/>
                <w:sz w:val="13"/>
                <w:szCs w:val="13"/>
              </w:rPr>
              <w:t>3</w:t>
            </w:r>
            <w:r>
              <w:rPr>
                <w:b/>
                <w:bCs/>
                <w:spacing w:val="7"/>
              </w:rPr>
              <w:t>）</w:t>
            </w:r>
          </w:p>
        </w:tc>
      </w:tr>
      <w:tr w14:paraId="0FC70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69" w:type="dxa"/>
            <w:vAlign w:val="top"/>
          </w:tcPr>
          <w:p w14:paraId="622BDF2D">
            <w:pPr>
              <w:spacing w:before="29" w:line="274" w:lineRule="exact"/>
              <w:ind w:left="6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10" w:type="dxa"/>
            <w:vAlign w:val="top"/>
          </w:tcPr>
          <w:p w14:paraId="2DC34083">
            <w:pPr>
              <w:pStyle w:val="6"/>
              <w:spacing w:before="60" w:line="229" w:lineRule="auto"/>
              <w:ind w:left="742"/>
            </w:pPr>
            <w:r>
              <w:rPr>
                <w:spacing w:val="7"/>
              </w:rPr>
              <w:t>颗粒物</w:t>
            </w:r>
          </w:p>
        </w:tc>
        <w:tc>
          <w:tcPr>
            <w:tcW w:w="5571" w:type="dxa"/>
            <w:vAlign w:val="top"/>
          </w:tcPr>
          <w:p w14:paraId="69F5A9C5">
            <w:pPr>
              <w:spacing w:before="29" w:line="274" w:lineRule="exact"/>
              <w:ind w:left="26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bl>
    <w:p w14:paraId="0D37DA0F">
      <w:pPr>
        <w:spacing w:before="89"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）备用发电机尾气</w:t>
      </w:r>
    </w:p>
    <w:p w14:paraId="075C541E">
      <w:pPr>
        <w:spacing w:before="166" w:line="381" w:lineRule="auto"/>
        <w:ind w:left="134" w:right="125" w:firstLine="471"/>
        <w:rPr>
          <w:rFonts w:ascii="宋体" w:hAnsi="宋体" w:eastAsia="宋体" w:cs="宋体"/>
          <w:sz w:val="24"/>
          <w:szCs w:val="24"/>
        </w:rPr>
      </w:pPr>
      <w:r>
        <w:rPr>
          <w:rFonts w:ascii="宋体" w:hAnsi="宋体" w:eastAsia="宋体" w:cs="宋体"/>
          <w:spacing w:val="32"/>
          <w:sz w:val="24"/>
          <w:szCs w:val="24"/>
        </w:rPr>
        <w:t>备用发电机废气污染物排放浓度执行广东省《</w:t>
      </w:r>
      <w:r>
        <w:rPr>
          <w:rFonts w:ascii="宋体" w:hAnsi="宋体" w:eastAsia="宋体" w:cs="宋体"/>
          <w:spacing w:val="-48"/>
          <w:sz w:val="24"/>
          <w:szCs w:val="24"/>
        </w:rPr>
        <w:t xml:space="preserve"> </w:t>
      </w:r>
      <w:r>
        <w:rPr>
          <w:rFonts w:ascii="宋体" w:hAnsi="宋体" w:eastAsia="宋体" w:cs="宋体"/>
          <w:spacing w:val="32"/>
          <w:sz w:val="24"/>
          <w:szCs w:val="24"/>
        </w:rPr>
        <w:t>大</w:t>
      </w:r>
      <w:r>
        <w:rPr>
          <w:rFonts w:ascii="宋体" w:hAnsi="宋体" w:eastAsia="宋体" w:cs="宋体"/>
          <w:spacing w:val="31"/>
          <w:sz w:val="24"/>
          <w:szCs w:val="24"/>
        </w:rPr>
        <w:t>气污染物排放限值》</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DB44/27-2001</w:t>
      </w:r>
      <w:r>
        <w:rPr>
          <w:rFonts w:ascii="宋体" w:hAnsi="宋体" w:eastAsia="宋体" w:cs="宋体"/>
          <w:spacing w:val="-1"/>
          <w:sz w:val="24"/>
          <w:szCs w:val="24"/>
        </w:rPr>
        <w:t>）第二时段二级标准限值。</w:t>
      </w:r>
    </w:p>
    <w:p w14:paraId="6CA01164">
      <w:pPr>
        <w:spacing w:before="1" w:line="228" w:lineRule="auto"/>
        <w:ind w:left="245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6"/>
          <w:sz w:val="20"/>
          <w:szCs w:val="20"/>
        </w:rPr>
        <w:t>2.5-8</w:t>
      </w:r>
      <w:r>
        <w:rPr>
          <w:rFonts w:ascii="宋体" w:hAnsi="宋体" w:eastAsia="宋体" w:cs="宋体"/>
          <w:b/>
          <w:bCs/>
          <w:spacing w:val="6"/>
          <w:sz w:val="20"/>
          <w:szCs w:val="20"/>
        </w:rPr>
        <w:t>（</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44/27-2001</w:t>
      </w:r>
      <w:r>
        <w:rPr>
          <w:rFonts w:ascii="宋体" w:hAnsi="宋体" w:eastAsia="宋体" w:cs="宋体"/>
          <w:b/>
          <w:bCs/>
          <w:spacing w:val="6"/>
          <w:sz w:val="20"/>
          <w:szCs w:val="20"/>
        </w:rPr>
        <w:t>）第二时段排放标准</w:t>
      </w:r>
    </w:p>
    <w:p w14:paraId="1395F86C">
      <w:pPr>
        <w:spacing w:line="103"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871"/>
        <w:gridCol w:w="2203"/>
        <w:gridCol w:w="2203"/>
        <w:gridCol w:w="2206"/>
      </w:tblGrid>
      <w:tr w14:paraId="1CE99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41" w:type="dxa"/>
            <w:vMerge w:val="restart"/>
            <w:tcBorders>
              <w:bottom w:val="nil"/>
            </w:tcBorders>
            <w:vAlign w:val="top"/>
          </w:tcPr>
          <w:p w14:paraId="728E4761">
            <w:pPr>
              <w:pStyle w:val="6"/>
              <w:spacing w:before="69" w:line="229" w:lineRule="auto"/>
              <w:ind w:left="204"/>
            </w:pPr>
            <w:r>
              <w:rPr>
                <w:b/>
                <w:bCs/>
                <w:spacing w:val="6"/>
              </w:rPr>
              <w:t>废气污染</w:t>
            </w:r>
          </w:p>
          <w:p w14:paraId="2ED1E36B">
            <w:pPr>
              <w:pStyle w:val="6"/>
              <w:spacing w:before="78" w:line="231" w:lineRule="auto"/>
              <w:ind w:left="519"/>
            </w:pPr>
            <w:r>
              <w:rPr>
                <w:b/>
                <w:bCs/>
                <w:spacing w:val="-1"/>
              </w:rPr>
              <w:t>源</w:t>
            </w:r>
          </w:p>
        </w:tc>
        <w:tc>
          <w:tcPr>
            <w:tcW w:w="871" w:type="dxa"/>
            <w:vMerge w:val="restart"/>
            <w:tcBorders>
              <w:bottom w:val="nil"/>
            </w:tcBorders>
            <w:vAlign w:val="top"/>
          </w:tcPr>
          <w:p w14:paraId="2EAA5C79">
            <w:pPr>
              <w:pStyle w:val="6"/>
              <w:spacing w:before="232" w:line="229" w:lineRule="auto"/>
              <w:ind w:left="125"/>
            </w:pPr>
            <w:r>
              <w:rPr>
                <w:b/>
                <w:bCs/>
                <w:spacing w:val="5"/>
              </w:rPr>
              <w:t>污染物</w:t>
            </w:r>
          </w:p>
        </w:tc>
        <w:tc>
          <w:tcPr>
            <w:tcW w:w="2203" w:type="dxa"/>
            <w:vMerge w:val="restart"/>
            <w:tcBorders>
              <w:bottom w:val="nil"/>
            </w:tcBorders>
            <w:vAlign w:val="top"/>
          </w:tcPr>
          <w:p w14:paraId="4B4CDDCE">
            <w:pPr>
              <w:pStyle w:val="6"/>
              <w:spacing w:before="69" w:line="228" w:lineRule="auto"/>
              <w:ind w:left="476"/>
            </w:pPr>
            <w:r>
              <w:rPr>
                <w:b/>
                <w:bCs/>
                <w:spacing w:val="6"/>
              </w:rPr>
              <w:t>排放浓度限值</w:t>
            </w:r>
          </w:p>
          <w:p w14:paraId="2AFA370A">
            <w:pPr>
              <w:pStyle w:val="6"/>
              <w:spacing w:before="78" w:line="221" w:lineRule="auto"/>
              <w:ind w:left="616"/>
            </w:pPr>
            <w:r>
              <w:rPr>
                <w:b/>
                <w:bCs/>
                <w:spacing w:val="3"/>
              </w:rPr>
              <w:t>（</w:t>
            </w:r>
            <w:r>
              <w:rPr>
                <w:rFonts w:ascii="Times New Roman" w:hAnsi="Times New Roman" w:eastAsia="Times New Roman" w:cs="Times New Roman"/>
                <w:b/>
                <w:bCs/>
              </w:rPr>
              <w:t>mg</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b/>
                <w:bCs/>
                <w:spacing w:val="3"/>
              </w:rPr>
              <w:t>）</w:t>
            </w:r>
          </w:p>
        </w:tc>
        <w:tc>
          <w:tcPr>
            <w:tcW w:w="4409" w:type="dxa"/>
            <w:gridSpan w:val="2"/>
            <w:vAlign w:val="top"/>
          </w:tcPr>
          <w:p w14:paraId="7FA11253">
            <w:pPr>
              <w:pStyle w:val="6"/>
              <w:spacing w:before="64" w:line="221" w:lineRule="auto"/>
              <w:ind w:left="964"/>
            </w:pPr>
            <w:r>
              <w:rPr>
                <w:b/>
                <w:bCs/>
                <w:spacing w:val="6"/>
              </w:rPr>
              <w:t>最高允许排放速率（</w:t>
            </w:r>
            <w:r>
              <w:rPr>
                <w:rFonts w:ascii="Times New Roman" w:hAnsi="Times New Roman" w:eastAsia="Times New Roman" w:cs="Times New Roman"/>
                <w:b/>
                <w:bCs/>
              </w:rPr>
              <w:t>kg</w:t>
            </w:r>
            <w:r>
              <w:rPr>
                <w:rFonts w:ascii="Times New Roman" w:hAnsi="Times New Roman" w:eastAsia="Times New Roman" w:cs="Times New Roman"/>
                <w:b/>
                <w:bCs/>
                <w:spacing w:val="6"/>
              </w:rPr>
              <w:t>/h</w:t>
            </w:r>
            <w:r>
              <w:rPr>
                <w:b/>
                <w:bCs/>
                <w:spacing w:val="6"/>
              </w:rPr>
              <w:t>）</w:t>
            </w:r>
          </w:p>
        </w:tc>
      </w:tr>
      <w:tr w14:paraId="63F2B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vMerge w:val="continue"/>
            <w:tcBorders>
              <w:top w:val="nil"/>
            </w:tcBorders>
            <w:vAlign w:val="top"/>
          </w:tcPr>
          <w:p w14:paraId="2E9D8CCA">
            <w:pPr>
              <w:rPr>
                <w:rFonts w:ascii="Arial"/>
                <w:sz w:val="21"/>
              </w:rPr>
            </w:pPr>
          </w:p>
        </w:tc>
        <w:tc>
          <w:tcPr>
            <w:tcW w:w="871" w:type="dxa"/>
            <w:vMerge w:val="continue"/>
            <w:tcBorders>
              <w:top w:val="nil"/>
            </w:tcBorders>
            <w:vAlign w:val="top"/>
          </w:tcPr>
          <w:p w14:paraId="6AD6B541">
            <w:pPr>
              <w:rPr>
                <w:rFonts w:ascii="Arial"/>
                <w:sz w:val="21"/>
              </w:rPr>
            </w:pPr>
          </w:p>
        </w:tc>
        <w:tc>
          <w:tcPr>
            <w:tcW w:w="2203" w:type="dxa"/>
            <w:vMerge w:val="continue"/>
            <w:tcBorders>
              <w:top w:val="nil"/>
            </w:tcBorders>
            <w:vAlign w:val="top"/>
          </w:tcPr>
          <w:p w14:paraId="13CFCB19">
            <w:pPr>
              <w:rPr>
                <w:rFonts w:ascii="Arial"/>
                <w:sz w:val="21"/>
              </w:rPr>
            </w:pPr>
          </w:p>
        </w:tc>
        <w:tc>
          <w:tcPr>
            <w:tcW w:w="2203" w:type="dxa"/>
            <w:vAlign w:val="top"/>
          </w:tcPr>
          <w:p w14:paraId="44728C70">
            <w:pPr>
              <w:pStyle w:val="6"/>
              <w:spacing w:before="60" w:line="228" w:lineRule="auto"/>
              <w:ind w:left="496"/>
            </w:pPr>
            <w:r>
              <w:rPr>
                <w:b/>
                <w:bCs/>
                <w:spacing w:val="5"/>
              </w:rPr>
              <w:t>排气筒（</w:t>
            </w:r>
            <w:r>
              <w:rPr>
                <w:rFonts w:ascii="Times New Roman" w:hAnsi="Times New Roman" w:eastAsia="Times New Roman" w:cs="Times New Roman"/>
                <w:b/>
                <w:bCs/>
                <w:spacing w:val="5"/>
              </w:rPr>
              <w:t>m</w:t>
            </w:r>
            <w:r>
              <w:rPr>
                <w:b/>
                <w:bCs/>
                <w:spacing w:val="5"/>
              </w:rPr>
              <w:t>）</w:t>
            </w:r>
          </w:p>
        </w:tc>
        <w:tc>
          <w:tcPr>
            <w:tcW w:w="2206" w:type="dxa"/>
            <w:vAlign w:val="top"/>
          </w:tcPr>
          <w:p w14:paraId="06B0F9D2">
            <w:pPr>
              <w:pStyle w:val="6"/>
              <w:spacing w:before="59" w:line="231" w:lineRule="auto"/>
              <w:ind w:left="900"/>
            </w:pPr>
            <w:r>
              <w:rPr>
                <w:b/>
                <w:bCs/>
                <w:spacing w:val="2"/>
              </w:rPr>
              <w:t>二级</w:t>
            </w:r>
          </w:p>
        </w:tc>
      </w:tr>
      <w:tr w14:paraId="6F3F9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vMerge w:val="restart"/>
            <w:tcBorders>
              <w:bottom w:val="nil"/>
            </w:tcBorders>
            <w:vAlign w:val="top"/>
          </w:tcPr>
          <w:p w14:paraId="7BA57ACF">
            <w:pPr>
              <w:pStyle w:val="6"/>
              <w:spacing w:before="233" w:line="228" w:lineRule="auto"/>
              <w:ind w:left="208"/>
            </w:pPr>
            <w:r>
              <w:rPr>
                <w:spacing w:val="6"/>
              </w:rPr>
              <w:t>发电机尾</w:t>
            </w:r>
          </w:p>
          <w:p w14:paraId="0B7E5FCB">
            <w:pPr>
              <w:pStyle w:val="6"/>
              <w:spacing w:before="79" w:line="230" w:lineRule="auto"/>
              <w:ind w:left="520"/>
            </w:pPr>
            <w:r>
              <w:t>气</w:t>
            </w:r>
          </w:p>
        </w:tc>
        <w:tc>
          <w:tcPr>
            <w:tcW w:w="871" w:type="dxa"/>
            <w:vAlign w:val="top"/>
          </w:tcPr>
          <w:p w14:paraId="037BEC9A">
            <w:pPr>
              <w:spacing w:before="97" w:line="232" w:lineRule="auto"/>
              <w:ind w:left="27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2203" w:type="dxa"/>
            <w:vAlign w:val="top"/>
          </w:tcPr>
          <w:p w14:paraId="36429FD5">
            <w:pPr>
              <w:spacing w:before="30" w:line="274" w:lineRule="exact"/>
              <w:ind w:left="9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2203" w:type="dxa"/>
            <w:vMerge w:val="restart"/>
            <w:tcBorders>
              <w:bottom w:val="nil"/>
            </w:tcBorders>
            <w:vAlign w:val="top"/>
          </w:tcPr>
          <w:p w14:paraId="1AEDF006">
            <w:pPr>
              <w:spacing w:line="307" w:lineRule="auto"/>
              <w:rPr>
                <w:rFonts w:ascii="Arial"/>
                <w:sz w:val="21"/>
              </w:rPr>
            </w:pPr>
          </w:p>
          <w:p w14:paraId="1EFA4B4D">
            <w:pPr>
              <w:spacing w:before="57" w:line="274" w:lineRule="exact"/>
              <w:ind w:left="101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206" w:type="dxa"/>
            <w:vAlign w:val="top"/>
          </w:tcPr>
          <w:p w14:paraId="0F38A43A">
            <w:pPr>
              <w:spacing w:before="30" w:line="274" w:lineRule="exact"/>
              <w:ind w:left="9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1.05</w:t>
            </w:r>
          </w:p>
        </w:tc>
      </w:tr>
      <w:tr w14:paraId="583C0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vMerge w:val="continue"/>
            <w:tcBorders>
              <w:top w:val="nil"/>
              <w:bottom w:val="nil"/>
            </w:tcBorders>
            <w:vAlign w:val="top"/>
          </w:tcPr>
          <w:p w14:paraId="12C2766D">
            <w:pPr>
              <w:rPr>
                <w:rFonts w:ascii="Arial"/>
                <w:sz w:val="21"/>
              </w:rPr>
            </w:pPr>
          </w:p>
        </w:tc>
        <w:tc>
          <w:tcPr>
            <w:tcW w:w="871" w:type="dxa"/>
            <w:vAlign w:val="top"/>
          </w:tcPr>
          <w:p w14:paraId="22B5C785">
            <w:pPr>
              <w:spacing w:before="98" w:line="202" w:lineRule="auto"/>
              <w:ind w:left="22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203" w:type="dxa"/>
            <w:vAlign w:val="top"/>
          </w:tcPr>
          <w:p w14:paraId="6552BA43">
            <w:pPr>
              <w:spacing w:before="31" w:line="274" w:lineRule="exact"/>
              <w:ind w:left="9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c>
          <w:tcPr>
            <w:tcW w:w="2203" w:type="dxa"/>
            <w:vMerge w:val="continue"/>
            <w:tcBorders>
              <w:top w:val="nil"/>
              <w:bottom w:val="nil"/>
            </w:tcBorders>
            <w:vAlign w:val="top"/>
          </w:tcPr>
          <w:p w14:paraId="73DAEE8F">
            <w:pPr>
              <w:rPr>
                <w:rFonts w:ascii="Arial"/>
                <w:sz w:val="21"/>
              </w:rPr>
            </w:pPr>
          </w:p>
        </w:tc>
        <w:tc>
          <w:tcPr>
            <w:tcW w:w="2206" w:type="dxa"/>
            <w:vAlign w:val="top"/>
          </w:tcPr>
          <w:p w14:paraId="27FFC9D4">
            <w:pPr>
              <w:spacing w:before="31" w:line="274"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w:t>
            </w:r>
          </w:p>
        </w:tc>
      </w:tr>
      <w:tr w14:paraId="5584A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41" w:type="dxa"/>
            <w:vMerge w:val="continue"/>
            <w:tcBorders>
              <w:top w:val="nil"/>
            </w:tcBorders>
            <w:vAlign w:val="top"/>
          </w:tcPr>
          <w:p w14:paraId="77C0F203">
            <w:pPr>
              <w:rPr>
                <w:rFonts w:ascii="Arial"/>
                <w:sz w:val="21"/>
              </w:rPr>
            </w:pPr>
          </w:p>
        </w:tc>
        <w:tc>
          <w:tcPr>
            <w:tcW w:w="871" w:type="dxa"/>
            <w:vAlign w:val="top"/>
          </w:tcPr>
          <w:p w14:paraId="0ABD5102">
            <w:pPr>
              <w:pStyle w:val="6"/>
              <w:spacing w:before="63" w:line="230" w:lineRule="auto"/>
              <w:ind w:left="230"/>
            </w:pPr>
            <w:r>
              <w:rPr>
                <w:spacing w:val="4"/>
              </w:rPr>
              <w:t>烟尘</w:t>
            </w:r>
          </w:p>
        </w:tc>
        <w:tc>
          <w:tcPr>
            <w:tcW w:w="2203" w:type="dxa"/>
            <w:vAlign w:val="top"/>
          </w:tcPr>
          <w:p w14:paraId="0BBD5476">
            <w:pPr>
              <w:spacing w:before="32" w:line="274" w:lineRule="exact"/>
              <w:ind w:left="9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c>
          <w:tcPr>
            <w:tcW w:w="2203" w:type="dxa"/>
            <w:vMerge w:val="continue"/>
            <w:tcBorders>
              <w:top w:val="nil"/>
            </w:tcBorders>
            <w:vAlign w:val="top"/>
          </w:tcPr>
          <w:p w14:paraId="7442671E">
            <w:pPr>
              <w:rPr>
                <w:rFonts w:ascii="Arial"/>
                <w:sz w:val="21"/>
              </w:rPr>
            </w:pPr>
          </w:p>
        </w:tc>
        <w:tc>
          <w:tcPr>
            <w:tcW w:w="2206" w:type="dxa"/>
            <w:vAlign w:val="top"/>
          </w:tcPr>
          <w:p w14:paraId="7CDAC084">
            <w:pPr>
              <w:spacing w:before="32" w:line="274" w:lineRule="exact"/>
              <w:ind w:left="9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1.45</w:t>
            </w:r>
          </w:p>
        </w:tc>
      </w:tr>
    </w:tbl>
    <w:p w14:paraId="48A01429">
      <w:pPr>
        <w:spacing w:before="89" w:line="361"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、噪声污染控制标准</w:t>
      </w:r>
    </w:p>
    <w:p w14:paraId="020F07B7">
      <w:pPr>
        <w:spacing w:before="164" w:line="373" w:lineRule="auto"/>
        <w:ind w:left="122" w:right="110" w:firstLine="480"/>
        <w:rPr>
          <w:rFonts w:ascii="宋体" w:hAnsi="宋体" w:eastAsia="宋体" w:cs="宋体"/>
          <w:sz w:val="24"/>
          <w:szCs w:val="24"/>
        </w:rPr>
      </w:pPr>
      <w:r>
        <w:rPr>
          <w:rFonts w:ascii="宋体" w:hAnsi="宋体" w:eastAsia="宋体" w:cs="宋体"/>
          <w:spacing w:val="41"/>
          <w:sz w:val="24"/>
          <w:szCs w:val="24"/>
        </w:rPr>
        <w:t>本项目施工期噪声污染排放执行《</w:t>
      </w:r>
      <w:r>
        <w:rPr>
          <w:rFonts w:ascii="宋体" w:hAnsi="宋体" w:eastAsia="宋体" w:cs="宋体"/>
          <w:spacing w:val="-39"/>
          <w:sz w:val="24"/>
          <w:szCs w:val="24"/>
        </w:rPr>
        <w:t xml:space="preserve"> </w:t>
      </w:r>
      <w:r>
        <w:rPr>
          <w:rFonts w:ascii="宋体" w:hAnsi="宋体" w:eastAsia="宋体" w:cs="宋体"/>
          <w:spacing w:val="41"/>
          <w:sz w:val="24"/>
          <w:szCs w:val="24"/>
        </w:rPr>
        <w:t>建筑施工场环境噪声排放标准》</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）标准；运营期项目边界噪声排放执</w:t>
      </w:r>
      <w:r>
        <w:rPr>
          <w:rFonts w:ascii="宋体" w:hAnsi="宋体" w:eastAsia="宋体" w:cs="宋体"/>
          <w:sz w:val="24"/>
          <w:szCs w:val="24"/>
        </w:rPr>
        <w:t xml:space="preserve">行《工业企业厂界环境噪声排 </w:t>
      </w:r>
      <w:r>
        <w:rPr>
          <w:rFonts w:ascii="宋体" w:hAnsi="宋体" w:eastAsia="宋体" w:cs="宋体"/>
          <w:spacing w:val="-1"/>
          <w:sz w:val="24"/>
          <w:szCs w:val="24"/>
        </w:rPr>
        <w:t>放标准》（</w:t>
      </w:r>
      <w:r>
        <w:rPr>
          <w:rFonts w:ascii="Times New Roman" w:hAnsi="Times New Roman" w:eastAsia="Times New Roman" w:cs="Times New Roman"/>
          <w:spacing w:val="-1"/>
          <w:sz w:val="24"/>
          <w:szCs w:val="24"/>
        </w:rPr>
        <w:t>GB12348-2008</w:t>
      </w:r>
      <w:r>
        <w:rPr>
          <w:rFonts w:ascii="宋体" w:hAnsi="宋体" w:eastAsia="宋体" w:cs="宋体"/>
          <w:spacing w:val="-1"/>
          <w:sz w:val="24"/>
          <w:szCs w:val="24"/>
        </w:rPr>
        <w:t>）的</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类标准，详情见下表。</w:t>
      </w:r>
    </w:p>
    <w:p w14:paraId="17B1CF4C">
      <w:pPr>
        <w:spacing w:before="26" w:line="221" w:lineRule="auto"/>
        <w:ind w:left="2892"/>
        <w:rPr>
          <w:rFonts w:ascii="Times New Roman" w:hAnsi="Times New Roman" w:eastAsia="Times New Roman" w:cs="Times New Roman"/>
          <w:sz w:val="20"/>
          <w:szCs w:val="20"/>
        </w:rPr>
      </w:pPr>
      <w:r>
        <w:rPr>
          <w:rFonts w:ascii="宋体" w:hAnsi="宋体" w:eastAsia="宋体" w:cs="宋体"/>
          <w:b/>
          <w:bCs/>
          <w:spacing w:val="5"/>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5"/>
          <w:sz w:val="20"/>
          <w:szCs w:val="20"/>
        </w:rPr>
        <w:t>2.5-9</w:t>
      </w:r>
      <w:r>
        <w:rPr>
          <w:rFonts w:ascii="Times New Roman" w:hAnsi="Times New Roman" w:eastAsia="Times New Roman" w:cs="Times New Roman"/>
          <w:b/>
          <w:bCs/>
          <w:spacing w:val="19"/>
          <w:w w:val="101"/>
          <w:sz w:val="20"/>
          <w:szCs w:val="20"/>
        </w:rPr>
        <w:t xml:space="preserve"> </w:t>
      </w:r>
      <w:r>
        <w:rPr>
          <w:rFonts w:ascii="宋体" w:hAnsi="宋体" w:eastAsia="宋体" w:cs="宋体"/>
          <w:b/>
          <w:bCs/>
          <w:spacing w:val="5"/>
          <w:sz w:val="20"/>
          <w:szCs w:val="20"/>
        </w:rPr>
        <w:t>噪声排放标准单位：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p w14:paraId="005A1444">
      <w:pPr>
        <w:spacing w:line="11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1189"/>
        <w:gridCol w:w="892"/>
        <w:gridCol w:w="1040"/>
        <w:gridCol w:w="4073"/>
      </w:tblGrid>
      <w:tr w14:paraId="7A3F3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56" w:type="dxa"/>
            <w:vMerge w:val="restart"/>
            <w:tcBorders>
              <w:bottom w:val="nil"/>
            </w:tcBorders>
            <w:vAlign w:val="top"/>
          </w:tcPr>
          <w:p w14:paraId="5B1E8506">
            <w:pPr>
              <w:pStyle w:val="6"/>
              <w:spacing w:before="232" w:line="229" w:lineRule="auto"/>
              <w:ind w:left="683"/>
            </w:pPr>
            <w:r>
              <w:rPr>
                <w:b/>
                <w:bCs/>
                <w:spacing w:val="-1"/>
              </w:rPr>
              <w:t>时期</w:t>
            </w:r>
          </w:p>
        </w:tc>
        <w:tc>
          <w:tcPr>
            <w:tcW w:w="1189" w:type="dxa"/>
            <w:vMerge w:val="restart"/>
            <w:tcBorders>
              <w:bottom w:val="nil"/>
            </w:tcBorders>
            <w:vAlign w:val="top"/>
          </w:tcPr>
          <w:p w14:paraId="7D645386">
            <w:pPr>
              <w:pStyle w:val="6"/>
              <w:spacing w:before="232" w:line="228" w:lineRule="auto"/>
              <w:ind w:left="388"/>
            </w:pPr>
            <w:r>
              <w:rPr>
                <w:b/>
                <w:bCs/>
                <w:spacing w:val="3"/>
              </w:rPr>
              <w:t>类别</w:t>
            </w:r>
          </w:p>
        </w:tc>
        <w:tc>
          <w:tcPr>
            <w:tcW w:w="1932" w:type="dxa"/>
            <w:gridSpan w:val="2"/>
            <w:vAlign w:val="top"/>
          </w:tcPr>
          <w:p w14:paraId="4D9C9645">
            <w:pPr>
              <w:pStyle w:val="6"/>
              <w:spacing w:before="64" w:line="228" w:lineRule="auto"/>
              <w:ind w:left="551"/>
            </w:pPr>
            <w:r>
              <w:rPr>
                <w:b/>
                <w:bCs/>
                <w:spacing w:val="6"/>
              </w:rPr>
              <w:t>标准限值</w:t>
            </w:r>
          </w:p>
        </w:tc>
        <w:tc>
          <w:tcPr>
            <w:tcW w:w="4073" w:type="dxa"/>
            <w:vMerge w:val="restart"/>
            <w:tcBorders>
              <w:bottom w:val="nil"/>
            </w:tcBorders>
            <w:vAlign w:val="top"/>
          </w:tcPr>
          <w:p w14:paraId="65FC4308">
            <w:pPr>
              <w:pStyle w:val="6"/>
              <w:spacing w:before="232" w:line="228" w:lineRule="auto"/>
              <w:ind w:left="1621"/>
            </w:pPr>
            <w:r>
              <w:rPr>
                <w:b/>
                <w:bCs/>
                <w:spacing w:val="6"/>
              </w:rPr>
              <w:t>执行标准</w:t>
            </w:r>
          </w:p>
        </w:tc>
      </w:tr>
      <w:tr w14:paraId="49DAD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56" w:type="dxa"/>
            <w:vMerge w:val="continue"/>
            <w:tcBorders>
              <w:top w:val="nil"/>
            </w:tcBorders>
            <w:vAlign w:val="top"/>
          </w:tcPr>
          <w:p w14:paraId="524763F4">
            <w:pPr>
              <w:rPr>
                <w:rFonts w:ascii="Arial"/>
                <w:sz w:val="21"/>
              </w:rPr>
            </w:pPr>
          </w:p>
        </w:tc>
        <w:tc>
          <w:tcPr>
            <w:tcW w:w="1189" w:type="dxa"/>
            <w:vMerge w:val="continue"/>
            <w:tcBorders>
              <w:top w:val="nil"/>
            </w:tcBorders>
            <w:vAlign w:val="top"/>
          </w:tcPr>
          <w:p w14:paraId="14FEEA06">
            <w:pPr>
              <w:rPr>
                <w:rFonts w:ascii="Arial"/>
                <w:sz w:val="21"/>
              </w:rPr>
            </w:pPr>
          </w:p>
        </w:tc>
        <w:tc>
          <w:tcPr>
            <w:tcW w:w="892" w:type="dxa"/>
            <w:vAlign w:val="top"/>
          </w:tcPr>
          <w:p w14:paraId="48EE15C8">
            <w:pPr>
              <w:pStyle w:val="6"/>
              <w:spacing w:before="60" w:line="231" w:lineRule="auto"/>
              <w:ind w:left="240"/>
            </w:pPr>
            <w:r>
              <w:rPr>
                <w:b/>
                <w:bCs/>
                <w:spacing w:val="4"/>
              </w:rPr>
              <w:t>昼间</w:t>
            </w:r>
          </w:p>
        </w:tc>
        <w:tc>
          <w:tcPr>
            <w:tcW w:w="1040" w:type="dxa"/>
            <w:vAlign w:val="top"/>
          </w:tcPr>
          <w:p w14:paraId="311503BA">
            <w:pPr>
              <w:pStyle w:val="6"/>
              <w:spacing w:before="60" w:line="228" w:lineRule="auto"/>
              <w:ind w:left="319"/>
            </w:pPr>
            <w:r>
              <w:rPr>
                <w:b/>
                <w:bCs/>
                <w:spacing w:val="2"/>
              </w:rPr>
              <w:t>夜间</w:t>
            </w:r>
          </w:p>
        </w:tc>
        <w:tc>
          <w:tcPr>
            <w:tcW w:w="4073" w:type="dxa"/>
            <w:vMerge w:val="continue"/>
            <w:tcBorders>
              <w:top w:val="nil"/>
            </w:tcBorders>
            <w:vAlign w:val="top"/>
          </w:tcPr>
          <w:p w14:paraId="47A5FF9C">
            <w:pPr>
              <w:rPr>
                <w:rFonts w:ascii="Arial"/>
                <w:sz w:val="21"/>
              </w:rPr>
            </w:pPr>
          </w:p>
        </w:tc>
      </w:tr>
      <w:tr w14:paraId="24BA9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756" w:type="dxa"/>
            <w:vAlign w:val="top"/>
          </w:tcPr>
          <w:p w14:paraId="39453DC6">
            <w:pPr>
              <w:pStyle w:val="6"/>
              <w:spacing w:before="222" w:line="229" w:lineRule="auto"/>
              <w:ind w:left="567"/>
            </w:pPr>
            <w:r>
              <w:rPr>
                <w:spacing w:val="7"/>
              </w:rPr>
              <w:t>施工期</w:t>
            </w:r>
          </w:p>
        </w:tc>
        <w:tc>
          <w:tcPr>
            <w:tcW w:w="1189" w:type="dxa"/>
            <w:vAlign w:val="top"/>
          </w:tcPr>
          <w:p w14:paraId="032C05B1">
            <w:pPr>
              <w:spacing w:line="287" w:lineRule="auto"/>
              <w:rPr>
                <w:rFonts w:ascii="Arial"/>
                <w:sz w:val="21"/>
              </w:rPr>
            </w:pPr>
          </w:p>
          <w:p w14:paraId="33B87F56">
            <w:pPr>
              <w:spacing w:before="57" w:line="97" w:lineRule="exact"/>
              <w:ind w:left="5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92" w:type="dxa"/>
            <w:vAlign w:val="top"/>
          </w:tcPr>
          <w:p w14:paraId="401EC8C8">
            <w:pPr>
              <w:spacing w:before="191"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040" w:type="dxa"/>
            <w:vAlign w:val="top"/>
          </w:tcPr>
          <w:p w14:paraId="29121240">
            <w:pPr>
              <w:spacing w:before="261" w:line="192"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073" w:type="dxa"/>
            <w:vAlign w:val="top"/>
          </w:tcPr>
          <w:p w14:paraId="6EACF498">
            <w:pPr>
              <w:pStyle w:val="6"/>
              <w:spacing w:before="61" w:line="229" w:lineRule="auto"/>
              <w:ind w:left="366"/>
            </w:pPr>
            <w:r>
              <w:rPr>
                <w:spacing w:val="8"/>
              </w:rPr>
              <w:t>《建筑施工场界环境噪声排放标准》</w:t>
            </w:r>
          </w:p>
          <w:p w14:paraId="32296153">
            <w:pPr>
              <w:pStyle w:val="6"/>
              <w:spacing w:before="45" w:line="274" w:lineRule="exact"/>
              <w:ind w:left="1189"/>
            </w:pPr>
            <w:r>
              <w:rPr>
                <w:spacing w:val="4"/>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4"/>
                <w:position w:val="1"/>
              </w:rPr>
              <w:t>12523-2011</w:t>
            </w:r>
            <w:r>
              <w:rPr>
                <w:spacing w:val="4"/>
                <w:position w:val="1"/>
              </w:rPr>
              <w:t>）</w:t>
            </w:r>
          </w:p>
        </w:tc>
      </w:tr>
      <w:tr w14:paraId="3DA02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756" w:type="dxa"/>
            <w:vAlign w:val="top"/>
          </w:tcPr>
          <w:p w14:paraId="3CCBA7A9">
            <w:pPr>
              <w:pStyle w:val="6"/>
              <w:spacing w:before="224" w:line="229" w:lineRule="auto"/>
              <w:ind w:left="567"/>
            </w:pPr>
            <w:r>
              <w:rPr>
                <w:spacing w:val="6"/>
              </w:rPr>
              <w:t>运营期</w:t>
            </w:r>
          </w:p>
        </w:tc>
        <w:tc>
          <w:tcPr>
            <w:tcW w:w="1189" w:type="dxa"/>
            <w:vAlign w:val="top"/>
          </w:tcPr>
          <w:p w14:paraId="7B1F0418">
            <w:pPr>
              <w:pStyle w:val="6"/>
              <w:spacing w:before="193" w:line="275" w:lineRule="exact"/>
              <w:ind w:left="411"/>
            </w:pPr>
            <w:r>
              <w:rPr>
                <w:rFonts w:ascii="Times New Roman" w:hAnsi="Times New Roman" w:eastAsia="Times New Roman" w:cs="Times New Roman"/>
                <w:position w:val="1"/>
              </w:rPr>
              <w:t>2</w:t>
            </w:r>
            <w:r>
              <w:rPr>
                <w:rFonts w:ascii="Times New Roman" w:hAnsi="Times New Roman" w:eastAsia="Times New Roman" w:cs="Times New Roman"/>
                <w:spacing w:val="9"/>
                <w:position w:val="1"/>
              </w:rPr>
              <w:t xml:space="preserve"> </w:t>
            </w:r>
            <w:r>
              <w:rPr>
                <w:position w:val="1"/>
              </w:rPr>
              <w:t>类</w:t>
            </w:r>
          </w:p>
        </w:tc>
        <w:tc>
          <w:tcPr>
            <w:tcW w:w="892" w:type="dxa"/>
            <w:vAlign w:val="top"/>
          </w:tcPr>
          <w:p w14:paraId="722BE66F">
            <w:pPr>
              <w:spacing w:before="193" w:line="275" w:lineRule="exact"/>
              <w:ind w:left="3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040" w:type="dxa"/>
            <w:vAlign w:val="top"/>
          </w:tcPr>
          <w:p w14:paraId="3CF87615">
            <w:pPr>
              <w:spacing w:before="193" w:line="275" w:lineRule="exact"/>
              <w:ind w:left="4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4073" w:type="dxa"/>
            <w:vAlign w:val="top"/>
          </w:tcPr>
          <w:p w14:paraId="34009993">
            <w:pPr>
              <w:pStyle w:val="6"/>
              <w:spacing w:before="60" w:line="272" w:lineRule="auto"/>
              <w:ind w:left="795" w:right="367" w:hanging="429"/>
            </w:pPr>
            <w:r>
              <w:rPr>
                <w:spacing w:val="8"/>
              </w:rPr>
              <w:t>《工业企业厂界环境噪声排放标准》</w:t>
            </w:r>
            <w:r>
              <w:rPr>
                <w:spacing w:val="5"/>
              </w:rPr>
              <w:t xml:space="preserve"> （</w:t>
            </w:r>
            <w:r>
              <w:rPr>
                <w:rFonts w:ascii="Times New Roman" w:hAnsi="Times New Roman" w:eastAsia="Times New Roman" w:cs="Times New Roman"/>
              </w:rPr>
              <w:t>GB</w:t>
            </w:r>
            <w:r>
              <w:rPr>
                <w:rFonts w:ascii="Times New Roman" w:hAnsi="Times New Roman" w:eastAsia="Times New Roman" w:cs="Times New Roman"/>
                <w:spacing w:val="5"/>
              </w:rPr>
              <w:t>12348-2008</w:t>
            </w:r>
            <w:r>
              <w:rPr>
                <w:spacing w:val="5"/>
              </w:rPr>
              <w:t>）</w:t>
            </w:r>
            <w:r>
              <w:rPr>
                <w:rFonts w:ascii="Times New Roman" w:hAnsi="Times New Roman" w:eastAsia="Times New Roman" w:cs="Times New Roman"/>
                <w:spacing w:val="5"/>
              </w:rPr>
              <w:t xml:space="preserve">2 </w:t>
            </w:r>
            <w:r>
              <w:rPr>
                <w:spacing w:val="5"/>
              </w:rPr>
              <w:t>类标准</w:t>
            </w:r>
          </w:p>
        </w:tc>
      </w:tr>
    </w:tbl>
    <w:p w14:paraId="17863667">
      <w:pPr>
        <w:spacing w:before="90" w:line="362" w:lineRule="exact"/>
        <w:ind w:left="597"/>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、固体废物控制标准</w:t>
      </w:r>
    </w:p>
    <w:p w14:paraId="69647139">
      <w:pPr>
        <w:spacing w:before="126" w:line="375" w:lineRule="auto"/>
        <w:ind w:left="118" w:right="17" w:firstLine="483"/>
        <w:rPr>
          <w:rFonts w:ascii="宋体" w:hAnsi="宋体" w:eastAsia="宋体" w:cs="宋体"/>
          <w:sz w:val="24"/>
          <w:szCs w:val="24"/>
        </w:rPr>
      </w:pPr>
      <w:r>
        <w:rPr>
          <w:rFonts w:ascii="宋体" w:hAnsi="宋体" w:eastAsia="宋体" w:cs="宋体"/>
          <w:sz w:val="24"/>
          <w:szCs w:val="24"/>
        </w:rPr>
        <w:t>病死牲畜处理执行《病死及病害动物无害化处理技术规范》</w:t>
      </w:r>
      <w:r>
        <w:rPr>
          <w:rFonts w:ascii="宋体" w:hAnsi="宋体" w:eastAsia="宋体" w:cs="宋体"/>
          <w:spacing w:val="-1"/>
          <w:sz w:val="24"/>
          <w:szCs w:val="24"/>
        </w:rPr>
        <w:t>（农医发〔</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w:t>
      </w:r>
      <w:r>
        <w:rPr>
          <w:rFonts w:ascii="宋体" w:hAnsi="宋体" w:eastAsia="宋体" w:cs="宋体"/>
          <w:spacing w:val="9"/>
          <w:sz w:val="24"/>
          <w:szCs w:val="24"/>
        </w:rPr>
        <w:t>）；</w:t>
      </w:r>
      <w:r>
        <w:rPr>
          <w:rFonts w:ascii="宋体" w:hAnsi="宋体" w:eastAsia="宋体" w:cs="宋体"/>
          <w:spacing w:val="-1"/>
          <w:sz w:val="24"/>
          <w:szCs w:val="24"/>
        </w:rPr>
        <w:t>粪便处理执行《粪便无害化卫生要求》（</w:t>
      </w:r>
      <w:r>
        <w:rPr>
          <w:rFonts w:ascii="Times New Roman" w:hAnsi="Times New Roman" w:eastAsia="Times New Roman" w:cs="Times New Roman"/>
          <w:spacing w:val="-1"/>
          <w:sz w:val="24"/>
          <w:szCs w:val="24"/>
        </w:rPr>
        <w:t>GB7959-2012</w:t>
      </w:r>
      <w:r>
        <w:rPr>
          <w:rFonts w:ascii="宋体" w:hAnsi="宋体" w:eastAsia="宋体" w:cs="宋体"/>
          <w:spacing w:val="-1"/>
          <w:sz w:val="24"/>
          <w:szCs w:val="24"/>
        </w:rPr>
        <w:t>）中好氧发酵（高</w:t>
      </w:r>
      <w:r>
        <w:rPr>
          <w:rFonts w:ascii="宋体" w:hAnsi="宋体" w:eastAsia="宋体" w:cs="宋体"/>
          <w:sz w:val="24"/>
          <w:szCs w:val="24"/>
        </w:rPr>
        <w:t xml:space="preserve">  </w:t>
      </w:r>
      <w:r>
        <w:rPr>
          <w:rFonts w:ascii="宋体" w:hAnsi="宋体" w:eastAsia="宋体" w:cs="宋体"/>
          <w:spacing w:val="1"/>
          <w:sz w:val="24"/>
          <w:szCs w:val="24"/>
        </w:rPr>
        <w:t>温堆肥）的卫生要求，见表</w:t>
      </w:r>
      <w:r>
        <w:rPr>
          <w:rFonts w:ascii="Times New Roman" w:hAnsi="Times New Roman" w:eastAsia="Times New Roman" w:cs="Times New Roman"/>
          <w:spacing w:val="1"/>
          <w:sz w:val="24"/>
          <w:szCs w:val="24"/>
        </w:rPr>
        <w:t>2.4-10</w:t>
      </w:r>
      <w:r>
        <w:rPr>
          <w:rFonts w:ascii="宋体" w:hAnsi="宋体" w:eastAsia="宋体" w:cs="宋体"/>
          <w:spacing w:val="1"/>
          <w:sz w:val="24"/>
          <w:szCs w:val="24"/>
        </w:rPr>
        <w:t>；废医疗废物执行《危险废物贮存污染控制标</w:t>
      </w:r>
      <w:r>
        <w:rPr>
          <w:rFonts w:ascii="宋体" w:hAnsi="宋体" w:eastAsia="宋体" w:cs="宋体"/>
          <w:sz w:val="24"/>
          <w:szCs w:val="24"/>
        </w:rPr>
        <w:t xml:space="preserve">准》 </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18597-2001</w:t>
      </w:r>
      <w:r>
        <w:rPr>
          <w:rFonts w:ascii="宋体" w:hAnsi="宋体" w:eastAsia="宋体" w:cs="宋体"/>
          <w:spacing w:val="1"/>
          <w:sz w:val="24"/>
          <w:szCs w:val="24"/>
        </w:rPr>
        <w:t>）标准及环境保护部</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年第</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36 </w:t>
      </w:r>
      <w:r>
        <w:rPr>
          <w:rFonts w:ascii="宋体" w:hAnsi="宋体" w:eastAsia="宋体" w:cs="宋体"/>
          <w:spacing w:val="1"/>
          <w:sz w:val="24"/>
          <w:szCs w:val="24"/>
        </w:rPr>
        <w:t>号修改单公告；其他固体废物执</w:t>
      </w:r>
      <w:r>
        <w:rPr>
          <w:rFonts w:ascii="宋体" w:hAnsi="宋体" w:eastAsia="宋体" w:cs="宋体"/>
          <w:sz w:val="24"/>
          <w:szCs w:val="24"/>
        </w:rPr>
        <w:t xml:space="preserve">  行《一般工业固体废物贮存、处置场污染控制标准》（</w:t>
      </w:r>
      <w:r>
        <w:rPr>
          <w:rFonts w:ascii="Times New Roman" w:hAnsi="Times New Roman" w:eastAsia="Times New Roman" w:cs="Times New Roman"/>
          <w:sz w:val="24"/>
          <w:szCs w:val="24"/>
        </w:rPr>
        <w:t>GB18599-200</w:t>
      </w:r>
      <w:r>
        <w:rPr>
          <w:rFonts w:ascii="Times New Roman" w:hAnsi="Times New Roman" w:eastAsia="Times New Roman" w:cs="Times New Roman"/>
          <w:spacing w:val="-1"/>
          <w:sz w:val="24"/>
          <w:szCs w:val="24"/>
        </w:rPr>
        <w:t>1</w:t>
      </w:r>
      <w:r>
        <w:rPr>
          <w:rFonts w:ascii="宋体" w:hAnsi="宋体" w:eastAsia="宋体" w:cs="宋体"/>
          <w:spacing w:val="-1"/>
          <w:sz w:val="24"/>
          <w:szCs w:val="24"/>
        </w:rPr>
        <w:t>）及其修改单</w:t>
      </w:r>
      <w:r>
        <w:rPr>
          <w:rFonts w:ascii="宋体" w:hAnsi="宋体" w:eastAsia="宋体" w:cs="宋体"/>
          <w:sz w:val="24"/>
          <w:szCs w:val="24"/>
        </w:rPr>
        <w:t xml:space="preserve">  </w:t>
      </w:r>
      <w:r>
        <w:rPr>
          <w:rFonts w:ascii="宋体" w:hAnsi="宋体" w:eastAsia="宋体" w:cs="宋体"/>
          <w:spacing w:val="2"/>
          <w:sz w:val="24"/>
          <w:szCs w:val="24"/>
        </w:rPr>
        <w:t>（环保部公告</w:t>
      </w:r>
      <w:r>
        <w:rPr>
          <w:rFonts w:ascii="Times New Roman" w:hAnsi="Times New Roman" w:eastAsia="Times New Roman" w:cs="Times New Roman"/>
          <w:spacing w:val="2"/>
          <w:sz w:val="24"/>
          <w:szCs w:val="24"/>
        </w:rPr>
        <w:t xml:space="preserve">2013 </w:t>
      </w:r>
      <w:r>
        <w:rPr>
          <w:rFonts w:ascii="宋体" w:hAnsi="宋体" w:eastAsia="宋体" w:cs="宋体"/>
          <w:spacing w:val="2"/>
          <w:sz w:val="24"/>
          <w:szCs w:val="24"/>
        </w:rPr>
        <w:t>年第</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36 </w:t>
      </w:r>
      <w:r>
        <w:rPr>
          <w:rFonts w:ascii="宋体" w:hAnsi="宋体" w:eastAsia="宋体" w:cs="宋体"/>
          <w:spacing w:val="2"/>
          <w:sz w:val="24"/>
          <w:szCs w:val="24"/>
        </w:rPr>
        <w:t>号）的规</w:t>
      </w:r>
      <w:r>
        <w:rPr>
          <w:rFonts w:ascii="宋体" w:hAnsi="宋体" w:eastAsia="宋体" w:cs="宋体"/>
          <w:spacing w:val="1"/>
          <w:sz w:val="24"/>
          <w:szCs w:val="24"/>
        </w:rPr>
        <w:t>定执行。</w:t>
      </w:r>
    </w:p>
    <w:p w14:paraId="34A3B14B">
      <w:pPr>
        <w:spacing w:line="375" w:lineRule="auto"/>
        <w:rPr>
          <w:rFonts w:ascii="宋体" w:hAnsi="宋体" w:eastAsia="宋体" w:cs="宋体"/>
          <w:sz w:val="24"/>
          <w:szCs w:val="24"/>
        </w:rPr>
        <w:sectPr>
          <w:footerReference r:id="rId51" w:type="default"/>
          <w:pgSz w:w="11906" w:h="16839"/>
          <w:pgMar w:top="1431" w:right="1475" w:bottom="1485" w:left="1475" w:header="0" w:footer="1249" w:gutter="0"/>
          <w:cols w:space="720" w:num="1"/>
        </w:sectPr>
      </w:pPr>
    </w:p>
    <w:p w14:paraId="095A8452">
      <w:pPr>
        <w:spacing w:before="125" w:line="228" w:lineRule="auto"/>
        <w:ind w:left="272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 xml:space="preserve">2.5-10 </w:t>
      </w:r>
      <w:r>
        <w:rPr>
          <w:rFonts w:ascii="宋体" w:hAnsi="宋体" w:eastAsia="宋体" w:cs="宋体"/>
          <w:b/>
          <w:bCs/>
          <w:spacing w:val="6"/>
          <w:sz w:val="20"/>
          <w:szCs w:val="20"/>
        </w:rPr>
        <w:t>好氧发酵（高温堆肥）的卫生要求</w:t>
      </w:r>
    </w:p>
    <w:p w14:paraId="33770AC3">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681"/>
        <w:gridCol w:w="1341"/>
        <w:gridCol w:w="5171"/>
      </w:tblGrid>
      <w:tr w14:paraId="61846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57" w:type="dxa"/>
            <w:vAlign w:val="top"/>
          </w:tcPr>
          <w:p w14:paraId="163BA75E">
            <w:pPr>
              <w:pStyle w:val="6"/>
              <w:spacing w:before="35" w:line="217" w:lineRule="auto"/>
              <w:ind w:left="173"/>
            </w:pPr>
            <w:r>
              <w:rPr>
                <w:spacing w:val="5"/>
              </w:rPr>
              <w:t>序号</w:t>
            </w:r>
          </w:p>
        </w:tc>
        <w:tc>
          <w:tcPr>
            <w:tcW w:w="1681" w:type="dxa"/>
            <w:vAlign w:val="top"/>
          </w:tcPr>
          <w:p w14:paraId="2A57A4BC">
            <w:pPr>
              <w:pStyle w:val="6"/>
              <w:spacing w:before="35" w:line="217" w:lineRule="auto"/>
              <w:ind w:left="637"/>
            </w:pPr>
            <w:r>
              <w:rPr>
                <w:spacing w:val="3"/>
              </w:rPr>
              <w:t>项目</w:t>
            </w:r>
          </w:p>
        </w:tc>
        <w:tc>
          <w:tcPr>
            <w:tcW w:w="6512" w:type="dxa"/>
            <w:gridSpan w:val="2"/>
            <w:vAlign w:val="top"/>
          </w:tcPr>
          <w:p w14:paraId="1D11ABF5">
            <w:pPr>
              <w:pStyle w:val="6"/>
              <w:spacing w:before="35" w:line="217" w:lineRule="auto"/>
              <w:ind w:left="2840"/>
            </w:pPr>
            <w:r>
              <w:rPr>
                <w:spacing w:val="6"/>
              </w:rPr>
              <w:t>卫生要求</w:t>
            </w:r>
          </w:p>
        </w:tc>
      </w:tr>
      <w:tr w14:paraId="29457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7" w:type="dxa"/>
            <w:vMerge w:val="restart"/>
            <w:tcBorders>
              <w:bottom w:val="nil"/>
            </w:tcBorders>
            <w:vAlign w:val="top"/>
          </w:tcPr>
          <w:p w14:paraId="65F31FCA">
            <w:pPr>
              <w:spacing w:line="331" w:lineRule="auto"/>
              <w:rPr>
                <w:rFonts w:ascii="Arial"/>
                <w:sz w:val="21"/>
              </w:rPr>
            </w:pPr>
          </w:p>
          <w:p w14:paraId="2B25BD8F">
            <w:pPr>
              <w:spacing w:before="58" w:line="274" w:lineRule="exact"/>
              <w:ind w:left="3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81" w:type="dxa"/>
            <w:vMerge w:val="restart"/>
            <w:tcBorders>
              <w:bottom w:val="nil"/>
            </w:tcBorders>
            <w:vAlign w:val="top"/>
          </w:tcPr>
          <w:p w14:paraId="504FE535">
            <w:pPr>
              <w:pStyle w:val="6"/>
              <w:spacing w:before="287" w:line="228" w:lineRule="auto"/>
              <w:ind w:left="215"/>
            </w:pPr>
            <w:r>
              <w:rPr>
                <w:spacing w:val="7"/>
              </w:rPr>
              <w:t>温度与持续时</w:t>
            </w:r>
          </w:p>
          <w:p w14:paraId="3A0B6A05">
            <w:pPr>
              <w:pStyle w:val="6"/>
              <w:spacing w:before="24" w:line="231" w:lineRule="auto"/>
              <w:ind w:left="756"/>
            </w:pPr>
            <w:r>
              <w:t>间</w:t>
            </w:r>
          </w:p>
        </w:tc>
        <w:tc>
          <w:tcPr>
            <w:tcW w:w="1341" w:type="dxa"/>
            <w:vAlign w:val="top"/>
          </w:tcPr>
          <w:p w14:paraId="322FB076">
            <w:pPr>
              <w:pStyle w:val="6"/>
              <w:spacing w:before="167" w:line="231" w:lineRule="auto"/>
              <w:ind w:left="466"/>
            </w:pPr>
            <w:r>
              <w:rPr>
                <w:spacing w:val="3"/>
              </w:rPr>
              <w:t>人工</w:t>
            </w:r>
          </w:p>
        </w:tc>
        <w:tc>
          <w:tcPr>
            <w:tcW w:w="5171" w:type="dxa"/>
            <w:vAlign w:val="top"/>
          </w:tcPr>
          <w:p w14:paraId="742085A2">
            <w:pPr>
              <w:pStyle w:val="6"/>
              <w:spacing w:before="2" w:line="273" w:lineRule="exact"/>
              <w:ind w:left="113"/>
              <w:rPr>
                <w:rFonts w:ascii="Times New Roman" w:hAnsi="Times New Roman" w:eastAsia="Times New Roman" w:cs="Times New Roman"/>
              </w:rPr>
            </w:pPr>
            <w:r>
              <w:rPr>
                <w:spacing w:val="-1"/>
                <w:position w:val="1"/>
              </w:rPr>
              <w:t>堆温≥</w:t>
            </w:r>
            <w:r>
              <w:rPr>
                <w:rFonts w:ascii="Times New Roman" w:hAnsi="Times New Roman" w:eastAsia="Times New Roman" w:cs="Times New Roman"/>
                <w:spacing w:val="-1"/>
                <w:position w:val="1"/>
              </w:rPr>
              <w:t>50</w:t>
            </w:r>
            <w:r>
              <w:rPr>
                <w:spacing w:val="-1"/>
                <w:position w:val="1"/>
              </w:rPr>
              <w:t>℃</w:t>
            </w:r>
            <w:r>
              <w:rPr>
                <w:spacing w:val="-64"/>
                <w:position w:val="1"/>
              </w:rPr>
              <w:t xml:space="preserve"> </w:t>
            </w:r>
            <w:r>
              <w:rPr>
                <w:spacing w:val="-1"/>
                <w:position w:val="1"/>
              </w:rPr>
              <w:t>,</w:t>
            </w:r>
            <w:r>
              <w:rPr>
                <w:spacing w:val="59"/>
                <w:position w:val="1"/>
              </w:rPr>
              <w:t xml:space="preserve"> </w:t>
            </w:r>
            <w:r>
              <w:rPr>
                <w:spacing w:val="-1"/>
                <w:position w:val="1"/>
              </w:rPr>
              <w:t>至少持续</w:t>
            </w:r>
            <w:r>
              <w:rPr>
                <w:spacing w:val="-23"/>
                <w:position w:val="1"/>
              </w:rPr>
              <w:t xml:space="preserve"> </w:t>
            </w:r>
            <w:r>
              <w:rPr>
                <w:rFonts w:ascii="Times New Roman" w:hAnsi="Times New Roman" w:eastAsia="Times New Roman" w:cs="Times New Roman"/>
                <w:spacing w:val="-1"/>
                <w:position w:val="1"/>
              </w:rPr>
              <w:t>10d</w:t>
            </w:r>
          </w:p>
          <w:p w14:paraId="62FA0D0E">
            <w:pPr>
              <w:pStyle w:val="6"/>
              <w:spacing w:line="263" w:lineRule="exact"/>
              <w:ind w:left="113"/>
              <w:rPr>
                <w:rFonts w:ascii="Times New Roman" w:hAnsi="Times New Roman" w:eastAsia="Times New Roman" w:cs="Times New Roman"/>
              </w:rPr>
            </w:pPr>
            <w:r>
              <w:rPr>
                <w:position w:val="1"/>
              </w:rPr>
              <w:t>堆温≥</w:t>
            </w:r>
            <w:r>
              <w:rPr>
                <w:rFonts w:ascii="Times New Roman" w:hAnsi="Times New Roman" w:eastAsia="Times New Roman" w:cs="Times New Roman"/>
                <w:position w:val="1"/>
              </w:rPr>
              <w:t>60</w:t>
            </w:r>
            <w:r>
              <w:rPr>
                <w:position w:val="1"/>
              </w:rPr>
              <w:t>℃</w:t>
            </w:r>
            <w:r>
              <w:rPr>
                <w:spacing w:val="-69"/>
                <w:position w:val="1"/>
              </w:rPr>
              <w:t xml:space="preserve"> </w:t>
            </w:r>
            <w:r>
              <w:rPr>
                <w:position w:val="1"/>
              </w:rPr>
              <w:t>,</w:t>
            </w:r>
            <w:r>
              <w:rPr>
                <w:spacing w:val="59"/>
                <w:position w:val="1"/>
              </w:rPr>
              <w:t xml:space="preserve"> </w:t>
            </w:r>
            <w:r>
              <w:rPr>
                <w:position w:val="1"/>
              </w:rPr>
              <w:t>至少持续</w:t>
            </w:r>
            <w:r>
              <w:rPr>
                <w:spacing w:val="-37"/>
                <w:position w:val="1"/>
              </w:rPr>
              <w:t xml:space="preserve"> </w:t>
            </w:r>
            <w:r>
              <w:rPr>
                <w:rFonts w:ascii="Times New Roman" w:hAnsi="Times New Roman" w:eastAsia="Times New Roman" w:cs="Times New Roman"/>
                <w:position w:val="1"/>
              </w:rPr>
              <w:t>5d</w:t>
            </w:r>
          </w:p>
        </w:tc>
      </w:tr>
      <w:tr w14:paraId="3CEDF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57" w:type="dxa"/>
            <w:vMerge w:val="continue"/>
            <w:tcBorders>
              <w:top w:val="nil"/>
            </w:tcBorders>
            <w:vAlign w:val="top"/>
          </w:tcPr>
          <w:p w14:paraId="24B221E4">
            <w:pPr>
              <w:rPr>
                <w:rFonts w:ascii="Arial"/>
                <w:sz w:val="21"/>
              </w:rPr>
            </w:pPr>
          </w:p>
        </w:tc>
        <w:tc>
          <w:tcPr>
            <w:tcW w:w="1681" w:type="dxa"/>
            <w:vMerge w:val="continue"/>
            <w:tcBorders>
              <w:top w:val="nil"/>
            </w:tcBorders>
            <w:vAlign w:val="top"/>
          </w:tcPr>
          <w:p w14:paraId="7FF279CD">
            <w:pPr>
              <w:rPr>
                <w:rFonts w:ascii="Arial"/>
                <w:sz w:val="21"/>
              </w:rPr>
            </w:pPr>
          </w:p>
        </w:tc>
        <w:tc>
          <w:tcPr>
            <w:tcW w:w="1341" w:type="dxa"/>
            <w:vAlign w:val="top"/>
          </w:tcPr>
          <w:p w14:paraId="27FB2E1C">
            <w:pPr>
              <w:pStyle w:val="6"/>
              <w:spacing w:before="145" w:line="228" w:lineRule="auto"/>
              <w:ind w:left="464"/>
            </w:pPr>
            <w:r>
              <w:rPr>
                <w:spacing w:val="5"/>
              </w:rPr>
              <w:t>机械</w:t>
            </w:r>
          </w:p>
        </w:tc>
        <w:tc>
          <w:tcPr>
            <w:tcW w:w="5171" w:type="dxa"/>
            <w:vAlign w:val="top"/>
          </w:tcPr>
          <w:p w14:paraId="511AA341">
            <w:pPr>
              <w:pStyle w:val="6"/>
              <w:spacing w:before="115" w:line="274" w:lineRule="exact"/>
              <w:ind w:left="113"/>
              <w:rPr>
                <w:rFonts w:ascii="Times New Roman" w:hAnsi="Times New Roman" w:eastAsia="Times New Roman" w:cs="Times New Roman"/>
              </w:rPr>
            </w:pPr>
            <w:r>
              <w:rPr>
                <w:spacing w:val="5"/>
                <w:position w:val="1"/>
              </w:rPr>
              <w:t>堆温≥</w:t>
            </w:r>
            <w:r>
              <w:rPr>
                <w:rFonts w:ascii="Times New Roman" w:hAnsi="Times New Roman" w:eastAsia="Times New Roman" w:cs="Times New Roman"/>
                <w:spacing w:val="5"/>
                <w:position w:val="1"/>
              </w:rPr>
              <w:t>50</w:t>
            </w:r>
            <w:r>
              <w:rPr>
                <w:spacing w:val="5"/>
                <w:position w:val="1"/>
              </w:rPr>
              <w:t>℃</w:t>
            </w:r>
            <w:r>
              <w:rPr>
                <w:spacing w:val="-71"/>
                <w:position w:val="1"/>
              </w:rPr>
              <w:t xml:space="preserve"> </w:t>
            </w:r>
            <w:r>
              <w:rPr>
                <w:spacing w:val="5"/>
                <w:position w:val="1"/>
              </w:rPr>
              <w:t>,</w:t>
            </w:r>
            <w:r>
              <w:rPr>
                <w:spacing w:val="59"/>
                <w:position w:val="1"/>
              </w:rPr>
              <w:t xml:space="preserve"> </w:t>
            </w:r>
            <w:r>
              <w:rPr>
                <w:spacing w:val="5"/>
                <w:position w:val="1"/>
              </w:rPr>
              <w:t>至少持续</w:t>
            </w:r>
            <w:r>
              <w:rPr>
                <w:rFonts w:ascii="Times New Roman" w:hAnsi="Times New Roman" w:eastAsia="Times New Roman" w:cs="Times New Roman"/>
                <w:spacing w:val="5"/>
                <w:position w:val="1"/>
              </w:rPr>
              <w:t>2d</w:t>
            </w:r>
          </w:p>
        </w:tc>
      </w:tr>
      <w:tr w14:paraId="7512A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57" w:type="dxa"/>
            <w:vAlign w:val="top"/>
          </w:tcPr>
          <w:p w14:paraId="28B7081D">
            <w:pPr>
              <w:spacing w:before="3" w:line="262"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681" w:type="dxa"/>
            <w:vAlign w:val="top"/>
          </w:tcPr>
          <w:p w14:paraId="5CBE7651">
            <w:pPr>
              <w:pStyle w:val="6"/>
              <w:spacing w:before="34" w:line="214" w:lineRule="auto"/>
              <w:ind w:left="214"/>
            </w:pPr>
            <w:r>
              <w:rPr>
                <w:spacing w:val="8"/>
              </w:rPr>
              <w:t>蛔虫卵死亡率</w:t>
            </w:r>
          </w:p>
        </w:tc>
        <w:tc>
          <w:tcPr>
            <w:tcW w:w="6512" w:type="dxa"/>
            <w:gridSpan w:val="2"/>
            <w:vAlign w:val="top"/>
          </w:tcPr>
          <w:p w14:paraId="637457E5">
            <w:pPr>
              <w:pStyle w:val="6"/>
              <w:spacing w:before="3" w:line="242" w:lineRule="auto"/>
              <w:ind w:left="132"/>
            </w:pPr>
            <w:r>
              <w:rPr>
                <w:spacing w:val="18"/>
              </w:rPr>
              <w:t>≥</w:t>
            </w:r>
            <w:r>
              <w:rPr>
                <w:rFonts w:ascii="Times New Roman" w:hAnsi="Times New Roman" w:eastAsia="Times New Roman" w:cs="Times New Roman"/>
                <w:spacing w:val="18"/>
              </w:rPr>
              <w:t>95</w:t>
            </w:r>
            <w:r>
              <w:rPr>
                <w:spacing w:val="18"/>
              </w:rPr>
              <w:t>%</w:t>
            </w:r>
          </w:p>
        </w:tc>
      </w:tr>
      <w:tr w14:paraId="5BFB9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7" w:type="dxa"/>
            <w:vAlign w:val="top"/>
          </w:tcPr>
          <w:p w14:paraId="65849519">
            <w:pPr>
              <w:spacing w:before="5" w:line="261" w:lineRule="exact"/>
              <w:ind w:left="33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w:t>
            </w:r>
          </w:p>
        </w:tc>
        <w:tc>
          <w:tcPr>
            <w:tcW w:w="1681" w:type="dxa"/>
            <w:vAlign w:val="top"/>
          </w:tcPr>
          <w:p w14:paraId="48395885">
            <w:pPr>
              <w:pStyle w:val="6"/>
              <w:spacing w:before="36" w:line="213" w:lineRule="auto"/>
              <w:ind w:left="321"/>
            </w:pPr>
            <w:r>
              <w:rPr>
                <w:spacing w:val="7"/>
              </w:rPr>
              <w:t>粪大肠菌值</w:t>
            </w:r>
          </w:p>
        </w:tc>
        <w:tc>
          <w:tcPr>
            <w:tcW w:w="6512" w:type="dxa"/>
            <w:gridSpan w:val="2"/>
            <w:vAlign w:val="top"/>
          </w:tcPr>
          <w:p w14:paraId="3CDC9764">
            <w:pPr>
              <w:pStyle w:val="6"/>
              <w:spacing w:before="5" w:line="241" w:lineRule="auto"/>
              <w:ind w:left="132"/>
              <w:rPr>
                <w:rFonts w:ascii="Times New Roman" w:hAnsi="Times New Roman" w:eastAsia="Times New Roman" w:cs="Times New Roman"/>
                <w:sz w:val="13"/>
                <w:szCs w:val="13"/>
              </w:rPr>
            </w:pP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sz w:val="13"/>
                <w:szCs w:val="13"/>
              </w:rPr>
              <w:t>-2</w:t>
            </w:r>
          </w:p>
        </w:tc>
      </w:tr>
      <w:tr w14:paraId="6AE55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57" w:type="dxa"/>
            <w:vAlign w:val="top"/>
          </w:tcPr>
          <w:p w14:paraId="1CFA3EED">
            <w:pPr>
              <w:spacing w:before="4" w:line="266"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681" w:type="dxa"/>
            <w:vAlign w:val="top"/>
          </w:tcPr>
          <w:p w14:paraId="5C4A1B39">
            <w:pPr>
              <w:pStyle w:val="6"/>
              <w:spacing w:before="34" w:line="218" w:lineRule="auto"/>
              <w:ind w:left="427"/>
            </w:pPr>
            <w:r>
              <w:rPr>
                <w:spacing w:val="6"/>
              </w:rPr>
              <w:t>沙门氏菌</w:t>
            </w:r>
          </w:p>
        </w:tc>
        <w:tc>
          <w:tcPr>
            <w:tcW w:w="6512" w:type="dxa"/>
            <w:gridSpan w:val="2"/>
            <w:vAlign w:val="top"/>
          </w:tcPr>
          <w:p w14:paraId="1ADD7A39">
            <w:pPr>
              <w:pStyle w:val="6"/>
              <w:spacing w:before="34" w:line="218" w:lineRule="auto"/>
              <w:ind w:left="115"/>
            </w:pPr>
            <w:r>
              <w:rPr>
                <w:spacing w:val="6"/>
              </w:rPr>
              <w:t>不得检出</w:t>
            </w:r>
          </w:p>
        </w:tc>
      </w:tr>
    </w:tbl>
    <w:p w14:paraId="32876999">
      <w:pPr>
        <w:pStyle w:val="2"/>
        <w:spacing w:line="326" w:lineRule="auto"/>
      </w:pPr>
    </w:p>
    <w:p w14:paraId="44878C4F">
      <w:pPr>
        <w:spacing w:before="101" w:line="224" w:lineRule="auto"/>
        <w:ind w:left="121"/>
        <w:outlineLvl w:val="1"/>
        <w:rPr>
          <w:rFonts w:ascii="宋体" w:hAnsi="宋体" w:eastAsia="宋体" w:cs="宋体"/>
          <w:sz w:val="31"/>
          <w:szCs w:val="31"/>
        </w:rPr>
      </w:pPr>
      <w:bookmarkStart w:id="15" w:name="bookmark14"/>
      <w:bookmarkEnd w:id="15"/>
      <w:r>
        <w:rPr>
          <w:rFonts w:ascii="Times New Roman" w:hAnsi="Times New Roman" w:eastAsia="Times New Roman" w:cs="Times New Roman"/>
          <w:b/>
          <w:bCs/>
          <w:spacing w:val="6"/>
          <w:sz w:val="31"/>
          <w:szCs w:val="31"/>
        </w:rPr>
        <w:t>2.6</w:t>
      </w:r>
      <w:r>
        <w:rPr>
          <w:rFonts w:ascii="宋体" w:hAnsi="宋体" w:eastAsia="宋体" w:cs="宋体"/>
          <w:b/>
          <w:bCs/>
          <w:spacing w:val="6"/>
          <w:sz w:val="31"/>
          <w:szCs w:val="31"/>
        </w:rPr>
        <w:t>环境影响要素识别和评价因子筛选</w:t>
      </w:r>
    </w:p>
    <w:p w14:paraId="0F950284">
      <w:pPr>
        <w:pStyle w:val="2"/>
        <w:spacing w:line="410" w:lineRule="auto"/>
      </w:pPr>
    </w:p>
    <w:p w14:paraId="16AF5857">
      <w:pPr>
        <w:spacing w:before="78"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2.6.1</w:t>
      </w:r>
      <w:r>
        <w:rPr>
          <w:rFonts w:ascii="宋体" w:hAnsi="宋体" w:eastAsia="宋体" w:cs="宋体"/>
          <w:b/>
          <w:bCs/>
          <w:spacing w:val="-2"/>
          <w:sz w:val="24"/>
          <w:szCs w:val="24"/>
        </w:rPr>
        <w:t>环境影响要素识别</w:t>
      </w:r>
    </w:p>
    <w:p w14:paraId="34FFEBB2">
      <w:pPr>
        <w:spacing w:before="203" w:line="220" w:lineRule="auto"/>
        <w:jc w:val="right"/>
        <w:rPr>
          <w:rFonts w:ascii="宋体" w:hAnsi="宋体" w:eastAsia="宋体" w:cs="宋体"/>
          <w:sz w:val="24"/>
          <w:szCs w:val="24"/>
        </w:rPr>
      </w:pPr>
      <w:r>
        <w:rPr>
          <w:rFonts w:ascii="宋体" w:hAnsi="宋体" w:eastAsia="宋体" w:cs="宋体"/>
          <w:spacing w:val="-2"/>
          <w:sz w:val="24"/>
          <w:szCs w:val="24"/>
        </w:rPr>
        <w:t>根据建设项目的性质、规模和初步规划及周围环境特征</w:t>
      </w:r>
      <w:r>
        <w:rPr>
          <w:rFonts w:ascii="宋体" w:hAnsi="宋体" w:eastAsia="宋体" w:cs="宋体"/>
          <w:spacing w:val="-3"/>
          <w:sz w:val="24"/>
          <w:szCs w:val="24"/>
        </w:rPr>
        <w:t>，环境影响识别见下表。</w:t>
      </w:r>
    </w:p>
    <w:p w14:paraId="61E4EFA0">
      <w:pPr>
        <w:spacing w:before="218" w:line="228" w:lineRule="auto"/>
        <w:ind w:left="345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2.6-1  </w:t>
      </w:r>
      <w:r>
        <w:rPr>
          <w:rFonts w:ascii="宋体" w:hAnsi="宋体" w:eastAsia="宋体" w:cs="宋体"/>
          <w:b/>
          <w:bCs/>
          <w:spacing w:val="5"/>
          <w:sz w:val="20"/>
          <w:szCs w:val="20"/>
        </w:rPr>
        <w:t>环境影响因素识别</w:t>
      </w:r>
    </w:p>
    <w:p w14:paraId="0B977964">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802"/>
        <w:gridCol w:w="856"/>
        <w:gridCol w:w="1099"/>
        <w:gridCol w:w="2280"/>
        <w:gridCol w:w="1761"/>
        <w:gridCol w:w="1193"/>
      </w:tblGrid>
      <w:tr w14:paraId="79BA6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59" w:type="dxa"/>
            <w:vAlign w:val="top"/>
          </w:tcPr>
          <w:p w14:paraId="00D2FB3C">
            <w:pPr>
              <w:pStyle w:val="6"/>
              <w:spacing w:before="37" w:line="229" w:lineRule="auto"/>
              <w:ind w:left="277"/>
            </w:pPr>
            <w:r>
              <w:rPr>
                <w:b/>
                <w:bCs/>
                <w:spacing w:val="2"/>
              </w:rPr>
              <w:t>工程</w:t>
            </w:r>
          </w:p>
          <w:p w14:paraId="46757E5E">
            <w:pPr>
              <w:pStyle w:val="6"/>
              <w:spacing w:before="22" w:line="218" w:lineRule="auto"/>
              <w:ind w:left="284"/>
            </w:pPr>
            <w:r>
              <w:rPr>
                <w:b/>
                <w:bCs/>
                <w:spacing w:val="-1"/>
              </w:rPr>
              <w:t>阶段</w:t>
            </w:r>
          </w:p>
        </w:tc>
        <w:tc>
          <w:tcPr>
            <w:tcW w:w="802" w:type="dxa"/>
            <w:vAlign w:val="top"/>
          </w:tcPr>
          <w:p w14:paraId="02FA9DEC">
            <w:pPr>
              <w:pStyle w:val="6"/>
              <w:spacing w:before="36" w:line="231" w:lineRule="auto"/>
              <w:ind w:left="194"/>
            </w:pPr>
            <w:r>
              <w:rPr>
                <w:b/>
                <w:bCs/>
                <w:spacing w:val="3"/>
              </w:rPr>
              <w:t>影响</w:t>
            </w:r>
          </w:p>
          <w:p w14:paraId="2E0F6B3F">
            <w:pPr>
              <w:pStyle w:val="6"/>
              <w:spacing w:before="20" w:line="218" w:lineRule="auto"/>
              <w:ind w:left="195"/>
            </w:pPr>
            <w:r>
              <w:rPr>
                <w:b/>
                <w:bCs/>
                <w:spacing w:val="3"/>
              </w:rPr>
              <w:t>要素</w:t>
            </w:r>
          </w:p>
        </w:tc>
        <w:tc>
          <w:tcPr>
            <w:tcW w:w="1955" w:type="dxa"/>
            <w:gridSpan w:val="2"/>
            <w:vAlign w:val="top"/>
          </w:tcPr>
          <w:p w14:paraId="2D599089">
            <w:pPr>
              <w:pStyle w:val="6"/>
              <w:spacing w:before="171" w:line="228" w:lineRule="auto"/>
              <w:ind w:left="561"/>
            </w:pPr>
            <w:r>
              <w:rPr>
                <w:b/>
                <w:bCs/>
                <w:spacing w:val="6"/>
              </w:rPr>
              <w:t>影响来源</w:t>
            </w:r>
          </w:p>
        </w:tc>
        <w:tc>
          <w:tcPr>
            <w:tcW w:w="2280" w:type="dxa"/>
            <w:vAlign w:val="top"/>
          </w:tcPr>
          <w:p w14:paraId="4250917B">
            <w:pPr>
              <w:pStyle w:val="6"/>
              <w:spacing w:before="171" w:line="228" w:lineRule="auto"/>
              <w:ind w:left="516"/>
            </w:pPr>
            <w:r>
              <w:rPr>
                <w:b/>
                <w:bCs/>
                <w:spacing w:val="6"/>
              </w:rPr>
              <w:t>环境影响内容</w:t>
            </w:r>
          </w:p>
        </w:tc>
        <w:tc>
          <w:tcPr>
            <w:tcW w:w="1761" w:type="dxa"/>
            <w:vAlign w:val="top"/>
          </w:tcPr>
          <w:p w14:paraId="79E5D423">
            <w:pPr>
              <w:pStyle w:val="6"/>
              <w:spacing w:before="171" w:line="230" w:lineRule="auto"/>
              <w:ind w:left="468"/>
            </w:pPr>
            <w:r>
              <w:rPr>
                <w:b/>
                <w:bCs/>
                <w:spacing w:val="5"/>
              </w:rPr>
              <w:t>排放位置</w:t>
            </w:r>
          </w:p>
        </w:tc>
        <w:tc>
          <w:tcPr>
            <w:tcW w:w="1193" w:type="dxa"/>
            <w:vAlign w:val="top"/>
          </w:tcPr>
          <w:p w14:paraId="46D3D621">
            <w:pPr>
              <w:pStyle w:val="6"/>
              <w:spacing w:before="171" w:line="228" w:lineRule="auto"/>
              <w:ind w:left="183"/>
            </w:pPr>
            <w:r>
              <w:rPr>
                <w:b/>
                <w:bCs/>
                <w:spacing w:val="6"/>
              </w:rPr>
              <w:t>污染特点</w:t>
            </w:r>
          </w:p>
        </w:tc>
      </w:tr>
      <w:tr w14:paraId="690BE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restart"/>
            <w:tcBorders>
              <w:bottom w:val="nil"/>
            </w:tcBorders>
            <w:vAlign w:val="top"/>
          </w:tcPr>
          <w:p w14:paraId="63F6C192">
            <w:pPr>
              <w:spacing w:line="263" w:lineRule="auto"/>
              <w:rPr>
                <w:rFonts w:ascii="Arial"/>
                <w:sz w:val="21"/>
              </w:rPr>
            </w:pPr>
          </w:p>
          <w:p w14:paraId="5A03859D">
            <w:pPr>
              <w:spacing w:line="263" w:lineRule="auto"/>
              <w:rPr>
                <w:rFonts w:ascii="Arial"/>
                <w:sz w:val="21"/>
              </w:rPr>
            </w:pPr>
          </w:p>
          <w:p w14:paraId="542E1C84">
            <w:pPr>
              <w:spacing w:line="263" w:lineRule="auto"/>
              <w:rPr>
                <w:rFonts w:ascii="Arial"/>
                <w:sz w:val="21"/>
              </w:rPr>
            </w:pPr>
          </w:p>
          <w:p w14:paraId="741DE165">
            <w:pPr>
              <w:spacing w:line="264" w:lineRule="auto"/>
              <w:rPr>
                <w:rFonts w:ascii="Arial"/>
                <w:sz w:val="21"/>
              </w:rPr>
            </w:pPr>
          </w:p>
          <w:p w14:paraId="3775B795">
            <w:pPr>
              <w:spacing w:line="264" w:lineRule="auto"/>
              <w:rPr>
                <w:rFonts w:ascii="Arial"/>
                <w:sz w:val="21"/>
              </w:rPr>
            </w:pPr>
          </w:p>
          <w:p w14:paraId="47F54A18">
            <w:pPr>
              <w:pStyle w:val="6"/>
              <w:spacing w:before="65" w:line="229" w:lineRule="auto"/>
              <w:ind w:left="168"/>
            </w:pPr>
            <w:r>
              <w:rPr>
                <w:spacing w:val="7"/>
              </w:rPr>
              <w:t>施工期</w:t>
            </w:r>
          </w:p>
        </w:tc>
        <w:tc>
          <w:tcPr>
            <w:tcW w:w="802" w:type="dxa"/>
            <w:vAlign w:val="top"/>
          </w:tcPr>
          <w:p w14:paraId="3947EC1B">
            <w:pPr>
              <w:pStyle w:val="6"/>
              <w:spacing w:before="63" w:line="229" w:lineRule="auto"/>
              <w:ind w:left="193"/>
            </w:pPr>
            <w:r>
              <w:rPr>
                <w:spacing w:val="5"/>
              </w:rPr>
              <w:t>废气</w:t>
            </w:r>
          </w:p>
        </w:tc>
        <w:tc>
          <w:tcPr>
            <w:tcW w:w="1955" w:type="dxa"/>
            <w:gridSpan w:val="2"/>
            <w:vAlign w:val="top"/>
          </w:tcPr>
          <w:p w14:paraId="6B65B3F3">
            <w:pPr>
              <w:pStyle w:val="6"/>
              <w:spacing w:before="64" w:line="228" w:lineRule="auto"/>
              <w:ind w:left="249"/>
            </w:pPr>
            <w:r>
              <w:rPr>
                <w:spacing w:val="8"/>
              </w:rPr>
              <w:t>建筑施工、装修</w:t>
            </w:r>
          </w:p>
        </w:tc>
        <w:tc>
          <w:tcPr>
            <w:tcW w:w="2280" w:type="dxa"/>
            <w:vAlign w:val="top"/>
          </w:tcPr>
          <w:p w14:paraId="0DE9AB5D">
            <w:pPr>
              <w:pStyle w:val="6"/>
              <w:spacing w:before="63" w:line="228" w:lineRule="auto"/>
              <w:ind w:left="410"/>
            </w:pPr>
            <w:r>
              <w:rPr>
                <w:spacing w:val="8"/>
              </w:rPr>
              <w:t>扬尘、有机废气</w:t>
            </w:r>
          </w:p>
        </w:tc>
        <w:tc>
          <w:tcPr>
            <w:tcW w:w="1761" w:type="dxa"/>
            <w:vAlign w:val="top"/>
          </w:tcPr>
          <w:p w14:paraId="3D8BACCC">
            <w:pPr>
              <w:pStyle w:val="6"/>
              <w:spacing w:before="63" w:line="229" w:lineRule="auto"/>
              <w:ind w:left="472"/>
            </w:pPr>
            <w:r>
              <w:rPr>
                <w:spacing w:val="6"/>
              </w:rPr>
              <w:t>项目范围</w:t>
            </w:r>
          </w:p>
        </w:tc>
        <w:tc>
          <w:tcPr>
            <w:tcW w:w="1193" w:type="dxa"/>
            <w:vAlign w:val="top"/>
          </w:tcPr>
          <w:p w14:paraId="3E798F27">
            <w:pPr>
              <w:pStyle w:val="6"/>
              <w:spacing w:before="66" w:line="229" w:lineRule="auto"/>
              <w:ind w:left="287"/>
            </w:pPr>
            <w:r>
              <w:rPr>
                <w:spacing w:val="6"/>
              </w:rPr>
              <w:t>连续性</w:t>
            </w:r>
          </w:p>
        </w:tc>
      </w:tr>
      <w:tr w14:paraId="28C57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4D0DC57">
            <w:pPr>
              <w:rPr>
                <w:rFonts w:ascii="Arial"/>
                <w:sz w:val="21"/>
              </w:rPr>
            </w:pPr>
          </w:p>
        </w:tc>
        <w:tc>
          <w:tcPr>
            <w:tcW w:w="802" w:type="dxa"/>
            <w:vMerge w:val="restart"/>
            <w:tcBorders>
              <w:bottom w:val="nil"/>
            </w:tcBorders>
            <w:vAlign w:val="top"/>
          </w:tcPr>
          <w:p w14:paraId="35BDC683">
            <w:pPr>
              <w:spacing w:line="276" w:lineRule="auto"/>
              <w:rPr>
                <w:rFonts w:ascii="Arial"/>
                <w:sz w:val="21"/>
              </w:rPr>
            </w:pPr>
          </w:p>
          <w:p w14:paraId="65CB894F">
            <w:pPr>
              <w:pStyle w:val="6"/>
              <w:spacing w:before="65" w:line="228" w:lineRule="auto"/>
              <w:ind w:left="193"/>
            </w:pPr>
            <w:r>
              <w:rPr>
                <w:spacing w:val="5"/>
              </w:rPr>
              <w:t>废水</w:t>
            </w:r>
          </w:p>
        </w:tc>
        <w:tc>
          <w:tcPr>
            <w:tcW w:w="1955" w:type="dxa"/>
            <w:gridSpan w:val="2"/>
            <w:vAlign w:val="top"/>
          </w:tcPr>
          <w:p w14:paraId="616CAE79">
            <w:pPr>
              <w:pStyle w:val="6"/>
              <w:spacing w:before="64" w:line="229" w:lineRule="auto"/>
              <w:ind w:left="351"/>
            </w:pPr>
            <w:r>
              <w:rPr>
                <w:spacing w:val="8"/>
              </w:rPr>
              <w:t>施工人员生活</w:t>
            </w:r>
          </w:p>
        </w:tc>
        <w:tc>
          <w:tcPr>
            <w:tcW w:w="2280" w:type="dxa"/>
            <w:vAlign w:val="top"/>
          </w:tcPr>
          <w:p w14:paraId="55ECF504">
            <w:pPr>
              <w:pStyle w:val="6"/>
              <w:spacing w:before="64" w:line="228" w:lineRule="auto"/>
              <w:ind w:left="727"/>
            </w:pPr>
            <w:r>
              <w:rPr>
                <w:spacing w:val="6"/>
              </w:rPr>
              <w:t>生活污水</w:t>
            </w:r>
          </w:p>
        </w:tc>
        <w:tc>
          <w:tcPr>
            <w:tcW w:w="1761" w:type="dxa"/>
            <w:vAlign w:val="top"/>
          </w:tcPr>
          <w:p w14:paraId="5CCF3F20">
            <w:pPr>
              <w:pStyle w:val="6"/>
              <w:spacing w:before="64" w:line="229" w:lineRule="auto"/>
              <w:ind w:left="575"/>
            </w:pPr>
            <w:r>
              <w:rPr>
                <w:spacing w:val="5"/>
              </w:rPr>
              <w:t>不外排</w:t>
            </w:r>
          </w:p>
        </w:tc>
        <w:tc>
          <w:tcPr>
            <w:tcW w:w="1193" w:type="dxa"/>
            <w:vAlign w:val="top"/>
          </w:tcPr>
          <w:p w14:paraId="76306415">
            <w:pPr>
              <w:pStyle w:val="6"/>
              <w:spacing w:before="66" w:line="228" w:lineRule="auto"/>
              <w:ind w:left="303"/>
            </w:pPr>
            <w:r>
              <w:rPr>
                <w:spacing w:val="1"/>
              </w:rPr>
              <w:t>间歇性</w:t>
            </w:r>
          </w:p>
        </w:tc>
      </w:tr>
      <w:tr w14:paraId="0C949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59" w:type="dxa"/>
            <w:vMerge w:val="continue"/>
            <w:tcBorders>
              <w:top w:val="nil"/>
              <w:bottom w:val="nil"/>
            </w:tcBorders>
            <w:vAlign w:val="top"/>
          </w:tcPr>
          <w:p w14:paraId="47F7C971">
            <w:pPr>
              <w:rPr>
                <w:rFonts w:ascii="Arial"/>
                <w:sz w:val="21"/>
              </w:rPr>
            </w:pPr>
          </w:p>
        </w:tc>
        <w:tc>
          <w:tcPr>
            <w:tcW w:w="802" w:type="dxa"/>
            <w:vMerge w:val="continue"/>
            <w:tcBorders>
              <w:top w:val="nil"/>
            </w:tcBorders>
            <w:vAlign w:val="top"/>
          </w:tcPr>
          <w:p w14:paraId="31043616">
            <w:pPr>
              <w:rPr>
                <w:rFonts w:ascii="Arial"/>
                <w:sz w:val="21"/>
              </w:rPr>
            </w:pPr>
          </w:p>
        </w:tc>
        <w:tc>
          <w:tcPr>
            <w:tcW w:w="1955" w:type="dxa"/>
            <w:gridSpan w:val="2"/>
            <w:vAlign w:val="top"/>
          </w:tcPr>
          <w:p w14:paraId="14D14E41">
            <w:pPr>
              <w:pStyle w:val="6"/>
              <w:spacing w:before="165" w:line="228" w:lineRule="auto"/>
              <w:ind w:left="563"/>
            </w:pPr>
            <w:r>
              <w:rPr>
                <w:spacing w:val="6"/>
              </w:rPr>
              <w:t>建筑废水</w:t>
            </w:r>
          </w:p>
        </w:tc>
        <w:tc>
          <w:tcPr>
            <w:tcW w:w="2280" w:type="dxa"/>
            <w:vAlign w:val="top"/>
          </w:tcPr>
          <w:p w14:paraId="7C37733E">
            <w:pPr>
              <w:pStyle w:val="6"/>
              <w:spacing w:before="30" w:line="234" w:lineRule="auto"/>
              <w:ind w:left="519" w:right="105" w:hanging="404"/>
            </w:pPr>
            <w:r>
              <w:rPr>
                <w:spacing w:val="5"/>
              </w:rPr>
              <w:t>泥浆水、冷却水、洗涤</w:t>
            </w:r>
            <w:r>
              <w:rPr>
                <w:spacing w:val="3"/>
              </w:rPr>
              <w:t xml:space="preserve"> </w:t>
            </w:r>
            <w:r>
              <w:rPr>
                <w:spacing w:val="7"/>
              </w:rPr>
              <w:t>水、含油污水</w:t>
            </w:r>
          </w:p>
        </w:tc>
        <w:tc>
          <w:tcPr>
            <w:tcW w:w="1761" w:type="dxa"/>
            <w:vAlign w:val="top"/>
          </w:tcPr>
          <w:p w14:paraId="0AF51829">
            <w:pPr>
              <w:pStyle w:val="6"/>
              <w:spacing w:before="165" w:line="229" w:lineRule="auto"/>
              <w:ind w:left="472"/>
            </w:pPr>
            <w:r>
              <w:rPr>
                <w:spacing w:val="6"/>
              </w:rPr>
              <w:t>项目范围</w:t>
            </w:r>
          </w:p>
        </w:tc>
        <w:tc>
          <w:tcPr>
            <w:tcW w:w="1193" w:type="dxa"/>
            <w:vAlign w:val="top"/>
          </w:tcPr>
          <w:p w14:paraId="0F38FD41">
            <w:pPr>
              <w:pStyle w:val="6"/>
              <w:spacing w:before="168" w:line="228" w:lineRule="auto"/>
              <w:ind w:left="303"/>
            </w:pPr>
            <w:r>
              <w:rPr>
                <w:spacing w:val="1"/>
              </w:rPr>
              <w:t>间歇性</w:t>
            </w:r>
          </w:p>
        </w:tc>
      </w:tr>
      <w:tr w14:paraId="6AA81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01754261">
            <w:pPr>
              <w:rPr>
                <w:rFonts w:ascii="Arial"/>
                <w:sz w:val="21"/>
              </w:rPr>
            </w:pPr>
          </w:p>
        </w:tc>
        <w:tc>
          <w:tcPr>
            <w:tcW w:w="802" w:type="dxa"/>
            <w:vMerge w:val="restart"/>
            <w:tcBorders>
              <w:bottom w:val="nil"/>
            </w:tcBorders>
            <w:vAlign w:val="top"/>
          </w:tcPr>
          <w:p w14:paraId="13EBEEC5">
            <w:pPr>
              <w:pStyle w:val="6"/>
              <w:spacing w:before="241" w:line="229" w:lineRule="auto"/>
              <w:ind w:left="204"/>
            </w:pPr>
            <w:r>
              <w:rPr>
                <w:spacing w:val="-1"/>
              </w:rPr>
              <w:t>噪声</w:t>
            </w:r>
          </w:p>
        </w:tc>
        <w:tc>
          <w:tcPr>
            <w:tcW w:w="1955" w:type="dxa"/>
            <w:gridSpan w:val="2"/>
            <w:vAlign w:val="top"/>
          </w:tcPr>
          <w:p w14:paraId="3B1435D1">
            <w:pPr>
              <w:pStyle w:val="6"/>
              <w:spacing w:before="65" w:line="228" w:lineRule="auto"/>
              <w:ind w:left="246"/>
            </w:pPr>
            <w:r>
              <w:rPr>
                <w:spacing w:val="8"/>
              </w:rPr>
              <w:t>施工机械、车辆</w:t>
            </w:r>
          </w:p>
        </w:tc>
        <w:tc>
          <w:tcPr>
            <w:tcW w:w="2280" w:type="dxa"/>
            <w:vAlign w:val="top"/>
          </w:tcPr>
          <w:p w14:paraId="0FBF35AB">
            <w:pPr>
              <w:pStyle w:val="6"/>
              <w:spacing w:before="65" w:line="228" w:lineRule="auto"/>
              <w:ind w:left="199"/>
            </w:pPr>
            <w:r>
              <w:rPr>
                <w:spacing w:val="9"/>
              </w:rPr>
              <w:t>机械噪声、交通噪声</w:t>
            </w:r>
          </w:p>
        </w:tc>
        <w:tc>
          <w:tcPr>
            <w:tcW w:w="1761" w:type="dxa"/>
            <w:vAlign w:val="top"/>
          </w:tcPr>
          <w:p w14:paraId="2E096CFF">
            <w:pPr>
              <w:pStyle w:val="6"/>
              <w:spacing w:before="65" w:line="229" w:lineRule="auto"/>
              <w:ind w:left="472"/>
            </w:pPr>
            <w:r>
              <w:rPr>
                <w:spacing w:val="6"/>
              </w:rPr>
              <w:t>项目范围</w:t>
            </w:r>
          </w:p>
        </w:tc>
        <w:tc>
          <w:tcPr>
            <w:tcW w:w="1193" w:type="dxa"/>
            <w:vAlign w:val="top"/>
          </w:tcPr>
          <w:p w14:paraId="600D3DF6">
            <w:pPr>
              <w:pStyle w:val="6"/>
              <w:spacing w:before="68" w:line="228" w:lineRule="auto"/>
              <w:ind w:left="303"/>
            </w:pPr>
            <w:r>
              <w:rPr>
                <w:spacing w:val="1"/>
              </w:rPr>
              <w:t>间歇性</w:t>
            </w:r>
          </w:p>
        </w:tc>
      </w:tr>
      <w:tr w14:paraId="7A555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33F06BF8">
            <w:pPr>
              <w:rPr>
                <w:rFonts w:ascii="Arial"/>
                <w:sz w:val="21"/>
              </w:rPr>
            </w:pPr>
          </w:p>
        </w:tc>
        <w:tc>
          <w:tcPr>
            <w:tcW w:w="802" w:type="dxa"/>
            <w:vMerge w:val="continue"/>
            <w:tcBorders>
              <w:top w:val="nil"/>
            </w:tcBorders>
            <w:vAlign w:val="top"/>
          </w:tcPr>
          <w:p w14:paraId="1F08F51B">
            <w:pPr>
              <w:rPr>
                <w:rFonts w:ascii="Arial"/>
                <w:sz w:val="21"/>
              </w:rPr>
            </w:pPr>
          </w:p>
        </w:tc>
        <w:tc>
          <w:tcPr>
            <w:tcW w:w="1955" w:type="dxa"/>
            <w:gridSpan w:val="2"/>
            <w:vAlign w:val="top"/>
          </w:tcPr>
          <w:p w14:paraId="435F88A5">
            <w:pPr>
              <w:pStyle w:val="6"/>
              <w:spacing w:before="66" w:line="230" w:lineRule="auto"/>
              <w:ind w:left="560"/>
            </w:pPr>
            <w:r>
              <w:rPr>
                <w:spacing w:val="7"/>
              </w:rPr>
              <w:t>施工人员</w:t>
            </w:r>
          </w:p>
        </w:tc>
        <w:tc>
          <w:tcPr>
            <w:tcW w:w="2280" w:type="dxa"/>
            <w:vAlign w:val="top"/>
          </w:tcPr>
          <w:p w14:paraId="4D06BDAC">
            <w:pPr>
              <w:pStyle w:val="6"/>
              <w:spacing w:before="65" w:line="228" w:lineRule="auto"/>
              <w:ind w:left="727"/>
            </w:pPr>
            <w:r>
              <w:rPr>
                <w:spacing w:val="6"/>
              </w:rPr>
              <w:t>社会噪声</w:t>
            </w:r>
          </w:p>
        </w:tc>
        <w:tc>
          <w:tcPr>
            <w:tcW w:w="1761" w:type="dxa"/>
            <w:vAlign w:val="top"/>
          </w:tcPr>
          <w:p w14:paraId="16DE4B06">
            <w:pPr>
              <w:pStyle w:val="6"/>
              <w:spacing w:before="66" w:line="229" w:lineRule="auto"/>
              <w:ind w:left="472"/>
            </w:pPr>
            <w:r>
              <w:rPr>
                <w:spacing w:val="6"/>
              </w:rPr>
              <w:t>项目范围</w:t>
            </w:r>
          </w:p>
        </w:tc>
        <w:tc>
          <w:tcPr>
            <w:tcW w:w="1193" w:type="dxa"/>
            <w:vAlign w:val="top"/>
          </w:tcPr>
          <w:p w14:paraId="19F447B2">
            <w:pPr>
              <w:pStyle w:val="6"/>
              <w:spacing w:before="66" w:line="228" w:lineRule="auto"/>
              <w:ind w:left="303"/>
            </w:pPr>
            <w:r>
              <w:rPr>
                <w:spacing w:val="1"/>
              </w:rPr>
              <w:t>间歇性</w:t>
            </w:r>
          </w:p>
        </w:tc>
      </w:tr>
      <w:tr w14:paraId="4B54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5600968">
            <w:pPr>
              <w:rPr>
                <w:rFonts w:ascii="Arial"/>
                <w:sz w:val="21"/>
              </w:rPr>
            </w:pPr>
          </w:p>
        </w:tc>
        <w:tc>
          <w:tcPr>
            <w:tcW w:w="802" w:type="dxa"/>
            <w:vMerge w:val="restart"/>
            <w:tcBorders>
              <w:bottom w:val="nil"/>
            </w:tcBorders>
            <w:vAlign w:val="top"/>
          </w:tcPr>
          <w:p w14:paraId="0C6151A2">
            <w:pPr>
              <w:spacing w:line="350" w:lineRule="auto"/>
              <w:rPr>
                <w:rFonts w:ascii="Arial"/>
                <w:sz w:val="21"/>
              </w:rPr>
            </w:pPr>
          </w:p>
          <w:p w14:paraId="794D4C0F">
            <w:pPr>
              <w:pStyle w:val="6"/>
              <w:spacing w:before="65" w:line="229" w:lineRule="auto"/>
              <w:ind w:left="212"/>
            </w:pPr>
            <w:r>
              <w:rPr>
                <w:spacing w:val="-5"/>
              </w:rPr>
              <w:t>固废</w:t>
            </w:r>
          </w:p>
        </w:tc>
        <w:tc>
          <w:tcPr>
            <w:tcW w:w="1955" w:type="dxa"/>
            <w:gridSpan w:val="2"/>
            <w:vAlign w:val="top"/>
          </w:tcPr>
          <w:p w14:paraId="7CF04C16">
            <w:pPr>
              <w:pStyle w:val="6"/>
              <w:spacing w:before="66" w:line="230" w:lineRule="auto"/>
              <w:ind w:left="560"/>
            </w:pPr>
            <w:r>
              <w:rPr>
                <w:spacing w:val="7"/>
              </w:rPr>
              <w:t>施工人员</w:t>
            </w:r>
          </w:p>
        </w:tc>
        <w:tc>
          <w:tcPr>
            <w:tcW w:w="2280" w:type="dxa"/>
            <w:vAlign w:val="top"/>
          </w:tcPr>
          <w:p w14:paraId="73E03484">
            <w:pPr>
              <w:pStyle w:val="6"/>
              <w:spacing w:before="66" w:line="229" w:lineRule="auto"/>
              <w:ind w:left="727"/>
            </w:pPr>
            <w:r>
              <w:rPr>
                <w:spacing w:val="6"/>
              </w:rPr>
              <w:t>生活垃圾</w:t>
            </w:r>
          </w:p>
        </w:tc>
        <w:tc>
          <w:tcPr>
            <w:tcW w:w="1761" w:type="dxa"/>
            <w:vAlign w:val="top"/>
          </w:tcPr>
          <w:p w14:paraId="2D8CC780">
            <w:pPr>
              <w:pStyle w:val="6"/>
              <w:spacing w:before="66" w:line="229" w:lineRule="auto"/>
              <w:ind w:left="472"/>
            </w:pPr>
            <w:r>
              <w:rPr>
                <w:spacing w:val="6"/>
              </w:rPr>
              <w:t>项目范围</w:t>
            </w:r>
          </w:p>
        </w:tc>
        <w:tc>
          <w:tcPr>
            <w:tcW w:w="1193" w:type="dxa"/>
            <w:vAlign w:val="top"/>
          </w:tcPr>
          <w:p w14:paraId="24F32479">
            <w:pPr>
              <w:pStyle w:val="6"/>
              <w:spacing w:before="67" w:line="228" w:lineRule="auto"/>
              <w:ind w:left="303"/>
            </w:pPr>
            <w:r>
              <w:rPr>
                <w:spacing w:val="1"/>
              </w:rPr>
              <w:t>间歇性</w:t>
            </w:r>
          </w:p>
        </w:tc>
      </w:tr>
      <w:tr w14:paraId="02F25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93F225C">
            <w:pPr>
              <w:rPr>
                <w:rFonts w:ascii="Arial"/>
                <w:sz w:val="21"/>
              </w:rPr>
            </w:pPr>
          </w:p>
        </w:tc>
        <w:tc>
          <w:tcPr>
            <w:tcW w:w="802" w:type="dxa"/>
            <w:vMerge w:val="continue"/>
            <w:tcBorders>
              <w:top w:val="nil"/>
              <w:bottom w:val="nil"/>
            </w:tcBorders>
            <w:vAlign w:val="top"/>
          </w:tcPr>
          <w:p w14:paraId="753DE160">
            <w:pPr>
              <w:rPr>
                <w:rFonts w:ascii="Arial"/>
                <w:sz w:val="21"/>
              </w:rPr>
            </w:pPr>
          </w:p>
        </w:tc>
        <w:tc>
          <w:tcPr>
            <w:tcW w:w="1955" w:type="dxa"/>
            <w:gridSpan w:val="2"/>
            <w:vAlign w:val="top"/>
          </w:tcPr>
          <w:p w14:paraId="34A10D4C">
            <w:pPr>
              <w:pStyle w:val="6"/>
              <w:spacing w:before="67" w:line="229" w:lineRule="auto"/>
              <w:ind w:left="458"/>
            </w:pPr>
            <w:r>
              <w:rPr>
                <w:spacing w:val="7"/>
              </w:rPr>
              <w:t>建筑物建设</w:t>
            </w:r>
          </w:p>
        </w:tc>
        <w:tc>
          <w:tcPr>
            <w:tcW w:w="2280" w:type="dxa"/>
            <w:vAlign w:val="top"/>
          </w:tcPr>
          <w:p w14:paraId="7930B8D5">
            <w:pPr>
              <w:pStyle w:val="6"/>
              <w:spacing w:before="67" w:line="229" w:lineRule="auto"/>
              <w:ind w:left="728"/>
            </w:pPr>
            <w:r>
              <w:rPr>
                <w:spacing w:val="6"/>
              </w:rPr>
              <w:t>建筑垃圾</w:t>
            </w:r>
          </w:p>
        </w:tc>
        <w:tc>
          <w:tcPr>
            <w:tcW w:w="1761" w:type="dxa"/>
            <w:vAlign w:val="top"/>
          </w:tcPr>
          <w:p w14:paraId="7AA64AF6">
            <w:pPr>
              <w:pStyle w:val="6"/>
              <w:spacing w:before="67" w:line="229" w:lineRule="auto"/>
              <w:ind w:left="472"/>
            </w:pPr>
            <w:r>
              <w:rPr>
                <w:spacing w:val="6"/>
              </w:rPr>
              <w:t>项目范围</w:t>
            </w:r>
          </w:p>
        </w:tc>
        <w:tc>
          <w:tcPr>
            <w:tcW w:w="1193" w:type="dxa"/>
            <w:vAlign w:val="top"/>
          </w:tcPr>
          <w:p w14:paraId="1FE27A42">
            <w:pPr>
              <w:pStyle w:val="6"/>
              <w:spacing w:before="67" w:line="228" w:lineRule="auto"/>
              <w:ind w:left="303"/>
            </w:pPr>
            <w:r>
              <w:rPr>
                <w:spacing w:val="1"/>
              </w:rPr>
              <w:t>间歇性</w:t>
            </w:r>
          </w:p>
        </w:tc>
      </w:tr>
      <w:tr w14:paraId="69984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Merge w:val="continue"/>
            <w:tcBorders>
              <w:top w:val="nil"/>
            </w:tcBorders>
            <w:vAlign w:val="top"/>
          </w:tcPr>
          <w:p w14:paraId="76C4E218">
            <w:pPr>
              <w:rPr>
                <w:rFonts w:ascii="Arial"/>
                <w:sz w:val="21"/>
              </w:rPr>
            </w:pPr>
          </w:p>
        </w:tc>
        <w:tc>
          <w:tcPr>
            <w:tcW w:w="802" w:type="dxa"/>
            <w:vMerge w:val="continue"/>
            <w:tcBorders>
              <w:top w:val="nil"/>
            </w:tcBorders>
            <w:vAlign w:val="top"/>
          </w:tcPr>
          <w:p w14:paraId="49DB97D9">
            <w:pPr>
              <w:rPr>
                <w:rFonts w:ascii="Arial"/>
                <w:sz w:val="21"/>
              </w:rPr>
            </w:pPr>
          </w:p>
        </w:tc>
        <w:tc>
          <w:tcPr>
            <w:tcW w:w="1955" w:type="dxa"/>
            <w:gridSpan w:val="2"/>
            <w:vAlign w:val="top"/>
          </w:tcPr>
          <w:p w14:paraId="779A0319">
            <w:pPr>
              <w:pStyle w:val="6"/>
              <w:spacing w:before="67" w:line="228" w:lineRule="auto"/>
              <w:ind w:left="458"/>
            </w:pPr>
            <w:r>
              <w:rPr>
                <w:spacing w:val="7"/>
              </w:rPr>
              <w:t>建筑物装修</w:t>
            </w:r>
          </w:p>
        </w:tc>
        <w:tc>
          <w:tcPr>
            <w:tcW w:w="2280" w:type="dxa"/>
            <w:vAlign w:val="top"/>
          </w:tcPr>
          <w:p w14:paraId="65C14F60">
            <w:pPr>
              <w:pStyle w:val="6"/>
              <w:spacing w:before="67" w:line="228" w:lineRule="auto"/>
              <w:ind w:left="725"/>
            </w:pPr>
            <w:r>
              <w:rPr>
                <w:spacing w:val="7"/>
              </w:rPr>
              <w:t>装修固废</w:t>
            </w:r>
          </w:p>
        </w:tc>
        <w:tc>
          <w:tcPr>
            <w:tcW w:w="1761" w:type="dxa"/>
            <w:vAlign w:val="top"/>
          </w:tcPr>
          <w:p w14:paraId="47EF3BE9">
            <w:pPr>
              <w:pStyle w:val="6"/>
              <w:spacing w:before="67" w:line="229" w:lineRule="auto"/>
              <w:ind w:left="472"/>
            </w:pPr>
            <w:r>
              <w:rPr>
                <w:spacing w:val="6"/>
              </w:rPr>
              <w:t>项目范围</w:t>
            </w:r>
          </w:p>
        </w:tc>
        <w:tc>
          <w:tcPr>
            <w:tcW w:w="1193" w:type="dxa"/>
            <w:vAlign w:val="top"/>
          </w:tcPr>
          <w:p w14:paraId="2C5B0786">
            <w:pPr>
              <w:pStyle w:val="6"/>
              <w:spacing w:before="67" w:line="228" w:lineRule="auto"/>
              <w:ind w:left="303"/>
            </w:pPr>
            <w:r>
              <w:rPr>
                <w:spacing w:val="1"/>
              </w:rPr>
              <w:t>间歇性</w:t>
            </w:r>
          </w:p>
        </w:tc>
      </w:tr>
      <w:tr w14:paraId="0FA9D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restart"/>
            <w:tcBorders>
              <w:bottom w:val="nil"/>
            </w:tcBorders>
            <w:vAlign w:val="top"/>
          </w:tcPr>
          <w:p w14:paraId="70E22CCB">
            <w:pPr>
              <w:rPr>
                <w:rFonts w:ascii="Arial"/>
                <w:sz w:val="21"/>
              </w:rPr>
            </w:pPr>
          </w:p>
          <w:p w14:paraId="7043FA5E">
            <w:pPr>
              <w:rPr>
                <w:rFonts w:ascii="Arial"/>
                <w:sz w:val="21"/>
              </w:rPr>
            </w:pPr>
          </w:p>
          <w:p w14:paraId="2B10F372">
            <w:pPr>
              <w:rPr>
                <w:rFonts w:ascii="Arial"/>
                <w:sz w:val="21"/>
              </w:rPr>
            </w:pPr>
          </w:p>
          <w:p w14:paraId="3CF3E924">
            <w:pPr>
              <w:rPr>
                <w:rFonts w:ascii="Arial"/>
                <w:sz w:val="21"/>
              </w:rPr>
            </w:pPr>
          </w:p>
          <w:p w14:paraId="78CAAAED">
            <w:pPr>
              <w:spacing w:line="241" w:lineRule="auto"/>
              <w:rPr>
                <w:rFonts w:ascii="Arial"/>
                <w:sz w:val="21"/>
              </w:rPr>
            </w:pPr>
          </w:p>
          <w:p w14:paraId="3F3156F5">
            <w:pPr>
              <w:spacing w:line="241" w:lineRule="auto"/>
              <w:rPr>
                <w:rFonts w:ascii="Arial"/>
                <w:sz w:val="21"/>
              </w:rPr>
            </w:pPr>
          </w:p>
          <w:p w14:paraId="1D7338BD">
            <w:pPr>
              <w:spacing w:line="241" w:lineRule="auto"/>
              <w:rPr>
                <w:rFonts w:ascii="Arial"/>
                <w:sz w:val="21"/>
              </w:rPr>
            </w:pPr>
          </w:p>
          <w:p w14:paraId="7FF83DE1">
            <w:pPr>
              <w:spacing w:line="241" w:lineRule="auto"/>
              <w:rPr>
                <w:rFonts w:ascii="Arial"/>
                <w:sz w:val="21"/>
              </w:rPr>
            </w:pPr>
          </w:p>
          <w:p w14:paraId="1920CD2A">
            <w:pPr>
              <w:spacing w:line="241" w:lineRule="auto"/>
              <w:rPr>
                <w:rFonts w:ascii="Arial"/>
                <w:sz w:val="21"/>
              </w:rPr>
            </w:pPr>
          </w:p>
          <w:p w14:paraId="7B867F3E">
            <w:pPr>
              <w:pStyle w:val="6"/>
              <w:spacing w:before="65" w:line="229" w:lineRule="auto"/>
              <w:ind w:left="176"/>
            </w:pPr>
            <w:r>
              <w:rPr>
                <w:spacing w:val="4"/>
              </w:rPr>
              <w:t>营运期</w:t>
            </w:r>
          </w:p>
        </w:tc>
        <w:tc>
          <w:tcPr>
            <w:tcW w:w="802" w:type="dxa"/>
            <w:vMerge w:val="restart"/>
            <w:tcBorders>
              <w:bottom w:val="nil"/>
            </w:tcBorders>
            <w:vAlign w:val="top"/>
          </w:tcPr>
          <w:p w14:paraId="6ECDB9C2">
            <w:pPr>
              <w:pStyle w:val="6"/>
              <w:spacing w:before="241" w:line="229" w:lineRule="auto"/>
              <w:ind w:left="193"/>
            </w:pPr>
            <w:r>
              <w:rPr>
                <w:spacing w:val="5"/>
              </w:rPr>
              <w:t>废气</w:t>
            </w:r>
          </w:p>
        </w:tc>
        <w:tc>
          <w:tcPr>
            <w:tcW w:w="1955" w:type="dxa"/>
            <w:gridSpan w:val="2"/>
            <w:vAlign w:val="top"/>
          </w:tcPr>
          <w:p w14:paraId="35266235">
            <w:pPr>
              <w:pStyle w:val="6"/>
              <w:spacing w:before="66" w:line="228" w:lineRule="auto"/>
              <w:ind w:left="247"/>
            </w:pPr>
            <w:r>
              <w:rPr>
                <w:spacing w:val="8"/>
              </w:rPr>
              <w:t>有机肥发酵车间</w:t>
            </w:r>
          </w:p>
        </w:tc>
        <w:tc>
          <w:tcPr>
            <w:tcW w:w="2280" w:type="dxa"/>
            <w:vAlign w:val="top"/>
          </w:tcPr>
          <w:p w14:paraId="49508A2D">
            <w:pPr>
              <w:pStyle w:val="6"/>
              <w:spacing w:before="66" w:line="228" w:lineRule="auto"/>
              <w:ind w:left="937"/>
            </w:pPr>
            <w:r>
              <w:rPr>
                <w:spacing w:val="4"/>
              </w:rPr>
              <w:t>恶臭</w:t>
            </w:r>
          </w:p>
        </w:tc>
        <w:tc>
          <w:tcPr>
            <w:tcW w:w="1761" w:type="dxa"/>
            <w:vAlign w:val="top"/>
          </w:tcPr>
          <w:p w14:paraId="75CE6533">
            <w:pPr>
              <w:pStyle w:val="6"/>
              <w:spacing w:before="66" w:line="228" w:lineRule="auto"/>
              <w:ind w:left="152"/>
            </w:pPr>
            <w:r>
              <w:rPr>
                <w:spacing w:val="8"/>
              </w:rPr>
              <w:t>有机肥发酵车间</w:t>
            </w:r>
          </w:p>
        </w:tc>
        <w:tc>
          <w:tcPr>
            <w:tcW w:w="1193" w:type="dxa"/>
            <w:vAlign w:val="top"/>
          </w:tcPr>
          <w:p w14:paraId="440E51E6">
            <w:pPr>
              <w:pStyle w:val="6"/>
              <w:spacing w:before="68" w:line="229" w:lineRule="auto"/>
              <w:ind w:left="287"/>
            </w:pPr>
            <w:r>
              <w:rPr>
                <w:spacing w:val="6"/>
              </w:rPr>
              <w:t>连续性</w:t>
            </w:r>
          </w:p>
        </w:tc>
      </w:tr>
      <w:tr w14:paraId="42B65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356EAFBE">
            <w:pPr>
              <w:rPr>
                <w:rFonts w:ascii="Arial"/>
                <w:sz w:val="21"/>
              </w:rPr>
            </w:pPr>
          </w:p>
        </w:tc>
        <w:tc>
          <w:tcPr>
            <w:tcW w:w="802" w:type="dxa"/>
            <w:vMerge w:val="continue"/>
            <w:tcBorders>
              <w:top w:val="nil"/>
            </w:tcBorders>
            <w:vAlign w:val="top"/>
          </w:tcPr>
          <w:p w14:paraId="05522156">
            <w:pPr>
              <w:rPr>
                <w:rFonts w:ascii="Arial"/>
                <w:sz w:val="21"/>
              </w:rPr>
            </w:pPr>
          </w:p>
        </w:tc>
        <w:tc>
          <w:tcPr>
            <w:tcW w:w="1955" w:type="dxa"/>
            <w:gridSpan w:val="2"/>
            <w:vAlign w:val="top"/>
          </w:tcPr>
          <w:p w14:paraId="0F488887">
            <w:pPr>
              <w:pStyle w:val="6"/>
              <w:spacing w:before="66" w:line="229" w:lineRule="auto"/>
              <w:ind w:left="772"/>
            </w:pPr>
            <w:r>
              <w:rPr>
                <w:spacing w:val="4"/>
              </w:rPr>
              <w:t>猪舍</w:t>
            </w:r>
          </w:p>
        </w:tc>
        <w:tc>
          <w:tcPr>
            <w:tcW w:w="2280" w:type="dxa"/>
            <w:vAlign w:val="top"/>
          </w:tcPr>
          <w:p w14:paraId="7B623F88">
            <w:pPr>
              <w:pStyle w:val="6"/>
              <w:spacing w:before="67" w:line="228" w:lineRule="auto"/>
              <w:ind w:left="725"/>
            </w:pPr>
            <w:r>
              <w:rPr>
                <w:spacing w:val="7"/>
              </w:rPr>
              <w:t>猪舍恶臭</w:t>
            </w:r>
          </w:p>
        </w:tc>
        <w:tc>
          <w:tcPr>
            <w:tcW w:w="1761" w:type="dxa"/>
            <w:vAlign w:val="top"/>
          </w:tcPr>
          <w:p w14:paraId="6338FA07">
            <w:pPr>
              <w:pStyle w:val="6"/>
              <w:spacing w:before="66" w:line="229" w:lineRule="auto"/>
              <w:ind w:left="677"/>
            </w:pPr>
            <w:r>
              <w:rPr>
                <w:spacing w:val="4"/>
              </w:rPr>
              <w:t>猪舍</w:t>
            </w:r>
          </w:p>
        </w:tc>
        <w:tc>
          <w:tcPr>
            <w:tcW w:w="1193" w:type="dxa"/>
            <w:vAlign w:val="top"/>
          </w:tcPr>
          <w:p w14:paraId="73A12274">
            <w:pPr>
              <w:pStyle w:val="6"/>
              <w:spacing w:before="69" w:line="229" w:lineRule="auto"/>
              <w:ind w:left="287"/>
            </w:pPr>
            <w:r>
              <w:rPr>
                <w:spacing w:val="6"/>
              </w:rPr>
              <w:t>连续性</w:t>
            </w:r>
          </w:p>
        </w:tc>
      </w:tr>
      <w:tr w14:paraId="67CE0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59" w:type="dxa"/>
            <w:vMerge w:val="continue"/>
            <w:tcBorders>
              <w:top w:val="nil"/>
              <w:bottom w:val="nil"/>
            </w:tcBorders>
            <w:vAlign w:val="top"/>
          </w:tcPr>
          <w:p w14:paraId="74B696E4">
            <w:pPr>
              <w:rPr>
                <w:rFonts w:ascii="Arial"/>
                <w:sz w:val="21"/>
              </w:rPr>
            </w:pPr>
          </w:p>
        </w:tc>
        <w:tc>
          <w:tcPr>
            <w:tcW w:w="802" w:type="dxa"/>
            <w:vMerge w:val="restart"/>
            <w:tcBorders>
              <w:bottom w:val="nil"/>
            </w:tcBorders>
            <w:vAlign w:val="top"/>
          </w:tcPr>
          <w:p w14:paraId="5665BEEC">
            <w:pPr>
              <w:spacing w:line="249" w:lineRule="auto"/>
              <w:rPr>
                <w:rFonts w:ascii="Arial"/>
                <w:sz w:val="21"/>
              </w:rPr>
            </w:pPr>
          </w:p>
          <w:p w14:paraId="4972B441">
            <w:pPr>
              <w:spacing w:line="249" w:lineRule="auto"/>
              <w:rPr>
                <w:rFonts w:ascii="Arial"/>
                <w:sz w:val="21"/>
              </w:rPr>
            </w:pPr>
          </w:p>
          <w:p w14:paraId="7C5041EC">
            <w:pPr>
              <w:pStyle w:val="6"/>
              <w:spacing w:before="65" w:line="228" w:lineRule="auto"/>
              <w:ind w:left="193"/>
            </w:pPr>
            <w:r>
              <w:rPr>
                <w:spacing w:val="5"/>
              </w:rPr>
              <w:t>废水</w:t>
            </w:r>
          </w:p>
        </w:tc>
        <w:tc>
          <w:tcPr>
            <w:tcW w:w="856" w:type="dxa"/>
            <w:vAlign w:val="top"/>
          </w:tcPr>
          <w:p w14:paraId="7490CB27">
            <w:pPr>
              <w:pStyle w:val="6"/>
              <w:spacing w:before="80" w:line="252" w:lineRule="auto"/>
              <w:ind w:left="328" w:right="112" w:hanging="209"/>
            </w:pPr>
            <w:r>
              <w:rPr>
                <w:spacing w:val="6"/>
              </w:rPr>
              <w:t>生活污</w:t>
            </w:r>
            <w:r>
              <w:t xml:space="preserve"> 水</w:t>
            </w:r>
          </w:p>
        </w:tc>
        <w:tc>
          <w:tcPr>
            <w:tcW w:w="1099" w:type="dxa"/>
            <w:vAlign w:val="top"/>
          </w:tcPr>
          <w:p w14:paraId="0854AC0D">
            <w:pPr>
              <w:pStyle w:val="6"/>
              <w:spacing w:before="81" w:line="252" w:lineRule="auto"/>
              <w:ind w:left="242" w:right="129" w:hanging="103"/>
            </w:pPr>
            <w:r>
              <w:rPr>
                <w:spacing w:val="6"/>
              </w:rPr>
              <w:t>办公及职</w:t>
            </w:r>
            <w:r>
              <w:t xml:space="preserve"> </w:t>
            </w:r>
            <w:r>
              <w:rPr>
                <w:spacing w:val="6"/>
              </w:rPr>
              <w:t>工生活</w:t>
            </w:r>
          </w:p>
        </w:tc>
        <w:tc>
          <w:tcPr>
            <w:tcW w:w="2280" w:type="dxa"/>
            <w:vAlign w:val="top"/>
          </w:tcPr>
          <w:p w14:paraId="3CF82866">
            <w:pPr>
              <w:pStyle w:val="6"/>
              <w:spacing w:before="218" w:line="228" w:lineRule="auto"/>
              <w:ind w:left="727"/>
            </w:pPr>
            <w:r>
              <w:rPr>
                <w:spacing w:val="6"/>
              </w:rPr>
              <w:t>生活污水</w:t>
            </w:r>
          </w:p>
        </w:tc>
        <w:tc>
          <w:tcPr>
            <w:tcW w:w="1761" w:type="dxa"/>
            <w:vAlign w:val="top"/>
          </w:tcPr>
          <w:p w14:paraId="3DCEB0D0">
            <w:pPr>
              <w:pStyle w:val="6"/>
              <w:spacing w:before="218" w:line="228" w:lineRule="auto"/>
              <w:ind w:left="576"/>
            </w:pPr>
            <w:r>
              <w:rPr>
                <w:spacing w:val="5"/>
              </w:rPr>
              <w:t>办公区</w:t>
            </w:r>
          </w:p>
        </w:tc>
        <w:tc>
          <w:tcPr>
            <w:tcW w:w="1193" w:type="dxa"/>
            <w:vAlign w:val="top"/>
          </w:tcPr>
          <w:p w14:paraId="06E6A51B">
            <w:pPr>
              <w:pStyle w:val="6"/>
              <w:spacing w:before="218" w:line="229" w:lineRule="auto"/>
              <w:ind w:left="287"/>
            </w:pPr>
            <w:r>
              <w:rPr>
                <w:spacing w:val="6"/>
              </w:rPr>
              <w:t>连续性</w:t>
            </w:r>
          </w:p>
        </w:tc>
      </w:tr>
      <w:tr w14:paraId="1DDAC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6CC460E1">
            <w:pPr>
              <w:rPr>
                <w:rFonts w:ascii="Arial"/>
                <w:sz w:val="21"/>
              </w:rPr>
            </w:pPr>
          </w:p>
        </w:tc>
        <w:tc>
          <w:tcPr>
            <w:tcW w:w="802" w:type="dxa"/>
            <w:vMerge w:val="continue"/>
            <w:tcBorders>
              <w:top w:val="nil"/>
              <w:bottom w:val="nil"/>
            </w:tcBorders>
            <w:vAlign w:val="top"/>
          </w:tcPr>
          <w:p w14:paraId="6AC7CA68">
            <w:pPr>
              <w:rPr>
                <w:rFonts w:ascii="Arial"/>
                <w:sz w:val="21"/>
              </w:rPr>
            </w:pPr>
          </w:p>
        </w:tc>
        <w:tc>
          <w:tcPr>
            <w:tcW w:w="1955" w:type="dxa"/>
            <w:gridSpan w:val="2"/>
            <w:vAlign w:val="top"/>
          </w:tcPr>
          <w:p w14:paraId="2D805C70">
            <w:pPr>
              <w:pStyle w:val="6"/>
              <w:spacing w:before="68" w:line="229" w:lineRule="auto"/>
              <w:ind w:left="560"/>
            </w:pPr>
            <w:r>
              <w:rPr>
                <w:spacing w:val="7"/>
              </w:rPr>
              <w:t>牲畜尿液</w:t>
            </w:r>
          </w:p>
        </w:tc>
        <w:tc>
          <w:tcPr>
            <w:tcW w:w="2280" w:type="dxa"/>
            <w:vAlign w:val="top"/>
          </w:tcPr>
          <w:p w14:paraId="1FD5482A">
            <w:pPr>
              <w:pStyle w:val="6"/>
              <w:spacing w:before="68" w:line="229" w:lineRule="auto"/>
              <w:ind w:left="935"/>
            </w:pPr>
            <w:r>
              <w:rPr>
                <w:spacing w:val="5"/>
              </w:rPr>
              <w:t>尿液</w:t>
            </w:r>
          </w:p>
        </w:tc>
        <w:tc>
          <w:tcPr>
            <w:tcW w:w="1761" w:type="dxa"/>
            <w:vAlign w:val="top"/>
          </w:tcPr>
          <w:p w14:paraId="55133FBF">
            <w:pPr>
              <w:pStyle w:val="6"/>
              <w:spacing w:before="68" w:line="229" w:lineRule="auto"/>
              <w:ind w:left="677"/>
            </w:pPr>
            <w:r>
              <w:rPr>
                <w:spacing w:val="4"/>
              </w:rPr>
              <w:t>猪舍</w:t>
            </w:r>
          </w:p>
        </w:tc>
        <w:tc>
          <w:tcPr>
            <w:tcW w:w="1193" w:type="dxa"/>
            <w:vAlign w:val="top"/>
          </w:tcPr>
          <w:p w14:paraId="7F8FC44C">
            <w:pPr>
              <w:pStyle w:val="6"/>
              <w:spacing w:before="68" w:line="229" w:lineRule="auto"/>
              <w:ind w:left="287"/>
            </w:pPr>
            <w:r>
              <w:rPr>
                <w:spacing w:val="6"/>
              </w:rPr>
              <w:t>连续性</w:t>
            </w:r>
          </w:p>
        </w:tc>
      </w:tr>
      <w:tr w14:paraId="053FC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4A2F8EAC">
            <w:pPr>
              <w:rPr>
                <w:rFonts w:ascii="Arial"/>
                <w:sz w:val="21"/>
              </w:rPr>
            </w:pPr>
          </w:p>
        </w:tc>
        <w:tc>
          <w:tcPr>
            <w:tcW w:w="802" w:type="dxa"/>
            <w:vMerge w:val="continue"/>
            <w:tcBorders>
              <w:top w:val="nil"/>
            </w:tcBorders>
            <w:vAlign w:val="top"/>
          </w:tcPr>
          <w:p w14:paraId="1F413653">
            <w:pPr>
              <w:rPr>
                <w:rFonts w:ascii="Arial"/>
                <w:sz w:val="21"/>
              </w:rPr>
            </w:pPr>
          </w:p>
        </w:tc>
        <w:tc>
          <w:tcPr>
            <w:tcW w:w="1955" w:type="dxa"/>
            <w:gridSpan w:val="2"/>
            <w:vAlign w:val="top"/>
          </w:tcPr>
          <w:p w14:paraId="743B4F32">
            <w:pPr>
              <w:pStyle w:val="6"/>
              <w:spacing w:before="69" w:line="229" w:lineRule="auto"/>
              <w:ind w:left="561"/>
            </w:pPr>
            <w:r>
              <w:rPr>
                <w:spacing w:val="7"/>
              </w:rPr>
              <w:t>猪舍冲洗</w:t>
            </w:r>
          </w:p>
        </w:tc>
        <w:tc>
          <w:tcPr>
            <w:tcW w:w="2280" w:type="dxa"/>
            <w:vAlign w:val="top"/>
          </w:tcPr>
          <w:p w14:paraId="30D6D3DE">
            <w:pPr>
              <w:pStyle w:val="6"/>
              <w:spacing w:before="69" w:line="228" w:lineRule="auto"/>
              <w:ind w:left="726"/>
            </w:pPr>
            <w:r>
              <w:rPr>
                <w:spacing w:val="7"/>
              </w:rPr>
              <w:t>冲洗废水</w:t>
            </w:r>
          </w:p>
        </w:tc>
        <w:tc>
          <w:tcPr>
            <w:tcW w:w="1761" w:type="dxa"/>
            <w:vAlign w:val="top"/>
          </w:tcPr>
          <w:p w14:paraId="11CC12C8">
            <w:pPr>
              <w:pStyle w:val="6"/>
              <w:spacing w:before="69" w:line="229" w:lineRule="auto"/>
              <w:ind w:left="677"/>
            </w:pPr>
            <w:r>
              <w:rPr>
                <w:spacing w:val="4"/>
              </w:rPr>
              <w:t>猪舍</w:t>
            </w:r>
          </w:p>
        </w:tc>
        <w:tc>
          <w:tcPr>
            <w:tcW w:w="1193" w:type="dxa"/>
            <w:vAlign w:val="top"/>
          </w:tcPr>
          <w:p w14:paraId="06DE68AE">
            <w:pPr>
              <w:pStyle w:val="6"/>
              <w:spacing w:before="69" w:line="228" w:lineRule="auto"/>
              <w:ind w:left="303"/>
            </w:pPr>
            <w:r>
              <w:rPr>
                <w:spacing w:val="1"/>
              </w:rPr>
              <w:t>间歇性</w:t>
            </w:r>
          </w:p>
        </w:tc>
      </w:tr>
      <w:tr w14:paraId="04615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6E5BE2CE">
            <w:pPr>
              <w:rPr>
                <w:rFonts w:ascii="Arial"/>
                <w:sz w:val="21"/>
              </w:rPr>
            </w:pPr>
          </w:p>
        </w:tc>
        <w:tc>
          <w:tcPr>
            <w:tcW w:w="802" w:type="dxa"/>
            <w:vMerge w:val="restart"/>
            <w:tcBorders>
              <w:bottom w:val="nil"/>
            </w:tcBorders>
            <w:vAlign w:val="top"/>
          </w:tcPr>
          <w:p w14:paraId="31D43CE8">
            <w:pPr>
              <w:spacing w:line="349" w:lineRule="auto"/>
              <w:rPr>
                <w:rFonts w:ascii="Arial"/>
                <w:sz w:val="21"/>
              </w:rPr>
            </w:pPr>
          </w:p>
          <w:p w14:paraId="1DBF6D85">
            <w:pPr>
              <w:spacing w:line="349" w:lineRule="auto"/>
              <w:rPr>
                <w:rFonts w:ascii="Arial"/>
                <w:sz w:val="21"/>
              </w:rPr>
            </w:pPr>
          </w:p>
          <w:p w14:paraId="6B253DC9">
            <w:pPr>
              <w:pStyle w:val="6"/>
              <w:spacing w:before="65" w:line="229" w:lineRule="auto"/>
              <w:ind w:left="204"/>
            </w:pPr>
            <w:r>
              <w:rPr>
                <w:spacing w:val="-1"/>
              </w:rPr>
              <w:t>噪声</w:t>
            </w:r>
          </w:p>
        </w:tc>
        <w:tc>
          <w:tcPr>
            <w:tcW w:w="1955" w:type="dxa"/>
            <w:gridSpan w:val="2"/>
            <w:vMerge w:val="restart"/>
            <w:tcBorders>
              <w:bottom w:val="nil"/>
            </w:tcBorders>
            <w:vAlign w:val="top"/>
          </w:tcPr>
          <w:p w14:paraId="337A3023">
            <w:pPr>
              <w:pStyle w:val="6"/>
              <w:spacing w:before="242" w:line="228" w:lineRule="auto"/>
              <w:ind w:left="563"/>
            </w:pPr>
            <w:r>
              <w:rPr>
                <w:spacing w:val="6"/>
              </w:rPr>
              <w:t>生产设备</w:t>
            </w:r>
          </w:p>
        </w:tc>
        <w:tc>
          <w:tcPr>
            <w:tcW w:w="2280" w:type="dxa"/>
            <w:vAlign w:val="top"/>
          </w:tcPr>
          <w:p w14:paraId="1E73E233">
            <w:pPr>
              <w:pStyle w:val="6"/>
              <w:spacing w:before="69" w:line="230" w:lineRule="auto"/>
              <w:ind w:left="831"/>
            </w:pPr>
            <w:r>
              <w:rPr>
                <w:spacing w:val="6"/>
              </w:rPr>
              <w:t>排气扇</w:t>
            </w:r>
          </w:p>
        </w:tc>
        <w:tc>
          <w:tcPr>
            <w:tcW w:w="1761" w:type="dxa"/>
            <w:vAlign w:val="top"/>
          </w:tcPr>
          <w:p w14:paraId="514C2C9E">
            <w:pPr>
              <w:pStyle w:val="6"/>
              <w:spacing w:before="69" w:line="229" w:lineRule="auto"/>
              <w:ind w:left="677"/>
            </w:pPr>
            <w:r>
              <w:rPr>
                <w:spacing w:val="4"/>
              </w:rPr>
              <w:t>猪舍</w:t>
            </w:r>
          </w:p>
        </w:tc>
        <w:tc>
          <w:tcPr>
            <w:tcW w:w="1193" w:type="dxa"/>
            <w:vAlign w:val="top"/>
          </w:tcPr>
          <w:p w14:paraId="1DFE25EA">
            <w:pPr>
              <w:pStyle w:val="6"/>
              <w:spacing w:before="69" w:line="229" w:lineRule="auto"/>
              <w:ind w:left="393"/>
            </w:pPr>
            <w:r>
              <w:rPr>
                <w:spacing w:val="4"/>
              </w:rPr>
              <w:t>连续</w:t>
            </w:r>
          </w:p>
        </w:tc>
      </w:tr>
      <w:tr w14:paraId="29D5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6BA00BE2">
            <w:pPr>
              <w:rPr>
                <w:rFonts w:ascii="Arial"/>
                <w:sz w:val="21"/>
              </w:rPr>
            </w:pPr>
          </w:p>
        </w:tc>
        <w:tc>
          <w:tcPr>
            <w:tcW w:w="802" w:type="dxa"/>
            <w:vMerge w:val="continue"/>
            <w:tcBorders>
              <w:top w:val="nil"/>
              <w:bottom w:val="nil"/>
            </w:tcBorders>
            <w:vAlign w:val="top"/>
          </w:tcPr>
          <w:p w14:paraId="29668250">
            <w:pPr>
              <w:rPr>
                <w:rFonts w:ascii="Arial"/>
                <w:sz w:val="21"/>
              </w:rPr>
            </w:pPr>
          </w:p>
        </w:tc>
        <w:tc>
          <w:tcPr>
            <w:tcW w:w="1955" w:type="dxa"/>
            <w:gridSpan w:val="2"/>
            <w:vMerge w:val="continue"/>
            <w:tcBorders>
              <w:top w:val="nil"/>
            </w:tcBorders>
            <w:vAlign w:val="top"/>
          </w:tcPr>
          <w:p w14:paraId="69A6A91D">
            <w:pPr>
              <w:rPr>
                <w:rFonts w:ascii="Arial"/>
                <w:sz w:val="21"/>
              </w:rPr>
            </w:pPr>
          </w:p>
        </w:tc>
        <w:tc>
          <w:tcPr>
            <w:tcW w:w="2280" w:type="dxa"/>
            <w:vAlign w:val="top"/>
          </w:tcPr>
          <w:p w14:paraId="524F77CE">
            <w:pPr>
              <w:pStyle w:val="6"/>
              <w:spacing w:before="67" w:line="229" w:lineRule="auto"/>
              <w:ind w:left="515"/>
            </w:pPr>
            <w:r>
              <w:rPr>
                <w:spacing w:val="8"/>
              </w:rPr>
              <w:t>饲料加工设备</w:t>
            </w:r>
          </w:p>
        </w:tc>
        <w:tc>
          <w:tcPr>
            <w:tcW w:w="1761" w:type="dxa"/>
            <w:vAlign w:val="top"/>
          </w:tcPr>
          <w:p w14:paraId="23E0FBA5">
            <w:pPr>
              <w:pStyle w:val="6"/>
              <w:spacing w:before="67" w:line="229" w:lineRule="auto"/>
              <w:ind w:left="362"/>
            </w:pPr>
            <w:r>
              <w:rPr>
                <w:spacing w:val="8"/>
              </w:rPr>
              <w:t>饲料加工房</w:t>
            </w:r>
          </w:p>
        </w:tc>
        <w:tc>
          <w:tcPr>
            <w:tcW w:w="1193" w:type="dxa"/>
            <w:vAlign w:val="top"/>
          </w:tcPr>
          <w:p w14:paraId="0B66D233">
            <w:pPr>
              <w:pStyle w:val="6"/>
              <w:spacing w:before="70" w:line="228" w:lineRule="auto"/>
              <w:ind w:left="303"/>
            </w:pPr>
            <w:r>
              <w:rPr>
                <w:spacing w:val="1"/>
              </w:rPr>
              <w:t>间歇性</w:t>
            </w:r>
          </w:p>
        </w:tc>
      </w:tr>
      <w:tr w14:paraId="6A35C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5F54E4FA">
            <w:pPr>
              <w:rPr>
                <w:rFonts w:ascii="Arial"/>
                <w:sz w:val="21"/>
              </w:rPr>
            </w:pPr>
          </w:p>
        </w:tc>
        <w:tc>
          <w:tcPr>
            <w:tcW w:w="802" w:type="dxa"/>
            <w:vMerge w:val="continue"/>
            <w:tcBorders>
              <w:top w:val="nil"/>
              <w:bottom w:val="nil"/>
            </w:tcBorders>
            <w:vAlign w:val="top"/>
          </w:tcPr>
          <w:p w14:paraId="380E6CAE">
            <w:pPr>
              <w:rPr>
                <w:rFonts w:ascii="Arial"/>
                <w:sz w:val="21"/>
              </w:rPr>
            </w:pPr>
          </w:p>
        </w:tc>
        <w:tc>
          <w:tcPr>
            <w:tcW w:w="1955" w:type="dxa"/>
            <w:gridSpan w:val="2"/>
            <w:vMerge w:val="restart"/>
            <w:tcBorders>
              <w:bottom w:val="nil"/>
            </w:tcBorders>
            <w:vAlign w:val="top"/>
          </w:tcPr>
          <w:p w14:paraId="48CC2AC1">
            <w:pPr>
              <w:pStyle w:val="6"/>
              <w:spacing w:before="243" w:line="229" w:lineRule="auto"/>
              <w:ind w:left="563"/>
            </w:pPr>
            <w:r>
              <w:rPr>
                <w:spacing w:val="6"/>
              </w:rPr>
              <w:t>辅助设备</w:t>
            </w:r>
          </w:p>
        </w:tc>
        <w:tc>
          <w:tcPr>
            <w:tcW w:w="2280" w:type="dxa"/>
            <w:vAlign w:val="top"/>
          </w:tcPr>
          <w:p w14:paraId="7512AC0D">
            <w:pPr>
              <w:pStyle w:val="6"/>
              <w:spacing w:before="68" w:line="228" w:lineRule="auto"/>
              <w:ind w:left="939"/>
            </w:pPr>
            <w:r>
              <w:rPr>
                <w:spacing w:val="3"/>
              </w:rPr>
              <w:t>水泵</w:t>
            </w:r>
          </w:p>
        </w:tc>
        <w:tc>
          <w:tcPr>
            <w:tcW w:w="1761" w:type="dxa"/>
            <w:vAlign w:val="top"/>
          </w:tcPr>
          <w:p w14:paraId="10FA2E13">
            <w:pPr>
              <w:pStyle w:val="6"/>
              <w:spacing w:before="70" w:line="228" w:lineRule="auto"/>
              <w:ind w:left="259"/>
            </w:pPr>
            <w:r>
              <w:rPr>
                <w:spacing w:val="7"/>
              </w:rPr>
              <w:t>污水处理设施</w:t>
            </w:r>
          </w:p>
        </w:tc>
        <w:tc>
          <w:tcPr>
            <w:tcW w:w="1193" w:type="dxa"/>
            <w:vAlign w:val="top"/>
          </w:tcPr>
          <w:p w14:paraId="5DBE8F7C">
            <w:pPr>
              <w:pStyle w:val="6"/>
              <w:spacing w:before="70" w:line="229" w:lineRule="auto"/>
              <w:ind w:left="287"/>
            </w:pPr>
            <w:r>
              <w:rPr>
                <w:spacing w:val="6"/>
              </w:rPr>
              <w:t>连续性</w:t>
            </w:r>
          </w:p>
        </w:tc>
      </w:tr>
      <w:tr w14:paraId="74C72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1A74F5C1">
            <w:pPr>
              <w:rPr>
                <w:rFonts w:ascii="Arial"/>
                <w:sz w:val="21"/>
              </w:rPr>
            </w:pPr>
          </w:p>
        </w:tc>
        <w:tc>
          <w:tcPr>
            <w:tcW w:w="802" w:type="dxa"/>
            <w:vMerge w:val="continue"/>
            <w:tcBorders>
              <w:top w:val="nil"/>
              <w:bottom w:val="nil"/>
            </w:tcBorders>
            <w:vAlign w:val="top"/>
          </w:tcPr>
          <w:p w14:paraId="50CFDD43">
            <w:pPr>
              <w:rPr>
                <w:rFonts w:ascii="Arial"/>
                <w:sz w:val="21"/>
              </w:rPr>
            </w:pPr>
          </w:p>
        </w:tc>
        <w:tc>
          <w:tcPr>
            <w:tcW w:w="1955" w:type="dxa"/>
            <w:gridSpan w:val="2"/>
            <w:vMerge w:val="continue"/>
            <w:tcBorders>
              <w:top w:val="nil"/>
            </w:tcBorders>
            <w:vAlign w:val="top"/>
          </w:tcPr>
          <w:p w14:paraId="636E1309">
            <w:pPr>
              <w:rPr>
                <w:rFonts w:ascii="Arial"/>
                <w:sz w:val="21"/>
              </w:rPr>
            </w:pPr>
          </w:p>
        </w:tc>
        <w:tc>
          <w:tcPr>
            <w:tcW w:w="2280" w:type="dxa"/>
            <w:vAlign w:val="top"/>
          </w:tcPr>
          <w:p w14:paraId="0BBE14FF">
            <w:pPr>
              <w:pStyle w:val="6"/>
              <w:spacing w:before="67" w:line="228" w:lineRule="auto"/>
              <w:ind w:left="624"/>
            </w:pPr>
            <w:r>
              <w:rPr>
                <w:spacing w:val="7"/>
              </w:rPr>
              <w:t>沼气发电机</w:t>
            </w:r>
          </w:p>
        </w:tc>
        <w:tc>
          <w:tcPr>
            <w:tcW w:w="1761" w:type="dxa"/>
            <w:vAlign w:val="top"/>
          </w:tcPr>
          <w:p w14:paraId="0EDB9433">
            <w:pPr>
              <w:pStyle w:val="6"/>
              <w:spacing w:before="68" w:line="229" w:lineRule="auto"/>
              <w:ind w:left="571"/>
            </w:pPr>
            <w:r>
              <w:rPr>
                <w:spacing w:val="6"/>
              </w:rPr>
              <w:t>配电房</w:t>
            </w:r>
          </w:p>
        </w:tc>
        <w:tc>
          <w:tcPr>
            <w:tcW w:w="1193" w:type="dxa"/>
            <w:vAlign w:val="top"/>
          </w:tcPr>
          <w:p w14:paraId="129A7EC1">
            <w:pPr>
              <w:pStyle w:val="6"/>
              <w:spacing w:before="68" w:line="228" w:lineRule="auto"/>
              <w:ind w:left="303"/>
            </w:pPr>
            <w:r>
              <w:rPr>
                <w:spacing w:val="1"/>
              </w:rPr>
              <w:t>间歇性</w:t>
            </w:r>
          </w:p>
        </w:tc>
      </w:tr>
      <w:tr w14:paraId="6FEAB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C75ACC5">
            <w:pPr>
              <w:rPr>
                <w:rFonts w:ascii="Arial"/>
                <w:sz w:val="21"/>
              </w:rPr>
            </w:pPr>
          </w:p>
        </w:tc>
        <w:tc>
          <w:tcPr>
            <w:tcW w:w="802" w:type="dxa"/>
            <w:vMerge w:val="continue"/>
            <w:tcBorders>
              <w:top w:val="nil"/>
            </w:tcBorders>
            <w:vAlign w:val="top"/>
          </w:tcPr>
          <w:p w14:paraId="69E447FC">
            <w:pPr>
              <w:rPr>
                <w:rFonts w:ascii="Arial"/>
                <w:sz w:val="21"/>
              </w:rPr>
            </w:pPr>
          </w:p>
        </w:tc>
        <w:tc>
          <w:tcPr>
            <w:tcW w:w="1955" w:type="dxa"/>
            <w:gridSpan w:val="2"/>
            <w:vAlign w:val="top"/>
          </w:tcPr>
          <w:p w14:paraId="7AB68C59">
            <w:pPr>
              <w:pStyle w:val="6"/>
              <w:spacing w:before="68" w:line="229" w:lineRule="auto"/>
              <w:ind w:left="561"/>
            </w:pPr>
            <w:r>
              <w:rPr>
                <w:spacing w:val="7"/>
              </w:rPr>
              <w:t>猪只叫声</w:t>
            </w:r>
          </w:p>
        </w:tc>
        <w:tc>
          <w:tcPr>
            <w:tcW w:w="2280" w:type="dxa"/>
            <w:vAlign w:val="top"/>
          </w:tcPr>
          <w:p w14:paraId="1D1B75FE">
            <w:pPr>
              <w:pStyle w:val="6"/>
              <w:spacing w:before="68" w:line="229" w:lineRule="auto"/>
              <w:ind w:left="725"/>
            </w:pPr>
            <w:r>
              <w:rPr>
                <w:spacing w:val="7"/>
              </w:rPr>
              <w:t>猪只叫声</w:t>
            </w:r>
          </w:p>
        </w:tc>
        <w:tc>
          <w:tcPr>
            <w:tcW w:w="1761" w:type="dxa"/>
            <w:vAlign w:val="top"/>
          </w:tcPr>
          <w:p w14:paraId="3DAD1700">
            <w:pPr>
              <w:pStyle w:val="6"/>
              <w:spacing w:before="68" w:line="229" w:lineRule="auto"/>
              <w:ind w:left="677"/>
            </w:pPr>
            <w:r>
              <w:rPr>
                <w:spacing w:val="4"/>
              </w:rPr>
              <w:t>猪舍</w:t>
            </w:r>
          </w:p>
        </w:tc>
        <w:tc>
          <w:tcPr>
            <w:tcW w:w="1193" w:type="dxa"/>
            <w:vAlign w:val="top"/>
          </w:tcPr>
          <w:p w14:paraId="1E1B05B6">
            <w:pPr>
              <w:pStyle w:val="6"/>
              <w:spacing w:before="69" w:line="228" w:lineRule="auto"/>
              <w:ind w:left="303"/>
            </w:pPr>
            <w:r>
              <w:rPr>
                <w:spacing w:val="1"/>
              </w:rPr>
              <w:t>间歇性</w:t>
            </w:r>
          </w:p>
        </w:tc>
      </w:tr>
      <w:tr w14:paraId="69668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Merge w:val="continue"/>
            <w:tcBorders>
              <w:top w:val="nil"/>
              <w:bottom w:val="nil"/>
            </w:tcBorders>
            <w:vAlign w:val="top"/>
          </w:tcPr>
          <w:p w14:paraId="35B975A7">
            <w:pPr>
              <w:rPr>
                <w:rFonts w:ascii="Arial"/>
                <w:sz w:val="21"/>
              </w:rPr>
            </w:pPr>
          </w:p>
        </w:tc>
        <w:tc>
          <w:tcPr>
            <w:tcW w:w="802" w:type="dxa"/>
            <w:vMerge w:val="restart"/>
            <w:tcBorders>
              <w:bottom w:val="nil"/>
            </w:tcBorders>
            <w:vAlign w:val="top"/>
          </w:tcPr>
          <w:p w14:paraId="0D87E84A">
            <w:pPr>
              <w:spacing w:line="278" w:lineRule="auto"/>
              <w:rPr>
                <w:rFonts w:ascii="Arial"/>
                <w:sz w:val="21"/>
              </w:rPr>
            </w:pPr>
          </w:p>
          <w:p w14:paraId="2ECB9D7A">
            <w:pPr>
              <w:pStyle w:val="6"/>
              <w:spacing w:before="65" w:line="229" w:lineRule="auto"/>
              <w:ind w:left="212"/>
            </w:pPr>
            <w:r>
              <w:rPr>
                <w:spacing w:val="-5"/>
              </w:rPr>
              <w:t>固废</w:t>
            </w:r>
          </w:p>
        </w:tc>
        <w:tc>
          <w:tcPr>
            <w:tcW w:w="1955" w:type="dxa"/>
            <w:gridSpan w:val="2"/>
            <w:vAlign w:val="top"/>
          </w:tcPr>
          <w:p w14:paraId="0089F39B">
            <w:pPr>
              <w:pStyle w:val="6"/>
              <w:spacing w:before="169" w:line="229" w:lineRule="auto"/>
              <w:ind w:left="561"/>
            </w:pPr>
            <w:r>
              <w:rPr>
                <w:spacing w:val="7"/>
              </w:rPr>
              <w:t>猪只防疫</w:t>
            </w:r>
          </w:p>
        </w:tc>
        <w:tc>
          <w:tcPr>
            <w:tcW w:w="2280" w:type="dxa"/>
            <w:vAlign w:val="top"/>
          </w:tcPr>
          <w:p w14:paraId="53539310">
            <w:pPr>
              <w:pStyle w:val="6"/>
              <w:spacing w:before="169" w:line="229" w:lineRule="auto"/>
              <w:ind w:left="735"/>
            </w:pPr>
            <w:r>
              <w:rPr>
                <w:spacing w:val="4"/>
              </w:rPr>
              <w:t>医疗废物</w:t>
            </w:r>
          </w:p>
        </w:tc>
        <w:tc>
          <w:tcPr>
            <w:tcW w:w="1761" w:type="dxa"/>
            <w:vAlign w:val="top"/>
          </w:tcPr>
          <w:p w14:paraId="34800617">
            <w:pPr>
              <w:pStyle w:val="6"/>
              <w:spacing w:before="36" w:line="232" w:lineRule="auto"/>
              <w:ind w:left="675" w:right="143" w:hanging="523"/>
            </w:pPr>
            <w:r>
              <w:rPr>
                <w:spacing w:val="8"/>
              </w:rPr>
              <w:t>疫苗仓库或兽药</w:t>
            </w:r>
            <w:r>
              <w:rPr>
                <w:spacing w:val="2"/>
              </w:rPr>
              <w:t xml:space="preserve"> </w:t>
            </w:r>
            <w:r>
              <w:rPr>
                <w:spacing w:val="5"/>
              </w:rPr>
              <w:t>仓库</w:t>
            </w:r>
          </w:p>
        </w:tc>
        <w:tc>
          <w:tcPr>
            <w:tcW w:w="1193" w:type="dxa"/>
            <w:vAlign w:val="top"/>
          </w:tcPr>
          <w:p w14:paraId="1C05C2F5">
            <w:pPr>
              <w:pStyle w:val="6"/>
              <w:spacing w:before="172" w:line="228" w:lineRule="auto"/>
              <w:ind w:left="303"/>
            </w:pPr>
            <w:r>
              <w:rPr>
                <w:spacing w:val="1"/>
              </w:rPr>
              <w:t>间歇性</w:t>
            </w:r>
          </w:p>
        </w:tc>
      </w:tr>
      <w:tr w14:paraId="78252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59" w:type="dxa"/>
            <w:vMerge w:val="continue"/>
            <w:tcBorders>
              <w:top w:val="nil"/>
            </w:tcBorders>
            <w:vAlign w:val="top"/>
          </w:tcPr>
          <w:p w14:paraId="235E85C5">
            <w:pPr>
              <w:rPr>
                <w:rFonts w:ascii="Arial"/>
                <w:sz w:val="21"/>
              </w:rPr>
            </w:pPr>
          </w:p>
        </w:tc>
        <w:tc>
          <w:tcPr>
            <w:tcW w:w="802" w:type="dxa"/>
            <w:vMerge w:val="continue"/>
            <w:tcBorders>
              <w:top w:val="nil"/>
            </w:tcBorders>
            <w:vAlign w:val="top"/>
          </w:tcPr>
          <w:p w14:paraId="2CDC07C6">
            <w:pPr>
              <w:rPr>
                <w:rFonts w:ascii="Arial"/>
                <w:sz w:val="21"/>
              </w:rPr>
            </w:pPr>
          </w:p>
        </w:tc>
        <w:tc>
          <w:tcPr>
            <w:tcW w:w="1955" w:type="dxa"/>
            <w:gridSpan w:val="2"/>
            <w:vAlign w:val="top"/>
          </w:tcPr>
          <w:p w14:paraId="2ED494C1">
            <w:pPr>
              <w:pStyle w:val="6"/>
              <w:spacing w:before="69" w:line="229" w:lineRule="auto"/>
              <w:ind w:left="454"/>
            </w:pPr>
            <w:r>
              <w:rPr>
                <w:spacing w:val="8"/>
              </w:rPr>
              <w:t>病死猪尸体</w:t>
            </w:r>
          </w:p>
        </w:tc>
        <w:tc>
          <w:tcPr>
            <w:tcW w:w="2280" w:type="dxa"/>
            <w:vAlign w:val="top"/>
          </w:tcPr>
          <w:p w14:paraId="538B2D73">
            <w:pPr>
              <w:pStyle w:val="6"/>
              <w:spacing w:before="69" w:line="229" w:lineRule="auto"/>
              <w:ind w:left="936"/>
            </w:pPr>
            <w:r>
              <w:rPr>
                <w:spacing w:val="4"/>
              </w:rPr>
              <w:t>猪舍</w:t>
            </w:r>
          </w:p>
        </w:tc>
        <w:tc>
          <w:tcPr>
            <w:tcW w:w="1761" w:type="dxa"/>
            <w:vAlign w:val="top"/>
          </w:tcPr>
          <w:p w14:paraId="0A2377DF">
            <w:pPr>
              <w:pStyle w:val="6"/>
              <w:spacing w:before="69" w:line="229" w:lineRule="auto"/>
              <w:ind w:left="677"/>
            </w:pPr>
            <w:r>
              <w:rPr>
                <w:spacing w:val="4"/>
              </w:rPr>
              <w:t>猪舍</w:t>
            </w:r>
          </w:p>
        </w:tc>
        <w:tc>
          <w:tcPr>
            <w:tcW w:w="1193" w:type="dxa"/>
            <w:vAlign w:val="top"/>
          </w:tcPr>
          <w:p w14:paraId="70B616CC">
            <w:pPr>
              <w:pStyle w:val="6"/>
              <w:spacing w:before="69" w:line="228" w:lineRule="auto"/>
              <w:ind w:left="303"/>
            </w:pPr>
            <w:r>
              <w:rPr>
                <w:spacing w:val="1"/>
              </w:rPr>
              <w:t>间歇性</w:t>
            </w:r>
          </w:p>
        </w:tc>
      </w:tr>
    </w:tbl>
    <w:p w14:paraId="510CBC58">
      <w:pPr>
        <w:pStyle w:val="2"/>
      </w:pPr>
    </w:p>
    <w:p w14:paraId="5322E65E">
      <w:pPr>
        <w:sectPr>
          <w:footerReference r:id="rId52"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801"/>
        <w:gridCol w:w="1956"/>
        <w:gridCol w:w="2280"/>
        <w:gridCol w:w="1761"/>
        <w:gridCol w:w="1193"/>
      </w:tblGrid>
      <w:tr w14:paraId="56CB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959" w:type="dxa"/>
            <w:vAlign w:val="top"/>
          </w:tcPr>
          <w:p w14:paraId="4CDDE124">
            <w:pPr>
              <w:pStyle w:val="6"/>
              <w:spacing w:before="35" w:line="229" w:lineRule="auto"/>
              <w:ind w:left="277"/>
            </w:pPr>
            <w:r>
              <w:rPr>
                <w:b/>
                <w:bCs/>
                <w:spacing w:val="2"/>
              </w:rPr>
              <w:t>工程</w:t>
            </w:r>
          </w:p>
          <w:p w14:paraId="3D50A912">
            <w:pPr>
              <w:pStyle w:val="6"/>
              <w:spacing w:before="25" w:line="216" w:lineRule="auto"/>
              <w:ind w:left="284"/>
            </w:pPr>
            <w:r>
              <w:rPr>
                <w:b/>
                <w:bCs/>
                <w:spacing w:val="-1"/>
              </w:rPr>
              <w:t>阶段</w:t>
            </w:r>
          </w:p>
        </w:tc>
        <w:tc>
          <w:tcPr>
            <w:tcW w:w="801" w:type="dxa"/>
            <w:vAlign w:val="top"/>
          </w:tcPr>
          <w:p w14:paraId="12A1FD86">
            <w:pPr>
              <w:pStyle w:val="6"/>
              <w:spacing w:before="34" w:line="231" w:lineRule="auto"/>
              <w:ind w:left="194"/>
            </w:pPr>
            <w:r>
              <w:rPr>
                <w:b/>
                <w:bCs/>
                <w:spacing w:val="3"/>
              </w:rPr>
              <w:t>影响</w:t>
            </w:r>
          </w:p>
          <w:p w14:paraId="0FFA80D3">
            <w:pPr>
              <w:pStyle w:val="6"/>
              <w:spacing w:before="23" w:line="216" w:lineRule="auto"/>
              <w:ind w:left="195"/>
            </w:pPr>
            <w:r>
              <w:rPr>
                <w:b/>
                <w:bCs/>
                <w:spacing w:val="3"/>
              </w:rPr>
              <w:t>要素</w:t>
            </w:r>
          </w:p>
        </w:tc>
        <w:tc>
          <w:tcPr>
            <w:tcW w:w="1956" w:type="dxa"/>
            <w:vAlign w:val="top"/>
          </w:tcPr>
          <w:p w14:paraId="0FEB9D11">
            <w:pPr>
              <w:pStyle w:val="6"/>
              <w:spacing w:before="172" w:line="228" w:lineRule="auto"/>
              <w:ind w:left="562"/>
            </w:pPr>
            <w:r>
              <w:rPr>
                <w:b/>
                <w:bCs/>
                <w:spacing w:val="6"/>
              </w:rPr>
              <w:t>影响来源</w:t>
            </w:r>
          </w:p>
        </w:tc>
        <w:tc>
          <w:tcPr>
            <w:tcW w:w="2280" w:type="dxa"/>
            <w:vAlign w:val="top"/>
          </w:tcPr>
          <w:p w14:paraId="4D11B8BB">
            <w:pPr>
              <w:pStyle w:val="6"/>
              <w:spacing w:before="172" w:line="228" w:lineRule="auto"/>
              <w:ind w:left="516"/>
            </w:pPr>
            <w:r>
              <w:rPr>
                <w:b/>
                <w:bCs/>
                <w:spacing w:val="6"/>
              </w:rPr>
              <w:t>环境影响内容</w:t>
            </w:r>
          </w:p>
        </w:tc>
        <w:tc>
          <w:tcPr>
            <w:tcW w:w="1761" w:type="dxa"/>
            <w:vAlign w:val="top"/>
          </w:tcPr>
          <w:p w14:paraId="682D1F46">
            <w:pPr>
              <w:pStyle w:val="6"/>
              <w:spacing w:before="171" w:line="230" w:lineRule="auto"/>
              <w:ind w:left="468"/>
            </w:pPr>
            <w:r>
              <w:rPr>
                <w:b/>
                <w:bCs/>
                <w:spacing w:val="5"/>
              </w:rPr>
              <w:t>排放位置</w:t>
            </w:r>
          </w:p>
        </w:tc>
        <w:tc>
          <w:tcPr>
            <w:tcW w:w="1193" w:type="dxa"/>
            <w:vAlign w:val="top"/>
          </w:tcPr>
          <w:p w14:paraId="6E8046F2">
            <w:pPr>
              <w:pStyle w:val="6"/>
              <w:spacing w:before="172" w:line="228" w:lineRule="auto"/>
              <w:ind w:left="183"/>
            </w:pPr>
            <w:r>
              <w:rPr>
                <w:b/>
                <w:bCs/>
                <w:spacing w:val="6"/>
              </w:rPr>
              <w:t>污染特点</w:t>
            </w:r>
          </w:p>
        </w:tc>
      </w:tr>
      <w:tr w14:paraId="154A3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Merge w:val="restart"/>
            <w:tcBorders>
              <w:bottom w:val="nil"/>
            </w:tcBorders>
            <w:vAlign w:val="top"/>
          </w:tcPr>
          <w:p w14:paraId="6A32D267">
            <w:pPr>
              <w:rPr>
                <w:rFonts w:ascii="Arial"/>
                <w:sz w:val="21"/>
              </w:rPr>
            </w:pPr>
          </w:p>
        </w:tc>
        <w:tc>
          <w:tcPr>
            <w:tcW w:w="801" w:type="dxa"/>
            <w:vMerge w:val="restart"/>
            <w:tcBorders>
              <w:bottom w:val="nil"/>
            </w:tcBorders>
            <w:vAlign w:val="top"/>
          </w:tcPr>
          <w:p w14:paraId="6A020F71">
            <w:pPr>
              <w:rPr>
                <w:rFonts w:ascii="Arial"/>
                <w:sz w:val="21"/>
              </w:rPr>
            </w:pPr>
          </w:p>
        </w:tc>
        <w:tc>
          <w:tcPr>
            <w:tcW w:w="1956" w:type="dxa"/>
            <w:vAlign w:val="top"/>
          </w:tcPr>
          <w:p w14:paraId="425892BB">
            <w:pPr>
              <w:pStyle w:val="6"/>
              <w:spacing w:before="65" w:line="228" w:lineRule="auto"/>
              <w:ind w:left="775"/>
            </w:pPr>
            <w:r>
              <w:rPr>
                <w:spacing w:val="3"/>
              </w:rPr>
              <w:t>粪便</w:t>
            </w:r>
          </w:p>
        </w:tc>
        <w:tc>
          <w:tcPr>
            <w:tcW w:w="2280" w:type="dxa"/>
            <w:vAlign w:val="top"/>
          </w:tcPr>
          <w:p w14:paraId="43AE56E2">
            <w:pPr>
              <w:pStyle w:val="6"/>
              <w:spacing w:before="65" w:line="228" w:lineRule="auto"/>
              <w:ind w:left="724"/>
            </w:pPr>
            <w:r>
              <w:rPr>
                <w:spacing w:val="7"/>
              </w:rPr>
              <w:t>牲畜粪便</w:t>
            </w:r>
          </w:p>
        </w:tc>
        <w:tc>
          <w:tcPr>
            <w:tcW w:w="1761" w:type="dxa"/>
            <w:vAlign w:val="top"/>
          </w:tcPr>
          <w:p w14:paraId="216F424F">
            <w:pPr>
              <w:pStyle w:val="6"/>
              <w:spacing w:before="65" w:line="229" w:lineRule="auto"/>
              <w:ind w:left="677"/>
            </w:pPr>
            <w:r>
              <w:rPr>
                <w:spacing w:val="4"/>
              </w:rPr>
              <w:t>猪舍</w:t>
            </w:r>
          </w:p>
        </w:tc>
        <w:tc>
          <w:tcPr>
            <w:tcW w:w="1193" w:type="dxa"/>
            <w:vAlign w:val="top"/>
          </w:tcPr>
          <w:p w14:paraId="66CF30BB">
            <w:pPr>
              <w:pStyle w:val="6"/>
              <w:spacing w:before="65" w:line="229" w:lineRule="auto"/>
              <w:ind w:left="287"/>
            </w:pPr>
            <w:r>
              <w:rPr>
                <w:spacing w:val="6"/>
              </w:rPr>
              <w:t>连续性</w:t>
            </w:r>
          </w:p>
        </w:tc>
      </w:tr>
      <w:tr w14:paraId="15BC9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Merge w:val="continue"/>
            <w:tcBorders>
              <w:top w:val="nil"/>
              <w:bottom w:val="nil"/>
            </w:tcBorders>
            <w:vAlign w:val="top"/>
          </w:tcPr>
          <w:p w14:paraId="62A79526">
            <w:pPr>
              <w:rPr>
                <w:rFonts w:ascii="Arial"/>
                <w:sz w:val="21"/>
              </w:rPr>
            </w:pPr>
          </w:p>
        </w:tc>
        <w:tc>
          <w:tcPr>
            <w:tcW w:w="801" w:type="dxa"/>
            <w:vMerge w:val="continue"/>
            <w:tcBorders>
              <w:top w:val="nil"/>
              <w:bottom w:val="nil"/>
            </w:tcBorders>
            <w:vAlign w:val="top"/>
          </w:tcPr>
          <w:p w14:paraId="568DDDB4">
            <w:pPr>
              <w:rPr>
                <w:rFonts w:ascii="Arial"/>
                <w:sz w:val="21"/>
              </w:rPr>
            </w:pPr>
          </w:p>
        </w:tc>
        <w:tc>
          <w:tcPr>
            <w:tcW w:w="1956" w:type="dxa"/>
            <w:vAlign w:val="top"/>
          </w:tcPr>
          <w:p w14:paraId="59FA1380">
            <w:pPr>
              <w:pStyle w:val="6"/>
              <w:spacing w:before="66" w:line="229" w:lineRule="auto"/>
              <w:ind w:left="561"/>
            </w:pPr>
            <w:r>
              <w:rPr>
                <w:spacing w:val="7"/>
              </w:rPr>
              <w:t>废包装物</w:t>
            </w:r>
          </w:p>
        </w:tc>
        <w:tc>
          <w:tcPr>
            <w:tcW w:w="2280" w:type="dxa"/>
            <w:vAlign w:val="top"/>
          </w:tcPr>
          <w:p w14:paraId="16FD3315">
            <w:pPr>
              <w:pStyle w:val="6"/>
              <w:spacing w:before="66" w:line="229" w:lineRule="auto"/>
              <w:ind w:left="724"/>
            </w:pPr>
            <w:r>
              <w:rPr>
                <w:spacing w:val="7"/>
              </w:rPr>
              <w:t>废包装物</w:t>
            </w:r>
          </w:p>
        </w:tc>
        <w:tc>
          <w:tcPr>
            <w:tcW w:w="1761" w:type="dxa"/>
            <w:vAlign w:val="top"/>
          </w:tcPr>
          <w:p w14:paraId="6F61C184">
            <w:pPr>
              <w:pStyle w:val="6"/>
              <w:spacing w:before="67" w:line="228" w:lineRule="auto"/>
              <w:ind w:left="676"/>
            </w:pPr>
            <w:r>
              <w:rPr>
                <w:spacing w:val="5"/>
              </w:rPr>
              <w:t>仓库</w:t>
            </w:r>
          </w:p>
        </w:tc>
        <w:tc>
          <w:tcPr>
            <w:tcW w:w="1193" w:type="dxa"/>
            <w:vAlign w:val="top"/>
          </w:tcPr>
          <w:p w14:paraId="4396AAB8">
            <w:pPr>
              <w:pStyle w:val="6"/>
              <w:spacing w:before="67" w:line="228" w:lineRule="auto"/>
              <w:ind w:left="303"/>
            </w:pPr>
            <w:r>
              <w:rPr>
                <w:spacing w:val="1"/>
              </w:rPr>
              <w:t>间歇性</w:t>
            </w:r>
          </w:p>
        </w:tc>
      </w:tr>
      <w:tr w14:paraId="60E4B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59" w:type="dxa"/>
            <w:vMerge w:val="continue"/>
            <w:tcBorders>
              <w:top w:val="nil"/>
            </w:tcBorders>
            <w:vAlign w:val="top"/>
          </w:tcPr>
          <w:p w14:paraId="2BECE8E3">
            <w:pPr>
              <w:rPr>
                <w:rFonts w:ascii="Arial"/>
                <w:sz w:val="21"/>
              </w:rPr>
            </w:pPr>
          </w:p>
        </w:tc>
        <w:tc>
          <w:tcPr>
            <w:tcW w:w="801" w:type="dxa"/>
            <w:vMerge w:val="continue"/>
            <w:tcBorders>
              <w:top w:val="nil"/>
            </w:tcBorders>
            <w:vAlign w:val="top"/>
          </w:tcPr>
          <w:p w14:paraId="60477921">
            <w:pPr>
              <w:rPr>
                <w:rFonts w:ascii="Arial"/>
                <w:sz w:val="21"/>
              </w:rPr>
            </w:pPr>
          </w:p>
        </w:tc>
        <w:tc>
          <w:tcPr>
            <w:tcW w:w="1956" w:type="dxa"/>
            <w:vAlign w:val="top"/>
          </w:tcPr>
          <w:p w14:paraId="0F72C7FF">
            <w:pPr>
              <w:pStyle w:val="6"/>
              <w:spacing w:before="68" w:line="232" w:lineRule="auto"/>
              <w:ind w:left="774"/>
            </w:pPr>
            <w:r>
              <w:rPr>
                <w:spacing w:val="4"/>
              </w:rPr>
              <w:t>职工</w:t>
            </w:r>
          </w:p>
        </w:tc>
        <w:tc>
          <w:tcPr>
            <w:tcW w:w="2280" w:type="dxa"/>
            <w:vAlign w:val="top"/>
          </w:tcPr>
          <w:p w14:paraId="7BF663B2">
            <w:pPr>
              <w:pStyle w:val="6"/>
              <w:spacing w:before="68" w:line="229" w:lineRule="auto"/>
              <w:ind w:left="727"/>
            </w:pPr>
            <w:r>
              <w:rPr>
                <w:spacing w:val="6"/>
              </w:rPr>
              <w:t>生活垃圾</w:t>
            </w:r>
          </w:p>
        </w:tc>
        <w:tc>
          <w:tcPr>
            <w:tcW w:w="1761" w:type="dxa"/>
            <w:vAlign w:val="top"/>
          </w:tcPr>
          <w:p w14:paraId="7D4EE209">
            <w:pPr>
              <w:pStyle w:val="6"/>
              <w:spacing w:before="68" w:line="228" w:lineRule="auto"/>
              <w:ind w:left="261"/>
            </w:pPr>
            <w:r>
              <w:rPr>
                <w:spacing w:val="7"/>
              </w:rPr>
              <w:t>办公、生活区</w:t>
            </w:r>
          </w:p>
        </w:tc>
        <w:tc>
          <w:tcPr>
            <w:tcW w:w="1193" w:type="dxa"/>
            <w:vAlign w:val="top"/>
          </w:tcPr>
          <w:p w14:paraId="74690D53">
            <w:pPr>
              <w:pStyle w:val="6"/>
              <w:spacing w:before="68" w:line="228" w:lineRule="auto"/>
              <w:ind w:left="303"/>
            </w:pPr>
            <w:r>
              <w:rPr>
                <w:spacing w:val="1"/>
              </w:rPr>
              <w:t>间歇性</w:t>
            </w:r>
          </w:p>
        </w:tc>
      </w:tr>
    </w:tbl>
    <w:p w14:paraId="069C61AF">
      <w:pPr>
        <w:pStyle w:val="2"/>
        <w:spacing w:line="370" w:lineRule="auto"/>
      </w:pPr>
    </w:p>
    <w:p w14:paraId="34CAA43F">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2.6.2</w:t>
      </w:r>
      <w:r>
        <w:rPr>
          <w:rFonts w:ascii="宋体" w:hAnsi="宋体" w:eastAsia="宋体" w:cs="宋体"/>
          <w:b/>
          <w:bCs/>
          <w:spacing w:val="-2"/>
          <w:sz w:val="24"/>
          <w:szCs w:val="24"/>
        </w:rPr>
        <w:t>评价因子筛选</w:t>
      </w:r>
    </w:p>
    <w:p w14:paraId="08EF4923">
      <w:pPr>
        <w:spacing w:before="202" w:line="219" w:lineRule="auto"/>
        <w:ind w:left="602"/>
        <w:rPr>
          <w:rFonts w:ascii="宋体" w:hAnsi="宋体" w:eastAsia="宋体" w:cs="宋体"/>
          <w:sz w:val="24"/>
          <w:szCs w:val="24"/>
        </w:rPr>
      </w:pPr>
      <w:r>
        <w:rPr>
          <w:rFonts w:ascii="宋体" w:hAnsi="宋体" w:eastAsia="宋体" w:cs="宋体"/>
          <w:spacing w:val="-1"/>
          <w:sz w:val="24"/>
          <w:szCs w:val="24"/>
        </w:rPr>
        <w:t>根据本项目特征，确定项目营运期主要评价因子如下：</w:t>
      </w:r>
    </w:p>
    <w:p w14:paraId="022CC6C3">
      <w:pPr>
        <w:spacing w:before="170" w:line="358"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）大气环境评价因子</w:t>
      </w:r>
    </w:p>
    <w:p w14:paraId="7D669379">
      <w:pPr>
        <w:spacing w:before="166" w:line="242" w:lineRule="auto"/>
        <w:ind w:left="604"/>
        <w:rPr>
          <w:rFonts w:ascii="宋体" w:hAnsi="宋体" w:eastAsia="宋体" w:cs="宋体"/>
          <w:sz w:val="24"/>
          <w:szCs w:val="24"/>
        </w:rPr>
      </w:pPr>
      <w:r>
        <w:rPr>
          <w:rFonts w:ascii="宋体" w:hAnsi="宋体" w:eastAsia="宋体" w:cs="宋体"/>
          <w:spacing w:val="-3"/>
          <w:sz w:val="24"/>
          <w:szCs w:val="24"/>
        </w:rPr>
        <w:t>现状评价因子：</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3"/>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5"/>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PM </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5"/>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CO</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4"/>
          <w:sz w:val="24"/>
          <w:szCs w:val="24"/>
        </w:rPr>
        <w:t>、硫化氢、氨、臭气浓度。</w:t>
      </w:r>
    </w:p>
    <w:p w14:paraId="046909BD">
      <w:pPr>
        <w:spacing w:before="175" w:line="316" w:lineRule="exact"/>
        <w:ind w:left="602"/>
        <w:rPr>
          <w:rFonts w:ascii="宋体" w:hAnsi="宋体" w:eastAsia="宋体" w:cs="宋体"/>
          <w:sz w:val="24"/>
          <w:szCs w:val="24"/>
        </w:rPr>
      </w:pPr>
      <w:r>
        <w:rPr>
          <w:rFonts w:ascii="宋体" w:hAnsi="宋体" w:eastAsia="宋体" w:cs="宋体"/>
          <w:spacing w:val="-2"/>
          <w:position w:val="1"/>
          <w:sz w:val="24"/>
          <w:szCs w:val="24"/>
        </w:rPr>
        <w:t>影响分析因子：硫化氢、氨、臭气浓度、</w:t>
      </w:r>
      <w:r>
        <w:rPr>
          <w:rFonts w:ascii="Times New Roman" w:hAnsi="Times New Roman" w:eastAsia="Times New Roman" w:cs="Times New Roman"/>
          <w:spacing w:val="-2"/>
          <w:position w:val="1"/>
          <w:sz w:val="24"/>
          <w:szCs w:val="24"/>
        </w:rPr>
        <w:t>SO</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10"/>
          <w:sz w:val="15"/>
          <w:szCs w:val="15"/>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NOx</w:t>
      </w:r>
      <w:r>
        <w:rPr>
          <w:rFonts w:ascii="Times New Roman" w:hAnsi="Times New Roman" w:eastAsia="Times New Roman" w:cs="Times New Roman"/>
          <w:spacing w:val="-34"/>
          <w:position w:val="1"/>
          <w:sz w:val="24"/>
          <w:szCs w:val="24"/>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T</w:t>
      </w:r>
      <w:r>
        <w:rPr>
          <w:rFonts w:ascii="Times New Roman" w:hAnsi="Times New Roman" w:eastAsia="Times New Roman" w:cs="Times New Roman"/>
          <w:spacing w:val="-3"/>
          <w:position w:val="1"/>
          <w:sz w:val="24"/>
          <w:szCs w:val="24"/>
        </w:rPr>
        <w:t>SP</w:t>
      </w:r>
      <w:r>
        <w:rPr>
          <w:rFonts w:ascii="宋体" w:hAnsi="宋体" w:eastAsia="宋体" w:cs="宋体"/>
          <w:spacing w:val="-3"/>
          <w:position w:val="1"/>
          <w:sz w:val="24"/>
          <w:szCs w:val="24"/>
        </w:rPr>
        <w:t>。</w:t>
      </w:r>
    </w:p>
    <w:p w14:paraId="36F4FC96">
      <w:pPr>
        <w:spacing w:before="135" w:line="362" w:lineRule="exact"/>
        <w:ind w:left="614"/>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2</w:t>
      </w:r>
      <w:r>
        <w:rPr>
          <w:rFonts w:ascii="宋体" w:hAnsi="宋体" w:eastAsia="宋体" w:cs="宋体"/>
          <w:spacing w:val="-4"/>
          <w:position w:val="2"/>
          <w:sz w:val="24"/>
          <w:szCs w:val="24"/>
        </w:rPr>
        <w:t>）声环境</w:t>
      </w:r>
    </w:p>
    <w:p w14:paraId="34875D46">
      <w:pPr>
        <w:spacing w:before="128" w:line="333" w:lineRule="exact"/>
        <w:ind w:left="604"/>
        <w:rPr>
          <w:rFonts w:ascii="宋体" w:hAnsi="宋体" w:eastAsia="宋体" w:cs="宋体"/>
          <w:sz w:val="24"/>
          <w:szCs w:val="24"/>
        </w:rPr>
      </w:pPr>
      <w:r>
        <w:rPr>
          <w:rFonts w:ascii="宋体" w:hAnsi="宋体" w:eastAsia="宋体" w:cs="宋体"/>
          <w:spacing w:val="-1"/>
          <w:position w:val="3"/>
          <w:sz w:val="24"/>
          <w:szCs w:val="24"/>
        </w:rPr>
        <w:t>现状评价因子：等效连续</w:t>
      </w:r>
      <w:r>
        <w:rPr>
          <w:rFonts w:ascii="宋体" w:hAnsi="宋体" w:eastAsia="宋体" w:cs="宋体"/>
          <w:spacing w:val="-58"/>
          <w:position w:val="3"/>
          <w:sz w:val="24"/>
          <w:szCs w:val="24"/>
        </w:rPr>
        <w:t xml:space="preserve"> </w:t>
      </w:r>
      <w:r>
        <w:rPr>
          <w:rFonts w:ascii="Times New Roman" w:hAnsi="Times New Roman" w:eastAsia="Times New Roman" w:cs="Times New Roman"/>
          <w:spacing w:val="-1"/>
          <w:position w:val="3"/>
          <w:sz w:val="24"/>
          <w:szCs w:val="24"/>
        </w:rPr>
        <w:t xml:space="preserve">A  </w:t>
      </w:r>
      <w:r>
        <w:rPr>
          <w:rFonts w:ascii="宋体" w:hAnsi="宋体" w:eastAsia="宋体" w:cs="宋体"/>
          <w:spacing w:val="-1"/>
          <w:position w:val="3"/>
          <w:sz w:val="24"/>
          <w:szCs w:val="24"/>
        </w:rPr>
        <w:t>声级</w:t>
      </w:r>
      <w:r>
        <w:rPr>
          <w:rFonts w:ascii="宋体" w:hAnsi="宋体" w:eastAsia="宋体" w:cs="宋体"/>
          <w:spacing w:val="-55"/>
          <w:position w:val="3"/>
          <w:sz w:val="24"/>
          <w:szCs w:val="24"/>
        </w:rPr>
        <w:t xml:space="preserve"> </w:t>
      </w:r>
      <w:r>
        <w:rPr>
          <w:rFonts w:ascii="Times New Roman" w:hAnsi="Times New Roman" w:eastAsia="Times New Roman" w:cs="Times New Roman"/>
          <w:spacing w:val="-1"/>
          <w:position w:val="3"/>
          <w:sz w:val="24"/>
          <w:szCs w:val="24"/>
        </w:rPr>
        <w:t>Leq</w:t>
      </w:r>
      <w:r>
        <w:rPr>
          <w:rFonts w:ascii="Times New Roman" w:hAnsi="Times New Roman" w:eastAsia="Times New Roman" w:cs="Times New Roman"/>
          <w:spacing w:val="-2"/>
          <w:position w:val="3"/>
          <w:sz w:val="24"/>
          <w:szCs w:val="24"/>
        </w:rPr>
        <w:t>[dB(A)]</w:t>
      </w:r>
      <w:r>
        <w:rPr>
          <w:rFonts w:ascii="宋体" w:hAnsi="宋体" w:eastAsia="宋体" w:cs="宋体"/>
          <w:spacing w:val="-2"/>
          <w:position w:val="3"/>
          <w:sz w:val="24"/>
          <w:szCs w:val="24"/>
        </w:rPr>
        <w:t>。</w:t>
      </w:r>
    </w:p>
    <w:p w14:paraId="475D46ED">
      <w:pPr>
        <w:spacing w:before="154" w:line="333" w:lineRule="exact"/>
        <w:ind w:left="602"/>
        <w:rPr>
          <w:rFonts w:ascii="宋体" w:hAnsi="宋体" w:eastAsia="宋体" w:cs="宋体"/>
          <w:sz w:val="24"/>
          <w:szCs w:val="24"/>
        </w:rPr>
      </w:pPr>
      <w:r>
        <w:rPr>
          <w:rFonts w:ascii="宋体" w:hAnsi="宋体" w:eastAsia="宋体" w:cs="宋体"/>
          <w:spacing w:val="-1"/>
          <w:position w:val="3"/>
          <w:sz w:val="24"/>
          <w:szCs w:val="24"/>
        </w:rPr>
        <w:t>影响分析因子：等效连续</w:t>
      </w:r>
      <w:r>
        <w:rPr>
          <w:rFonts w:ascii="宋体" w:hAnsi="宋体" w:eastAsia="宋体" w:cs="宋体"/>
          <w:spacing w:val="-58"/>
          <w:position w:val="3"/>
          <w:sz w:val="24"/>
          <w:szCs w:val="24"/>
        </w:rPr>
        <w:t xml:space="preserve"> </w:t>
      </w:r>
      <w:r>
        <w:rPr>
          <w:rFonts w:ascii="Times New Roman" w:hAnsi="Times New Roman" w:eastAsia="Times New Roman" w:cs="Times New Roman"/>
          <w:spacing w:val="-1"/>
          <w:position w:val="3"/>
          <w:sz w:val="24"/>
          <w:szCs w:val="24"/>
        </w:rPr>
        <w:t xml:space="preserve">A  </w:t>
      </w:r>
      <w:r>
        <w:rPr>
          <w:rFonts w:ascii="宋体" w:hAnsi="宋体" w:eastAsia="宋体" w:cs="宋体"/>
          <w:spacing w:val="-1"/>
          <w:position w:val="3"/>
          <w:sz w:val="24"/>
          <w:szCs w:val="24"/>
        </w:rPr>
        <w:t>声级</w:t>
      </w:r>
      <w:r>
        <w:rPr>
          <w:rFonts w:ascii="宋体" w:hAnsi="宋体" w:eastAsia="宋体" w:cs="宋体"/>
          <w:spacing w:val="-56"/>
          <w:position w:val="3"/>
          <w:sz w:val="24"/>
          <w:szCs w:val="24"/>
        </w:rPr>
        <w:t xml:space="preserve"> </w:t>
      </w:r>
      <w:r>
        <w:rPr>
          <w:rFonts w:ascii="Times New Roman" w:hAnsi="Times New Roman" w:eastAsia="Times New Roman" w:cs="Times New Roman"/>
          <w:spacing w:val="-1"/>
          <w:position w:val="3"/>
          <w:sz w:val="24"/>
          <w:szCs w:val="24"/>
        </w:rPr>
        <w:t>Leq[d</w:t>
      </w:r>
      <w:r>
        <w:rPr>
          <w:rFonts w:ascii="Times New Roman" w:hAnsi="Times New Roman" w:eastAsia="Times New Roman" w:cs="Times New Roman"/>
          <w:spacing w:val="-2"/>
          <w:position w:val="3"/>
          <w:sz w:val="24"/>
          <w:szCs w:val="24"/>
        </w:rPr>
        <w:t>B(A)]</w:t>
      </w:r>
      <w:r>
        <w:rPr>
          <w:rFonts w:ascii="宋体" w:hAnsi="宋体" w:eastAsia="宋体" w:cs="宋体"/>
          <w:spacing w:val="-2"/>
          <w:position w:val="3"/>
          <w:sz w:val="24"/>
          <w:szCs w:val="24"/>
        </w:rPr>
        <w:t>。</w:t>
      </w:r>
    </w:p>
    <w:p w14:paraId="67C14187">
      <w:pPr>
        <w:spacing w:before="157"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）地下水环境</w:t>
      </w:r>
    </w:p>
    <w:p w14:paraId="5711E81B">
      <w:pPr>
        <w:spacing w:before="165" w:line="362" w:lineRule="auto"/>
        <w:ind w:left="125" w:right="153" w:firstLine="479"/>
        <w:rPr>
          <w:rFonts w:ascii="宋体" w:hAnsi="宋体" w:eastAsia="宋体" w:cs="宋体"/>
          <w:sz w:val="24"/>
          <w:szCs w:val="24"/>
        </w:rPr>
      </w:pPr>
      <w:r>
        <w:rPr>
          <w:rFonts w:ascii="宋体" w:hAnsi="宋体" w:eastAsia="宋体" w:cs="宋体"/>
          <w:spacing w:val="-1"/>
          <w:sz w:val="24"/>
          <w:szCs w:val="24"/>
        </w:rPr>
        <w:t>现状评价因子：</w:t>
      </w:r>
      <w:r>
        <w:rPr>
          <w:rFonts w:ascii="Times New Roman" w:hAnsi="Times New Roman" w:eastAsia="Times New Roman" w:cs="Times New Roman"/>
          <w:spacing w:val="-1"/>
          <w:sz w:val="24"/>
          <w:szCs w:val="24"/>
        </w:rPr>
        <w:t>pH</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、氨氮、硝酸盐、总硬度、溶解性总固体</w:t>
      </w:r>
      <w:r>
        <w:rPr>
          <w:rFonts w:ascii="宋体" w:hAnsi="宋体" w:eastAsia="宋体" w:cs="宋体"/>
          <w:spacing w:val="-2"/>
          <w:sz w:val="24"/>
          <w:szCs w:val="24"/>
        </w:rPr>
        <w:t>、高锰酸钾指数、</w:t>
      </w:r>
      <w:r>
        <w:rPr>
          <w:rFonts w:ascii="宋体" w:hAnsi="宋体" w:eastAsia="宋体" w:cs="宋体"/>
          <w:sz w:val="24"/>
          <w:szCs w:val="24"/>
        </w:rPr>
        <w:t xml:space="preserve"> </w:t>
      </w:r>
      <w:r>
        <w:rPr>
          <w:rFonts w:ascii="宋体" w:hAnsi="宋体" w:eastAsia="宋体" w:cs="宋体"/>
          <w:spacing w:val="-3"/>
          <w:sz w:val="24"/>
          <w:szCs w:val="24"/>
        </w:rPr>
        <w:t>总大肠杆菌。</w:t>
      </w:r>
    </w:p>
    <w:p w14:paraId="5F6C9B17">
      <w:pPr>
        <w:spacing w:line="360"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）固体废物：分析固体废弃物产生量，提出相应处置措施。</w:t>
      </w:r>
    </w:p>
    <w:p w14:paraId="6E13A0A3">
      <w:pPr>
        <w:spacing w:before="167" w:line="210" w:lineRule="auto"/>
        <w:ind w:left="6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）土壤环境：</w:t>
      </w: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值、砷、汞、镉、铅、铬、镍、铜、锌。</w:t>
      </w:r>
    </w:p>
    <w:p w14:paraId="77B7F685">
      <w:pPr>
        <w:spacing w:before="214" w:line="219" w:lineRule="auto"/>
        <w:ind w:left="603"/>
        <w:rPr>
          <w:rFonts w:ascii="宋体" w:hAnsi="宋体" w:eastAsia="宋体" w:cs="宋体"/>
          <w:sz w:val="24"/>
          <w:szCs w:val="24"/>
        </w:rPr>
      </w:pPr>
      <w:r>
        <w:rPr>
          <w:rFonts w:ascii="宋体" w:hAnsi="宋体" w:eastAsia="宋体" w:cs="宋体"/>
          <w:spacing w:val="-1"/>
          <w:sz w:val="24"/>
          <w:szCs w:val="24"/>
        </w:rPr>
        <w:t>本次评价的评价因子详见下表。</w:t>
      </w:r>
    </w:p>
    <w:p w14:paraId="34010B78">
      <w:pPr>
        <w:spacing w:before="220" w:line="227" w:lineRule="auto"/>
        <w:ind w:left="292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2.6-2  </w:t>
      </w:r>
      <w:r>
        <w:rPr>
          <w:rFonts w:ascii="宋体" w:hAnsi="宋体" w:eastAsia="宋体" w:cs="宋体"/>
          <w:b/>
          <w:bCs/>
          <w:spacing w:val="6"/>
          <w:sz w:val="20"/>
          <w:szCs w:val="20"/>
        </w:rPr>
        <w:t>项目环境影响评价因子一览表</w:t>
      </w:r>
    </w:p>
    <w:p w14:paraId="44AC914A">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1418"/>
        <w:gridCol w:w="3286"/>
        <w:gridCol w:w="3142"/>
      </w:tblGrid>
      <w:tr w14:paraId="0BF3C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4" w:type="dxa"/>
            <w:vMerge w:val="restart"/>
            <w:tcBorders>
              <w:bottom w:val="nil"/>
            </w:tcBorders>
            <w:vAlign w:val="top"/>
          </w:tcPr>
          <w:p w14:paraId="744B3628">
            <w:pPr>
              <w:pStyle w:val="6"/>
              <w:spacing w:before="229" w:line="227" w:lineRule="auto"/>
              <w:ind w:left="137"/>
            </w:pPr>
            <w:r>
              <w:rPr>
                <w:b/>
                <w:bCs/>
                <w:spacing w:val="6"/>
              </w:rPr>
              <w:t>评价时期</w:t>
            </w:r>
          </w:p>
        </w:tc>
        <w:tc>
          <w:tcPr>
            <w:tcW w:w="1418" w:type="dxa"/>
            <w:vMerge w:val="restart"/>
            <w:tcBorders>
              <w:bottom w:val="nil"/>
            </w:tcBorders>
            <w:vAlign w:val="top"/>
          </w:tcPr>
          <w:p w14:paraId="72B88F75">
            <w:pPr>
              <w:pStyle w:val="6"/>
              <w:spacing w:before="230" w:line="228" w:lineRule="auto"/>
              <w:ind w:left="291"/>
            </w:pPr>
            <w:r>
              <w:rPr>
                <w:b/>
                <w:bCs/>
                <w:spacing w:val="6"/>
              </w:rPr>
              <w:t>环境要素</w:t>
            </w:r>
          </w:p>
        </w:tc>
        <w:tc>
          <w:tcPr>
            <w:tcW w:w="6428" w:type="dxa"/>
            <w:gridSpan w:val="2"/>
            <w:vAlign w:val="top"/>
          </w:tcPr>
          <w:p w14:paraId="46C680D7">
            <w:pPr>
              <w:pStyle w:val="6"/>
              <w:spacing w:before="61" w:line="227" w:lineRule="auto"/>
              <w:ind w:left="2797"/>
            </w:pPr>
            <w:r>
              <w:rPr>
                <w:b/>
                <w:bCs/>
                <w:spacing w:val="6"/>
              </w:rPr>
              <w:t>评价因子</w:t>
            </w:r>
          </w:p>
        </w:tc>
      </w:tr>
      <w:tr w14:paraId="2200B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4" w:type="dxa"/>
            <w:vMerge w:val="continue"/>
            <w:tcBorders>
              <w:top w:val="nil"/>
            </w:tcBorders>
            <w:vAlign w:val="top"/>
          </w:tcPr>
          <w:p w14:paraId="7990EE52">
            <w:pPr>
              <w:rPr>
                <w:rFonts w:ascii="Arial"/>
                <w:sz w:val="21"/>
              </w:rPr>
            </w:pPr>
          </w:p>
        </w:tc>
        <w:tc>
          <w:tcPr>
            <w:tcW w:w="1418" w:type="dxa"/>
            <w:vMerge w:val="continue"/>
            <w:tcBorders>
              <w:top w:val="nil"/>
            </w:tcBorders>
            <w:vAlign w:val="top"/>
          </w:tcPr>
          <w:p w14:paraId="08B16B66">
            <w:pPr>
              <w:rPr>
                <w:rFonts w:ascii="Arial"/>
                <w:sz w:val="21"/>
              </w:rPr>
            </w:pPr>
          </w:p>
        </w:tc>
        <w:tc>
          <w:tcPr>
            <w:tcW w:w="3286" w:type="dxa"/>
            <w:vAlign w:val="top"/>
          </w:tcPr>
          <w:p w14:paraId="74E1F779">
            <w:pPr>
              <w:pStyle w:val="6"/>
              <w:spacing w:before="57" w:line="227" w:lineRule="auto"/>
              <w:ind w:left="1230"/>
            </w:pPr>
            <w:r>
              <w:rPr>
                <w:b/>
                <w:bCs/>
                <w:spacing w:val="6"/>
              </w:rPr>
              <w:t>现状评价</w:t>
            </w:r>
          </w:p>
        </w:tc>
        <w:tc>
          <w:tcPr>
            <w:tcW w:w="3142" w:type="dxa"/>
            <w:vAlign w:val="top"/>
          </w:tcPr>
          <w:p w14:paraId="6FC26030">
            <w:pPr>
              <w:pStyle w:val="6"/>
              <w:spacing w:before="57" w:line="227" w:lineRule="auto"/>
              <w:ind w:left="1155"/>
            </w:pPr>
            <w:r>
              <w:rPr>
                <w:b/>
                <w:bCs/>
                <w:spacing w:val="6"/>
              </w:rPr>
              <w:t>影响评价</w:t>
            </w:r>
          </w:p>
        </w:tc>
      </w:tr>
      <w:tr w14:paraId="1BE03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4" w:type="dxa"/>
            <w:vMerge w:val="restart"/>
            <w:tcBorders>
              <w:bottom w:val="nil"/>
            </w:tcBorders>
            <w:vAlign w:val="top"/>
          </w:tcPr>
          <w:p w14:paraId="00DB4E0E">
            <w:pPr>
              <w:spacing w:line="330" w:lineRule="auto"/>
              <w:rPr>
                <w:rFonts w:ascii="Arial"/>
                <w:sz w:val="21"/>
              </w:rPr>
            </w:pPr>
          </w:p>
          <w:p w14:paraId="2F6FE3FE">
            <w:pPr>
              <w:spacing w:line="331" w:lineRule="auto"/>
              <w:rPr>
                <w:rFonts w:ascii="Arial"/>
                <w:sz w:val="21"/>
              </w:rPr>
            </w:pPr>
          </w:p>
          <w:p w14:paraId="74A3C21C">
            <w:pPr>
              <w:pStyle w:val="6"/>
              <w:spacing w:before="65" w:line="229" w:lineRule="auto"/>
              <w:ind w:left="243"/>
            </w:pPr>
            <w:r>
              <w:rPr>
                <w:spacing w:val="7"/>
              </w:rPr>
              <w:t>施工期</w:t>
            </w:r>
          </w:p>
        </w:tc>
        <w:tc>
          <w:tcPr>
            <w:tcW w:w="1418" w:type="dxa"/>
            <w:vAlign w:val="top"/>
          </w:tcPr>
          <w:p w14:paraId="404ED34B">
            <w:pPr>
              <w:pStyle w:val="6"/>
              <w:spacing w:before="59" w:line="228" w:lineRule="auto"/>
              <w:ind w:left="188"/>
            </w:pPr>
            <w:r>
              <w:rPr>
                <w:spacing w:val="8"/>
              </w:rPr>
              <w:t>地表水环境</w:t>
            </w:r>
          </w:p>
        </w:tc>
        <w:tc>
          <w:tcPr>
            <w:tcW w:w="3286" w:type="dxa"/>
            <w:vAlign w:val="top"/>
          </w:tcPr>
          <w:p w14:paraId="59EE6210">
            <w:pPr>
              <w:spacing w:before="27"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2EA993E1">
            <w:pPr>
              <w:pStyle w:val="6"/>
              <w:spacing w:before="58" w:line="228" w:lineRule="auto"/>
              <w:ind w:left="972"/>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0"/>
                <w:position w:val="-1"/>
                <w:sz w:val="13"/>
                <w:szCs w:val="13"/>
              </w:rPr>
              <w:t xml:space="preserve"> </w:t>
            </w:r>
            <w:r>
              <w:rPr>
                <w:spacing w:val="8"/>
              </w:rPr>
              <w:t>、氨氮</w:t>
            </w:r>
          </w:p>
        </w:tc>
      </w:tr>
      <w:tr w14:paraId="3C504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bottom w:val="nil"/>
            </w:tcBorders>
            <w:vAlign w:val="top"/>
          </w:tcPr>
          <w:p w14:paraId="77A0D88D">
            <w:pPr>
              <w:rPr>
                <w:rFonts w:ascii="Arial"/>
                <w:sz w:val="21"/>
              </w:rPr>
            </w:pPr>
          </w:p>
        </w:tc>
        <w:tc>
          <w:tcPr>
            <w:tcW w:w="1418" w:type="dxa"/>
            <w:vAlign w:val="top"/>
          </w:tcPr>
          <w:p w14:paraId="17A07EE6">
            <w:pPr>
              <w:pStyle w:val="6"/>
              <w:spacing w:before="59" w:line="229" w:lineRule="auto"/>
              <w:ind w:left="294"/>
            </w:pPr>
            <w:r>
              <w:rPr>
                <w:spacing w:val="6"/>
              </w:rPr>
              <w:t>大气环境</w:t>
            </w:r>
          </w:p>
        </w:tc>
        <w:tc>
          <w:tcPr>
            <w:tcW w:w="3286" w:type="dxa"/>
            <w:vAlign w:val="top"/>
          </w:tcPr>
          <w:p w14:paraId="00E215EA">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18C8FA40">
            <w:pPr>
              <w:pStyle w:val="6"/>
              <w:spacing w:before="60" w:line="228" w:lineRule="auto"/>
              <w:ind w:left="1363"/>
            </w:pPr>
            <w:r>
              <w:rPr>
                <w:spacing w:val="5"/>
              </w:rPr>
              <w:t>粉尘</w:t>
            </w:r>
          </w:p>
        </w:tc>
      </w:tr>
      <w:tr w14:paraId="5B2EE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bottom w:val="nil"/>
            </w:tcBorders>
            <w:vAlign w:val="top"/>
          </w:tcPr>
          <w:p w14:paraId="7CB64E8C">
            <w:pPr>
              <w:rPr>
                <w:rFonts w:ascii="Arial"/>
                <w:sz w:val="21"/>
              </w:rPr>
            </w:pPr>
          </w:p>
        </w:tc>
        <w:tc>
          <w:tcPr>
            <w:tcW w:w="1418" w:type="dxa"/>
            <w:vAlign w:val="top"/>
          </w:tcPr>
          <w:p w14:paraId="21FC7BD6">
            <w:pPr>
              <w:pStyle w:val="6"/>
              <w:spacing w:before="59" w:line="229" w:lineRule="auto"/>
              <w:ind w:left="401"/>
            </w:pPr>
            <w:r>
              <w:rPr>
                <w:spacing w:val="5"/>
              </w:rPr>
              <w:t>声环境</w:t>
            </w:r>
          </w:p>
        </w:tc>
        <w:tc>
          <w:tcPr>
            <w:tcW w:w="3286" w:type="dxa"/>
            <w:vAlign w:val="top"/>
          </w:tcPr>
          <w:p w14:paraId="20F16DA3">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7F16673F">
            <w:pPr>
              <w:spacing w:before="28" w:line="275" w:lineRule="exact"/>
              <w:ind w:left="1072"/>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8"/>
                <w:position w:val="3"/>
                <w:sz w:val="20"/>
                <w:szCs w:val="20"/>
              </w:rPr>
              <w:t>(A)]</w:t>
            </w:r>
          </w:p>
        </w:tc>
      </w:tr>
      <w:tr w14:paraId="775C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bottom w:val="nil"/>
            </w:tcBorders>
            <w:vAlign w:val="top"/>
          </w:tcPr>
          <w:p w14:paraId="76AC8EF2">
            <w:pPr>
              <w:rPr>
                <w:rFonts w:ascii="Arial"/>
                <w:sz w:val="21"/>
              </w:rPr>
            </w:pPr>
          </w:p>
        </w:tc>
        <w:tc>
          <w:tcPr>
            <w:tcW w:w="1418" w:type="dxa"/>
            <w:vAlign w:val="top"/>
          </w:tcPr>
          <w:p w14:paraId="0C17BB9C">
            <w:pPr>
              <w:pStyle w:val="6"/>
              <w:spacing w:before="60" w:line="228" w:lineRule="auto"/>
              <w:ind w:left="188"/>
            </w:pPr>
            <w:r>
              <w:rPr>
                <w:spacing w:val="8"/>
              </w:rPr>
              <w:t>地下水环境</w:t>
            </w:r>
          </w:p>
        </w:tc>
        <w:tc>
          <w:tcPr>
            <w:tcW w:w="3286" w:type="dxa"/>
            <w:vAlign w:val="top"/>
          </w:tcPr>
          <w:p w14:paraId="5DF6BBC8">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46A6B623">
            <w:pPr>
              <w:pStyle w:val="6"/>
              <w:spacing w:before="59" w:line="228" w:lineRule="auto"/>
              <w:ind w:left="1364"/>
            </w:pPr>
            <w:r>
              <w:rPr>
                <w:spacing w:val="4"/>
              </w:rPr>
              <w:t>氨氮</w:t>
            </w:r>
          </w:p>
        </w:tc>
      </w:tr>
      <w:tr w14:paraId="0091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tcBorders>
            <w:vAlign w:val="top"/>
          </w:tcPr>
          <w:p w14:paraId="09C02706">
            <w:pPr>
              <w:rPr>
                <w:rFonts w:ascii="Arial"/>
                <w:sz w:val="21"/>
              </w:rPr>
            </w:pPr>
          </w:p>
        </w:tc>
        <w:tc>
          <w:tcPr>
            <w:tcW w:w="1418" w:type="dxa"/>
            <w:vAlign w:val="top"/>
          </w:tcPr>
          <w:p w14:paraId="6B9ABDF1">
            <w:pPr>
              <w:pStyle w:val="6"/>
              <w:spacing w:before="59" w:line="229" w:lineRule="auto"/>
              <w:ind w:left="521"/>
            </w:pPr>
            <w:r>
              <w:rPr>
                <w:spacing w:val="-5"/>
              </w:rPr>
              <w:t>固废</w:t>
            </w:r>
          </w:p>
        </w:tc>
        <w:tc>
          <w:tcPr>
            <w:tcW w:w="3286" w:type="dxa"/>
            <w:vAlign w:val="top"/>
          </w:tcPr>
          <w:p w14:paraId="128B974C">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1E4C6E2B">
            <w:pPr>
              <w:pStyle w:val="6"/>
              <w:spacing w:before="59" w:line="229" w:lineRule="auto"/>
              <w:ind w:left="1155"/>
            </w:pPr>
            <w:r>
              <w:rPr>
                <w:spacing w:val="7"/>
              </w:rPr>
              <w:t>施工垃圾</w:t>
            </w:r>
          </w:p>
        </w:tc>
      </w:tr>
      <w:tr w14:paraId="37827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104" w:type="dxa"/>
            <w:vMerge w:val="restart"/>
            <w:tcBorders>
              <w:bottom w:val="nil"/>
            </w:tcBorders>
            <w:vAlign w:val="top"/>
          </w:tcPr>
          <w:p w14:paraId="5C0D46DB">
            <w:pPr>
              <w:spacing w:line="302" w:lineRule="auto"/>
              <w:rPr>
                <w:rFonts w:ascii="Arial"/>
                <w:sz w:val="21"/>
              </w:rPr>
            </w:pPr>
          </w:p>
          <w:p w14:paraId="6A913309">
            <w:pPr>
              <w:spacing w:line="303" w:lineRule="auto"/>
              <w:rPr>
                <w:rFonts w:ascii="Arial"/>
                <w:sz w:val="21"/>
              </w:rPr>
            </w:pPr>
          </w:p>
          <w:p w14:paraId="2D3A0FF7">
            <w:pPr>
              <w:spacing w:line="303" w:lineRule="auto"/>
              <w:rPr>
                <w:rFonts w:ascii="Arial"/>
                <w:sz w:val="21"/>
              </w:rPr>
            </w:pPr>
          </w:p>
          <w:p w14:paraId="2D190A0B">
            <w:pPr>
              <w:pStyle w:val="6"/>
              <w:spacing w:before="65" w:line="229" w:lineRule="auto"/>
              <w:ind w:left="250"/>
            </w:pPr>
            <w:r>
              <w:rPr>
                <w:spacing w:val="4"/>
              </w:rPr>
              <w:t>营运期</w:t>
            </w:r>
          </w:p>
        </w:tc>
        <w:tc>
          <w:tcPr>
            <w:tcW w:w="1418" w:type="dxa"/>
            <w:vAlign w:val="top"/>
          </w:tcPr>
          <w:p w14:paraId="6AE53992">
            <w:pPr>
              <w:pStyle w:val="6"/>
              <w:spacing w:before="256" w:line="229" w:lineRule="auto"/>
              <w:ind w:left="294"/>
            </w:pPr>
            <w:r>
              <w:rPr>
                <w:spacing w:val="6"/>
              </w:rPr>
              <w:t>大气环境</w:t>
            </w:r>
          </w:p>
        </w:tc>
        <w:tc>
          <w:tcPr>
            <w:tcW w:w="3286" w:type="dxa"/>
            <w:vAlign w:val="top"/>
          </w:tcPr>
          <w:p w14:paraId="5953CA2F">
            <w:pPr>
              <w:pStyle w:val="6"/>
              <w:spacing w:before="122" w:line="207" w:lineRule="auto"/>
              <w:ind w:left="381" w:right="176" w:hanging="231"/>
            </w:pPr>
            <w:r>
              <w:rPr>
                <w:rFonts w:ascii="Times New Roman" w:hAnsi="Times New Roman" w:eastAsia="Times New Roman" w:cs="Times New Roman"/>
              </w:rPr>
              <w:t>SO</w:t>
            </w:r>
            <w:r>
              <w:rPr>
                <w:rFonts w:ascii="Times New Roman" w:hAnsi="Times New Roman" w:eastAsia="Times New Roman" w:cs="Times New Roman"/>
                <w:spacing w:val="1"/>
                <w:sz w:val="13"/>
                <w:szCs w:val="13"/>
              </w:rPr>
              <w:t>2</w:t>
            </w:r>
            <w:r>
              <w:rPr>
                <w:rFonts w:ascii="Times New Roman" w:hAnsi="Times New Roman" w:eastAsia="Times New Roman" w:cs="Times New Roman"/>
                <w:spacing w:val="-9"/>
                <w:sz w:val="13"/>
                <w:szCs w:val="13"/>
              </w:rPr>
              <w:t xml:space="preserve"> </w:t>
            </w:r>
            <w:r>
              <w:rPr>
                <w:spacing w:val="1"/>
              </w:rPr>
              <w:t>、</w:t>
            </w:r>
            <w:r>
              <w:rPr>
                <w:rFonts w:ascii="Times New Roman" w:hAnsi="Times New Roman" w:eastAsia="Times New Roman" w:cs="Times New Roman"/>
              </w:rPr>
              <w:t>NO</w:t>
            </w:r>
            <w:r>
              <w:rPr>
                <w:rFonts w:ascii="Times New Roman" w:hAnsi="Times New Roman" w:eastAsia="Times New Roman" w:cs="Times New Roman"/>
                <w:spacing w:val="1"/>
                <w:sz w:val="13"/>
                <w:szCs w:val="13"/>
              </w:rPr>
              <w:t>2</w:t>
            </w:r>
            <w:r>
              <w:rPr>
                <w:rFonts w:ascii="Times New Roman" w:hAnsi="Times New Roman" w:eastAsia="Times New Roman" w:cs="Times New Roman"/>
                <w:spacing w:val="-9"/>
                <w:sz w:val="13"/>
                <w:szCs w:val="13"/>
              </w:rPr>
              <w:t xml:space="preserve"> </w:t>
            </w:r>
            <w:r>
              <w:rPr>
                <w:spacing w:val="1"/>
              </w:rPr>
              <w:t>、</w:t>
            </w:r>
            <w:r>
              <w:rPr>
                <w:rFonts w:ascii="Times New Roman" w:hAnsi="Times New Roman" w:eastAsia="Times New Roman" w:cs="Times New Roman"/>
              </w:rPr>
              <w:t>PM</w:t>
            </w:r>
            <w:r>
              <w:rPr>
                <w:rFonts w:ascii="Times New Roman" w:hAnsi="Times New Roman" w:eastAsia="Times New Roman" w:cs="Times New Roman"/>
                <w:spacing w:val="1"/>
                <w:sz w:val="13"/>
                <w:szCs w:val="13"/>
              </w:rPr>
              <w:t>10</w:t>
            </w:r>
            <w:r>
              <w:rPr>
                <w:rFonts w:ascii="Times New Roman" w:hAnsi="Times New Roman" w:eastAsia="Times New Roman" w:cs="Times New Roman"/>
                <w:spacing w:val="-14"/>
                <w:sz w:val="13"/>
                <w:szCs w:val="13"/>
              </w:rPr>
              <w:t xml:space="preserve"> </w:t>
            </w:r>
            <w:r>
              <w:rPr>
                <w:spacing w:val="1"/>
              </w:rPr>
              <w:t>、</w:t>
            </w:r>
            <w:r>
              <w:rPr>
                <w:rFonts w:ascii="Times New Roman" w:hAnsi="Times New Roman" w:eastAsia="Times New Roman" w:cs="Times New Roman"/>
              </w:rPr>
              <w:t>PM</w:t>
            </w:r>
            <w:r>
              <w:rPr>
                <w:rFonts w:ascii="Times New Roman" w:hAnsi="Times New Roman" w:eastAsia="Times New Roman" w:cs="Times New Roman"/>
                <w:spacing w:val="1"/>
              </w:rPr>
              <w:t xml:space="preserve"> </w:t>
            </w:r>
            <w:r>
              <w:rPr>
                <w:rFonts w:ascii="Times New Roman" w:hAnsi="Times New Roman" w:eastAsia="Times New Roman" w:cs="Times New Roman"/>
                <w:spacing w:val="1"/>
                <w:sz w:val="13"/>
                <w:szCs w:val="13"/>
              </w:rPr>
              <w:t>2.5</w:t>
            </w:r>
            <w:r>
              <w:rPr>
                <w:rFonts w:ascii="微软雅黑" w:hAnsi="微软雅黑" w:eastAsia="微软雅黑" w:cs="微软雅黑"/>
                <w:spacing w:val="1"/>
              </w:rPr>
              <w:t>、</w:t>
            </w:r>
            <w:r>
              <w:rPr>
                <w:rFonts w:ascii="Times New Roman" w:hAnsi="Times New Roman" w:eastAsia="Times New Roman" w:cs="Times New Roman"/>
              </w:rPr>
              <w:t>CO</w:t>
            </w:r>
            <w:r>
              <w:rPr>
                <w:rFonts w:ascii="微软雅黑" w:hAnsi="微软雅黑" w:eastAsia="微软雅黑" w:cs="微软雅黑"/>
                <w:spacing w:val="1"/>
              </w:rPr>
              <w:t>、</w:t>
            </w:r>
            <w:r>
              <w:rPr>
                <w:rFonts w:ascii="微软雅黑" w:hAnsi="微软雅黑" w:eastAsia="微软雅黑" w:cs="微软雅黑"/>
              </w:rPr>
              <w:t xml:space="preserve"> </w:t>
            </w:r>
            <w:r>
              <w:rPr>
                <w:rFonts w:ascii="Times New Roman" w:hAnsi="Times New Roman" w:eastAsia="Times New Roman" w:cs="Times New Roman"/>
                <w:spacing w:val="8"/>
              </w:rPr>
              <w:t>O</w:t>
            </w:r>
            <w:r>
              <w:rPr>
                <w:rFonts w:ascii="Times New Roman" w:hAnsi="Times New Roman" w:eastAsia="Times New Roman" w:cs="Times New Roman"/>
                <w:spacing w:val="8"/>
                <w:position w:val="-1"/>
                <w:sz w:val="13"/>
                <w:szCs w:val="13"/>
              </w:rPr>
              <w:t>3</w:t>
            </w:r>
            <w:r>
              <w:rPr>
                <w:rFonts w:ascii="微软雅黑" w:hAnsi="微软雅黑" w:eastAsia="微软雅黑" w:cs="微软雅黑"/>
                <w:spacing w:val="8"/>
              </w:rPr>
              <w:t>、</w:t>
            </w:r>
            <w:r>
              <w:rPr>
                <w:spacing w:val="8"/>
              </w:rPr>
              <w:t>硫化氢、氨、臭气浓度</w:t>
            </w:r>
          </w:p>
        </w:tc>
        <w:tc>
          <w:tcPr>
            <w:tcW w:w="3142" w:type="dxa"/>
            <w:vAlign w:val="top"/>
          </w:tcPr>
          <w:p w14:paraId="1167EAC0">
            <w:pPr>
              <w:pStyle w:val="6"/>
              <w:spacing w:before="119" w:line="276" w:lineRule="exact"/>
              <w:ind w:left="147"/>
            </w:pPr>
            <w:r>
              <w:rPr>
                <w:spacing w:val="9"/>
                <w:position w:val="1"/>
              </w:rPr>
              <w:t>硫化氢、氨、臭气浓度、</w:t>
            </w:r>
            <w:r>
              <w:rPr>
                <w:rFonts w:ascii="Times New Roman" w:hAnsi="Times New Roman" w:eastAsia="Times New Roman" w:cs="Times New Roman"/>
                <w:position w:val="1"/>
              </w:rPr>
              <w:t>SO</w:t>
            </w:r>
            <w:r>
              <w:rPr>
                <w:rFonts w:ascii="Times New Roman" w:hAnsi="Times New Roman" w:eastAsia="Times New Roman" w:cs="Times New Roman"/>
                <w:spacing w:val="9"/>
                <w:sz w:val="13"/>
                <w:szCs w:val="13"/>
              </w:rPr>
              <w:t>2</w:t>
            </w:r>
            <w:r>
              <w:rPr>
                <w:spacing w:val="9"/>
                <w:position w:val="1"/>
              </w:rPr>
              <w:t>、</w:t>
            </w:r>
          </w:p>
          <w:p w14:paraId="406C2C40">
            <w:pPr>
              <w:pStyle w:val="6"/>
              <w:spacing w:before="33" w:line="190" w:lineRule="auto"/>
              <w:ind w:left="1078"/>
              <w:rPr>
                <w:rFonts w:ascii="Times New Roman" w:hAnsi="Times New Roman" w:eastAsia="Times New Roman" w:cs="Times New Roman"/>
              </w:rPr>
            </w:pPr>
            <w:r>
              <w:rPr>
                <w:rFonts w:ascii="Times New Roman" w:hAnsi="Times New Roman" w:eastAsia="Times New Roman" w:cs="Times New Roman"/>
              </w:rPr>
              <w:t>NOx</w:t>
            </w:r>
            <w:r>
              <w:rPr>
                <w:rFonts w:ascii="Times New Roman" w:hAnsi="Times New Roman" w:eastAsia="Times New Roman" w:cs="Times New Roman"/>
                <w:spacing w:val="-27"/>
              </w:rPr>
              <w:t xml:space="preserve"> </w:t>
            </w:r>
            <w:r>
              <w:rPr>
                <w:spacing w:val="22"/>
              </w:rPr>
              <w:t>、</w:t>
            </w:r>
            <w:r>
              <w:rPr>
                <w:rFonts w:ascii="Times New Roman" w:hAnsi="Times New Roman" w:eastAsia="Times New Roman" w:cs="Times New Roman"/>
              </w:rPr>
              <w:t>TSP</w:t>
            </w:r>
          </w:p>
        </w:tc>
      </w:tr>
      <w:tr w14:paraId="127D9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4" w:type="dxa"/>
            <w:vMerge w:val="continue"/>
            <w:tcBorders>
              <w:top w:val="nil"/>
              <w:bottom w:val="nil"/>
            </w:tcBorders>
            <w:vAlign w:val="top"/>
          </w:tcPr>
          <w:p w14:paraId="08208A00">
            <w:pPr>
              <w:rPr>
                <w:rFonts w:ascii="Arial"/>
                <w:sz w:val="21"/>
              </w:rPr>
            </w:pPr>
          </w:p>
        </w:tc>
        <w:tc>
          <w:tcPr>
            <w:tcW w:w="1418" w:type="dxa"/>
            <w:vAlign w:val="top"/>
          </w:tcPr>
          <w:p w14:paraId="2BFC1A8E">
            <w:pPr>
              <w:pStyle w:val="6"/>
              <w:spacing w:before="36" w:line="213" w:lineRule="auto"/>
              <w:ind w:left="401"/>
            </w:pPr>
            <w:r>
              <w:rPr>
                <w:spacing w:val="5"/>
              </w:rPr>
              <w:t>声环境</w:t>
            </w:r>
          </w:p>
        </w:tc>
        <w:tc>
          <w:tcPr>
            <w:tcW w:w="3286" w:type="dxa"/>
            <w:vAlign w:val="top"/>
          </w:tcPr>
          <w:p w14:paraId="00824152">
            <w:pPr>
              <w:spacing w:before="5" w:line="262" w:lineRule="exact"/>
              <w:ind w:left="1145"/>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8"/>
                <w:position w:val="3"/>
                <w:sz w:val="20"/>
                <w:szCs w:val="20"/>
              </w:rPr>
              <w:t>(A)]</w:t>
            </w:r>
          </w:p>
        </w:tc>
        <w:tc>
          <w:tcPr>
            <w:tcW w:w="3142" w:type="dxa"/>
            <w:vAlign w:val="top"/>
          </w:tcPr>
          <w:p w14:paraId="11F898AA">
            <w:pPr>
              <w:spacing w:before="5" w:line="262" w:lineRule="exact"/>
              <w:ind w:left="1072"/>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8"/>
                <w:position w:val="3"/>
                <w:sz w:val="20"/>
                <w:szCs w:val="20"/>
              </w:rPr>
              <w:t>(A)]</w:t>
            </w:r>
          </w:p>
        </w:tc>
      </w:tr>
      <w:tr w14:paraId="43455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04" w:type="dxa"/>
            <w:vMerge w:val="continue"/>
            <w:tcBorders>
              <w:top w:val="nil"/>
              <w:bottom w:val="nil"/>
            </w:tcBorders>
            <w:vAlign w:val="top"/>
          </w:tcPr>
          <w:p w14:paraId="176AEA7B">
            <w:pPr>
              <w:rPr>
                <w:rFonts w:ascii="Arial"/>
                <w:sz w:val="21"/>
              </w:rPr>
            </w:pPr>
          </w:p>
        </w:tc>
        <w:tc>
          <w:tcPr>
            <w:tcW w:w="1418" w:type="dxa"/>
            <w:vAlign w:val="top"/>
          </w:tcPr>
          <w:p w14:paraId="6D1BDBA2">
            <w:pPr>
              <w:rPr>
                <w:rFonts w:ascii="Arial"/>
                <w:sz w:val="21"/>
              </w:rPr>
            </w:pPr>
          </w:p>
          <w:p w14:paraId="3598EAB6">
            <w:pPr>
              <w:pStyle w:val="6"/>
              <w:spacing w:before="65" w:line="228" w:lineRule="auto"/>
              <w:ind w:left="188"/>
            </w:pPr>
            <w:r>
              <w:rPr>
                <w:spacing w:val="8"/>
              </w:rPr>
              <w:t>地下水环境</w:t>
            </w:r>
          </w:p>
        </w:tc>
        <w:tc>
          <w:tcPr>
            <w:tcW w:w="3286" w:type="dxa"/>
            <w:vAlign w:val="top"/>
          </w:tcPr>
          <w:p w14:paraId="771E89C1">
            <w:pPr>
              <w:pStyle w:val="6"/>
              <w:spacing w:before="35" w:line="221" w:lineRule="auto"/>
              <w:ind w:left="146"/>
            </w:pPr>
            <w:r>
              <w:rPr>
                <w:rFonts w:ascii="Times New Roman" w:hAnsi="Times New Roman" w:eastAsia="Times New Roman" w:cs="Times New Roman"/>
              </w:rPr>
              <w:t>pH</w:t>
            </w:r>
            <w:r>
              <w:rPr>
                <w:rFonts w:ascii="Times New Roman" w:hAnsi="Times New Roman" w:eastAsia="Times New Roman" w:cs="Times New Roman"/>
                <w:spacing w:val="-25"/>
              </w:rPr>
              <w:t xml:space="preserve"> </w:t>
            </w:r>
            <w:r>
              <w:rPr>
                <w:spacing w:val="9"/>
              </w:rPr>
              <w:t>、氨氮、硝酸盐、总硬度、溶</w:t>
            </w:r>
          </w:p>
          <w:p w14:paraId="4E72008F">
            <w:pPr>
              <w:pStyle w:val="6"/>
              <w:spacing w:before="32" w:line="228" w:lineRule="auto"/>
              <w:ind w:left="111"/>
            </w:pPr>
            <w:r>
              <w:rPr>
                <w:spacing w:val="4"/>
              </w:rPr>
              <w:t>解性总固体、高锰酸钾指数、总大</w:t>
            </w:r>
          </w:p>
          <w:p w14:paraId="607FEF44">
            <w:pPr>
              <w:pStyle w:val="6"/>
              <w:spacing w:before="26" w:line="214" w:lineRule="auto"/>
              <w:ind w:left="1333"/>
            </w:pPr>
            <w:r>
              <w:rPr>
                <w:spacing w:val="7"/>
              </w:rPr>
              <w:t>肠杆菌</w:t>
            </w:r>
          </w:p>
        </w:tc>
        <w:tc>
          <w:tcPr>
            <w:tcW w:w="3142" w:type="dxa"/>
            <w:vAlign w:val="top"/>
          </w:tcPr>
          <w:p w14:paraId="74862C7B">
            <w:pPr>
              <w:spacing w:before="275" w:line="274" w:lineRule="exact"/>
              <w:ind w:left="1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B580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4" w:type="dxa"/>
            <w:vMerge w:val="continue"/>
            <w:tcBorders>
              <w:top w:val="nil"/>
            </w:tcBorders>
            <w:vAlign w:val="top"/>
          </w:tcPr>
          <w:p w14:paraId="1A079C06">
            <w:pPr>
              <w:rPr>
                <w:rFonts w:ascii="Arial"/>
                <w:sz w:val="21"/>
              </w:rPr>
            </w:pPr>
          </w:p>
        </w:tc>
        <w:tc>
          <w:tcPr>
            <w:tcW w:w="1418" w:type="dxa"/>
            <w:vAlign w:val="top"/>
          </w:tcPr>
          <w:p w14:paraId="32BD989D">
            <w:pPr>
              <w:pStyle w:val="6"/>
              <w:spacing w:before="62" w:line="229" w:lineRule="auto"/>
              <w:ind w:left="521"/>
            </w:pPr>
            <w:r>
              <w:rPr>
                <w:spacing w:val="-5"/>
              </w:rPr>
              <w:t>固废</w:t>
            </w:r>
          </w:p>
        </w:tc>
        <w:tc>
          <w:tcPr>
            <w:tcW w:w="3286" w:type="dxa"/>
            <w:vAlign w:val="top"/>
          </w:tcPr>
          <w:p w14:paraId="18FD2564">
            <w:pPr>
              <w:spacing w:before="31" w:line="274"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0745F9CF">
            <w:pPr>
              <w:pStyle w:val="6"/>
              <w:spacing w:before="62" w:line="229" w:lineRule="auto"/>
              <w:ind w:left="116"/>
            </w:pPr>
            <w:r>
              <w:rPr>
                <w:spacing w:val="7"/>
              </w:rPr>
              <w:t>生活垃圾、医疗废物、病死猪尸</w:t>
            </w:r>
          </w:p>
        </w:tc>
      </w:tr>
    </w:tbl>
    <w:p w14:paraId="69C9F909">
      <w:pPr>
        <w:pStyle w:val="2"/>
        <w:spacing w:line="103" w:lineRule="exact"/>
        <w:rPr>
          <w:sz w:val="8"/>
        </w:rPr>
      </w:pPr>
    </w:p>
    <w:p w14:paraId="430C898C">
      <w:pPr>
        <w:spacing w:line="103" w:lineRule="exact"/>
        <w:rPr>
          <w:sz w:val="8"/>
          <w:szCs w:val="8"/>
        </w:rPr>
        <w:sectPr>
          <w:footerReference r:id="rId53" w:type="default"/>
          <w:pgSz w:w="11906" w:h="16839"/>
          <w:pgMar w:top="1418"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1418"/>
        <w:gridCol w:w="3286"/>
        <w:gridCol w:w="3142"/>
      </w:tblGrid>
      <w:tr w14:paraId="51BC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4" w:type="dxa"/>
            <w:vAlign w:val="top"/>
          </w:tcPr>
          <w:p w14:paraId="6651BABC">
            <w:pPr>
              <w:rPr>
                <w:rFonts w:ascii="Arial"/>
                <w:sz w:val="21"/>
              </w:rPr>
            </w:pPr>
          </w:p>
        </w:tc>
        <w:tc>
          <w:tcPr>
            <w:tcW w:w="1418" w:type="dxa"/>
            <w:vAlign w:val="top"/>
          </w:tcPr>
          <w:p w14:paraId="78C3B8B2">
            <w:pPr>
              <w:rPr>
                <w:rFonts w:ascii="Arial"/>
                <w:sz w:val="21"/>
              </w:rPr>
            </w:pPr>
          </w:p>
        </w:tc>
        <w:tc>
          <w:tcPr>
            <w:tcW w:w="3286" w:type="dxa"/>
            <w:vAlign w:val="top"/>
          </w:tcPr>
          <w:p w14:paraId="094E2BA2">
            <w:pPr>
              <w:rPr>
                <w:rFonts w:ascii="Arial"/>
                <w:sz w:val="21"/>
              </w:rPr>
            </w:pPr>
          </w:p>
        </w:tc>
        <w:tc>
          <w:tcPr>
            <w:tcW w:w="3142" w:type="dxa"/>
            <w:vAlign w:val="top"/>
          </w:tcPr>
          <w:p w14:paraId="0046F8BC">
            <w:pPr>
              <w:pStyle w:val="6"/>
              <w:spacing w:before="64" w:line="228" w:lineRule="auto"/>
              <w:ind w:left="524"/>
            </w:pPr>
            <w:r>
              <w:rPr>
                <w:spacing w:val="8"/>
              </w:rPr>
              <w:t>体、粪便、废包装物等</w:t>
            </w:r>
          </w:p>
        </w:tc>
      </w:tr>
    </w:tbl>
    <w:p w14:paraId="716AB5CD">
      <w:pPr>
        <w:pStyle w:val="2"/>
        <w:spacing w:line="324" w:lineRule="auto"/>
      </w:pPr>
    </w:p>
    <w:p w14:paraId="35F63646">
      <w:pPr>
        <w:pStyle w:val="2"/>
        <w:spacing w:line="325" w:lineRule="auto"/>
      </w:pPr>
    </w:p>
    <w:p w14:paraId="2BEB5F8E">
      <w:pPr>
        <w:spacing w:before="101" w:line="224" w:lineRule="auto"/>
        <w:ind w:left="121"/>
        <w:outlineLvl w:val="1"/>
        <w:rPr>
          <w:rFonts w:ascii="宋体" w:hAnsi="宋体" w:eastAsia="宋体" w:cs="宋体"/>
          <w:sz w:val="31"/>
          <w:szCs w:val="31"/>
        </w:rPr>
      </w:pPr>
      <w:bookmarkStart w:id="16" w:name="bookmark15"/>
      <w:bookmarkEnd w:id="16"/>
      <w:r>
        <w:rPr>
          <w:rFonts w:ascii="Times New Roman" w:hAnsi="Times New Roman" w:eastAsia="Times New Roman" w:cs="Times New Roman"/>
          <w:b/>
          <w:bCs/>
          <w:spacing w:val="5"/>
          <w:sz w:val="31"/>
          <w:szCs w:val="31"/>
        </w:rPr>
        <w:t>2.7</w:t>
      </w:r>
      <w:r>
        <w:rPr>
          <w:rFonts w:ascii="宋体" w:hAnsi="宋体" w:eastAsia="宋体" w:cs="宋体"/>
          <w:b/>
          <w:bCs/>
          <w:spacing w:val="5"/>
          <w:sz w:val="31"/>
          <w:szCs w:val="31"/>
        </w:rPr>
        <w:t>评价内容及重点</w:t>
      </w:r>
    </w:p>
    <w:p w14:paraId="2365BE5B">
      <w:pPr>
        <w:pStyle w:val="2"/>
        <w:spacing w:line="415" w:lineRule="auto"/>
      </w:pPr>
    </w:p>
    <w:p w14:paraId="48E5A20E">
      <w:pPr>
        <w:spacing w:before="75" w:line="227" w:lineRule="auto"/>
        <w:ind w:left="119"/>
        <w:outlineLvl w:val="2"/>
        <w:rPr>
          <w:rFonts w:ascii="宋体" w:hAnsi="宋体" w:eastAsia="宋体" w:cs="宋体"/>
          <w:sz w:val="23"/>
          <w:szCs w:val="23"/>
        </w:rPr>
      </w:pPr>
      <w:r>
        <w:rPr>
          <w:rFonts w:ascii="Times New Roman" w:hAnsi="Times New Roman" w:eastAsia="Times New Roman" w:cs="Times New Roman"/>
          <w:b/>
          <w:bCs/>
          <w:spacing w:val="5"/>
          <w:sz w:val="23"/>
          <w:szCs w:val="23"/>
        </w:rPr>
        <w:t>2.7.1</w:t>
      </w:r>
      <w:r>
        <w:rPr>
          <w:rFonts w:ascii="宋体" w:hAnsi="宋体" w:eastAsia="宋体" w:cs="宋体"/>
          <w:b/>
          <w:bCs/>
          <w:spacing w:val="5"/>
          <w:sz w:val="23"/>
          <w:szCs w:val="23"/>
        </w:rPr>
        <w:t>评价内容</w:t>
      </w:r>
    </w:p>
    <w:p w14:paraId="4615523D">
      <w:pPr>
        <w:spacing w:before="169" w:line="324" w:lineRule="auto"/>
        <w:ind w:left="123" w:right="113" w:firstLine="497"/>
        <w:rPr>
          <w:rFonts w:ascii="宋体" w:hAnsi="宋体" w:eastAsia="宋体" w:cs="宋体"/>
          <w:sz w:val="23"/>
          <w:szCs w:val="23"/>
        </w:rPr>
      </w:pPr>
      <w:r>
        <w:rPr>
          <w:rFonts w:ascii="Times New Roman" w:hAnsi="Times New Roman" w:eastAsia="Times New Roman" w:cs="Times New Roman"/>
          <w:spacing w:val="7"/>
          <w:sz w:val="23"/>
          <w:szCs w:val="23"/>
        </w:rPr>
        <w:t>1</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、项目环境保护目标和环境敏感点的基本情况，收集相关监测资料，分析并评</w:t>
      </w:r>
      <w:r>
        <w:rPr>
          <w:rFonts w:ascii="宋体" w:hAnsi="宋体" w:eastAsia="宋体" w:cs="宋体"/>
          <w:sz w:val="23"/>
          <w:szCs w:val="23"/>
        </w:rPr>
        <w:t xml:space="preserve"> </w:t>
      </w:r>
      <w:r>
        <w:rPr>
          <w:rFonts w:ascii="宋体" w:hAnsi="宋体" w:eastAsia="宋体" w:cs="宋体"/>
          <w:spacing w:val="4"/>
          <w:sz w:val="23"/>
          <w:szCs w:val="23"/>
        </w:rPr>
        <w:t>价该区域的环境质量现状；</w:t>
      </w:r>
    </w:p>
    <w:p w14:paraId="166352E6">
      <w:pPr>
        <w:spacing w:before="168" w:line="348" w:lineRule="auto"/>
        <w:ind w:left="122" w:right="113" w:firstLine="475"/>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30"/>
          <w:sz w:val="23"/>
          <w:szCs w:val="23"/>
        </w:rPr>
        <w:t xml:space="preserve"> </w:t>
      </w:r>
      <w:r>
        <w:rPr>
          <w:rFonts w:ascii="宋体" w:hAnsi="宋体" w:eastAsia="宋体" w:cs="宋体"/>
          <w:spacing w:val="8"/>
          <w:sz w:val="23"/>
          <w:szCs w:val="23"/>
        </w:rPr>
        <w:t>、目的建设工程和污染源进行分析，确定本项目施工期和营运期各类污染物的</w:t>
      </w:r>
      <w:r>
        <w:rPr>
          <w:rFonts w:ascii="宋体" w:hAnsi="宋体" w:eastAsia="宋体" w:cs="宋体"/>
          <w:sz w:val="23"/>
          <w:szCs w:val="23"/>
        </w:rPr>
        <w:t xml:space="preserve"> </w:t>
      </w:r>
      <w:r>
        <w:rPr>
          <w:rFonts w:ascii="宋体" w:hAnsi="宋体" w:eastAsia="宋体" w:cs="宋体"/>
          <w:spacing w:val="12"/>
          <w:sz w:val="23"/>
          <w:szCs w:val="23"/>
        </w:rPr>
        <w:t>排放源强，预测分析本项目建设过程和建成投产后对项目周围的大气、水、声环境</w:t>
      </w:r>
      <w:r>
        <w:rPr>
          <w:rFonts w:ascii="宋体" w:hAnsi="宋体" w:eastAsia="宋体" w:cs="宋体"/>
          <w:spacing w:val="6"/>
          <w:sz w:val="23"/>
          <w:szCs w:val="23"/>
        </w:rPr>
        <w:t xml:space="preserve"> </w:t>
      </w:r>
      <w:r>
        <w:rPr>
          <w:rFonts w:ascii="宋体" w:hAnsi="宋体" w:eastAsia="宋体" w:cs="宋体"/>
          <w:spacing w:val="2"/>
          <w:sz w:val="23"/>
          <w:szCs w:val="23"/>
        </w:rPr>
        <w:t>的影响程度和范围；</w:t>
      </w:r>
    </w:p>
    <w:p w14:paraId="32BC9F0B">
      <w:pPr>
        <w:spacing w:before="168" w:line="325" w:lineRule="auto"/>
        <w:ind w:left="122" w:right="110" w:firstLine="480"/>
        <w:rPr>
          <w:rFonts w:ascii="宋体" w:hAnsi="宋体" w:eastAsia="宋体" w:cs="宋体"/>
          <w:sz w:val="23"/>
          <w:szCs w:val="23"/>
        </w:rPr>
      </w:pPr>
      <w:r>
        <w:rPr>
          <w:rFonts w:ascii="Times New Roman" w:hAnsi="Times New Roman" w:eastAsia="Times New Roman" w:cs="Times New Roman"/>
          <w:spacing w:val="8"/>
          <w:sz w:val="23"/>
          <w:szCs w:val="23"/>
        </w:rPr>
        <w:t>3</w:t>
      </w:r>
      <w:r>
        <w:rPr>
          <w:rFonts w:ascii="Times New Roman" w:hAnsi="Times New Roman" w:eastAsia="Times New Roman" w:cs="Times New Roman"/>
          <w:spacing w:val="-32"/>
          <w:sz w:val="23"/>
          <w:szCs w:val="23"/>
        </w:rPr>
        <w:t xml:space="preserve"> </w:t>
      </w:r>
      <w:r>
        <w:rPr>
          <w:rFonts w:ascii="宋体" w:hAnsi="宋体" w:eastAsia="宋体" w:cs="宋体"/>
          <w:spacing w:val="8"/>
          <w:sz w:val="23"/>
          <w:szCs w:val="23"/>
        </w:rPr>
        <w:t>、外环境现有及潜在的污染源，分析其对本项目的影响特征、程度，并提出相</w:t>
      </w:r>
      <w:r>
        <w:rPr>
          <w:rFonts w:ascii="宋体" w:hAnsi="宋体" w:eastAsia="宋体" w:cs="宋体"/>
          <w:sz w:val="23"/>
          <w:szCs w:val="23"/>
        </w:rPr>
        <w:t xml:space="preserve"> </w:t>
      </w:r>
      <w:r>
        <w:rPr>
          <w:rFonts w:ascii="宋体" w:hAnsi="宋体" w:eastAsia="宋体" w:cs="宋体"/>
          <w:spacing w:val="3"/>
          <w:sz w:val="23"/>
          <w:szCs w:val="23"/>
        </w:rPr>
        <w:t>应的减缓措施。</w:t>
      </w:r>
    </w:p>
    <w:p w14:paraId="79483F02">
      <w:pPr>
        <w:spacing w:before="168" w:line="314" w:lineRule="exact"/>
        <w:ind w:left="597"/>
        <w:rPr>
          <w:rFonts w:ascii="宋体" w:hAnsi="宋体" w:eastAsia="宋体" w:cs="宋体"/>
          <w:sz w:val="23"/>
          <w:szCs w:val="23"/>
        </w:rPr>
      </w:pPr>
      <w:r>
        <w:rPr>
          <w:rFonts w:ascii="Times New Roman" w:hAnsi="Times New Roman" w:eastAsia="Times New Roman" w:cs="Times New Roman"/>
          <w:spacing w:val="7"/>
          <w:position w:val="1"/>
          <w:sz w:val="23"/>
          <w:szCs w:val="23"/>
        </w:rPr>
        <w:t>4</w:t>
      </w:r>
      <w:r>
        <w:rPr>
          <w:rFonts w:ascii="Times New Roman" w:hAnsi="Times New Roman" w:eastAsia="Times New Roman" w:cs="Times New Roman"/>
          <w:spacing w:val="-14"/>
          <w:position w:val="1"/>
          <w:sz w:val="23"/>
          <w:szCs w:val="23"/>
        </w:rPr>
        <w:t xml:space="preserve"> </w:t>
      </w:r>
      <w:r>
        <w:rPr>
          <w:rFonts w:ascii="宋体" w:hAnsi="宋体" w:eastAsia="宋体" w:cs="宋体"/>
          <w:spacing w:val="7"/>
          <w:position w:val="1"/>
          <w:sz w:val="23"/>
          <w:szCs w:val="23"/>
        </w:rPr>
        <w:t>、项目污染治理方案及拟采用的环保措施进行经济技术可行性论证。</w:t>
      </w:r>
    </w:p>
    <w:p w14:paraId="19C7BA01">
      <w:pPr>
        <w:spacing w:before="210" w:line="227" w:lineRule="auto"/>
        <w:ind w:left="119"/>
        <w:outlineLvl w:val="2"/>
        <w:rPr>
          <w:rFonts w:ascii="宋体" w:hAnsi="宋体" w:eastAsia="宋体" w:cs="宋体"/>
          <w:sz w:val="23"/>
          <w:szCs w:val="23"/>
        </w:rPr>
      </w:pPr>
      <w:r>
        <w:rPr>
          <w:rFonts w:ascii="Times New Roman" w:hAnsi="Times New Roman" w:eastAsia="Times New Roman" w:cs="Times New Roman"/>
          <w:b/>
          <w:bCs/>
          <w:spacing w:val="5"/>
          <w:sz w:val="23"/>
          <w:szCs w:val="23"/>
        </w:rPr>
        <w:t>2.7.2</w:t>
      </w:r>
      <w:r>
        <w:rPr>
          <w:rFonts w:ascii="宋体" w:hAnsi="宋体" w:eastAsia="宋体" w:cs="宋体"/>
          <w:b/>
          <w:bCs/>
          <w:spacing w:val="5"/>
          <w:sz w:val="23"/>
          <w:szCs w:val="23"/>
        </w:rPr>
        <w:t>评价重点</w:t>
      </w:r>
    </w:p>
    <w:p w14:paraId="7C2A5833">
      <w:pPr>
        <w:spacing w:before="207" w:line="227" w:lineRule="auto"/>
        <w:ind w:left="602"/>
        <w:rPr>
          <w:rFonts w:ascii="宋体" w:hAnsi="宋体" w:eastAsia="宋体" w:cs="宋体"/>
          <w:sz w:val="23"/>
          <w:szCs w:val="23"/>
        </w:rPr>
      </w:pPr>
      <w:r>
        <w:rPr>
          <w:rFonts w:ascii="宋体" w:hAnsi="宋体" w:eastAsia="宋体" w:cs="宋体"/>
          <w:spacing w:val="7"/>
          <w:sz w:val="23"/>
          <w:szCs w:val="23"/>
        </w:rPr>
        <w:t>根据工程特点、选址位置及周边环境特征，确定评价重点如下：</w:t>
      </w:r>
    </w:p>
    <w:p w14:paraId="1D959D32">
      <w:pPr>
        <w:spacing w:before="169" w:line="315" w:lineRule="exact"/>
        <w:ind w:left="621"/>
        <w:rPr>
          <w:rFonts w:ascii="宋体" w:hAnsi="宋体" w:eastAsia="宋体" w:cs="宋体"/>
          <w:sz w:val="23"/>
          <w:szCs w:val="23"/>
        </w:rPr>
      </w:pPr>
      <w:r>
        <w:rPr>
          <w:rFonts w:ascii="Times New Roman" w:hAnsi="Times New Roman" w:eastAsia="Times New Roman" w:cs="Times New Roman"/>
          <w:spacing w:val="6"/>
          <w:position w:val="1"/>
          <w:sz w:val="23"/>
          <w:szCs w:val="23"/>
        </w:rPr>
        <w:t>1</w:t>
      </w:r>
      <w:r>
        <w:rPr>
          <w:rFonts w:ascii="Times New Roman" w:hAnsi="Times New Roman" w:eastAsia="Times New Roman" w:cs="Times New Roman"/>
          <w:spacing w:val="-31"/>
          <w:position w:val="1"/>
          <w:sz w:val="23"/>
          <w:szCs w:val="23"/>
        </w:rPr>
        <w:t xml:space="preserve"> </w:t>
      </w:r>
      <w:r>
        <w:rPr>
          <w:rFonts w:ascii="宋体" w:hAnsi="宋体" w:eastAsia="宋体" w:cs="宋体"/>
          <w:spacing w:val="6"/>
          <w:position w:val="1"/>
          <w:sz w:val="23"/>
          <w:szCs w:val="23"/>
        </w:rPr>
        <w:t>、项目生产过程的排污环节分析、污染源强核算等方</w:t>
      </w:r>
      <w:r>
        <w:rPr>
          <w:rFonts w:ascii="宋体" w:hAnsi="宋体" w:eastAsia="宋体" w:cs="宋体"/>
          <w:spacing w:val="5"/>
          <w:position w:val="1"/>
          <w:sz w:val="23"/>
          <w:szCs w:val="23"/>
        </w:rPr>
        <w:t>面的评价；</w:t>
      </w:r>
    </w:p>
    <w:p w14:paraId="2571D2F0">
      <w:pPr>
        <w:spacing w:before="175" w:line="315" w:lineRule="exact"/>
        <w:ind w:left="598"/>
        <w:rPr>
          <w:rFonts w:ascii="宋体" w:hAnsi="宋体" w:eastAsia="宋体" w:cs="宋体"/>
          <w:sz w:val="23"/>
          <w:szCs w:val="23"/>
        </w:rPr>
      </w:pPr>
      <w:r>
        <w:rPr>
          <w:rFonts w:ascii="Times New Roman" w:hAnsi="Times New Roman" w:eastAsia="Times New Roman" w:cs="Times New Roman"/>
          <w:spacing w:val="6"/>
          <w:position w:val="1"/>
          <w:sz w:val="23"/>
          <w:szCs w:val="23"/>
        </w:rPr>
        <w:t>2</w:t>
      </w:r>
      <w:r>
        <w:rPr>
          <w:rFonts w:ascii="Times New Roman" w:hAnsi="Times New Roman" w:eastAsia="Times New Roman" w:cs="Times New Roman"/>
          <w:spacing w:val="-29"/>
          <w:position w:val="1"/>
          <w:sz w:val="23"/>
          <w:szCs w:val="23"/>
        </w:rPr>
        <w:t xml:space="preserve"> </w:t>
      </w:r>
      <w:r>
        <w:rPr>
          <w:rFonts w:ascii="宋体" w:hAnsi="宋体" w:eastAsia="宋体" w:cs="宋体"/>
          <w:spacing w:val="6"/>
          <w:position w:val="1"/>
          <w:sz w:val="23"/>
          <w:szCs w:val="23"/>
        </w:rPr>
        <w:t>、营运期各项污染防治措施及其经济技术可行性分析；</w:t>
      </w:r>
    </w:p>
    <w:p w14:paraId="296EBB19">
      <w:pPr>
        <w:pStyle w:val="2"/>
        <w:spacing w:line="411" w:lineRule="auto"/>
      </w:pPr>
    </w:p>
    <w:p w14:paraId="27736A8F">
      <w:pPr>
        <w:spacing w:before="101" w:line="226" w:lineRule="auto"/>
        <w:ind w:left="121"/>
        <w:outlineLvl w:val="1"/>
        <w:rPr>
          <w:rFonts w:ascii="宋体" w:hAnsi="宋体" w:eastAsia="宋体" w:cs="宋体"/>
          <w:sz w:val="31"/>
          <w:szCs w:val="31"/>
        </w:rPr>
      </w:pPr>
      <w:bookmarkStart w:id="17" w:name="bookmark16"/>
      <w:bookmarkEnd w:id="17"/>
      <w:r>
        <w:rPr>
          <w:rFonts w:ascii="Times New Roman" w:hAnsi="Times New Roman" w:eastAsia="Times New Roman" w:cs="Times New Roman"/>
          <w:b/>
          <w:bCs/>
          <w:spacing w:val="6"/>
          <w:sz w:val="31"/>
          <w:szCs w:val="31"/>
        </w:rPr>
        <w:t>2.8</w:t>
      </w:r>
      <w:r>
        <w:rPr>
          <w:rFonts w:ascii="宋体" w:hAnsi="宋体" w:eastAsia="宋体" w:cs="宋体"/>
          <w:b/>
          <w:bCs/>
          <w:spacing w:val="6"/>
          <w:sz w:val="31"/>
          <w:szCs w:val="31"/>
        </w:rPr>
        <w:t>污染控制与环境保护目标</w:t>
      </w:r>
    </w:p>
    <w:p w14:paraId="0666D260">
      <w:pPr>
        <w:pStyle w:val="2"/>
        <w:spacing w:line="374" w:lineRule="auto"/>
      </w:pPr>
    </w:p>
    <w:p w14:paraId="3E800143">
      <w:pPr>
        <w:spacing w:before="75" w:line="325" w:lineRule="auto"/>
        <w:ind w:left="124" w:right="106" w:firstLine="496"/>
        <w:rPr>
          <w:rFonts w:ascii="宋体" w:hAnsi="宋体" w:eastAsia="宋体" w:cs="宋体"/>
          <w:sz w:val="23"/>
          <w:szCs w:val="23"/>
        </w:rPr>
      </w:pPr>
      <w:r>
        <w:rPr>
          <w:rFonts w:ascii="Times New Roman" w:hAnsi="Times New Roman" w:eastAsia="Times New Roman" w:cs="Times New Roman"/>
          <w:spacing w:val="11"/>
          <w:sz w:val="23"/>
          <w:szCs w:val="23"/>
        </w:rPr>
        <w:t>1</w:t>
      </w:r>
      <w:r>
        <w:rPr>
          <w:rFonts w:ascii="宋体" w:hAnsi="宋体" w:eastAsia="宋体" w:cs="宋体"/>
          <w:spacing w:val="11"/>
          <w:sz w:val="23"/>
          <w:szCs w:val="23"/>
        </w:rPr>
        <w:t>、大气污染物达标排放，有效控制臭气浓度、</w:t>
      </w:r>
      <w:r>
        <w:rPr>
          <w:rFonts w:ascii="Times New Roman" w:hAnsi="Times New Roman" w:eastAsia="Times New Roman" w:cs="Times New Roman"/>
          <w:spacing w:val="11"/>
          <w:sz w:val="23"/>
          <w:szCs w:val="23"/>
        </w:rPr>
        <w:t>H</w:t>
      </w:r>
      <w:r>
        <w:rPr>
          <w:rFonts w:ascii="Times New Roman" w:hAnsi="Times New Roman" w:eastAsia="Times New Roman" w:cs="Times New Roman"/>
          <w:spacing w:val="11"/>
          <w:position w:val="-1"/>
          <w:sz w:val="15"/>
          <w:szCs w:val="15"/>
        </w:rPr>
        <w:t>2</w:t>
      </w:r>
      <w:r>
        <w:rPr>
          <w:rFonts w:ascii="Times New Roman" w:hAnsi="Times New Roman" w:eastAsia="Times New Roman" w:cs="Times New Roman"/>
          <w:spacing w:val="11"/>
          <w:sz w:val="23"/>
          <w:szCs w:val="23"/>
        </w:rPr>
        <w:t>S</w:t>
      </w:r>
      <w:r>
        <w:rPr>
          <w:rFonts w:ascii="Times New Roman" w:hAnsi="Times New Roman" w:eastAsia="Times New Roman" w:cs="Times New Roman"/>
          <w:spacing w:val="-18"/>
          <w:sz w:val="23"/>
          <w:szCs w:val="23"/>
        </w:rPr>
        <w:t xml:space="preserve"> </w:t>
      </w:r>
      <w:r>
        <w:rPr>
          <w:rFonts w:ascii="宋体" w:hAnsi="宋体" w:eastAsia="宋体" w:cs="宋体"/>
          <w:spacing w:val="11"/>
          <w:sz w:val="23"/>
          <w:szCs w:val="23"/>
        </w:rPr>
        <w:t xml:space="preserve">、 </w:t>
      </w:r>
      <w:r>
        <w:rPr>
          <w:rFonts w:ascii="Times New Roman" w:hAnsi="Times New Roman" w:eastAsia="Times New Roman" w:cs="Times New Roman"/>
          <w:sz w:val="23"/>
          <w:szCs w:val="23"/>
        </w:rPr>
        <w:t>NH</w:t>
      </w:r>
      <w:r>
        <w:rPr>
          <w:rFonts w:ascii="Times New Roman" w:hAnsi="Times New Roman" w:eastAsia="Times New Roman" w:cs="Times New Roman"/>
          <w:spacing w:val="11"/>
          <w:position w:val="-1"/>
          <w:sz w:val="15"/>
          <w:szCs w:val="15"/>
        </w:rPr>
        <w:t>3</w:t>
      </w:r>
      <w:r>
        <w:rPr>
          <w:rFonts w:ascii="Times New Roman" w:hAnsi="Times New Roman" w:eastAsia="Times New Roman" w:cs="Times New Roman"/>
          <w:spacing w:val="-5"/>
          <w:position w:val="-1"/>
          <w:sz w:val="15"/>
          <w:szCs w:val="15"/>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11"/>
          <w:position w:val="-1"/>
          <w:sz w:val="15"/>
          <w:szCs w:val="15"/>
        </w:rPr>
        <w:t>2</w:t>
      </w:r>
      <w:r>
        <w:rPr>
          <w:rFonts w:ascii="Times New Roman" w:hAnsi="Times New Roman" w:eastAsia="Times New Roman" w:cs="Times New Roman"/>
          <w:spacing w:val="-6"/>
          <w:position w:val="-1"/>
          <w:sz w:val="15"/>
          <w:szCs w:val="15"/>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 xml:space="preserve">TSP </w:t>
      </w:r>
      <w:r>
        <w:rPr>
          <w:rFonts w:ascii="宋体" w:hAnsi="宋体" w:eastAsia="宋体" w:cs="宋体"/>
          <w:spacing w:val="8"/>
          <w:sz w:val="23"/>
          <w:szCs w:val="23"/>
        </w:rPr>
        <w:t>等大气污染物的排放，保护项目区域及周边区域的环境空气质量。</w:t>
      </w:r>
    </w:p>
    <w:p w14:paraId="1AA26328">
      <w:pPr>
        <w:spacing w:before="170" w:line="325" w:lineRule="auto"/>
        <w:ind w:left="121" w:right="113" w:firstLine="476"/>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30"/>
          <w:sz w:val="23"/>
          <w:szCs w:val="23"/>
        </w:rPr>
        <w:t xml:space="preserve"> </w:t>
      </w:r>
      <w:r>
        <w:rPr>
          <w:rFonts w:ascii="宋体" w:hAnsi="宋体" w:eastAsia="宋体" w:cs="宋体"/>
          <w:spacing w:val="8"/>
          <w:sz w:val="23"/>
          <w:szCs w:val="23"/>
        </w:rPr>
        <w:t>、控制项目噪声的排放，保护项目区域及周边近距离内噪声敏感点声环境质量</w:t>
      </w:r>
      <w:r>
        <w:rPr>
          <w:rFonts w:ascii="宋体" w:hAnsi="宋体" w:eastAsia="宋体" w:cs="宋体"/>
          <w:sz w:val="23"/>
          <w:szCs w:val="23"/>
        </w:rPr>
        <w:t xml:space="preserve"> </w:t>
      </w:r>
      <w:r>
        <w:rPr>
          <w:rFonts w:ascii="宋体" w:hAnsi="宋体" w:eastAsia="宋体" w:cs="宋体"/>
          <w:spacing w:val="4"/>
          <w:sz w:val="23"/>
          <w:szCs w:val="23"/>
        </w:rPr>
        <w:t>达到相应标准要求。</w:t>
      </w:r>
    </w:p>
    <w:p w14:paraId="3DD25630">
      <w:pPr>
        <w:spacing w:before="167" w:line="315" w:lineRule="exact"/>
        <w:ind w:left="603"/>
        <w:rPr>
          <w:rFonts w:ascii="宋体" w:hAnsi="宋体" w:eastAsia="宋体" w:cs="宋体"/>
          <w:sz w:val="23"/>
          <w:szCs w:val="23"/>
        </w:rPr>
      </w:pPr>
      <w:r>
        <w:rPr>
          <w:rFonts w:ascii="Times New Roman" w:hAnsi="Times New Roman" w:eastAsia="Times New Roman" w:cs="Times New Roman"/>
          <w:spacing w:val="9"/>
          <w:position w:val="1"/>
          <w:sz w:val="23"/>
          <w:szCs w:val="23"/>
        </w:rPr>
        <w:t>3</w:t>
      </w:r>
      <w:r>
        <w:rPr>
          <w:rFonts w:ascii="宋体" w:hAnsi="宋体" w:eastAsia="宋体" w:cs="宋体"/>
          <w:spacing w:val="9"/>
          <w:position w:val="1"/>
          <w:sz w:val="23"/>
          <w:szCs w:val="23"/>
        </w:rPr>
        <w:t>、有效控制项目固体废物的污染，使其项目地所在区</w:t>
      </w:r>
      <w:r>
        <w:rPr>
          <w:rFonts w:ascii="宋体" w:hAnsi="宋体" w:eastAsia="宋体" w:cs="宋体"/>
          <w:spacing w:val="8"/>
          <w:position w:val="1"/>
          <w:sz w:val="23"/>
          <w:szCs w:val="23"/>
        </w:rPr>
        <w:t>域生态环境得到保护。</w:t>
      </w:r>
    </w:p>
    <w:p w14:paraId="370D1538">
      <w:pPr>
        <w:spacing w:before="173" w:line="328" w:lineRule="auto"/>
        <w:ind w:left="122" w:right="113" w:firstLine="474"/>
        <w:rPr>
          <w:rFonts w:ascii="宋体" w:hAnsi="宋体" w:eastAsia="宋体" w:cs="宋体"/>
          <w:sz w:val="23"/>
          <w:szCs w:val="23"/>
        </w:rPr>
      </w:pPr>
      <w:r>
        <w:rPr>
          <w:rFonts w:ascii="Times New Roman" w:hAnsi="Times New Roman" w:eastAsia="Times New Roman" w:cs="Times New Roman"/>
          <w:spacing w:val="8"/>
          <w:sz w:val="23"/>
          <w:szCs w:val="23"/>
        </w:rPr>
        <w:t>4</w:t>
      </w:r>
      <w:r>
        <w:rPr>
          <w:rFonts w:ascii="Times New Roman" w:hAnsi="Times New Roman" w:eastAsia="Times New Roman" w:cs="Times New Roman"/>
          <w:spacing w:val="-29"/>
          <w:sz w:val="23"/>
          <w:szCs w:val="23"/>
        </w:rPr>
        <w:t xml:space="preserve"> </w:t>
      </w:r>
      <w:r>
        <w:rPr>
          <w:rFonts w:ascii="宋体" w:hAnsi="宋体" w:eastAsia="宋体" w:cs="宋体"/>
          <w:spacing w:val="8"/>
          <w:sz w:val="23"/>
          <w:szCs w:val="23"/>
        </w:rPr>
        <w:t>、达标排放，做好硬地化、防渗措施，保护项目选址及周边区域的土壤环境质</w:t>
      </w:r>
      <w:r>
        <w:rPr>
          <w:rFonts w:ascii="宋体" w:hAnsi="宋体" w:eastAsia="宋体" w:cs="宋体"/>
          <w:sz w:val="23"/>
          <w:szCs w:val="23"/>
        </w:rPr>
        <w:t xml:space="preserve"> </w:t>
      </w:r>
      <w:r>
        <w:rPr>
          <w:rFonts w:ascii="宋体" w:hAnsi="宋体" w:eastAsia="宋体" w:cs="宋体"/>
          <w:spacing w:val="-8"/>
          <w:sz w:val="23"/>
          <w:szCs w:val="23"/>
        </w:rPr>
        <w:t>量。</w:t>
      </w:r>
    </w:p>
    <w:p w14:paraId="2617FF8B">
      <w:pPr>
        <w:spacing w:before="199" w:line="229" w:lineRule="auto"/>
        <w:ind w:left="119"/>
        <w:outlineLvl w:val="2"/>
        <w:rPr>
          <w:rFonts w:ascii="宋体" w:hAnsi="宋体" w:eastAsia="宋体" w:cs="宋体"/>
          <w:sz w:val="23"/>
          <w:szCs w:val="23"/>
        </w:rPr>
      </w:pPr>
      <w:r>
        <w:rPr>
          <w:rFonts w:ascii="Times New Roman" w:hAnsi="Times New Roman" w:eastAsia="Times New Roman" w:cs="Times New Roman"/>
          <w:b/>
          <w:bCs/>
          <w:spacing w:val="5"/>
          <w:sz w:val="23"/>
          <w:szCs w:val="23"/>
        </w:rPr>
        <w:t>2.8.1</w:t>
      </w:r>
      <w:r>
        <w:rPr>
          <w:rFonts w:ascii="宋体" w:hAnsi="宋体" w:eastAsia="宋体" w:cs="宋体"/>
          <w:b/>
          <w:bCs/>
          <w:spacing w:val="5"/>
          <w:sz w:val="23"/>
          <w:szCs w:val="23"/>
        </w:rPr>
        <w:t>环境保护目标</w:t>
      </w:r>
    </w:p>
    <w:p w14:paraId="7BB695B6">
      <w:pPr>
        <w:spacing w:before="166" w:line="315" w:lineRule="exact"/>
        <w:ind w:left="621"/>
        <w:rPr>
          <w:rFonts w:ascii="宋体" w:hAnsi="宋体" w:eastAsia="宋体" w:cs="宋体"/>
          <w:sz w:val="23"/>
          <w:szCs w:val="23"/>
        </w:rPr>
      </w:pPr>
      <w:r>
        <w:rPr>
          <w:rFonts w:ascii="Times New Roman" w:hAnsi="Times New Roman" w:eastAsia="Times New Roman" w:cs="Times New Roman"/>
          <w:spacing w:val="4"/>
          <w:position w:val="1"/>
          <w:sz w:val="23"/>
          <w:szCs w:val="23"/>
        </w:rPr>
        <w:t>1</w:t>
      </w:r>
      <w:r>
        <w:rPr>
          <w:rFonts w:ascii="Times New Roman" w:hAnsi="Times New Roman" w:eastAsia="Times New Roman" w:cs="Times New Roman"/>
          <w:spacing w:val="-32"/>
          <w:position w:val="1"/>
          <w:sz w:val="23"/>
          <w:szCs w:val="23"/>
        </w:rPr>
        <w:t xml:space="preserve"> </w:t>
      </w:r>
      <w:r>
        <w:rPr>
          <w:rFonts w:ascii="宋体" w:hAnsi="宋体" w:eastAsia="宋体" w:cs="宋体"/>
          <w:spacing w:val="4"/>
          <w:position w:val="1"/>
          <w:sz w:val="23"/>
          <w:szCs w:val="23"/>
        </w:rPr>
        <w:t>、环境空气保护目标</w:t>
      </w:r>
    </w:p>
    <w:p w14:paraId="09F40216">
      <w:pPr>
        <w:spacing w:line="315" w:lineRule="exact"/>
        <w:rPr>
          <w:rFonts w:ascii="宋体" w:hAnsi="宋体" w:eastAsia="宋体" w:cs="宋体"/>
          <w:sz w:val="23"/>
          <w:szCs w:val="23"/>
        </w:rPr>
        <w:sectPr>
          <w:footerReference r:id="rId54" w:type="default"/>
          <w:pgSz w:w="11906" w:h="16839"/>
          <w:pgMar w:top="1418" w:right="1475" w:bottom="1485" w:left="1475" w:header="0" w:footer="1249" w:gutter="0"/>
          <w:cols w:space="720" w:num="1"/>
        </w:sectPr>
      </w:pPr>
    </w:p>
    <w:p w14:paraId="2A051222">
      <w:pPr>
        <w:spacing w:before="110" w:line="367" w:lineRule="auto"/>
        <w:ind w:left="123" w:right="18" w:firstLine="482"/>
        <w:jc w:val="both"/>
        <w:rPr>
          <w:rFonts w:ascii="宋体" w:hAnsi="宋体" w:eastAsia="宋体" w:cs="宋体"/>
          <w:sz w:val="24"/>
          <w:szCs w:val="24"/>
        </w:rPr>
      </w:pPr>
      <w:r>
        <w:rPr>
          <w:rFonts w:ascii="宋体" w:hAnsi="宋体" w:eastAsia="宋体" w:cs="宋体"/>
          <w:spacing w:val="-2"/>
          <w:sz w:val="24"/>
          <w:szCs w:val="24"/>
        </w:rPr>
        <w:t>项目区附近的居民点等主要环境敏感点的空气质量不会受到本项目的明显影响，</w:t>
      </w:r>
      <w:r>
        <w:rPr>
          <w:rFonts w:ascii="宋体" w:hAnsi="宋体" w:eastAsia="宋体" w:cs="宋体"/>
          <w:sz w:val="24"/>
          <w:szCs w:val="24"/>
        </w:rPr>
        <w:t xml:space="preserve"> </w:t>
      </w:r>
      <w:r>
        <w:rPr>
          <w:rFonts w:ascii="宋体" w:hAnsi="宋体" w:eastAsia="宋体" w:cs="宋体"/>
          <w:spacing w:val="2"/>
          <w:sz w:val="24"/>
          <w:szCs w:val="24"/>
        </w:rPr>
        <w:t>不致出现严重的扰民问题。本项目所在地及周围的环境空气质量应符合《环境空气</w:t>
      </w:r>
      <w:r>
        <w:rPr>
          <w:rFonts w:ascii="宋体" w:hAnsi="宋体" w:eastAsia="宋体" w:cs="宋体"/>
          <w:spacing w:val="5"/>
          <w:sz w:val="24"/>
          <w:szCs w:val="24"/>
        </w:rPr>
        <w:t xml:space="preserve"> </w:t>
      </w:r>
      <w:r>
        <w:rPr>
          <w:rFonts w:ascii="宋体" w:hAnsi="宋体" w:eastAsia="宋体" w:cs="宋体"/>
          <w:sz w:val="24"/>
          <w:szCs w:val="24"/>
        </w:rPr>
        <w:t>质量标准》（</w:t>
      </w:r>
      <w:r>
        <w:rPr>
          <w:rFonts w:ascii="Times New Roman" w:hAnsi="Times New Roman" w:eastAsia="Times New Roman" w:cs="Times New Roman"/>
          <w:sz w:val="24"/>
          <w:szCs w:val="24"/>
        </w:rPr>
        <w:t>GB3095-2012</w:t>
      </w:r>
      <w:r>
        <w:rPr>
          <w:rFonts w:ascii="宋体" w:hAnsi="宋体" w:eastAsia="宋体" w:cs="宋体"/>
          <w:sz w:val="24"/>
          <w:szCs w:val="24"/>
        </w:rPr>
        <w:t>）及其</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年修改单二级标准的要求。</w:t>
      </w:r>
    </w:p>
    <w:p w14:paraId="3ACD6B48">
      <w:pPr>
        <w:spacing w:line="361"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、声环境保护目标</w:t>
      </w:r>
    </w:p>
    <w:p w14:paraId="27BCD0CC">
      <w:pPr>
        <w:spacing w:before="128" w:line="374" w:lineRule="auto"/>
        <w:ind w:left="142" w:right="113" w:firstLine="464"/>
        <w:rPr>
          <w:rFonts w:ascii="宋体" w:hAnsi="宋体" w:eastAsia="宋体" w:cs="宋体"/>
          <w:sz w:val="24"/>
          <w:szCs w:val="24"/>
        </w:rPr>
      </w:pPr>
      <w:r>
        <w:rPr>
          <w:rFonts w:ascii="宋体" w:hAnsi="宋体" w:eastAsia="宋体" w:cs="宋体"/>
          <w:spacing w:val="2"/>
          <w:sz w:val="24"/>
          <w:szCs w:val="24"/>
        </w:rPr>
        <w:t>项目区域声环境质量，项目边界符合《声环境质量标准》（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 xml:space="preserve"> 3096-2008</w:t>
      </w:r>
      <w:r>
        <w:rPr>
          <w:rFonts w:ascii="宋体" w:hAnsi="宋体" w:eastAsia="宋体" w:cs="宋体"/>
          <w:spacing w:val="2"/>
          <w:sz w:val="24"/>
          <w:szCs w:val="24"/>
        </w:rPr>
        <w:t>）中</w:t>
      </w:r>
      <w:r>
        <w:rPr>
          <w:rFonts w:ascii="宋体" w:hAnsi="宋体" w:eastAsia="宋体" w:cs="宋体"/>
          <w:spacing w:val="5"/>
          <w:sz w:val="24"/>
          <w:szCs w:val="24"/>
        </w:rPr>
        <w:t xml:space="preserve"> </w:t>
      </w:r>
      <w:r>
        <w:rPr>
          <w:rFonts w:ascii="宋体" w:hAnsi="宋体" w:eastAsia="宋体" w:cs="宋体"/>
          <w:spacing w:val="-5"/>
          <w:sz w:val="24"/>
          <w:szCs w:val="24"/>
        </w:rPr>
        <w:t>的</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类标准。</w:t>
      </w:r>
    </w:p>
    <w:p w14:paraId="7F34DBD8">
      <w:pPr>
        <w:spacing w:before="4" w:line="360" w:lineRule="exact"/>
        <w:ind w:left="548"/>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27"/>
          <w:position w:val="2"/>
          <w:sz w:val="24"/>
          <w:szCs w:val="24"/>
        </w:rPr>
        <w:t xml:space="preserve"> </w:t>
      </w:r>
      <w:r>
        <w:rPr>
          <w:rFonts w:ascii="宋体" w:hAnsi="宋体" w:eastAsia="宋体" w:cs="宋体"/>
          <w:spacing w:val="-4"/>
          <w:position w:val="2"/>
          <w:sz w:val="24"/>
          <w:szCs w:val="24"/>
        </w:rPr>
        <w:t>、地下水环境保护目标</w:t>
      </w:r>
    </w:p>
    <w:p w14:paraId="2D92FC3F">
      <w:pPr>
        <w:spacing w:before="129" w:line="374" w:lineRule="auto"/>
        <w:ind w:left="122" w:right="113" w:firstLine="480"/>
        <w:rPr>
          <w:rFonts w:ascii="宋体" w:hAnsi="宋体" w:eastAsia="宋体" w:cs="宋体"/>
          <w:sz w:val="24"/>
          <w:szCs w:val="24"/>
        </w:rPr>
      </w:pPr>
      <w:r>
        <w:rPr>
          <w:rFonts w:ascii="宋体" w:hAnsi="宋体" w:eastAsia="宋体" w:cs="宋体"/>
          <w:spacing w:val="-1"/>
          <w:sz w:val="24"/>
          <w:szCs w:val="24"/>
        </w:rPr>
        <w:t>保护项目周边</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1km</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范围内的潜水层和含水层不受本项目的明显影响。项目所在</w:t>
      </w:r>
      <w:r>
        <w:rPr>
          <w:rFonts w:ascii="宋体" w:hAnsi="宋体" w:eastAsia="宋体" w:cs="宋体"/>
          <w:sz w:val="24"/>
          <w:szCs w:val="24"/>
        </w:rPr>
        <w:t xml:space="preserve"> </w:t>
      </w:r>
      <w:r>
        <w:rPr>
          <w:rFonts w:ascii="宋体" w:hAnsi="宋体" w:eastAsia="宋体" w:cs="宋体"/>
          <w:spacing w:val="-1"/>
          <w:sz w:val="24"/>
          <w:szCs w:val="24"/>
        </w:rPr>
        <w:t>地地下水符合《地下水质量标准》（</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14848-93</w:t>
      </w:r>
      <w:r>
        <w:rPr>
          <w:rFonts w:ascii="宋体" w:hAnsi="宋体" w:eastAsia="宋体" w:cs="宋体"/>
          <w:spacing w:val="-1"/>
          <w:sz w:val="24"/>
          <w:szCs w:val="24"/>
        </w:rPr>
        <w:t>）中</w:t>
      </w:r>
      <w:r>
        <w:rPr>
          <w:rFonts w:ascii="宋体" w:hAnsi="宋体" w:eastAsia="宋体" w:cs="宋体"/>
          <w:spacing w:val="-2"/>
          <w:sz w:val="24"/>
          <w:szCs w:val="24"/>
        </w:rPr>
        <w:t>的Ⅲ类标准。</w:t>
      </w:r>
    </w:p>
    <w:p w14:paraId="05BDA5C1">
      <w:pPr>
        <w:pStyle w:val="2"/>
        <w:spacing w:line="260" w:lineRule="auto"/>
      </w:pPr>
    </w:p>
    <w:p w14:paraId="094D7EB3">
      <w:pPr>
        <w:spacing w:before="78"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2.8.2</w:t>
      </w:r>
      <w:r>
        <w:rPr>
          <w:rFonts w:ascii="宋体" w:hAnsi="宋体" w:eastAsia="宋体" w:cs="宋体"/>
          <w:b/>
          <w:bCs/>
          <w:spacing w:val="-2"/>
          <w:sz w:val="24"/>
          <w:szCs w:val="24"/>
        </w:rPr>
        <w:t>敏感点保护目标</w:t>
      </w:r>
    </w:p>
    <w:p w14:paraId="78EBE40E">
      <w:pPr>
        <w:pStyle w:val="2"/>
        <w:spacing w:line="244" w:lineRule="auto"/>
      </w:pPr>
    </w:p>
    <w:p w14:paraId="3EBF8820">
      <w:pPr>
        <w:spacing w:before="79" w:line="358" w:lineRule="exact"/>
        <w:ind w:left="603"/>
        <w:rPr>
          <w:rFonts w:ascii="宋体" w:hAnsi="宋体" w:eastAsia="宋体" w:cs="宋体"/>
          <w:sz w:val="24"/>
          <w:szCs w:val="24"/>
        </w:rPr>
      </w:pPr>
      <w:r>
        <w:rPr>
          <w:rFonts w:ascii="宋体" w:hAnsi="宋体" w:eastAsia="宋体" w:cs="宋体"/>
          <w:spacing w:val="4"/>
          <w:position w:val="2"/>
          <w:sz w:val="24"/>
          <w:szCs w:val="24"/>
        </w:rPr>
        <w:t>本项目评价范围内主要的环境敏感点如表</w:t>
      </w:r>
      <w:r>
        <w:rPr>
          <w:rFonts w:ascii="Times New Roman" w:hAnsi="Times New Roman" w:eastAsia="Times New Roman" w:cs="Times New Roman"/>
          <w:spacing w:val="4"/>
          <w:position w:val="2"/>
          <w:sz w:val="24"/>
          <w:szCs w:val="24"/>
        </w:rPr>
        <w:t>2.8-1</w:t>
      </w:r>
      <w:r>
        <w:rPr>
          <w:rFonts w:ascii="宋体" w:hAnsi="宋体" w:eastAsia="宋体" w:cs="宋体"/>
          <w:spacing w:val="4"/>
          <w:position w:val="2"/>
          <w:sz w:val="24"/>
          <w:szCs w:val="24"/>
        </w:rPr>
        <w:t>所示，敏感点分布见图</w:t>
      </w:r>
      <w:r>
        <w:rPr>
          <w:rFonts w:ascii="Times New Roman" w:hAnsi="Times New Roman" w:eastAsia="Times New Roman" w:cs="Times New Roman"/>
          <w:spacing w:val="4"/>
          <w:position w:val="2"/>
          <w:sz w:val="24"/>
          <w:szCs w:val="24"/>
        </w:rPr>
        <w:t>2.8-1</w:t>
      </w:r>
      <w:r>
        <w:rPr>
          <w:rFonts w:ascii="宋体" w:hAnsi="宋体" w:eastAsia="宋体" w:cs="宋体"/>
          <w:spacing w:val="4"/>
          <w:position w:val="2"/>
          <w:sz w:val="24"/>
          <w:szCs w:val="24"/>
        </w:rPr>
        <w:t>。</w:t>
      </w:r>
    </w:p>
    <w:p w14:paraId="2B04EB84">
      <w:pPr>
        <w:spacing w:before="181" w:line="228" w:lineRule="auto"/>
        <w:ind w:left="282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2.8-1  </w:t>
      </w:r>
      <w:r>
        <w:rPr>
          <w:rFonts w:ascii="宋体" w:hAnsi="宋体" w:eastAsia="宋体" w:cs="宋体"/>
          <w:b/>
          <w:bCs/>
          <w:spacing w:val="6"/>
          <w:sz w:val="20"/>
          <w:szCs w:val="20"/>
        </w:rPr>
        <w:t>建设项目附近主要环境敏感目标</w:t>
      </w:r>
    </w:p>
    <w:p w14:paraId="38B7FFB6">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996"/>
        <w:gridCol w:w="1175"/>
        <w:gridCol w:w="950"/>
        <w:gridCol w:w="1221"/>
        <w:gridCol w:w="1378"/>
        <w:gridCol w:w="898"/>
        <w:gridCol w:w="1017"/>
      </w:tblGrid>
      <w:tr w14:paraId="3B9E9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15" w:type="dxa"/>
            <w:vMerge w:val="restart"/>
            <w:tcBorders>
              <w:bottom w:val="nil"/>
            </w:tcBorders>
            <w:vAlign w:val="top"/>
          </w:tcPr>
          <w:p w14:paraId="1BBB9995">
            <w:pPr>
              <w:spacing w:line="321" w:lineRule="auto"/>
              <w:rPr>
                <w:rFonts w:ascii="Arial"/>
                <w:sz w:val="21"/>
              </w:rPr>
            </w:pPr>
          </w:p>
          <w:p w14:paraId="76BD4BEF">
            <w:pPr>
              <w:pStyle w:val="6"/>
              <w:spacing w:before="65" w:line="231" w:lineRule="auto"/>
              <w:ind w:left="455"/>
            </w:pPr>
            <w:r>
              <w:rPr>
                <w:b/>
                <w:bCs/>
                <w:spacing w:val="2"/>
              </w:rPr>
              <w:t>名称</w:t>
            </w:r>
          </w:p>
        </w:tc>
        <w:tc>
          <w:tcPr>
            <w:tcW w:w="2171" w:type="dxa"/>
            <w:gridSpan w:val="2"/>
            <w:vAlign w:val="top"/>
          </w:tcPr>
          <w:p w14:paraId="73CBBE83">
            <w:pPr>
              <w:pStyle w:val="6"/>
              <w:spacing w:before="70" w:line="229" w:lineRule="auto"/>
              <w:ind w:left="765"/>
              <w:rPr>
                <w:rFonts w:ascii="Times New Roman" w:hAnsi="Times New Roman" w:eastAsia="Times New Roman" w:cs="Times New Roman"/>
              </w:rPr>
            </w:pPr>
            <w:r>
              <w:rPr>
                <w:b/>
                <w:bCs/>
                <w:spacing w:val="4"/>
              </w:rPr>
              <w:t>坐标</w:t>
            </w:r>
            <w:r>
              <w:rPr>
                <w:rFonts w:ascii="Times New Roman" w:hAnsi="Times New Roman" w:eastAsia="Times New Roman" w:cs="Times New Roman"/>
                <w:b/>
                <w:bCs/>
                <w:spacing w:val="4"/>
              </w:rPr>
              <w:t>/m</w:t>
            </w:r>
          </w:p>
        </w:tc>
        <w:tc>
          <w:tcPr>
            <w:tcW w:w="950" w:type="dxa"/>
            <w:vMerge w:val="restart"/>
            <w:tcBorders>
              <w:bottom w:val="nil"/>
            </w:tcBorders>
            <w:vAlign w:val="top"/>
          </w:tcPr>
          <w:p w14:paraId="35C920B3">
            <w:pPr>
              <w:pStyle w:val="6"/>
              <w:spacing w:before="225" w:line="229" w:lineRule="auto"/>
              <w:ind w:left="166"/>
            </w:pPr>
            <w:r>
              <w:rPr>
                <w:b/>
                <w:bCs/>
                <w:spacing w:val="5"/>
              </w:rPr>
              <w:t>保护对</w:t>
            </w:r>
          </w:p>
          <w:p w14:paraId="163200FA">
            <w:pPr>
              <w:pStyle w:val="6"/>
              <w:spacing w:before="78" w:line="228" w:lineRule="auto"/>
              <w:ind w:left="382"/>
            </w:pPr>
            <w:r>
              <w:rPr>
                <w:b/>
                <w:bCs/>
                <w:spacing w:val="-3"/>
              </w:rPr>
              <w:t>象</w:t>
            </w:r>
          </w:p>
        </w:tc>
        <w:tc>
          <w:tcPr>
            <w:tcW w:w="1221" w:type="dxa"/>
            <w:vMerge w:val="restart"/>
            <w:tcBorders>
              <w:bottom w:val="nil"/>
            </w:tcBorders>
            <w:vAlign w:val="top"/>
          </w:tcPr>
          <w:p w14:paraId="7DA36615">
            <w:pPr>
              <w:spacing w:line="322" w:lineRule="auto"/>
              <w:rPr>
                <w:rFonts w:ascii="Arial"/>
                <w:sz w:val="21"/>
              </w:rPr>
            </w:pPr>
          </w:p>
          <w:p w14:paraId="36DD9237">
            <w:pPr>
              <w:pStyle w:val="6"/>
              <w:spacing w:before="65" w:line="228" w:lineRule="auto"/>
              <w:ind w:left="198"/>
            </w:pPr>
            <w:r>
              <w:rPr>
                <w:b/>
                <w:bCs/>
                <w:spacing w:val="6"/>
              </w:rPr>
              <w:t>保护内容</w:t>
            </w:r>
          </w:p>
        </w:tc>
        <w:tc>
          <w:tcPr>
            <w:tcW w:w="1378" w:type="dxa"/>
            <w:vMerge w:val="restart"/>
            <w:tcBorders>
              <w:bottom w:val="nil"/>
            </w:tcBorders>
            <w:vAlign w:val="top"/>
          </w:tcPr>
          <w:p w14:paraId="0C5EE2B7">
            <w:pPr>
              <w:spacing w:line="322" w:lineRule="auto"/>
              <w:rPr>
                <w:rFonts w:ascii="Arial"/>
                <w:sz w:val="21"/>
              </w:rPr>
            </w:pPr>
          </w:p>
          <w:p w14:paraId="54B672B8">
            <w:pPr>
              <w:pStyle w:val="6"/>
              <w:spacing w:before="65" w:line="229" w:lineRule="auto"/>
              <w:ind w:left="171"/>
            </w:pPr>
            <w:r>
              <w:rPr>
                <w:b/>
                <w:bCs/>
                <w:spacing w:val="6"/>
              </w:rPr>
              <w:t>环境功能区</w:t>
            </w:r>
          </w:p>
        </w:tc>
        <w:tc>
          <w:tcPr>
            <w:tcW w:w="898" w:type="dxa"/>
            <w:vMerge w:val="restart"/>
            <w:tcBorders>
              <w:bottom w:val="nil"/>
            </w:tcBorders>
            <w:vAlign w:val="top"/>
          </w:tcPr>
          <w:p w14:paraId="7BEE9E2A">
            <w:pPr>
              <w:pStyle w:val="6"/>
              <w:spacing w:before="225" w:line="229" w:lineRule="auto"/>
              <w:ind w:left="142"/>
            </w:pPr>
            <w:r>
              <w:rPr>
                <w:b/>
                <w:bCs/>
                <w:spacing w:val="5"/>
              </w:rPr>
              <w:t>相对厂</w:t>
            </w:r>
          </w:p>
          <w:p w14:paraId="08AEE9D8">
            <w:pPr>
              <w:pStyle w:val="6"/>
              <w:spacing w:before="78" w:line="230" w:lineRule="auto"/>
              <w:ind w:left="143"/>
            </w:pPr>
            <w:r>
              <w:rPr>
                <w:b/>
                <w:bCs/>
                <w:spacing w:val="5"/>
              </w:rPr>
              <w:t>址方位</w:t>
            </w:r>
          </w:p>
        </w:tc>
        <w:tc>
          <w:tcPr>
            <w:tcW w:w="1017" w:type="dxa"/>
            <w:vMerge w:val="restart"/>
            <w:tcBorders>
              <w:bottom w:val="nil"/>
            </w:tcBorders>
            <w:vAlign w:val="top"/>
          </w:tcPr>
          <w:p w14:paraId="2AC37A81">
            <w:pPr>
              <w:pStyle w:val="6"/>
              <w:spacing w:before="62" w:line="229" w:lineRule="auto"/>
              <w:ind w:left="199"/>
            </w:pPr>
            <w:r>
              <w:rPr>
                <w:b/>
                <w:bCs/>
                <w:spacing w:val="5"/>
              </w:rPr>
              <w:t>相对厂</w:t>
            </w:r>
          </w:p>
          <w:p w14:paraId="5DE07251">
            <w:pPr>
              <w:pStyle w:val="6"/>
              <w:spacing w:before="78" w:line="229" w:lineRule="auto"/>
              <w:ind w:left="204"/>
            </w:pPr>
            <w:r>
              <w:rPr>
                <w:b/>
                <w:bCs/>
                <w:spacing w:val="3"/>
              </w:rPr>
              <w:t>界距离</w:t>
            </w:r>
          </w:p>
          <w:p w14:paraId="05B8C5F3">
            <w:pPr>
              <w:spacing w:before="114" w:line="195" w:lineRule="auto"/>
              <w:ind w:left="39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tc>
      </w:tr>
      <w:tr w14:paraId="06595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15" w:type="dxa"/>
            <w:vMerge w:val="continue"/>
            <w:tcBorders>
              <w:top w:val="nil"/>
            </w:tcBorders>
            <w:vAlign w:val="top"/>
          </w:tcPr>
          <w:p w14:paraId="13EC8EF1">
            <w:pPr>
              <w:rPr>
                <w:rFonts w:ascii="Arial"/>
                <w:sz w:val="21"/>
              </w:rPr>
            </w:pPr>
          </w:p>
        </w:tc>
        <w:tc>
          <w:tcPr>
            <w:tcW w:w="996" w:type="dxa"/>
            <w:vAlign w:val="top"/>
          </w:tcPr>
          <w:p w14:paraId="5140FE4E">
            <w:pPr>
              <w:spacing w:before="249" w:line="192" w:lineRule="auto"/>
              <w:ind w:left="419"/>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1175" w:type="dxa"/>
            <w:vAlign w:val="top"/>
          </w:tcPr>
          <w:p w14:paraId="36990D6F">
            <w:pPr>
              <w:spacing w:before="249" w:line="192" w:lineRule="auto"/>
              <w:ind w:left="51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950" w:type="dxa"/>
            <w:vMerge w:val="continue"/>
            <w:tcBorders>
              <w:top w:val="nil"/>
            </w:tcBorders>
            <w:vAlign w:val="top"/>
          </w:tcPr>
          <w:p w14:paraId="718F5261">
            <w:pPr>
              <w:rPr>
                <w:rFonts w:ascii="Arial"/>
                <w:sz w:val="21"/>
              </w:rPr>
            </w:pPr>
          </w:p>
        </w:tc>
        <w:tc>
          <w:tcPr>
            <w:tcW w:w="1221" w:type="dxa"/>
            <w:vMerge w:val="continue"/>
            <w:tcBorders>
              <w:top w:val="nil"/>
            </w:tcBorders>
            <w:vAlign w:val="top"/>
          </w:tcPr>
          <w:p w14:paraId="4A858F55">
            <w:pPr>
              <w:rPr>
                <w:rFonts w:ascii="Arial"/>
                <w:sz w:val="21"/>
              </w:rPr>
            </w:pPr>
          </w:p>
        </w:tc>
        <w:tc>
          <w:tcPr>
            <w:tcW w:w="1378" w:type="dxa"/>
            <w:vMerge w:val="continue"/>
            <w:tcBorders>
              <w:top w:val="nil"/>
            </w:tcBorders>
            <w:vAlign w:val="top"/>
          </w:tcPr>
          <w:p w14:paraId="2BB4FF2C">
            <w:pPr>
              <w:rPr>
                <w:rFonts w:ascii="Arial"/>
                <w:sz w:val="21"/>
              </w:rPr>
            </w:pPr>
          </w:p>
        </w:tc>
        <w:tc>
          <w:tcPr>
            <w:tcW w:w="898" w:type="dxa"/>
            <w:vMerge w:val="continue"/>
            <w:tcBorders>
              <w:top w:val="nil"/>
            </w:tcBorders>
            <w:vAlign w:val="top"/>
          </w:tcPr>
          <w:p w14:paraId="5005567B">
            <w:pPr>
              <w:rPr>
                <w:rFonts w:ascii="Arial"/>
                <w:sz w:val="21"/>
              </w:rPr>
            </w:pPr>
          </w:p>
        </w:tc>
        <w:tc>
          <w:tcPr>
            <w:tcW w:w="1017" w:type="dxa"/>
            <w:vMerge w:val="continue"/>
            <w:tcBorders>
              <w:top w:val="nil"/>
            </w:tcBorders>
            <w:vAlign w:val="top"/>
          </w:tcPr>
          <w:p w14:paraId="00491799">
            <w:pPr>
              <w:rPr>
                <w:rFonts w:ascii="Arial"/>
                <w:sz w:val="21"/>
              </w:rPr>
            </w:pPr>
          </w:p>
        </w:tc>
      </w:tr>
      <w:tr w14:paraId="5A55E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5" w:type="dxa"/>
            <w:vAlign w:val="top"/>
          </w:tcPr>
          <w:p w14:paraId="144EA74E">
            <w:pPr>
              <w:pStyle w:val="6"/>
              <w:spacing w:before="65" w:line="228" w:lineRule="auto"/>
              <w:ind w:left="347"/>
            </w:pPr>
            <w:r>
              <w:rPr>
                <w:spacing w:val="6"/>
              </w:rPr>
              <w:t>柴头崛</w:t>
            </w:r>
          </w:p>
        </w:tc>
        <w:tc>
          <w:tcPr>
            <w:tcW w:w="996" w:type="dxa"/>
            <w:vAlign w:val="top"/>
          </w:tcPr>
          <w:p w14:paraId="068D216A">
            <w:pPr>
              <w:spacing w:before="34"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-596</w:t>
            </w:r>
          </w:p>
        </w:tc>
        <w:tc>
          <w:tcPr>
            <w:tcW w:w="1175" w:type="dxa"/>
            <w:vAlign w:val="top"/>
          </w:tcPr>
          <w:p w14:paraId="5896888A">
            <w:pPr>
              <w:spacing w:before="34"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-285</w:t>
            </w:r>
          </w:p>
        </w:tc>
        <w:tc>
          <w:tcPr>
            <w:tcW w:w="950" w:type="dxa"/>
            <w:vAlign w:val="top"/>
          </w:tcPr>
          <w:p w14:paraId="3063CB09">
            <w:pPr>
              <w:pStyle w:val="6"/>
              <w:spacing w:before="65" w:line="229" w:lineRule="auto"/>
              <w:ind w:left="273"/>
            </w:pPr>
            <w:r>
              <w:rPr>
                <w:spacing w:val="3"/>
              </w:rPr>
              <w:t>居民</w:t>
            </w:r>
          </w:p>
        </w:tc>
        <w:tc>
          <w:tcPr>
            <w:tcW w:w="1221" w:type="dxa"/>
            <w:vAlign w:val="top"/>
          </w:tcPr>
          <w:p w14:paraId="47EBBADB">
            <w:pPr>
              <w:pStyle w:val="6"/>
              <w:spacing w:before="34" w:line="274" w:lineRule="exact"/>
              <w:ind w:left="202"/>
            </w:pPr>
            <w:r>
              <w:rPr>
                <w:position w:val="1"/>
              </w:rPr>
              <w:t>约</w:t>
            </w:r>
            <w:r>
              <w:rPr>
                <w:spacing w:val="-37"/>
                <w:position w:val="1"/>
              </w:rPr>
              <w:t xml:space="preserve"> </w:t>
            </w:r>
            <w:r>
              <w:rPr>
                <w:rFonts w:ascii="Times New Roman" w:hAnsi="Times New Roman" w:eastAsia="Times New Roman" w:cs="Times New Roman"/>
                <w:position w:val="1"/>
              </w:rPr>
              <w:t>500</w:t>
            </w:r>
            <w:r>
              <w:rPr>
                <w:rFonts w:ascii="Times New Roman" w:hAnsi="Times New Roman" w:eastAsia="Times New Roman" w:cs="Times New Roman"/>
                <w:spacing w:val="11"/>
                <w:position w:val="1"/>
              </w:rPr>
              <w:t xml:space="preserve"> </w:t>
            </w:r>
            <w:r>
              <w:rPr>
                <w:position w:val="1"/>
              </w:rPr>
              <w:t>人</w:t>
            </w:r>
          </w:p>
        </w:tc>
        <w:tc>
          <w:tcPr>
            <w:tcW w:w="1378" w:type="dxa"/>
            <w:vMerge w:val="restart"/>
            <w:tcBorders>
              <w:bottom w:val="nil"/>
            </w:tcBorders>
            <w:vAlign w:val="top"/>
          </w:tcPr>
          <w:p w14:paraId="7C9AD7EB">
            <w:pPr>
              <w:spacing w:line="251" w:lineRule="auto"/>
              <w:rPr>
                <w:rFonts w:ascii="Arial"/>
                <w:sz w:val="21"/>
              </w:rPr>
            </w:pPr>
          </w:p>
          <w:p w14:paraId="6B5DC974">
            <w:pPr>
              <w:spacing w:line="251" w:lineRule="auto"/>
              <w:rPr>
                <w:rFonts w:ascii="Arial"/>
                <w:sz w:val="21"/>
              </w:rPr>
            </w:pPr>
          </w:p>
          <w:p w14:paraId="05F96507">
            <w:pPr>
              <w:spacing w:line="251" w:lineRule="auto"/>
              <w:rPr>
                <w:rFonts w:ascii="Arial"/>
                <w:sz w:val="21"/>
              </w:rPr>
            </w:pPr>
          </w:p>
          <w:p w14:paraId="0443FE49">
            <w:pPr>
              <w:spacing w:line="252" w:lineRule="auto"/>
              <w:rPr>
                <w:rFonts w:ascii="Arial"/>
                <w:sz w:val="21"/>
              </w:rPr>
            </w:pPr>
          </w:p>
          <w:p w14:paraId="6D818664">
            <w:pPr>
              <w:spacing w:line="252" w:lineRule="auto"/>
              <w:rPr>
                <w:rFonts w:ascii="Arial"/>
                <w:sz w:val="21"/>
              </w:rPr>
            </w:pPr>
          </w:p>
          <w:p w14:paraId="128CAC98">
            <w:pPr>
              <w:spacing w:line="252" w:lineRule="auto"/>
              <w:rPr>
                <w:rFonts w:ascii="Arial"/>
                <w:sz w:val="21"/>
              </w:rPr>
            </w:pPr>
          </w:p>
          <w:p w14:paraId="7906F729">
            <w:pPr>
              <w:spacing w:line="252" w:lineRule="auto"/>
              <w:rPr>
                <w:rFonts w:ascii="Arial"/>
                <w:sz w:val="21"/>
              </w:rPr>
            </w:pPr>
          </w:p>
          <w:p w14:paraId="616DDFFF">
            <w:pPr>
              <w:spacing w:line="252" w:lineRule="auto"/>
              <w:rPr>
                <w:rFonts w:ascii="Arial"/>
                <w:sz w:val="21"/>
              </w:rPr>
            </w:pPr>
          </w:p>
          <w:p w14:paraId="084503C9">
            <w:pPr>
              <w:spacing w:line="252" w:lineRule="auto"/>
              <w:rPr>
                <w:rFonts w:ascii="Arial"/>
                <w:sz w:val="21"/>
              </w:rPr>
            </w:pPr>
          </w:p>
          <w:p w14:paraId="23D5F1B8">
            <w:pPr>
              <w:spacing w:line="252" w:lineRule="auto"/>
              <w:rPr>
                <w:rFonts w:ascii="Arial"/>
                <w:sz w:val="21"/>
              </w:rPr>
            </w:pPr>
          </w:p>
          <w:p w14:paraId="0C1AD957">
            <w:pPr>
              <w:spacing w:line="252" w:lineRule="auto"/>
              <w:rPr>
                <w:rFonts w:ascii="Arial"/>
                <w:sz w:val="21"/>
              </w:rPr>
            </w:pPr>
          </w:p>
          <w:p w14:paraId="7EAB5EAA">
            <w:pPr>
              <w:pStyle w:val="6"/>
              <w:spacing w:before="65" w:line="229" w:lineRule="auto"/>
              <w:ind w:left="171"/>
            </w:pPr>
            <w:r>
              <w:rPr>
                <w:spacing w:val="8"/>
              </w:rPr>
              <w:t>环境空气二</w:t>
            </w:r>
          </w:p>
          <w:p w14:paraId="00D55E9D">
            <w:pPr>
              <w:pStyle w:val="6"/>
              <w:spacing w:before="78" w:line="228" w:lineRule="auto"/>
              <w:ind w:left="486"/>
            </w:pPr>
            <w:r>
              <w:rPr>
                <w:spacing w:val="4"/>
              </w:rPr>
              <w:t>类区</w:t>
            </w:r>
          </w:p>
        </w:tc>
        <w:tc>
          <w:tcPr>
            <w:tcW w:w="898" w:type="dxa"/>
            <w:vAlign w:val="top"/>
          </w:tcPr>
          <w:p w14:paraId="4BD92BFC">
            <w:pPr>
              <w:pStyle w:val="6"/>
              <w:spacing w:before="64" w:line="231" w:lineRule="auto"/>
              <w:ind w:left="250"/>
            </w:pPr>
            <w:r>
              <w:rPr>
                <w:spacing w:val="2"/>
              </w:rPr>
              <w:t>西南</w:t>
            </w:r>
          </w:p>
        </w:tc>
        <w:tc>
          <w:tcPr>
            <w:tcW w:w="1017" w:type="dxa"/>
            <w:vAlign w:val="top"/>
          </w:tcPr>
          <w:p w14:paraId="29BDD496">
            <w:pPr>
              <w:spacing w:before="34"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r>
      <w:tr w14:paraId="0BCAE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5471512B">
            <w:pPr>
              <w:pStyle w:val="6"/>
              <w:spacing w:before="66" w:line="228" w:lineRule="auto"/>
              <w:ind w:left="348"/>
            </w:pPr>
            <w:r>
              <w:rPr>
                <w:spacing w:val="6"/>
              </w:rPr>
              <w:t>龙岗村</w:t>
            </w:r>
          </w:p>
        </w:tc>
        <w:tc>
          <w:tcPr>
            <w:tcW w:w="996" w:type="dxa"/>
            <w:vAlign w:val="top"/>
          </w:tcPr>
          <w:p w14:paraId="1A185C81">
            <w:pPr>
              <w:spacing w:before="35" w:line="275"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-310</w:t>
            </w:r>
          </w:p>
        </w:tc>
        <w:tc>
          <w:tcPr>
            <w:tcW w:w="1175" w:type="dxa"/>
            <w:vAlign w:val="top"/>
          </w:tcPr>
          <w:p w14:paraId="1B8457BB">
            <w:pPr>
              <w:spacing w:before="35" w:line="275"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179</w:t>
            </w:r>
          </w:p>
        </w:tc>
        <w:tc>
          <w:tcPr>
            <w:tcW w:w="950" w:type="dxa"/>
            <w:vAlign w:val="top"/>
          </w:tcPr>
          <w:p w14:paraId="4A7D5BA3">
            <w:pPr>
              <w:pStyle w:val="6"/>
              <w:spacing w:before="66" w:line="229" w:lineRule="auto"/>
              <w:ind w:left="273"/>
            </w:pPr>
            <w:r>
              <w:rPr>
                <w:spacing w:val="3"/>
              </w:rPr>
              <w:t>居民</w:t>
            </w:r>
          </w:p>
        </w:tc>
        <w:tc>
          <w:tcPr>
            <w:tcW w:w="1221" w:type="dxa"/>
            <w:vAlign w:val="top"/>
          </w:tcPr>
          <w:p w14:paraId="172B86D6">
            <w:pPr>
              <w:pStyle w:val="6"/>
              <w:spacing w:before="35" w:line="275" w:lineRule="exact"/>
              <w:ind w:left="149"/>
            </w:pPr>
            <w:r>
              <w:rPr>
                <w:spacing w:val="-2"/>
                <w:position w:val="1"/>
              </w:rPr>
              <w:t>约</w:t>
            </w:r>
            <w:r>
              <w:rPr>
                <w:spacing w:val="-20"/>
                <w:position w:val="1"/>
              </w:rPr>
              <w:t xml:space="preserve"> </w:t>
            </w:r>
            <w:r>
              <w:rPr>
                <w:rFonts w:ascii="Times New Roman" w:hAnsi="Times New Roman" w:eastAsia="Times New Roman" w:cs="Times New Roman"/>
                <w:spacing w:val="-2"/>
                <w:position w:val="1"/>
              </w:rPr>
              <w:t>1300</w:t>
            </w:r>
            <w:r>
              <w:rPr>
                <w:rFonts w:ascii="Times New Roman" w:hAnsi="Times New Roman" w:eastAsia="Times New Roman" w:cs="Times New Roman"/>
                <w:spacing w:val="12"/>
                <w:position w:val="1"/>
              </w:rPr>
              <w:t xml:space="preserve"> </w:t>
            </w:r>
            <w:r>
              <w:rPr>
                <w:spacing w:val="-2"/>
                <w:position w:val="1"/>
              </w:rPr>
              <w:t>人</w:t>
            </w:r>
          </w:p>
        </w:tc>
        <w:tc>
          <w:tcPr>
            <w:tcW w:w="1378" w:type="dxa"/>
            <w:vMerge w:val="continue"/>
            <w:tcBorders>
              <w:top w:val="nil"/>
              <w:bottom w:val="nil"/>
            </w:tcBorders>
            <w:vAlign w:val="top"/>
          </w:tcPr>
          <w:p w14:paraId="21394C88">
            <w:pPr>
              <w:rPr>
                <w:rFonts w:ascii="Arial"/>
                <w:sz w:val="21"/>
              </w:rPr>
            </w:pPr>
          </w:p>
        </w:tc>
        <w:tc>
          <w:tcPr>
            <w:tcW w:w="898" w:type="dxa"/>
            <w:vAlign w:val="top"/>
          </w:tcPr>
          <w:p w14:paraId="26B0808E">
            <w:pPr>
              <w:pStyle w:val="6"/>
              <w:spacing w:before="66" w:line="232" w:lineRule="auto"/>
              <w:ind w:left="250"/>
            </w:pPr>
            <w:r>
              <w:rPr>
                <w:spacing w:val="2"/>
              </w:rPr>
              <w:t>西北</w:t>
            </w:r>
          </w:p>
        </w:tc>
        <w:tc>
          <w:tcPr>
            <w:tcW w:w="1017" w:type="dxa"/>
            <w:vAlign w:val="top"/>
          </w:tcPr>
          <w:p w14:paraId="4A03F435">
            <w:pPr>
              <w:spacing w:before="35" w:line="275"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r>
      <w:tr w14:paraId="02BA6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1315" w:type="dxa"/>
            <w:vAlign w:val="top"/>
          </w:tcPr>
          <w:p w14:paraId="62DD63FF">
            <w:pPr>
              <w:pStyle w:val="6"/>
              <w:spacing w:before="67" w:line="228" w:lineRule="auto"/>
              <w:ind w:left="454"/>
            </w:pPr>
            <w:r>
              <w:rPr>
                <w:spacing w:val="3"/>
              </w:rPr>
              <w:t>龙寨</w:t>
            </w:r>
          </w:p>
        </w:tc>
        <w:tc>
          <w:tcPr>
            <w:tcW w:w="996" w:type="dxa"/>
            <w:vAlign w:val="top"/>
          </w:tcPr>
          <w:p w14:paraId="7EB637E3">
            <w:pPr>
              <w:spacing w:before="36"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-692</w:t>
            </w:r>
          </w:p>
        </w:tc>
        <w:tc>
          <w:tcPr>
            <w:tcW w:w="1175" w:type="dxa"/>
            <w:vAlign w:val="top"/>
          </w:tcPr>
          <w:p w14:paraId="1E01EB4E">
            <w:pPr>
              <w:spacing w:before="36"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370</w:t>
            </w:r>
          </w:p>
        </w:tc>
        <w:tc>
          <w:tcPr>
            <w:tcW w:w="950" w:type="dxa"/>
            <w:vAlign w:val="top"/>
          </w:tcPr>
          <w:p w14:paraId="2F93D656">
            <w:pPr>
              <w:pStyle w:val="6"/>
              <w:spacing w:before="67" w:line="229" w:lineRule="auto"/>
              <w:ind w:left="273"/>
            </w:pPr>
            <w:r>
              <w:rPr>
                <w:spacing w:val="3"/>
              </w:rPr>
              <w:t>居民</w:t>
            </w:r>
          </w:p>
        </w:tc>
        <w:tc>
          <w:tcPr>
            <w:tcW w:w="1221" w:type="dxa"/>
            <w:vAlign w:val="top"/>
          </w:tcPr>
          <w:p w14:paraId="40AD87BD">
            <w:pPr>
              <w:pStyle w:val="6"/>
              <w:spacing w:before="36" w:line="274" w:lineRule="exact"/>
              <w:ind w:left="202"/>
            </w:pPr>
            <w:r>
              <w:rPr>
                <w:spacing w:val="-3"/>
                <w:position w:val="1"/>
              </w:rPr>
              <w:t>约</w:t>
            </w:r>
            <w:r>
              <w:rPr>
                <w:spacing w:val="-22"/>
                <w:position w:val="1"/>
              </w:rPr>
              <w:t xml:space="preserve"> </w:t>
            </w:r>
            <w:r>
              <w:rPr>
                <w:rFonts w:ascii="Times New Roman" w:hAnsi="Times New Roman" w:eastAsia="Times New Roman" w:cs="Times New Roman"/>
                <w:spacing w:val="-3"/>
                <w:position w:val="1"/>
              </w:rPr>
              <w:t>150</w:t>
            </w:r>
            <w:r>
              <w:rPr>
                <w:rFonts w:ascii="Times New Roman" w:hAnsi="Times New Roman" w:eastAsia="Times New Roman" w:cs="Times New Roman"/>
                <w:spacing w:val="11"/>
                <w:position w:val="1"/>
              </w:rPr>
              <w:t xml:space="preserve"> </w:t>
            </w:r>
            <w:r>
              <w:rPr>
                <w:spacing w:val="-3"/>
                <w:position w:val="1"/>
              </w:rPr>
              <w:t>人</w:t>
            </w:r>
          </w:p>
        </w:tc>
        <w:tc>
          <w:tcPr>
            <w:tcW w:w="1378" w:type="dxa"/>
            <w:vMerge w:val="continue"/>
            <w:tcBorders>
              <w:top w:val="nil"/>
              <w:bottom w:val="nil"/>
            </w:tcBorders>
            <w:vAlign w:val="top"/>
          </w:tcPr>
          <w:p w14:paraId="126E6CD3">
            <w:pPr>
              <w:rPr>
                <w:rFonts w:ascii="Arial"/>
                <w:sz w:val="21"/>
              </w:rPr>
            </w:pPr>
          </w:p>
        </w:tc>
        <w:tc>
          <w:tcPr>
            <w:tcW w:w="898" w:type="dxa"/>
            <w:vAlign w:val="top"/>
          </w:tcPr>
          <w:p w14:paraId="3F27FD50">
            <w:pPr>
              <w:pStyle w:val="6"/>
              <w:spacing w:before="67" w:line="232" w:lineRule="auto"/>
              <w:ind w:left="250"/>
            </w:pPr>
            <w:r>
              <w:rPr>
                <w:spacing w:val="2"/>
              </w:rPr>
              <w:t>西北</w:t>
            </w:r>
          </w:p>
        </w:tc>
        <w:tc>
          <w:tcPr>
            <w:tcW w:w="1017" w:type="dxa"/>
            <w:vAlign w:val="top"/>
          </w:tcPr>
          <w:p w14:paraId="055965FC">
            <w:pPr>
              <w:spacing w:before="36"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722</w:t>
            </w:r>
          </w:p>
        </w:tc>
      </w:tr>
      <w:tr w14:paraId="25D5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98E07C9">
            <w:pPr>
              <w:pStyle w:val="6"/>
              <w:spacing w:before="67" w:line="229" w:lineRule="auto"/>
              <w:ind w:left="348"/>
            </w:pPr>
            <w:r>
              <w:rPr>
                <w:spacing w:val="6"/>
              </w:rPr>
              <w:t>后垅尾</w:t>
            </w:r>
          </w:p>
        </w:tc>
        <w:tc>
          <w:tcPr>
            <w:tcW w:w="996" w:type="dxa"/>
            <w:vAlign w:val="top"/>
          </w:tcPr>
          <w:p w14:paraId="4A99075E">
            <w:pPr>
              <w:spacing w:before="36"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-378</w:t>
            </w:r>
          </w:p>
        </w:tc>
        <w:tc>
          <w:tcPr>
            <w:tcW w:w="1175" w:type="dxa"/>
            <w:vAlign w:val="top"/>
          </w:tcPr>
          <w:p w14:paraId="47542979">
            <w:pPr>
              <w:spacing w:before="36"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569</w:t>
            </w:r>
          </w:p>
        </w:tc>
        <w:tc>
          <w:tcPr>
            <w:tcW w:w="950" w:type="dxa"/>
            <w:vAlign w:val="top"/>
          </w:tcPr>
          <w:p w14:paraId="786D9793">
            <w:pPr>
              <w:pStyle w:val="6"/>
              <w:spacing w:before="67" w:line="229" w:lineRule="auto"/>
              <w:ind w:left="273"/>
            </w:pPr>
            <w:r>
              <w:rPr>
                <w:spacing w:val="3"/>
              </w:rPr>
              <w:t>居民</w:t>
            </w:r>
          </w:p>
        </w:tc>
        <w:tc>
          <w:tcPr>
            <w:tcW w:w="1221" w:type="dxa"/>
            <w:vAlign w:val="top"/>
          </w:tcPr>
          <w:p w14:paraId="3C39D1E8">
            <w:pPr>
              <w:pStyle w:val="6"/>
              <w:spacing w:before="36" w:line="274" w:lineRule="exact"/>
              <w:ind w:left="202"/>
            </w:pPr>
            <w:r>
              <w:rPr>
                <w:spacing w:val="1"/>
                <w:position w:val="1"/>
              </w:rPr>
              <w:t>约</w:t>
            </w:r>
            <w:r>
              <w:rPr>
                <w:spacing w:val="-42"/>
                <w:position w:val="1"/>
              </w:rPr>
              <w:t xml:space="preserve"> </w:t>
            </w:r>
            <w:r>
              <w:rPr>
                <w:rFonts w:ascii="Times New Roman" w:hAnsi="Times New Roman" w:eastAsia="Times New Roman" w:cs="Times New Roman"/>
                <w:spacing w:val="1"/>
                <w:position w:val="1"/>
              </w:rPr>
              <w:t>200</w:t>
            </w:r>
            <w:r>
              <w:rPr>
                <w:rFonts w:ascii="Times New Roman" w:hAnsi="Times New Roman" w:eastAsia="Times New Roman" w:cs="Times New Roman"/>
                <w:spacing w:val="11"/>
                <w:position w:val="1"/>
              </w:rPr>
              <w:t xml:space="preserve"> </w:t>
            </w:r>
            <w:r>
              <w:rPr>
                <w:spacing w:val="1"/>
                <w:position w:val="1"/>
              </w:rPr>
              <w:t>人</w:t>
            </w:r>
          </w:p>
        </w:tc>
        <w:tc>
          <w:tcPr>
            <w:tcW w:w="1378" w:type="dxa"/>
            <w:vMerge w:val="continue"/>
            <w:tcBorders>
              <w:top w:val="nil"/>
              <w:bottom w:val="nil"/>
            </w:tcBorders>
            <w:vAlign w:val="top"/>
          </w:tcPr>
          <w:p w14:paraId="2C9B1FB1">
            <w:pPr>
              <w:rPr>
                <w:rFonts w:ascii="Arial"/>
                <w:sz w:val="21"/>
              </w:rPr>
            </w:pPr>
          </w:p>
        </w:tc>
        <w:tc>
          <w:tcPr>
            <w:tcW w:w="898" w:type="dxa"/>
            <w:vAlign w:val="top"/>
          </w:tcPr>
          <w:p w14:paraId="5FCDDB0F">
            <w:pPr>
              <w:pStyle w:val="6"/>
              <w:spacing w:before="67" w:line="232" w:lineRule="auto"/>
              <w:ind w:left="250"/>
            </w:pPr>
            <w:r>
              <w:rPr>
                <w:spacing w:val="2"/>
              </w:rPr>
              <w:t>西北</w:t>
            </w:r>
          </w:p>
        </w:tc>
        <w:tc>
          <w:tcPr>
            <w:tcW w:w="1017" w:type="dxa"/>
            <w:vAlign w:val="top"/>
          </w:tcPr>
          <w:p w14:paraId="69C316F1">
            <w:pPr>
              <w:spacing w:before="36"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614</w:t>
            </w:r>
          </w:p>
        </w:tc>
      </w:tr>
      <w:tr w14:paraId="1E54D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B7F149A">
            <w:pPr>
              <w:pStyle w:val="6"/>
              <w:spacing w:before="67" w:line="228" w:lineRule="auto"/>
              <w:ind w:left="356"/>
            </w:pPr>
            <w:r>
              <w:rPr>
                <w:spacing w:val="3"/>
              </w:rPr>
              <w:t>笏雅村</w:t>
            </w:r>
          </w:p>
        </w:tc>
        <w:tc>
          <w:tcPr>
            <w:tcW w:w="996" w:type="dxa"/>
            <w:vAlign w:val="top"/>
          </w:tcPr>
          <w:p w14:paraId="04F7199B">
            <w:pPr>
              <w:spacing w:before="37"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-474</w:t>
            </w:r>
          </w:p>
        </w:tc>
        <w:tc>
          <w:tcPr>
            <w:tcW w:w="1175" w:type="dxa"/>
            <w:vAlign w:val="top"/>
          </w:tcPr>
          <w:p w14:paraId="5B04788D">
            <w:pPr>
              <w:spacing w:before="37"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762</w:t>
            </w:r>
          </w:p>
        </w:tc>
        <w:tc>
          <w:tcPr>
            <w:tcW w:w="950" w:type="dxa"/>
            <w:vAlign w:val="top"/>
          </w:tcPr>
          <w:p w14:paraId="08BC40E8">
            <w:pPr>
              <w:pStyle w:val="6"/>
              <w:spacing w:before="67" w:line="229" w:lineRule="auto"/>
              <w:ind w:left="273"/>
            </w:pPr>
            <w:r>
              <w:rPr>
                <w:spacing w:val="3"/>
              </w:rPr>
              <w:t>居民</w:t>
            </w:r>
          </w:p>
        </w:tc>
        <w:tc>
          <w:tcPr>
            <w:tcW w:w="1221" w:type="dxa"/>
            <w:vAlign w:val="top"/>
          </w:tcPr>
          <w:p w14:paraId="495DFCEA">
            <w:pPr>
              <w:pStyle w:val="6"/>
              <w:spacing w:before="37" w:line="274" w:lineRule="exact"/>
              <w:ind w:left="149"/>
            </w:pPr>
            <w:r>
              <w:rPr>
                <w:spacing w:val="2"/>
                <w:position w:val="1"/>
              </w:rPr>
              <w:t>约</w:t>
            </w:r>
            <w:r>
              <w:rPr>
                <w:spacing w:val="-44"/>
                <w:position w:val="1"/>
              </w:rPr>
              <w:t xml:space="preserve"> </w:t>
            </w:r>
            <w:r>
              <w:rPr>
                <w:rFonts w:ascii="Times New Roman" w:hAnsi="Times New Roman" w:eastAsia="Times New Roman" w:cs="Times New Roman"/>
                <w:spacing w:val="2"/>
                <w:position w:val="1"/>
              </w:rPr>
              <w:t>2000</w:t>
            </w:r>
            <w:r>
              <w:rPr>
                <w:rFonts w:ascii="Times New Roman" w:hAnsi="Times New Roman" w:eastAsia="Times New Roman" w:cs="Times New Roman"/>
                <w:spacing w:val="12"/>
                <w:position w:val="1"/>
              </w:rPr>
              <w:t xml:space="preserve"> </w:t>
            </w:r>
            <w:r>
              <w:rPr>
                <w:spacing w:val="2"/>
                <w:position w:val="1"/>
              </w:rPr>
              <w:t>人</w:t>
            </w:r>
          </w:p>
        </w:tc>
        <w:tc>
          <w:tcPr>
            <w:tcW w:w="1378" w:type="dxa"/>
            <w:vMerge w:val="continue"/>
            <w:tcBorders>
              <w:top w:val="nil"/>
              <w:bottom w:val="nil"/>
            </w:tcBorders>
            <w:vAlign w:val="top"/>
          </w:tcPr>
          <w:p w14:paraId="3A32DDAE">
            <w:pPr>
              <w:rPr>
                <w:rFonts w:ascii="Arial"/>
                <w:sz w:val="21"/>
              </w:rPr>
            </w:pPr>
          </w:p>
        </w:tc>
        <w:tc>
          <w:tcPr>
            <w:tcW w:w="898" w:type="dxa"/>
            <w:vAlign w:val="top"/>
          </w:tcPr>
          <w:p w14:paraId="6F7A1123">
            <w:pPr>
              <w:pStyle w:val="6"/>
              <w:spacing w:before="67" w:line="232" w:lineRule="auto"/>
              <w:ind w:left="250"/>
            </w:pPr>
            <w:r>
              <w:rPr>
                <w:spacing w:val="2"/>
              </w:rPr>
              <w:t>西北</w:t>
            </w:r>
          </w:p>
        </w:tc>
        <w:tc>
          <w:tcPr>
            <w:tcW w:w="1017" w:type="dxa"/>
            <w:vAlign w:val="top"/>
          </w:tcPr>
          <w:p w14:paraId="59D4B198">
            <w:pPr>
              <w:spacing w:before="37" w:line="274" w:lineRule="exact"/>
              <w:ind w:left="3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832</w:t>
            </w:r>
          </w:p>
        </w:tc>
      </w:tr>
      <w:tr w14:paraId="50187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75FA8195">
            <w:pPr>
              <w:pStyle w:val="6"/>
              <w:spacing w:before="68" w:line="229" w:lineRule="auto"/>
              <w:ind w:left="348"/>
            </w:pPr>
            <w:r>
              <w:rPr>
                <w:spacing w:val="6"/>
              </w:rPr>
              <w:t>洪厝围</w:t>
            </w:r>
          </w:p>
        </w:tc>
        <w:tc>
          <w:tcPr>
            <w:tcW w:w="996" w:type="dxa"/>
            <w:vAlign w:val="top"/>
          </w:tcPr>
          <w:p w14:paraId="2F814711">
            <w:pPr>
              <w:spacing w:before="37"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-337</w:t>
            </w:r>
          </w:p>
        </w:tc>
        <w:tc>
          <w:tcPr>
            <w:tcW w:w="1175" w:type="dxa"/>
            <w:vAlign w:val="top"/>
          </w:tcPr>
          <w:p w14:paraId="64D26A17">
            <w:pPr>
              <w:spacing w:before="37"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1125</w:t>
            </w:r>
          </w:p>
        </w:tc>
        <w:tc>
          <w:tcPr>
            <w:tcW w:w="950" w:type="dxa"/>
            <w:vAlign w:val="top"/>
          </w:tcPr>
          <w:p w14:paraId="1C2D88B6">
            <w:pPr>
              <w:pStyle w:val="6"/>
              <w:spacing w:before="68" w:line="229" w:lineRule="auto"/>
              <w:ind w:left="273"/>
            </w:pPr>
            <w:r>
              <w:rPr>
                <w:spacing w:val="3"/>
              </w:rPr>
              <w:t>居民</w:t>
            </w:r>
          </w:p>
        </w:tc>
        <w:tc>
          <w:tcPr>
            <w:tcW w:w="1221" w:type="dxa"/>
            <w:vAlign w:val="top"/>
          </w:tcPr>
          <w:p w14:paraId="7A9B4944">
            <w:pPr>
              <w:pStyle w:val="6"/>
              <w:spacing w:before="37" w:line="274" w:lineRule="exact"/>
              <w:ind w:left="202"/>
            </w:pPr>
            <w:r>
              <w:rPr>
                <w:position w:val="1"/>
              </w:rPr>
              <w:t>约</w:t>
            </w:r>
            <w:r>
              <w:rPr>
                <w:spacing w:val="-37"/>
                <w:position w:val="1"/>
              </w:rPr>
              <w:t xml:space="preserve"> </w:t>
            </w:r>
            <w:r>
              <w:rPr>
                <w:rFonts w:ascii="Times New Roman" w:hAnsi="Times New Roman" w:eastAsia="Times New Roman" w:cs="Times New Roman"/>
                <w:position w:val="1"/>
              </w:rPr>
              <w:t>500</w:t>
            </w:r>
            <w:r>
              <w:rPr>
                <w:rFonts w:ascii="Times New Roman" w:hAnsi="Times New Roman" w:eastAsia="Times New Roman" w:cs="Times New Roman"/>
                <w:spacing w:val="11"/>
                <w:position w:val="1"/>
              </w:rPr>
              <w:t xml:space="preserve"> </w:t>
            </w:r>
            <w:r>
              <w:rPr>
                <w:position w:val="1"/>
              </w:rPr>
              <w:t>人</w:t>
            </w:r>
          </w:p>
        </w:tc>
        <w:tc>
          <w:tcPr>
            <w:tcW w:w="1378" w:type="dxa"/>
            <w:vMerge w:val="continue"/>
            <w:tcBorders>
              <w:top w:val="nil"/>
              <w:bottom w:val="nil"/>
            </w:tcBorders>
            <w:vAlign w:val="top"/>
          </w:tcPr>
          <w:p w14:paraId="155EA20A">
            <w:pPr>
              <w:rPr>
                <w:rFonts w:ascii="Arial"/>
                <w:sz w:val="21"/>
              </w:rPr>
            </w:pPr>
          </w:p>
        </w:tc>
        <w:tc>
          <w:tcPr>
            <w:tcW w:w="898" w:type="dxa"/>
            <w:vAlign w:val="top"/>
          </w:tcPr>
          <w:p w14:paraId="76D1C78F">
            <w:pPr>
              <w:pStyle w:val="6"/>
              <w:spacing w:before="68" w:line="232" w:lineRule="auto"/>
              <w:ind w:left="354"/>
            </w:pPr>
            <w:r>
              <w:t>北</w:t>
            </w:r>
          </w:p>
        </w:tc>
        <w:tc>
          <w:tcPr>
            <w:tcW w:w="1017" w:type="dxa"/>
            <w:vAlign w:val="top"/>
          </w:tcPr>
          <w:p w14:paraId="3210AFFE">
            <w:pPr>
              <w:spacing w:before="37" w:line="274"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1125</w:t>
            </w:r>
          </w:p>
        </w:tc>
      </w:tr>
      <w:tr w14:paraId="13125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20AA1565">
            <w:pPr>
              <w:pStyle w:val="6"/>
              <w:spacing w:before="65" w:line="228" w:lineRule="auto"/>
              <w:ind w:left="452"/>
            </w:pPr>
            <w:r>
              <w:rPr>
                <w:spacing w:val="4"/>
              </w:rPr>
              <w:t>青湖</w:t>
            </w:r>
          </w:p>
        </w:tc>
        <w:tc>
          <w:tcPr>
            <w:tcW w:w="996" w:type="dxa"/>
            <w:vAlign w:val="top"/>
          </w:tcPr>
          <w:p w14:paraId="2D806C4E">
            <w:pPr>
              <w:spacing w:before="35"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-1944</w:t>
            </w:r>
          </w:p>
        </w:tc>
        <w:tc>
          <w:tcPr>
            <w:tcW w:w="1175" w:type="dxa"/>
            <w:vAlign w:val="top"/>
          </w:tcPr>
          <w:p w14:paraId="57B30EA6">
            <w:pPr>
              <w:spacing w:before="35"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1382</w:t>
            </w:r>
          </w:p>
        </w:tc>
        <w:tc>
          <w:tcPr>
            <w:tcW w:w="950" w:type="dxa"/>
            <w:vAlign w:val="top"/>
          </w:tcPr>
          <w:p w14:paraId="7D4A45D7">
            <w:pPr>
              <w:pStyle w:val="6"/>
              <w:spacing w:before="66" w:line="229" w:lineRule="auto"/>
              <w:ind w:left="273"/>
            </w:pPr>
            <w:r>
              <w:rPr>
                <w:spacing w:val="3"/>
              </w:rPr>
              <w:t>居民</w:t>
            </w:r>
          </w:p>
        </w:tc>
        <w:tc>
          <w:tcPr>
            <w:tcW w:w="1221" w:type="dxa"/>
            <w:vAlign w:val="top"/>
          </w:tcPr>
          <w:p w14:paraId="4F651C8E">
            <w:pPr>
              <w:pStyle w:val="6"/>
              <w:spacing w:before="35" w:line="274" w:lineRule="exact"/>
              <w:ind w:left="149"/>
            </w:pPr>
            <w:r>
              <w:rPr>
                <w:spacing w:val="2"/>
                <w:position w:val="1"/>
              </w:rPr>
              <w:t>约</w:t>
            </w:r>
            <w:r>
              <w:rPr>
                <w:spacing w:val="-44"/>
                <w:position w:val="1"/>
              </w:rPr>
              <w:t xml:space="preserve"> </w:t>
            </w:r>
            <w:r>
              <w:rPr>
                <w:rFonts w:ascii="Times New Roman" w:hAnsi="Times New Roman" w:eastAsia="Times New Roman" w:cs="Times New Roman"/>
                <w:spacing w:val="2"/>
                <w:position w:val="1"/>
              </w:rPr>
              <w:t>2000</w:t>
            </w:r>
            <w:r>
              <w:rPr>
                <w:rFonts w:ascii="Times New Roman" w:hAnsi="Times New Roman" w:eastAsia="Times New Roman" w:cs="Times New Roman"/>
                <w:spacing w:val="12"/>
                <w:position w:val="1"/>
              </w:rPr>
              <w:t xml:space="preserve"> </w:t>
            </w:r>
            <w:r>
              <w:rPr>
                <w:spacing w:val="2"/>
                <w:position w:val="1"/>
              </w:rPr>
              <w:t>人</w:t>
            </w:r>
          </w:p>
        </w:tc>
        <w:tc>
          <w:tcPr>
            <w:tcW w:w="1378" w:type="dxa"/>
            <w:vMerge w:val="continue"/>
            <w:tcBorders>
              <w:top w:val="nil"/>
              <w:bottom w:val="nil"/>
            </w:tcBorders>
            <w:vAlign w:val="top"/>
          </w:tcPr>
          <w:p w14:paraId="505EABE4">
            <w:pPr>
              <w:rPr>
                <w:rFonts w:ascii="Arial"/>
                <w:sz w:val="21"/>
              </w:rPr>
            </w:pPr>
          </w:p>
        </w:tc>
        <w:tc>
          <w:tcPr>
            <w:tcW w:w="898" w:type="dxa"/>
            <w:vAlign w:val="top"/>
          </w:tcPr>
          <w:p w14:paraId="13953405">
            <w:pPr>
              <w:pStyle w:val="6"/>
              <w:spacing w:before="66" w:line="232" w:lineRule="auto"/>
              <w:ind w:left="250"/>
            </w:pPr>
            <w:r>
              <w:rPr>
                <w:spacing w:val="2"/>
              </w:rPr>
              <w:t>西北</w:t>
            </w:r>
          </w:p>
        </w:tc>
        <w:tc>
          <w:tcPr>
            <w:tcW w:w="1017" w:type="dxa"/>
            <w:vAlign w:val="top"/>
          </w:tcPr>
          <w:p w14:paraId="5F457E0C">
            <w:pPr>
              <w:spacing w:before="35"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2319</w:t>
            </w:r>
          </w:p>
        </w:tc>
      </w:tr>
      <w:tr w14:paraId="33926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72747067">
            <w:pPr>
              <w:pStyle w:val="6"/>
              <w:spacing w:before="66" w:line="228" w:lineRule="auto"/>
              <w:ind w:left="347"/>
            </w:pPr>
            <w:r>
              <w:rPr>
                <w:spacing w:val="6"/>
              </w:rPr>
              <w:t>青围村</w:t>
            </w:r>
          </w:p>
        </w:tc>
        <w:tc>
          <w:tcPr>
            <w:tcW w:w="996" w:type="dxa"/>
            <w:vAlign w:val="top"/>
          </w:tcPr>
          <w:p w14:paraId="4CCC22E1">
            <w:pPr>
              <w:spacing w:before="35" w:line="275"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-2221</w:t>
            </w:r>
          </w:p>
        </w:tc>
        <w:tc>
          <w:tcPr>
            <w:tcW w:w="1175" w:type="dxa"/>
            <w:vAlign w:val="top"/>
          </w:tcPr>
          <w:p w14:paraId="2CB8FC7D">
            <w:pPr>
              <w:spacing w:before="35" w:line="275"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1856</w:t>
            </w:r>
          </w:p>
        </w:tc>
        <w:tc>
          <w:tcPr>
            <w:tcW w:w="950" w:type="dxa"/>
            <w:vAlign w:val="top"/>
          </w:tcPr>
          <w:p w14:paraId="267EC25C">
            <w:pPr>
              <w:pStyle w:val="6"/>
              <w:spacing w:before="66" w:line="229" w:lineRule="auto"/>
              <w:ind w:left="273"/>
            </w:pPr>
            <w:r>
              <w:rPr>
                <w:spacing w:val="3"/>
              </w:rPr>
              <w:t>居民</w:t>
            </w:r>
          </w:p>
        </w:tc>
        <w:tc>
          <w:tcPr>
            <w:tcW w:w="1221" w:type="dxa"/>
            <w:vAlign w:val="top"/>
          </w:tcPr>
          <w:p w14:paraId="5D529341">
            <w:pPr>
              <w:pStyle w:val="6"/>
              <w:spacing w:before="35" w:line="275"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1800</w:t>
            </w:r>
          </w:p>
        </w:tc>
        <w:tc>
          <w:tcPr>
            <w:tcW w:w="1378" w:type="dxa"/>
            <w:vMerge w:val="continue"/>
            <w:tcBorders>
              <w:top w:val="nil"/>
              <w:bottom w:val="nil"/>
            </w:tcBorders>
            <w:vAlign w:val="top"/>
          </w:tcPr>
          <w:p w14:paraId="77E50E8C">
            <w:pPr>
              <w:rPr>
                <w:rFonts w:ascii="Arial"/>
                <w:sz w:val="21"/>
              </w:rPr>
            </w:pPr>
          </w:p>
        </w:tc>
        <w:tc>
          <w:tcPr>
            <w:tcW w:w="898" w:type="dxa"/>
            <w:vAlign w:val="top"/>
          </w:tcPr>
          <w:p w14:paraId="595E7E3B">
            <w:pPr>
              <w:pStyle w:val="6"/>
              <w:spacing w:before="66" w:line="232" w:lineRule="auto"/>
              <w:ind w:left="250"/>
            </w:pPr>
            <w:r>
              <w:rPr>
                <w:spacing w:val="2"/>
              </w:rPr>
              <w:t>西北</w:t>
            </w:r>
          </w:p>
        </w:tc>
        <w:tc>
          <w:tcPr>
            <w:tcW w:w="1017" w:type="dxa"/>
            <w:vAlign w:val="top"/>
          </w:tcPr>
          <w:p w14:paraId="1E5A9250">
            <w:pPr>
              <w:spacing w:before="35" w:line="27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2841</w:t>
            </w:r>
          </w:p>
        </w:tc>
      </w:tr>
      <w:tr w14:paraId="08D43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3C9AC58F">
            <w:pPr>
              <w:pStyle w:val="6"/>
              <w:spacing w:before="61" w:line="222" w:lineRule="auto"/>
              <w:ind w:left="444"/>
              <w:rPr>
                <w:sz w:val="22"/>
                <w:szCs w:val="22"/>
              </w:rPr>
            </w:pPr>
            <w:r>
              <w:rPr>
                <w:spacing w:val="-4"/>
                <w:sz w:val="22"/>
                <w:szCs w:val="22"/>
              </w:rPr>
              <w:t>新围</w:t>
            </w:r>
          </w:p>
        </w:tc>
        <w:tc>
          <w:tcPr>
            <w:tcW w:w="996" w:type="dxa"/>
            <w:vAlign w:val="top"/>
          </w:tcPr>
          <w:p w14:paraId="29C52749">
            <w:pPr>
              <w:spacing w:before="36"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-1990</w:t>
            </w:r>
          </w:p>
        </w:tc>
        <w:tc>
          <w:tcPr>
            <w:tcW w:w="1175" w:type="dxa"/>
            <w:vAlign w:val="top"/>
          </w:tcPr>
          <w:p w14:paraId="7B3E74F4">
            <w:pPr>
              <w:spacing w:before="36"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2149</w:t>
            </w:r>
          </w:p>
        </w:tc>
        <w:tc>
          <w:tcPr>
            <w:tcW w:w="950" w:type="dxa"/>
            <w:vAlign w:val="top"/>
          </w:tcPr>
          <w:p w14:paraId="4773D5D2">
            <w:pPr>
              <w:pStyle w:val="6"/>
              <w:spacing w:before="67" w:line="229" w:lineRule="auto"/>
              <w:ind w:left="273"/>
            </w:pPr>
            <w:r>
              <w:rPr>
                <w:spacing w:val="3"/>
              </w:rPr>
              <w:t>居民</w:t>
            </w:r>
          </w:p>
        </w:tc>
        <w:tc>
          <w:tcPr>
            <w:tcW w:w="1221" w:type="dxa"/>
            <w:vAlign w:val="top"/>
          </w:tcPr>
          <w:p w14:paraId="06D086FE">
            <w:pPr>
              <w:pStyle w:val="6"/>
              <w:spacing w:before="36" w:line="274" w:lineRule="exact"/>
              <w:ind w:left="332"/>
              <w:rPr>
                <w:rFonts w:ascii="Times New Roman" w:hAnsi="Times New Roman" w:eastAsia="Times New Roman" w:cs="Times New Roman"/>
              </w:rPr>
            </w:pPr>
            <w:r>
              <w:rPr>
                <w:spacing w:val="-1"/>
                <w:position w:val="1"/>
              </w:rPr>
              <w:t>约</w:t>
            </w:r>
            <w:r>
              <w:rPr>
                <w:spacing w:val="-33"/>
                <w:position w:val="1"/>
              </w:rPr>
              <w:t xml:space="preserve"> </w:t>
            </w:r>
            <w:r>
              <w:rPr>
                <w:rFonts w:ascii="Times New Roman" w:hAnsi="Times New Roman" w:eastAsia="Times New Roman" w:cs="Times New Roman"/>
                <w:spacing w:val="-1"/>
                <w:position w:val="1"/>
              </w:rPr>
              <w:t>800</w:t>
            </w:r>
          </w:p>
        </w:tc>
        <w:tc>
          <w:tcPr>
            <w:tcW w:w="1378" w:type="dxa"/>
            <w:vMerge w:val="continue"/>
            <w:tcBorders>
              <w:top w:val="nil"/>
              <w:bottom w:val="nil"/>
            </w:tcBorders>
            <w:vAlign w:val="top"/>
          </w:tcPr>
          <w:p w14:paraId="5F2E6230">
            <w:pPr>
              <w:rPr>
                <w:rFonts w:ascii="Arial"/>
                <w:sz w:val="21"/>
              </w:rPr>
            </w:pPr>
          </w:p>
        </w:tc>
        <w:tc>
          <w:tcPr>
            <w:tcW w:w="898" w:type="dxa"/>
            <w:vAlign w:val="top"/>
          </w:tcPr>
          <w:p w14:paraId="6CA2E8BC">
            <w:pPr>
              <w:pStyle w:val="6"/>
              <w:spacing w:before="67" w:line="232" w:lineRule="auto"/>
              <w:ind w:left="250"/>
            </w:pPr>
            <w:r>
              <w:rPr>
                <w:spacing w:val="2"/>
              </w:rPr>
              <w:t>西北</w:t>
            </w:r>
          </w:p>
        </w:tc>
        <w:tc>
          <w:tcPr>
            <w:tcW w:w="1017" w:type="dxa"/>
            <w:vAlign w:val="top"/>
          </w:tcPr>
          <w:p w14:paraId="080F5DEC">
            <w:pPr>
              <w:spacing w:before="36"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2891</w:t>
            </w:r>
          </w:p>
        </w:tc>
      </w:tr>
      <w:tr w14:paraId="632E2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15" w:type="dxa"/>
            <w:vAlign w:val="top"/>
          </w:tcPr>
          <w:p w14:paraId="1DBA378A">
            <w:pPr>
              <w:pStyle w:val="6"/>
              <w:spacing w:before="54" w:line="221" w:lineRule="auto"/>
              <w:ind w:left="229"/>
              <w:rPr>
                <w:sz w:val="22"/>
                <w:szCs w:val="22"/>
              </w:rPr>
            </w:pPr>
            <w:r>
              <w:rPr>
                <w:spacing w:val="-4"/>
                <w:sz w:val="22"/>
                <w:szCs w:val="22"/>
              </w:rPr>
              <w:t>公平水库</w:t>
            </w:r>
          </w:p>
          <w:p w14:paraId="7C7A23FE">
            <w:pPr>
              <w:pStyle w:val="6"/>
              <w:spacing w:before="63" w:line="220" w:lineRule="auto"/>
              <w:ind w:left="554"/>
              <w:rPr>
                <w:sz w:val="22"/>
                <w:szCs w:val="22"/>
              </w:rPr>
            </w:pPr>
            <w:r>
              <w:rPr>
                <w:sz w:val="22"/>
                <w:szCs w:val="22"/>
              </w:rPr>
              <w:t>村</w:t>
            </w:r>
          </w:p>
        </w:tc>
        <w:tc>
          <w:tcPr>
            <w:tcW w:w="996" w:type="dxa"/>
            <w:vAlign w:val="top"/>
          </w:tcPr>
          <w:p w14:paraId="5E64A8E4">
            <w:pPr>
              <w:spacing w:before="192"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-301</w:t>
            </w:r>
          </w:p>
        </w:tc>
        <w:tc>
          <w:tcPr>
            <w:tcW w:w="1175" w:type="dxa"/>
            <w:vAlign w:val="top"/>
          </w:tcPr>
          <w:p w14:paraId="42113BD5">
            <w:pPr>
              <w:spacing w:before="192"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1605</w:t>
            </w:r>
          </w:p>
        </w:tc>
        <w:tc>
          <w:tcPr>
            <w:tcW w:w="950" w:type="dxa"/>
            <w:vAlign w:val="top"/>
          </w:tcPr>
          <w:p w14:paraId="3092BC21">
            <w:pPr>
              <w:pStyle w:val="6"/>
              <w:spacing w:before="223" w:line="229" w:lineRule="auto"/>
              <w:ind w:left="273"/>
            </w:pPr>
            <w:r>
              <w:rPr>
                <w:spacing w:val="3"/>
              </w:rPr>
              <w:t>居民</w:t>
            </w:r>
          </w:p>
        </w:tc>
        <w:tc>
          <w:tcPr>
            <w:tcW w:w="1221" w:type="dxa"/>
            <w:vAlign w:val="top"/>
          </w:tcPr>
          <w:p w14:paraId="12425778">
            <w:pPr>
              <w:pStyle w:val="6"/>
              <w:spacing w:before="192" w:line="274" w:lineRule="exact"/>
              <w:ind w:left="281"/>
              <w:rPr>
                <w:rFonts w:ascii="Times New Roman" w:hAnsi="Times New Roman" w:eastAsia="Times New Roman" w:cs="Times New Roman"/>
              </w:rPr>
            </w:pPr>
            <w:r>
              <w:rPr>
                <w:spacing w:val="2"/>
                <w:position w:val="1"/>
              </w:rPr>
              <w:t>约</w:t>
            </w:r>
            <w:r>
              <w:rPr>
                <w:spacing w:val="-42"/>
                <w:position w:val="1"/>
              </w:rPr>
              <w:t xml:space="preserve"> </w:t>
            </w:r>
            <w:r>
              <w:rPr>
                <w:rFonts w:ascii="Times New Roman" w:hAnsi="Times New Roman" w:eastAsia="Times New Roman" w:cs="Times New Roman"/>
                <w:spacing w:val="2"/>
                <w:position w:val="1"/>
              </w:rPr>
              <w:t>2500</w:t>
            </w:r>
          </w:p>
        </w:tc>
        <w:tc>
          <w:tcPr>
            <w:tcW w:w="1378" w:type="dxa"/>
            <w:vMerge w:val="continue"/>
            <w:tcBorders>
              <w:top w:val="nil"/>
              <w:bottom w:val="nil"/>
            </w:tcBorders>
            <w:vAlign w:val="top"/>
          </w:tcPr>
          <w:p w14:paraId="4B030941">
            <w:pPr>
              <w:rPr>
                <w:rFonts w:ascii="Arial"/>
                <w:sz w:val="21"/>
              </w:rPr>
            </w:pPr>
          </w:p>
        </w:tc>
        <w:tc>
          <w:tcPr>
            <w:tcW w:w="898" w:type="dxa"/>
            <w:vAlign w:val="top"/>
          </w:tcPr>
          <w:p w14:paraId="07BE18DD">
            <w:pPr>
              <w:pStyle w:val="6"/>
              <w:spacing w:before="223" w:line="232" w:lineRule="auto"/>
              <w:ind w:left="354"/>
            </w:pPr>
            <w:r>
              <w:t>北</w:t>
            </w:r>
          </w:p>
        </w:tc>
        <w:tc>
          <w:tcPr>
            <w:tcW w:w="1017" w:type="dxa"/>
            <w:vAlign w:val="top"/>
          </w:tcPr>
          <w:p w14:paraId="69056A99">
            <w:pPr>
              <w:spacing w:before="19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1577</w:t>
            </w:r>
          </w:p>
        </w:tc>
      </w:tr>
      <w:tr w14:paraId="5A26F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5BE6E0AF">
            <w:pPr>
              <w:pStyle w:val="6"/>
              <w:spacing w:before="63" w:line="221" w:lineRule="auto"/>
              <w:ind w:left="333"/>
              <w:rPr>
                <w:sz w:val="22"/>
                <w:szCs w:val="22"/>
              </w:rPr>
            </w:pPr>
            <w:r>
              <w:rPr>
                <w:spacing w:val="-3"/>
                <w:sz w:val="22"/>
                <w:szCs w:val="22"/>
              </w:rPr>
              <w:t>胜高楼</w:t>
            </w:r>
          </w:p>
        </w:tc>
        <w:tc>
          <w:tcPr>
            <w:tcW w:w="996" w:type="dxa"/>
            <w:vAlign w:val="top"/>
          </w:tcPr>
          <w:p w14:paraId="2EB5EBD6">
            <w:pPr>
              <w:spacing w:before="28" w:line="290" w:lineRule="exact"/>
              <w:ind w:left="337"/>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731</w:t>
            </w:r>
          </w:p>
        </w:tc>
        <w:tc>
          <w:tcPr>
            <w:tcW w:w="1175" w:type="dxa"/>
            <w:vAlign w:val="top"/>
          </w:tcPr>
          <w:p w14:paraId="4AE1DFDE">
            <w:pPr>
              <w:spacing w:before="28"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7"/>
                <w:position w:val="1"/>
                <w:sz w:val="22"/>
                <w:szCs w:val="22"/>
              </w:rPr>
              <w:t>1876</w:t>
            </w:r>
          </w:p>
        </w:tc>
        <w:tc>
          <w:tcPr>
            <w:tcW w:w="950" w:type="dxa"/>
            <w:vAlign w:val="top"/>
          </w:tcPr>
          <w:p w14:paraId="05A16A62">
            <w:pPr>
              <w:pStyle w:val="6"/>
              <w:spacing w:before="68" w:line="229" w:lineRule="auto"/>
              <w:ind w:left="273"/>
            </w:pPr>
            <w:r>
              <w:rPr>
                <w:spacing w:val="3"/>
              </w:rPr>
              <w:t>居民</w:t>
            </w:r>
          </w:p>
        </w:tc>
        <w:tc>
          <w:tcPr>
            <w:tcW w:w="1221" w:type="dxa"/>
            <w:vAlign w:val="top"/>
          </w:tcPr>
          <w:p w14:paraId="2884D961">
            <w:pPr>
              <w:pStyle w:val="6"/>
              <w:spacing w:before="38" w:line="274"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1000</w:t>
            </w:r>
          </w:p>
        </w:tc>
        <w:tc>
          <w:tcPr>
            <w:tcW w:w="1378" w:type="dxa"/>
            <w:vMerge w:val="continue"/>
            <w:tcBorders>
              <w:top w:val="nil"/>
              <w:bottom w:val="nil"/>
            </w:tcBorders>
            <w:vAlign w:val="top"/>
          </w:tcPr>
          <w:p w14:paraId="51BE18BD">
            <w:pPr>
              <w:rPr>
                <w:rFonts w:ascii="Arial"/>
                <w:sz w:val="21"/>
              </w:rPr>
            </w:pPr>
          </w:p>
        </w:tc>
        <w:tc>
          <w:tcPr>
            <w:tcW w:w="898" w:type="dxa"/>
            <w:vAlign w:val="top"/>
          </w:tcPr>
          <w:p w14:paraId="1D44949B">
            <w:pPr>
              <w:pStyle w:val="6"/>
              <w:spacing w:before="68" w:line="232" w:lineRule="auto"/>
              <w:ind w:left="354"/>
            </w:pPr>
            <w:r>
              <w:t>北</w:t>
            </w:r>
          </w:p>
        </w:tc>
        <w:tc>
          <w:tcPr>
            <w:tcW w:w="1017" w:type="dxa"/>
            <w:vAlign w:val="top"/>
          </w:tcPr>
          <w:p w14:paraId="459B9164">
            <w:pPr>
              <w:spacing w:before="38"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1916</w:t>
            </w:r>
          </w:p>
        </w:tc>
      </w:tr>
      <w:tr w14:paraId="588EB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C71F05C">
            <w:pPr>
              <w:pStyle w:val="6"/>
              <w:spacing w:before="63" w:line="222" w:lineRule="auto"/>
              <w:ind w:left="334"/>
              <w:rPr>
                <w:sz w:val="22"/>
                <w:szCs w:val="22"/>
              </w:rPr>
            </w:pPr>
            <w:r>
              <w:rPr>
                <w:spacing w:val="-3"/>
                <w:sz w:val="22"/>
                <w:szCs w:val="22"/>
              </w:rPr>
              <w:t>彭厝寨</w:t>
            </w:r>
          </w:p>
        </w:tc>
        <w:tc>
          <w:tcPr>
            <w:tcW w:w="996" w:type="dxa"/>
            <w:vAlign w:val="top"/>
          </w:tcPr>
          <w:p w14:paraId="0D8C2197">
            <w:pPr>
              <w:spacing w:before="28" w:line="290" w:lineRule="exact"/>
              <w:ind w:left="300"/>
              <w:rPr>
                <w:rFonts w:ascii="Times New Roman" w:hAnsi="Times New Roman" w:eastAsia="Times New Roman" w:cs="Times New Roman"/>
                <w:sz w:val="22"/>
                <w:szCs w:val="22"/>
              </w:rPr>
            </w:pPr>
            <w:r>
              <w:rPr>
                <w:rFonts w:ascii="Times New Roman" w:hAnsi="Times New Roman" w:eastAsia="Times New Roman" w:cs="Times New Roman"/>
                <w:spacing w:val="-7"/>
                <w:position w:val="1"/>
                <w:sz w:val="22"/>
                <w:szCs w:val="22"/>
              </w:rPr>
              <w:t>1748</w:t>
            </w:r>
          </w:p>
        </w:tc>
        <w:tc>
          <w:tcPr>
            <w:tcW w:w="1175" w:type="dxa"/>
            <w:vAlign w:val="top"/>
          </w:tcPr>
          <w:p w14:paraId="56B15EB1">
            <w:pPr>
              <w:spacing w:before="28" w:line="290" w:lineRule="exact"/>
              <w:ind w:left="370"/>
              <w:rPr>
                <w:rFonts w:ascii="Times New Roman" w:hAnsi="Times New Roman" w:eastAsia="Times New Roman" w:cs="Times New Roman"/>
                <w:sz w:val="22"/>
                <w:szCs w:val="22"/>
              </w:rPr>
            </w:pPr>
            <w:r>
              <w:rPr>
                <w:rFonts w:ascii="Times New Roman" w:hAnsi="Times New Roman" w:eastAsia="Times New Roman" w:cs="Times New Roman"/>
                <w:spacing w:val="-1"/>
                <w:position w:val="1"/>
                <w:sz w:val="22"/>
                <w:szCs w:val="22"/>
              </w:rPr>
              <w:t>2121</w:t>
            </w:r>
          </w:p>
        </w:tc>
        <w:tc>
          <w:tcPr>
            <w:tcW w:w="950" w:type="dxa"/>
            <w:vAlign w:val="top"/>
          </w:tcPr>
          <w:p w14:paraId="392718BD">
            <w:pPr>
              <w:pStyle w:val="6"/>
              <w:spacing w:before="69" w:line="229" w:lineRule="auto"/>
              <w:ind w:left="273"/>
            </w:pPr>
            <w:r>
              <w:rPr>
                <w:spacing w:val="3"/>
              </w:rPr>
              <w:t>居民</w:t>
            </w:r>
          </w:p>
        </w:tc>
        <w:tc>
          <w:tcPr>
            <w:tcW w:w="1221" w:type="dxa"/>
            <w:vAlign w:val="top"/>
          </w:tcPr>
          <w:p w14:paraId="7488CF07">
            <w:pPr>
              <w:pStyle w:val="6"/>
              <w:spacing w:before="38" w:line="274" w:lineRule="exact"/>
              <w:ind w:left="332"/>
              <w:rPr>
                <w:rFonts w:ascii="Times New Roman" w:hAnsi="Times New Roman" w:eastAsia="Times New Roman" w:cs="Times New Roman"/>
              </w:rPr>
            </w:pPr>
            <w:r>
              <w:rPr>
                <w:spacing w:val="-1"/>
                <w:position w:val="1"/>
              </w:rPr>
              <w:t>约</w:t>
            </w:r>
            <w:r>
              <w:rPr>
                <w:spacing w:val="-33"/>
                <w:position w:val="1"/>
              </w:rPr>
              <w:t xml:space="preserve"> </w:t>
            </w:r>
            <w:r>
              <w:rPr>
                <w:rFonts w:ascii="Times New Roman" w:hAnsi="Times New Roman" w:eastAsia="Times New Roman" w:cs="Times New Roman"/>
                <w:spacing w:val="-1"/>
                <w:position w:val="1"/>
              </w:rPr>
              <w:t>800</w:t>
            </w:r>
          </w:p>
        </w:tc>
        <w:tc>
          <w:tcPr>
            <w:tcW w:w="1378" w:type="dxa"/>
            <w:vMerge w:val="continue"/>
            <w:tcBorders>
              <w:top w:val="nil"/>
              <w:bottom w:val="nil"/>
            </w:tcBorders>
            <w:vAlign w:val="top"/>
          </w:tcPr>
          <w:p w14:paraId="332DD0AA">
            <w:pPr>
              <w:rPr>
                <w:rFonts w:ascii="Arial"/>
                <w:sz w:val="21"/>
              </w:rPr>
            </w:pPr>
          </w:p>
        </w:tc>
        <w:tc>
          <w:tcPr>
            <w:tcW w:w="898" w:type="dxa"/>
            <w:vAlign w:val="top"/>
          </w:tcPr>
          <w:p w14:paraId="1BFC211C">
            <w:pPr>
              <w:pStyle w:val="6"/>
              <w:spacing w:before="69" w:line="228" w:lineRule="auto"/>
              <w:ind w:left="253"/>
            </w:pPr>
            <w:r>
              <w:rPr>
                <w:spacing w:val="1"/>
              </w:rPr>
              <w:t>东北</w:t>
            </w:r>
          </w:p>
        </w:tc>
        <w:tc>
          <w:tcPr>
            <w:tcW w:w="1017" w:type="dxa"/>
            <w:vAlign w:val="top"/>
          </w:tcPr>
          <w:p w14:paraId="22D77AF8">
            <w:pPr>
              <w:spacing w:before="38"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2606</w:t>
            </w:r>
          </w:p>
        </w:tc>
      </w:tr>
      <w:tr w14:paraId="3254F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15" w:type="dxa"/>
            <w:vAlign w:val="top"/>
          </w:tcPr>
          <w:p w14:paraId="2584535B">
            <w:pPr>
              <w:pStyle w:val="6"/>
              <w:spacing w:before="56" w:line="221" w:lineRule="auto"/>
              <w:ind w:left="222"/>
              <w:rPr>
                <w:sz w:val="22"/>
                <w:szCs w:val="22"/>
              </w:rPr>
            </w:pPr>
            <w:r>
              <w:rPr>
                <w:spacing w:val="-2"/>
                <w:sz w:val="22"/>
                <w:szCs w:val="22"/>
              </w:rPr>
              <w:t>潭头垅新</w:t>
            </w:r>
          </w:p>
          <w:p w14:paraId="6103C252">
            <w:pPr>
              <w:pStyle w:val="6"/>
              <w:spacing w:before="60" w:line="220" w:lineRule="auto"/>
              <w:ind w:left="554"/>
              <w:rPr>
                <w:sz w:val="22"/>
                <w:szCs w:val="22"/>
              </w:rPr>
            </w:pPr>
            <w:r>
              <w:rPr>
                <w:sz w:val="22"/>
                <w:szCs w:val="22"/>
              </w:rPr>
              <w:t>村</w:t>
            </w:r>
          </w:p>
        </w:tc>
        <w:tc>
          <w:tcPr>
            <w:tcW w:w="996" w:type="dxa"/>
            <w:vAlign w:val="top"/>
          </w:tcPr>
          <w:p w14:paraId="52184CDD">
            <w:pPr>
              <w:spacing w:before="185" w:line="290" w:lineRule="exact"/>
              <w:ind w:left="343"/>
              <w:rPr>
                <w:rFonts w:ascii="Times New Roman" w:hAnsi="Times New Roman" w:eastAsia="Times New Roman" w:cs="Times New Roman"/>
                <w:sz w:val="22"/>
                <w:szCs w:val="22"/>
              </w:rPr>
            </w:pPr>
            <w:r>
              <w:rPr>
                <w:rFonts w:ascii="Times New Roman" w:hAnsi="Times New Roman" w:eastAsia="Times New Roman" w:cs="Times New Roman"/>
                <w:spacing w:val="-5"/>
                <w:position w:val="1"/>
                <w:sz w:val="22"/>
                <w:szCs w:val="22"/>
              </w:rPr>
              <w:t>852</w:t>
            </w:r>
          </w:p>
        </w:tc>
        <w:tc>
          <w:tcPr>
            <w:tcW w:w="1175" w:type="dxa"/>
            <w:vAlign w:val="top"/>
          </w:tcPr>
          <w:p w14:paraId="59A557A3">
            <w:pPr>
              <w:spacing w:before="185"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-703</w:t>
            </w:r>
          </w:p>
        </w:tc>
        <w:tc>
          <w:tcPr>
            <w:tcW w:w="950" w:type="dxa"/>
            <w:vAlign w:val="top"/>
          </w:tcPr>
          <w:p w14:paraId="64496568">
            <w:pPr>
              <w:pStyle w:val="6"/>
              <w:spacing w:before="223" w:line="229" w:lineRule="auto"/>
              <w:ind w:left="273"/>
            </w:pPr>
            <w:r>
              <w:rPr>
                <w:spacing w:val="3"/>
              </w:rPr>
              <w:t>居民</w:t>
            </w:r>
          </w:p>
        </w:tc>
        <w:tc>
          <w:tcPr>
            <w:tcW w:w="1221" w:type="dxa"/>
            <w:vAlign w:val="top"/>
          </w:tcPr>
          <w:p w14:paraId="5C26A20F">
            <w:pPr>
              <w:pStyle w:val="6"/>
              <w:spacing w:before="192" w:line="274"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1000</w:t>
            </w:r>
          </w:p>
        </w:tc>
        <w:tc>
          <w:tcPr>
            <w:tcW w:w="1378" w:type="dxa"/>
            <w:vMerge w:val="continue"/>
            <w:tcBorders>
              <w:top w:val="nil"/>
              <w:bottom w:val="nil"/>
            </w:tcBorders>
            <w:vAlign w:val="top"/>
          </w:tcPr>
          <w:p w14:paraId="4EFD12C0">
            <w:pPr>
              <w:rPr>
                <w:rFonts w:ascii="Arial"/>
                <w:sz w:val="21"/>
              </w:rPr>
            </w:pPr>
          </w:p>
        </w:tc>
        <w:tc>
          <w:tcPr>
            <w:tcW w:w="898" w:type="dxa"/>
            <w:vAlign w:val="top"/>
          </w:tcPr>
          <w:p w14:paraId="459E9D10">
            <w:pPr>
              <w:pStyle w:val="6"/>
              <w:spacing w:before="223" w:line="228" w:lineRule="auto"/>
              <w:ind w:left="253"/>
            </w:pPr>
            <w:r>
              <w:rPr>
                <w:spacing w:val="1"/>
              </w:rPr>
              <w:t>东南</w:t>
            </w:r>
          </w:p>
        </w:tc>
        <w:tc>
          <w:tcPr>
            <w:tcW w:w="1017" w:type="dxa"/>
            <w:vAlign w:val="top"/>
          </w:tcPr>
          <w:p w14:paraId="4457CF28">
            <w:pPr>
              <w:spacing w:before="19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1083</w:t>
            </w:r>
          </w:p>
        </w:tc>
      </w:tr>
      <w:tr w14:paraId="676F0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2A48F9B5">
            <w:pPr>
              <w:pStyle w:val="6"/>
              <w:spacing w:before="63" w:line="221" w:lineRule="auto"/>
              <w:ind w:left="333"/>
              <w:rPr>
                <w:sz w:val="22"/>
                <w:szCs w:val="22"/>
              </w:rPr>
            </w:pPr>
            <w:r>
              <w:rPr>
                <w:spacing w:val="-3"/>
                <w:sz w:val="22"/>
                <w:szCs w:val="22"/>
              </w:rPr>
              <w:t>潭头垅</w:t>
            </w:r>
          </w:p>
        </w:tc>
        <w:tc>
          <w:tcPr>
            <w:tcW w:w="996" w:type="dxa"/>
            <w:vAlign w:val="top"/>
          </w:tcPr>
          <w:p w14:paraId="01B74806">
            <w:pPr>
              <w:spacing w:before="30" w:line="290" w:lineRule="exact"/>
              <w:ind w:left="300"/>
              <w:rPr>
                <w:rFonts w:ascii="Times New Roman" w:hAnsi="Times New Roman" w:eastAsia="Times New Roman" w:cs="Times New Roman"/>
                <w:sz w:val="22"/>
                <w:szCs w:val="22"/>
              </w:rPr>
            </w:pPr>
            <w:r>
              <w:rPr>
                <w:rFonts w:ascii="Times New Roman" w:hAnsi="Times New Roman" w:eastAsia="Times New Roman" w:cs="Times New Roman"/>
                <w:spacing w:val="-7"/>
                <w:position w:val="1"/>
                <w:sz w:val="22"/>
                <w:szCs w:val="22"/>
              </w:rPr>
              <w:t>1261</w:t>
            </w:r>
          </w:p>
        </w:tc>
        <w:tc>
          <w:tcPr>
            <w:tcW w:w="1175" w:type="dxa"/>
            <w:vAlign w:val="top"/>
          </w:tcPr>
          <w:p w14:paraId="506F6A7F">
            <w:pPr>
              <w:spacing w:before="30" w:line="290" w:lineRule="exact"/>
              <w:ind w:left="336"/>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-1225</w:t>
            </w:r>
          </w:p>
        </w:tc>
        <w:tc>
          <w:tcPr>
            <w:tcW w:w="950" w:type="dxa"/>
            <w:vAlign w:val="top"/>
          </w:tcPr>
          <w:p w14:paraId="52E59D37">
            <w:pPr>
              <w:pStyle w:val="6"/>
              <w:spacing w:before="68" w:line="229" w:lineRule="auto"/>
              <w:ind w:left="273"/>
            </w:pPr>
            <w:r>
              <w:rPr>
                <w:spacing w:val="3"/>
              </w:rPr>
              <w:t>居民</w:t>
            </w:r>
          </w:p>
        </w:tc>
        <w:tc>
          <w:tcPr>
            <w:tcW w:w="1221" w:type="dxa"/>
            <w:vAlign w:val="top"/>
          </w:tcPr>
          <w:p w14:paraId="03E1F583">
            <w:pPr>
              <w:pStyle w:val="6"/>
              <w:spacing w:before="37" w:line="275" w:lineRule="exact"/>
              <w:ind w:left="332"/>
              <w:rPr>
                <w:rFonts w:ascii="Times New Roman" w:hAnsi="Times New Roman" w:eastAsia="Times New Roman" w:cs="Times New Roman"/>
              </w:rPr>
            </w:pPr>
            <w:r>
              <w:rPr>
                <w:position w:val="1"/>
              </w:rPr>
              <w:t>约</w:t>
            </w:r>
            <w:r>
              <w:rPr>
                <w:spacing w:val="-37"/>
                <w:position w:val="1"/>
              </w:rPr>
              <w:t xml:space="preserve"> </w:t>
            </w:r>
            <w:r>
              <w:rPr>
                <w:rFonts w:ascii="Times New Roman" w:hAnsi="Times New Roman" w:eastAsia="Times New Roman" w:cs="Times New Roman"/>
                <w:position w:val="1"/>
              </w:rPr>
              <w:t>600</w:t>
            </w:r>
          </w:p>
        </w:tc>
        <w:tc>
          <w:tcPr>
            <w:tcW w:w="1378" w:type="dxa"/>
            <w:vMerge w:val="continue"/>
            <w:tcBorders>
              <w:top w:val="nil"/>
              <w:bottom w:val="nil"/>
            </w:tcBorders>
            <w:vAlign w:val="top"/>
          </w:tcPr>
          <w:p w14:paraId="29C61E01">
            <w:pPr>
              <w:rPr>
                <w:rFonts w:ascii="Arial"/>
                <w:sz w:val="21"/>
              </w:rPr>
            </w:pPr>
          </w:p>
        </w:tc>
        <w:tc>
          <w:tcPr>
            <w:tcW w:w="898" w:type="dxa"/>
            <w:vAlign w:val="top"/>
          </w:tcPr>
          <w:p w14:paraId="6AFEB43A">
            <w:pPr>
              <w:pStyle w:val="6"/>
              <w:spacing w:before="69" w:line="228" w:lineRule="auto"/>
              <w:ind w:left="253"/>
            </w:pPr>
            <w:r>
              <w:rPr>
                <w:spacing w:val="1"/>
              </w:rPr>
              <w:t>东南</w:t>
            </w:r>
          </w:p>
        </w:tc>
        <w:tc>
          <w:tcPr>
            <w:tcW w:w="1017" w:type="dxa"/>
            <w:vAlign w:val="top"/>
          </w:tcPr>
          <w:p w14:paraId="462768FF">
            <w:pPr>
              <w:spacing w:before="37" w:line="275"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1722</w:t>
            </w:r>
          </w:p>
        </w:tc>
      </w:tr>
      <w:tr w14:paraId="28C35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279CA63">
            <w:pPr>
              <w:pStyle w:val="6"/>
              <w:spacing w:before="63" w:line="220" w:lineRule="auto"/>
              <w:ind w:left="334"/>
              <w:rPr>
                <w:sz w:val="22"/>
                <w:szCs w:val="22"/>
              </w:rPr>
            </w:pPr>
            <w:r>
              <w:rPr>
                <w:spacing w:val="-3"/>
                <w:sz w:val="22"/>
                <w:szCs w:val="22"/>
              </w:rPr>
              <w:t>后山村</w:t>
            </w:r>
          </w:p>
        </w:tc>
        <w:tc>
          <w:tcPr>
            <w:tcW w:w="996" w:type="dxa"/>
            <w:vAlign w:val="top"/>
          </w:tcPr>
          <w:p w14:paraId="2CE9BEC8">
            <w:pPr>
              <w:spacing w:before="28" w:line="290" w:lineRule="exact"/>
              <w:ind w:left="302"/>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-134</w:t>
            </w:r>
          </w:p>
        </w:tc>
        <w:tc>
          <w:tcPr>
            <w:tcW w:w="1175" w:type="dxa"/>
            <w:vAlign w:val="top"/>
          </w:tcPr>
          <w:p w14:paraId="0A99028A">
            <w:pPr>
              <w:spacing w:before="28" w:line="290" w:lineRule="exact"/>
              <w:ind w:left="336"/>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-1216</w:t>
            </w:r>
          </w:p>
        </w:tc>
        <w:tc>
          <w:tcPr>
            <w:tcW w:w="950" w:type="dxa"/>
            <w:vAlign w:val="top"/>
          </w:tcPr>
          <w:p w14:paraId="07C77F65">
            <w:pPr>
              <w:pStyle w:val="6"/>
              <w:spacing w:before="69" w:line="229" w:lineRule="auto"/>
              <w:ind w:left="273"/>
            </w:pPr>
            <w:r>
              <w:rPr>
                <w:spacing w:val="3"/>
              </w:rPr>
              <w:t>居民</w:t>
            </w:r>
          </w:p>
        </w:tc>
        <w:tc>
          <w:tcPr>
            <w:tcW w:w="1221" w:type="dxa"/>
            <w:vAlign w:val="top"/>
          </w:tcPr>
          <w:p w14:paraId="7405ABC1">
            <w:pPr>
              <w:pStyle w:val="6"/>
              <w:spacing w:before="38" w:line="274"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1500</w:t>
            </w:r>
          </w:p>
        </w:tc>
        <w:tc>
          <w:tcPr>
            <w:tcW w:w="1378" w:type="dxa"/>
            <w:vMerge w:val="continue"/>
            <w:tcBorders>
              <w:top w:val="nil"/>
              <w:bottom w:val="nil"/>
            </w:tcBorders>
            <w:vAlign w:val="top"/>
          </w:tcPr>
          <w:p w14:paraId="0F607518">
            <w:pPr>
              <w:rPr>
                <w:rFonts w:ascii="Arial"/>
                <w:sz w:val="21"/>
              </w:rPr>
            </w:pPr>
          </w:p>
        </w:tc>
        <w:tc>
          <w:tcPr>
            <w:tcW w:w="898" w:type="dxa"/>
            <w:vAlign w:val="top"/>
          </w:tcPr>
          <w:p w14:paraId="7805F391">
            <w:pPr>
              <w:pStyle w:val="6"/>
              <w:spacing w:before="68" w:line="231" w:lineRule="auto"/>
              <w:ind w:left="353"/>
            </w:pPr>
            <w:r>
              <w:t>南</w:t>
            </w:r>
          </w:p>
        </w:tc>
        <w:tc>
          <w:tcPr>
            <w:tcW w:w="1017" w:type="dxa"/>
            <w:vAlign w:val="top"/>
          </w:tcPr>
          <w:p w14:paraId="5D3D2CFF">
            <w:pPr>
              <w:spacing w:before="38"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1115</w:t>
            </w:r>
          </w:p>
        </w:tc>
      </w:tr>
      <w:tr w14:paraId="66130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6856251D">
            <w:pPr>
              <w:pStyle w:val="6"/>
              <w:spacing w:before="63" w:line="222" w:lineRule="auto"/>
              <w:ind w:left="333"/>
              <w:rPr>
                <w:sz w:val="22"/>
                <w:szCs w:val="22"/>
              </w:rPr>
            </w:pPr>
            <w:r>
              <w:rPr>
                <w:spacing w:val="-3"/>
                <w:sz w:val="22"/>
                <w:szCs w:val="22"/>
              </w:rPr>
              <w:t>徐厝园</w:t>
            </w:r>
          </w:p>
        </w:tc>
        <w:tc>
          <w:tcPr>
            <w:tcW w:w="996" w:type="dxa"/>
            <w:vAlign w:val="top"/>
          </w:tcPr>
          <w:p w14:paraId="3F752DBE">
            <w:pPr>
              <w:spacing w:before="29" w:line="290" w:lineRule="exact"/>
              <w:ind w:left="302"/>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-879</w:t>
            </w:r>
          </w:p>
        </w:tc>
        <w:tc>
          <w:tcPr>
            <w:tcW w:w="1175" w:type="dxa"/>
            <w:vAlign w:val="top"/>
          </w:tcPr>
          <w:p w14:paraId="381CC3F0">
            <w:pPr>
              <w:spacing w:before="29" w:line="290" w:lineRule="exact"/>
              <w:ind w:left="336"/>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-2140</w:t>
            </w:r>
          </w:p>
        </w:tc>
        <w:tc>
          <w:tcPr>
            <w:tcW w:w="950" w:type="dxa"/>
            <w:vAlign w:val="top"/>
          </w:tcPr>
          <w:p w14:paraId="2593D20A">
            <w:pPr>
              <w:pStyle w:val="6"/>
              <w:spacing w:before="69" w:line="229" w:lineRule="auto"/>
              <w:ind w:left="273"/>
            </w:pPr>
            <w:r>
              <w:rPr>
                <w:spacing w:val="3"/>
              </w:rPr>
              <w:t>居民</w:t>
            </w:r>
          </w:p>
        </w:tc>
        <w:tc>
          <w:tcPr>
            <w:tcW w:w="1221" w:type="dxa"/>
            <w:vAlign w:val="top"/>
          </w:tcPr>
          <w:p w14:paraId="43438B57">
            <w:pPr>
              <w:pStyle w:val="6"/>
              <w:spacing w:before="50" w:line="219" w:lineRule="auto"/>
              <w:ind w:left="314"/>
              <w:rPr>
                <w:rFonts w:ascii="Times New Roman" w:hAnsi="Times New Roman" w:eastAsia="Times New Roman" w:cs="Times New Roman"/>
              </w:rPr>
            </w:pPr>
            <w:r>
              <w:rPr>
                <w:spacing w:val="-4"/>
                <w:sz w:val="24"/>
                <w:szCs w:val="24"/>
              </w:rPr>
              <w:t>约</w:t>
            </w:r>
            <w:r>
              <w:rPr>
                <w:spacing w:val="-45"/>
                <w:sz w:val="24"/>
                <w:szCs w:val="24"/>
              </w:rPr>
              <w:t xml:space="preserve"> </w:t>
            </w:r>
            <w:r>
              <w:rPr>
                <w:rFonts w:ascii="Times New Roman" w:hAnsi="Times New Roman" w:eastAsia="Times New Roman" w:cs="Times New Roman"/>
                <w:spacing w:val="-4"/>
              </w:rPr>
              <w:t>800</w:t>
            </w:r>
          </w:p>
        </w:tc>
        <w:tc>
          <w:tcPr>
            <w:tcW w:w="1378" w:type="dxa"/>
            <w:vMerge w:val="continue"/>
            <w:tcBorders>
              <w:top w:val="nil"/>
              <w:bottom w:val="nil"/>
            </w:tcBorders>
            <w:vAlign w:val="top"/>
          </w:tcPr>
          <w:p w14:paraId="13C06146">
            <w:pPr>
              <w:rPr>
                <w:rFonts w:ascii="Arial"/>
                <w:sz w:val="21"/>
              </w:rPr>
            </w:pPr>
          </w:p>
        </w:tc>
        <w:tc>
          <w:tcPr>
            <w:tcW w:w="898" w:type="dxa"/>
            <w:vAlign w:val="top"/>
          </w:tcPr>
          <w:p w14:paraId="1447F340">
            <w:pPr>
              <w:pStyle w:val="6"/>
              <w:spacing w:before="69" w:line="231" w:lineRule="auto"/>
              <w:ind w:left="250"/>
            </w:pPr>
            <w:r>
              <w:rPr>
                <w:spacing w:val="2"/>
              </w:rPr>
              <w:t>西南</w:t>
            </w:r>
          </w:p>
        </w:tc>
        <w:tc>
          <w:tcPr>
            <w:tcW w:w="1017" w:type="dxa"/>
            <w:vAlign w:val="top"/>
          </w:tcPr>
          <w:p w14:paraId="330DE84E">
            <w:pPr>
              <w:spacing w:before="38"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2199</w:t>
            </w:r>
          </w:p>
        </w:tc>
      </w:tr>
      <w:tr w14:paraId="2A83D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15" w:type="dxa"/>
            <w:vAlign w:val="top"/>
          </w:tcPr>
          <w:p w14:paraId="10D64D15">
            <w:pPr>
              <w:pStyle w:val="6"/>
              <w:spacing w:before="63" w:line="222" w:lineRule="auto"/>
              <w:ind w:left="444"/>
              <w:rPr>
                <w:sz w:val="22"/>
                <w:szCs w:val="22"/>
              </w:rPr>
            </w:pPr>
            <w:r>
              <w:rPr>
                <w:spacing w:val="-4"/>
                <w:sz w:val="22"/>
                <w:szCs w:val="22"/>
              </w:rPr>
              <w:t>新埔</w:t>
            </w:r>
          </w:p>
        </w:tc>
        <w:tc>
          <w:tcPr>
            <w:tcW w:w="996" w:type="dxa"/>
            <w:vAlign w:val="top"/>
          </w:tcPr>
          <w:p w14:paraId="139A1E0A">
            <w:pPr>
              <w:spacing w:before="29" w:line="290" w:lineRule="exact"/>
              <w:ind w:left="247"/>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-1673</w:t>
            </w:r>
          </w:p>
        </w:tc>
        <w:tc>
          <w:tcPr>
            <w:tcW w:w="1175" w:type="dxa"/>
            <w:vAlign w:val="top"/>
          </w:tcPr>
          <w:p w14:paraId="011B4821">
            <w:pPr>
              <w:spacing w:before="29"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-892</w:t>
            </w:r>
          </w:p>
        </w:tc>
        <w:tc>
          <w:tcPr>
            <w:tcW w:w="950" w:type="dxa"/>
            <w:vAlign w:val="top"/>
          </w:tcPr>
          <w:p w14:paraId="17D65320">
            <w:pPr>
              <w:pStyle w:val="6"/>
              <w:spacing w:before="69" w:line="229" w:lineRule="auto"/>
              <w:ind w:left="273"/>
            </w:pPr>
            <w:r>
              <w:rPr>
                <w:spacing w:val="3"/>
              </w:rPr>
              <w:t>居民</w:t>
            </w:r>
          </w:p>
        </w:tc>
        <w:tc>
          <w:tcPr>
            <w:tcW w:w="1221" w:type="dxa"/>
            <w:vAlign w:val="top"/>
          </w:tcPr>
          <w:p w14:paraId="41A6194A">
            <w:pPr>
              <w:pStyle w:val="6"/>
              <w:spacing w:before="39" w:line="274" w:lineRule="exact"/>
              <w:ind w:left="332"/>
              <w:rPr>
                <w:rFonts w:ascii="Times New Roman" w:hAnsi="Times New Roman" w:eastAsia="Times New Roman" w:cs="Times New Roman"/>
              </w:rPr>
            </w:pPr>
            <w:r>
              <w:rPr>
                <w:position w:val="1"/>
              </w:rPr>
              <w:t>约</w:t>
            </w:r>
            <w:r>
              <w:rPr>
                <w:spacing w:val="-37"/>
                <w:position w:val="1"/>
              </w:rPr>
              <w:t xml:space="preserve"> </w:t>
            </w:r>
            <w:r>
              <w:rPr>
                <w:rFonts w:ascii="Times New Roman" w:hAnsi="Times New Roman" w:eastAsia="Times New Roman" w:cs="Times New Roman"/>
                <w:position w:val="1"/>
              </w:rPr>
              <w:t>500</w:t>
            </w:r>
          </w:p>
        </w:tc>
        <w:tc>
          <w:tcPr>
            <w:tcW w:w="1378" w:type="dxa"/>
            <w:vMerge w:val="continue"/>
            <w:tcBorders>
              <w:top w:val="nil"/>
            </w:tcBorders>
            <w:vAlign w:val="top"/>
          </w:tcPr>
          <w:p w14:paraId="1C6B234E">
            <w:pPr>
              <w:rPr>
                <w:rFonts w:ascii="Arial"/>
                <w:sz w:val="21"/>
              </w:rPr>
            </w:pPr>
          </w:p>
        </w:tc>
        <w:tc>
          <w:tcPr>
            <w:tcW w:w="898" w:type="dxa"/>
            <w:vAlign w:val="top"/>
          </w:tcPr>
          <w:p w14:paraId="7557CF4E">
            <w:pPr>
              <w:pStyle w:val="6"/>
              <w:spacing w:before="69" w:line="231" w:lineRule="auto"/>
              <w:ind w:left="250"/>
            </w:pPr>
            <w:r>
              <w:rPr>
                <w:spacing w:val="2"/>
              </w:rPr>
              <w:t>西南</w:t>
            </w:r>
          </w:p>
        </w:tc>
        <w:tc>
          <w:tcPr>
            <w:tcW w:w="1017" w:type="dxa"/>
            <w:vAlign w:val="top"/>
          </w:tcPr>
          <w:p w14:paraId="1CB4E1FA">
            <w:pPr>
              <w:spacing w:before="39"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1817</w:t>
            </w:r>
          </w:p>
        </w:tc>
      </w:tr>
    </w:tbl>
    <w:p w14:paraId="64881B41">
      <w:pPr>
        <w:pStyle w:val="2"/>
        <w:spacing w:line="32" w:lineRule="exact"/>
        <w:rPr>
          <w:sz w:val="2"/>
        </w:rPr>
      </w:pPr>
    </w:p>
    <w:p w14:paraId="54FCC038">
      <w:pPr>
        <w:spacing w:line="32" w:lineRule="exact"/>
        <w:rPr>
          <w:sz w:val="2"/>
          <w:szCs w:val="2"/>
        </w:rPr>
        <w:sectPr>
          <w:footerReference r:id="rId55"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996"/>
        <w:gridCol w:w="1175"/>
        <w:gridCol w:w="950"/>
        <w:gridCol w:w="1221"/>
        <w:gridCol w:w="1378"/>
        <w:gridCol w:w="898"/>
        <w:gridCol w:w="1017"/>
      </w:tblGrid>
      <w:tr w14:paraId="5B65D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15" w:type="dxa"/>
            <w:vAlign w:val="top"/>
          </w:tcPr>
          <w:p w14:paraId="34E2B1BE">
            <w:pPr>
              <w:pStyle w:val="6"/>
              <w:spacing w:before="65" w:line="220" w:lineRule="auto"/>
              <w:ind w:left="334"/>
              <w:rPr>
                <w:sz w:val="22"/>
                <w:szCs w:val="22"/>
              </w:rPr>
            </w:pPr>
            <w:r>
              <w:rPr>
                <w:spacing w:val="-3"/>
                <w:sz w:val="22"/>
                <w:szCs w:val="22"/>
              </w:rPr>
              <w:t>新塘村</w:t>
            </w:r>
          </w:p>
        </w:tc>
        <w:tc>
          <w:tcPr>
            <w:tcW w:w="996" w:type="dxa"/>
            <w:vAlign w:val="top"/>
          </w:tcPr>
          <w:p w14:paraId="5DB4D6EE">
            <w:pPr>
              <w:spacing w:before="30" w:line="290" w:lineRule="exact"/>
              <w:ind w:left="247"/>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-2206</w:t>
            </w:r>
          </w:p>
        </w:tc>
        <w:tc>
          <w:tcPr>
            <w:tcW w:w="1175" w:type="dxa"/>
            <w:vAlign w:val="top"/>
          </w:tcPr>
          <w:p w14:paraId="084CB29E">
            <w:pPr>
              <w:spacing w:before="30"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-652</w:t>
            </w:r>
          </w:p>
        </w:tc>
        <w:tc>
          <w:tcPr>
            <w:tcW w:w="950" w:type="dxa"/>
            <w:vAlign w:val="top"/>
          </w:tcPr>
          <w:p w14:paraId="48B7C59F">
            <w:pPr>
              <w:pStyle w:val="6"/>
              <w:spacing w:before="71" w:line="229" w:lineRule="auto"/>
              <w:ind w:left="273"/>
            </w:pPr>
            <w:r>
              <w:rPr>
                <w:spacing w:val="3"/>
              </w:rPr>
              <w:t>居民</w:t>
            </w:r>
          </w:p>
        </w:tc>
        <w:tc>
          <w:tcPr>
            <w:tcW w:w="1221" w:type="dxa"/>
            <w:vAlign w:val="top"/>
          </w:tcPr>
          <w:p w14:paraId="61DDE89C">
            <w:pPr>
              <w:pStyle w:val="6"/>
              <w:spacing w:before="40" w:line="274" w:lineRule="exact"/>
              <w:ind w:left="332"/>
              <w:rPr>
                <w:rFonts w:ascii="Times New Roman" w:hAnsi="Times New Roman" w:eastAsia="Times New Roman" w:cs="Times New Roman"/>
              </w:rPr>
            </w:pPr>
            <w:r>
              <w:rPr>
                <w:position w:val="1"/>
              </w:rPr>
              <w:t>约</w:t>
            </w:r>
            <w:r>
              <w:rPr>
                <w:spacing w:val="-37"/>
                <w:position w:val="1"/>
              </w:rPr>
              <w:t xml:space="preserve"> </w:t>
            </w:r>
            <w:r>
              <w:rPr>
                <w:rFonts w:ascii="Times New Roman" w:hAnsi="Times New Roman" w:eastAsia="Times New Roman" w:cs="Times New Roman"/>
                <w:position w:val="1"/>
              </w:rPr>
              <w:t>600</w:t>
            </w:r>
          </w:p>
        </w:tc>
        <w:tc>
          <w:tcPr>
            <w:tcW w:w="1378" w:type="dxa"/>
            <w:vAlign w:val="top"/>
          </w:tcPr>
          <w:p w14:paraId="3F3E0569">
            <w:pPr>
              <w:rPr>
                <w:rFonts w:ascii="Arial"/>
                <w:sz w:val="21"/>
              </w:rPr>
            </w:pPr>
          </w:p>
        </w:tc>
        <w:tc>
          <w:tcPr>
            <w:tcW w:w="898" w:type="dxa"/>
            <w:vAlign w:val="top"/>
          </w:tcPr>
          <w:p w14:paraId="33653A10">
            <w:pPr>
              <w:pStyle w:val="6"/>
              <w:spacing w:before="71" w:line="232" w:lineRule="auto"/>
              <w:ind w:left="356"/>
            </w:pPr>
            <w:r>
              <w:t>西</w:t>
            </w:r>
          </w:p>
        </w:tc>
        <w:tc>
          <w:tcPr>
            <w:tcW w:w="1017" w:type="dxa"/>
            <w:vAlign w:val="top"/>
          </w:tcPr>
          <w:p w14:paraId="04F5EF23">
            <w:pPr>
              <w:spacing w:before="40"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2207</w:t>
            </w:r>
          </w:p>
        </w:tc>
      </w:tr>
      <w:tr w14:paraId="78B40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315" w:type="dxa"/>
            <w:vAlign w:val="top"/>
          </w:tcPr>
          <w:p w14:paraId="3953F457">
            <w:pPr>
              <w:pStyle w:val="6"/>
              <w:spacing w:before="222" w:line="228" w:lineRule="auto"/>
              <w:ind w:left="451"/>
            </w:pPr>
            <w:r>
              <w:rPr>
                <w:spacing w:val="5"/>
              </w:rPr>
              <w:t>黄江</w:t>
            </w:r>
          </w:p>
        </w:tc>
        <w:tc>
          <w:tcPr>
            <w:tcW w:w="996" w:type="dxa"/>
            <w:vAlign w:val="top"/>
          </w:tcPr>
          <w:p w14:paraId="2F234889">
            <w:pPr>
              <w:spacing w:before="191"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-268</w:t>
            </w:r>
          </w:p>
        </w:tc>
        <w:tc>
          <w:tcPr>
            <w:tcW w:w="1175" w:type="dxa"/>
            <w:vAlign w:val="top"/>
          </w:tcPr>
          <w:p w14:paraId="4377611A">
            <w:pPr>
              <w:spacing w:before="184"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-339</w:t>
            </w:r>
          </w:p>
        </w:tc>
        <w:tc>
          <w:tcPr>
            <w:tcW w:w="950" w:type="dxa"/>
            <w:vAlign w:val="top"/>
          </w:tcPr>
          <w:p w14:paraId="3F344C75">
            <w:pPr>
              <w:pStyle w:val="6"/>
              <w:spacing w:before="221" w:line="231" w:lineRule="auto"/>
              <w:ind w:left="270"/>
            </w:pPr>
            <w:r>
              <w:rPr>
                <w:spacing w:val="5"/>
              </w:rPr>
              <w:t>河流</w:t>
            </w:r>
          </w:p>
        </w:tc>
        <w:tc>
          <w:tcPr>
            <w:tcW w:w="1221" w:type="dxa"/>
            <w:vAlign w:val="top"/>
          </w:tcPr>
          <w:p w14:paraId="073E292A">
            <w:pPr>
              <w:spacing w:before="191"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78" w:type="dxa"/>
            <w:vAlign w:val="top"/>
          </w:tcPr>
          <w:p w14:paraId="55143673">
            <w:pPr>
              <w:pStyle w:val="6"/>
              <w:spacing w:before="61" w:line="228" w:lineRule="auto"/>
              <w:ind w:left="171"/>
            </w:pPr>
            <w:r>
              <w:rPr>
                <w:spacing w:val="8"/>
              </w:rPr>
              <w:t>地表水Ⅲ类</w:t>
            </w:r>
          </w:p>
          <w:p w14:paraId="5C02F95B">
            <w:pPr>
              <w:pStyle w:val="6"/>
              <w:spacing w:before="77" w:line="233" w:lineRule="auto"/>
              <w:ind w:left="607"/>
            </w:pPr>
            <w:r>
              <w:t>区</w:t>
            </w:r>
          </w:p>
        </w:tc>
        <w:tc>
          <w:tcPr>
            <w:tcW w:w="898" w:type="dxa"/>
            <w:vAlign w:val="top"/>
          </w:tcPr>
          <w:p w14:paraId="35A07BB9">
            <w:pPr>
              <w:pStyle w:val="6"/>
              <w:spacing w:before="222" w:line="232" w:lineRule="auto"/>
              <w:ind w:left="356"/>
            </w:pPr>
            <w:r>
              <w:t>西</w:t>
            </w:r>
          </w:p>
        </w:tc>
        <w:tc>
          <w:tcPr>
            <w:tcW w:w="1017" w:type="dxa"/>
            <w:vAlign w:val="top"/>
          </w:tcPr>
          <w:p w14:paraId="56579028">
            <w:pPr>
              <w:spacing w:before="191"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1042</w:t>
            </w:r>
          </w:p>
        </w:tc>
      </w:tr>
      <w:tr w14:paraId="6801B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315" w:type="dxa"/>
            <w:vAlign w:val="top"/>
          </w:tcPr>
          <w:p w14:paraId="72240D6A">
            <w:pPr>
              <w:pStyle w:val="6"/>
              <w:spacing w:before="225" w:line="228" w:lineRule="auto"/>
              <w:ind w:left="250"/>
            </w:pPr>
            <w:r>
              <w:rPr>
                <w:spacing w:val="5"/>
              </w:rPr>
              <w:t>公平水库</w:t>
            </w:r>
          </w:p>
        </w:tc>
        <w:tc>
          <w:tcPr>
            <w:tcW w:w="996" w:type="dxa"/>
            <w:vAlign w:val="top"/>
          </w:tcPr>
          <w:p w14:paraId="2A5AE4E0">
            <w:pPr>
              <w:rPr>
                <w:rFonts w:ascii="Arial"/>
                <w:sz w:val="21"/>
              </w:rPr>
            </w:pPr>
          </w:p>
        </w:tc>
        <w:tc>
          <w:tcPr>
            <w:tcW w:w="1175" w:type="dxa"/>
            <w:vAlign w:val="top"/>
          </w:tcPr>
          <w:p w14:paraId="7ADB32BA">
            <w:pPr>
              <w:rPr>
                <w:rFonts w:ascii="Arial"/>
                <w:sz w:val="21"/>
              </w:rPr>
            </w:pPr>
          </w:p>
        </w:tc>
        <w:tc>
          <w:tcPr>
            <w:tcW w:w="950" w:type="dxa"/>
            <w:vAlign w:val="top"/>
          </w:tcPr>
          <w:p w14:paraId="2249E1B4">
            <w:pPr>
              <w:pStyle w:val="6"/>
              <w:spacing w:before="225" w:line="228" w:lineRule="auto"/>
              <w:ind w:left="274"/>
            </w:pPr>
            <w:r>
              <w:rPr>
                <w:spacing w:val="3"/>
              </w:rPr>
              <w:t>水库</w:t>
            </w:r>
          </w:p>
        </w:tc>
        <w:tc>
          <w:tcPr>
            <w:tcW w:w="1221" w:type="dxa"/>
            <w:vAlign w:val="top"/>
          </w:tcPr>
          <w:p w14:paraId="2A8DCE78">
            <w:pPr>
              <w:spacing w:before="193" w:line="275"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78" w:type="dxa"/>
            <w:vAlign w:val="top"/>
          </w:tcPr>
          <w:p w14:paraId="6D1E62DA">
            <w:pPr>
              <w:pStyle w:val="6"/>
              <w:spacing w:before="61" w:line="228" w:lineRule="auto"/>
              <w:ind w:left="171"/>
            </w:pPr>
            <w:r>
              <w:rPr>
                <w:spacing w:val="8"/>
              </w:rPr>
              <w:t>地表水Ⅱ类</w:t>
            </w:r>
          </w:p>
          <w:p w14:paraId="454C9E3C">
            <w:pPr>
              <w:pStyle w:val="6"/>
              <w:spacing w:before="79" w:line="233" w:lineRule="auto"/>
              <w:ind w:left="607"/>
            </w:pPr>
            <w:r>
              <w:t>区</w:t>
            </w:r>
          </w:p>
        </w:tc>
        <w:tc>
          <w:tcPr>
            <w:tcW w:w="898" w:type="dxa"/>
            <w:vAlign w:val="top"/>
          </w:tcPr>
          <w:p w14:paraId="5F5242FA">
            <w:pPr>
              <w:pStyle w:val="6"/>
              <w:spacing w:before="224" w:line="232" w:lineRule="auto"/>
              <w:ind w:left="354"/>
            </w:pPr>
            <w:r>
              <w:t>北</w:t>
            </w:r>
          </w:p>
        </w:tc>
        <w:tc>
          <w:tcPr>
            <w:tcW w:w="1017" w:type="dxa"/>
            <w:vAlign w:val="top"/>
          </w:tcPr>
          <w:p w14:paraId="2E6B50C5">
            <w:pPr>
              <w:spacing w:before="193" w:line="27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2078</w:t>
            </w:r>
          </w:p>
        </w:tc>
      </w:tr>
    </w:tbl>
    <w:p w14:paraId="22B938F8">
      <w:pPr>
        <w:spacing w:before="140" w:line="229" w:lineRule="auto"/>
        <w:ind w:left="541"/>
        <w:rPr>
          <w:rFonts w:ascii="宋体" w:hAnsi="宋体" w:eastAsia="宋体" w:cs="宋体"/>
          <w:sz w:val="20"/>
          <w:szCs w:val="20"/>
        </w:rPr>
      </w:pPr>
      <w:r>
        <w:rPr>
          <w:rFonts w:ascii="宋体" w:hAnsi="宋体" w:eastAsia="宋体" w:cs="宋体"/>
          <w:b/>
          <w:bCs/>
          <w:spacing w:val="6"/>
          <w:sz w:val="20"/>
          <w:szCs w:val="20"/>
        </w:rPr>
        <w:t>注：取项目厂区中心为坐标原点（</w:t>
      </w:r>
      <w:r>
        <w:rPr>
          <w:rFonts w:ascii="Times New Roman" w:hAnsi="Times New Roman" w:eastAsia="Times New Roman" w:cs="Times New Roman"/>
          <w:b/>
          <w:bCs/>
          <w:spacing w:val="6"/>
          <w:sz w:val="20"/>
          <w:szCs w:val="20"/>
        </w:rPr>
        <w:t>0</w:t>
      </w:r>
      <w:r>
        <w:rPr>
          <w:rFonts w:ascii="Times New Roman" w:hAnsi="Times New Roman" w:eastAsia="Times New Roman" w:cs="Times New Roman"/>
          <w:b/>
          <w:bCs/>
          <w:spacing w:val="-27"/>
          <w:sz w:val="20"/>
          <w:szCs w:val="20"/>
        </w:rPr>
        <w:t xml:space="preserve"> </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0</w:t>
      </w:r>
      <w:r>
        <w:rPr>
          <w:rFonts w:ascii="宋体" w:hAnsi="宋体" w:eastAsia="宋体" w:cs="宋体"/>
          <w:b/>
          <w:bCs/>
          <w:spacing w:val="6"/>
          <w:sz w:val="20"/>
          <w:szCs w:val="20"/>
        </w:rPr>
        <w:t>）</w:t>
      </w:r>
    </w:p>
    <w:p w14:paraId="087E5FB2">
      <w:pPr>
        <w:spacing w:line="229" w:lineRule="auto"/>
        <w:rPr>
          <w:rFonts w:ascii="宋体" w:hAnsi="宋体" w:eastAsia="宋体" w:cs="宋体"/>
          <w:sz w:val="20"/>
          <w:szCs w:val="20"/>
        </w:rPr>
        <w:sectPr>
          <w:footerReference r:id="rId56" w:type="default"/>
          <w:pgSz w:w="11906" w:h="16839"/>
          <w:pgMar w:top="1418" w:right="1475" w:bottom="1485" w:left="1475" w:header="0" w:footer="1249" w:gutter="0"/>
          <w:cols w:space="720" w:num="1"/>
        </w:sectPr>
      </w:pPr>
    </w:p>
    <w:p w14:paraId="2B66BC32">
      <w:pPr>
        <w:spacing w:line="7783" w:lineRule="exact"/>
        <w:ind w:firstLine="657"/>
      </w:pPr>
      <w:r>
        <w:rPr>
          <w:position w:val="-155"/>
        </w:rPr>
        <w:drawing>
          <wp:inline distT="0" distB="0" distL="0" distR="0">
            <wp:extent cx="7269480" cy="49422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6"/>
                    <a:stretch>
                      <a:fillRect/>
                    </a:stretch>
                  </pic:blipFill>
                  <pic:spPr>
                    <a:xfrm>
                      <a:off x="0" y="0"/>
                      <a:ext cx="7269480" cy="4942332"/>
                    </a:xfrm>
                    <a:prstGeom prst="rect">
                      <a:avLst/>
                    </a:prstGeom>
                  </pic:spPr>
                </pic:pic>
              </a:graphicData>
            </a:graphic>
          </wp:inline>
        </w:drawing>
      </w:r>
    </w:p>
    <w:p w14:paraId="34BF4375">
      <w:pPr>
        <w:spacing w:before="138" w:line="219" w:lineRule="auto"/>
        <w:ind w:left="384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49"/>
          <w:sz w:val="24"/>
          <w:szCs w:val="24"/>
        </w:rPr>
        <w:t xml:space="preserve"> </w:t>
      </w:r>
      <w:r>
        <w:rPr>
          <w:rFonts w:ascii="Times New Roman" w:hAnsi="Times New Roman" w:eastAsia="Times New Roman" w:cs="Times New Roman"/>
          <w:b/>
          <w:bCs/>
          <w:spacing w:val="-3"/>
          <w:sz w:val="24"/>
          <w:szCs w:val="24"/>
        </w:rPr>
        <w:t xml:space="preserve">2.8-1    </w:t>
      </w:r>
      <w:r>
        <w:rPr>
          <w:rFonts w:ascii="宋体" w:hAnsi="宋体" w:eastAsia="宋体" w:cs="宋体"/>
          <w:b/>
          <w:bCs/>
          <w:spacing w:val="-3"/>
          <w:sz w:val="24"/>
          <w:szCs w:val="24"/>
        </w:rPr>
        <w:t>项目评价范围内敏感点分布图</w:t>
      </w:r>
    </w:p>
    <w:p w14:paraId="1D708F67">
      <w:pPr>
        <w:spacing w:line="219" w:lineRule="auto"/>
        <w:rPr>
          <w:rFonts w:ascii="宋体" w:hAnsi="宋体" w:eastAsia="宋体" w:cs="宋体"/>
          <w:sz w:val="24"/>
          <w:szCs w:val="24"/>
        </w:rPr>
        <w:sectPr>
          <w:footerReference r:id="rId57" w:type="default"/>
          <w:pgSz w:w="16839" w:h="11906"/>
          <w:pgMar w:top="310" w:right="2206" w:bottom="1485" w:left="2525" w:header="0" w:footer="1249" w:gutter="0"/>
          <w:cols w:space="720" w:num="1"/>
        </w:sectPr>
      </w:pPr>
    </w:p>
    <w:p w14:paraId="5B6850D7">
      <w:pPr>
        <w:pStyle w:val="2"/>
        <w:spacing w:line="314" w:lineRule="auto"/>
      </w:pPr>
    </w:p>
    <w:p w14:paraId="33121A70">
      <w:pPr>
        <w:spacing w:before="139" w:line="636" w:lineRule="exact"/>
        <w:ind w:left="2408"/>
        <w:outlineLvl w:val="0"/>
        <w:rPr>
          <w:rFonts w:ascii="黑体" w:hAnsi="黑体" w:eastAsia="黑体" w:cs="黑体"/>
          <w:sz w:val="43"/>
          <w:szCs w:val="43"/>
        </w:rPr>
      </w:pPr>
      <w:bookmarkStart w:id="18" w:name="bookmark18"/>
      <w:bookmarkEnd w:id="18"/>
      <w:bookmarkStart w:id="19" w:name="bookmark17"/>
      <w:bookmarkEnd w:id="19"/>
      <w:r>
        <w:rPr>
          <w:rFonts w:ascii="Calibri" w:hAnsi="Calibri" w:eastAsia="Calibri" w:cs="Calibri"/>
          <w:spacing w:val="7"/>
          <w:position w:val="4"/>
          <w:sz w:val="43"/>
          <w:szCs w:val="43"/>
        </w:rPr>
        <w:t>3</w:t>
      </w:r>
      <w:r>
        <w:rPr>
          <w:rFonts w:ascii="黑体" w:hAnsi="黑体" w:eastAsia="黑体" w:cs="黑体"/>
          <w:spacing w:val="7"/>
          <w:position w:val="4"/>
          <w:sz w:val="43"/>
          <w:szCs w:val="43"/>
        </w:rPr>
        <w:t>项目概况及工程分析</w:t>
      </w:r>
    </w:p>
    <w:p w14:paraId="742549B7">
      <w:pPr>
        <w:pStyle w:val="2"/>
        <w:spacing w:line="416" w:lineRule="auto"/>
      </w:pPr>
    </w:p>
    <w:p w14:paraId="744A8528">
      <w:pPr>
        <w:spacing w:before="101" w:line="225" w:lineRule="auto"/>
        <w:ind w:left="118"/>
        <w:outlineLvl w:val="1"/>
        <w:rPr>
          <w:rFonts w:ascii="宋体" w:hAnsi="宋体" w:eastAsia="宋体" w:cs="宋体"/>
          <w:sz w:val="31"/>
          <w:szCs w:val="31"/>
        </w:rPr>
      </w:pPr>
      <w:bookmarkStart w:id="20" w:name="bookmark59"/>
      <w:bookmarkEnd w:id="20"/>
      <w:r>
        <w:rPr>
          <w:rFonts w:ascii="Times New Roman" w:hAnsi="Times New Roman" w:eastAsia="Times New Roman" w:cs="Times New Roman"/>
          <w:b/>
          <w:bCs/>
          <w:spacing w:val="5"/>
          <w:sz w:val="31"/>
          <w:szCs w:val="31"/>
        </w:rPr>
        <w:t>3.1</w:t>
      </w:r>
      <w:r>
        <w:rPr>
          <w:rFonts w:ascii="宋体" w:hAnsi="宋体" w:eastAsia="宋体" w:cs="宋体"/>
          <w:b/>
          <w:bCs/>
          <w:spacing w:val="5"/>
          <w:sz w:val="31"/>
          <w:szCs w:val="31"/>
        </w:rPr>
        <w:t>建设项目概况</w:t>
      </w:r>
    </w:p>
    <w:p w14:paraId="21E5AAFC">
      <w:pPr>
        <w:pStyle w:val="2"/>
        <w:spacing w:line="372" w:lineRule="auto"/>
      </w:pPr>
    </w:p>
    <w:p w14:paraId="7F511057">
      <w:pPr>
        <w:spacing w:before="78" w:line="361"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）项目名称：汕尾市天磊联信种养有限公司生猪养殖项目；</w:t>
      </w:r>
    </w:p>
    <w:p w14:paraId="119DC0C1">
      <w:pPr>
        <w:spacing w:before="129" w:line="360"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）建设单位：汕尾市天磊联信种养有限公司；</w:t>
      </w:r>
    </w:p>
    <w:p w14:paraId="6987E6AA">
      <w:pPr>
        <w:spacing w:before="129" w:line="360"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）项目建设地点：海丰县公平镇龙岗美月姑少山坡地；</w:t>
      </w:r>
    </w:p>
    <w:p w14:paraId="1381768A">
      <w:pPr>
        <w:spacing w:before="126" w:line="357" w:lineRule="exact"/>
        <w:ind w:left="614"/>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4</w:t>
      </w:r>
      <w:r>
        <w:rPr>
          <w:rFonts w:ascii="宋体" w:hAnsi="宋体" w:eastAsia="宋体" w:cs="宋体"/>
          <w:spacing w:val="-4"/>
          <w:position w:val="2"/>
          <w:sz w:val="24"/>
          <w:szCs w:val="24"/>
        </w:rPr>
        <w:t>）地理位置坐标：东经</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115.407802°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w:t>
      </w:r>
      <w:r>
        <w:rPr>
          <w:rFonts w:ascii="宋体" w:hAnsi="宋体" w:eastAsia="宋体" w:cs="宋体"/>
          <w:spacing w:val="65"/>
          <w:position w:val="2"/>
          <w:sz w:val="24"/>
          <w:szCs w:val="24"/>
        </w:rPr>
        <w:t xml:space="preserve"> </w:t>
      </w:r>
      <w:r>
        <w:rPr>
          <w:rFonts w:ascii="宋体" w:hAnsi="宋体" w:eastAsia="宋体" w:cs="宋体"/>
          <w:spacing w:val="-4"/>
          <w:position w:val="2"/>
          <w:sz w:val="24"/>
          <w:szCs w:val="24"/>
        </w:rPr>
        <w:t>北纬</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23.</w:t>
      </w:r>
      <w:r>
        <w:rPr>
          <w:rFonts w:ascii="Times New Roman" w:hAnsi="Times New Roman" w:eastAsia="Times New Roman" w:cs="Times New Roman"/>
          <w:spacing w:val="-5"/>
          <w:position w:val="2"/>
          <w:sz w:val="24"/>
          <w:szCs w:val="24"/>
        </w:rPr>
        <w:t>034166°</w:t>
      </w:r>
      <w:r>
        <w:rPr>
          <w:rFonts w:ascii="宋体" w:hAnsi="宋体" w:eastAsia="宋体" w:cs="宋体"/>
          <w:spacing w:val="-5"/>
          <w:position w:val="2"/>
          <w:sz w:val="24"/>
          <w:szCs w:val="24"/>
        </w:rPr>
        <w:t>;</w:t>
      </w:r>
    </w:p>
    <w:p w14:paraId="3AD106A9">
      <w:pPr>
        <w:spacing w:before="170" w:line="221"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）项目性质：新建；</w:t>
      </w:r>
    </w:p>
    <w:p w14:paraId="18BDE698">
      <w:pPr>
        <w:spacing w:before="165" w:line="361"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6</w:t>
      </w:r>
      <w:r>
        <w:rPr>
          <w:rFonts w:ascii="宋体" w:hAnsi="宋体" w:eastAsia="宋体" w:cs="宋体"/>
          <w:spacing w:val="-2"/>
          <w:position w:val="2"/>
          <w:sz w:val="24"/>
          <w:szCs w:val="24"/>
        </w:rPr>
        <w:t>）总投资：</w:t>
      </w:r>
      <w:r>
        <w:rPr>
          <w:rFonts w:ascii="Times New Roman" w:hAnsi="Times New Roman" w:eastAsia="Times New Roman" w:cs="Times New Roman"/>
          <w:spacing w:val="-2"/>
          <w:position w:val="2"/>
          <w:sz w:val="24"/>
          <w:szCs w:val="24"/>
        </w:rPr>
        <w:t>1300</w:t>
      </w:r>
      <w:r>
        <w:rPr>
          <w:rFonts w:ascii="Times New Roman" w:hAnsi="Times New Roman" w:eastAsia="Times New Roman" w:cs="Times New Roman"/>
          <w:spacing w:val="16"/>
          <w:position w:val="2"/>
          <w:sz w:val="24"/>
          <w:szCs w:val="24"/>
        </w:rPr>
        <w:t xml:space="preserve"> </w:t>
      </w:r>
      <w:r>
        <w:rPr>
          <w:rFonts w:ascii="宋体" w:hAnsi="宋体" w:eastAsia="宋体" w:cs="宋体"/>
          <w:spacing w:val="-2"/>
          <w:position w:val="2"/>
          <w:sz w:val="24"/>
          <w:szCs w:val="24"/>
        </w:rPr>
        <w:t>万，其中环保投资</w:t>
      </w:r>
      <w:r>
        <w:rPr>
          <w:rFonts w:ascii="宋体" w:hAnsi="宋体" w:eastAsia="宋体" w:cs="宋体"/>
          <w:spacing w:val="-51"/>
          <w:position w:val="2"/>
          <w:sz w:val="24"/>
          <w:szCs w:val="24"/>
        </w:rPr>
        <w:t xml:space="preserve"> </w:t>
      </w:r>
      <w:r>
        <w:rPr>
          <w:rFonts w:ascii="Times New Roman" w:hAnsi="Times New Roman" w:eastAsia="Times New Roman" w:cs="Times New Roman"/>
          <w:spacing w:val="-2"/>
          <w:position w:val="2"/>
          <w:sz w:val="24"/>
          <w:szCs w:val="24"/>
        </w:rPr>
        <w:t>320</w:t>
      </w:r>
      <w:r>
        <w:rPr>
          <w:rFonts w:ascii="Times New Roman" w:hAnsi="Times New Roman" w:eastAsia="Times New Roman" w:cs="Times New Roman"/>
          <w:spacing w:val="16"/>
          <w:position w:val="2"/>
          <w:sz w:val="24"/>
          <w:szCs w:val="24"/>
        </w:rPr>
        <w:t xml:space="preserve"> </w:t>
      </w:r>
      <w:r>
        <w:rPr>
          <w:rFonts w:ascii="宋体" w:hAnsi="宋体" w:eastAsia="宋体" w:cs="宋体"/>
          <w:spacing w:val="-2"/>
          <w:position w:val="2"/>
          <w:sz w:val="24"/>
          <w:szCs w:val="24"/>
        </w:rPr>
        <w:t>万，占总投资</w:t>
      </w:r>
      <w:r>
        <w:rPr>
          <w:rFonts w:ascii="宋体" w:hAnsi="宋体" w:eastAsia="宋体" w:cs="宋体"/>
          <w:spacing w:val="-55"/>
          <w:position w:val="2"/>
          <w:sz w:val="24"/>
          <w:szCs w:val="24"/>
        </w:rPr>
        <w:t xml:space="preserve"> </w:t>
      </w:r>
      <w:r>
        <w:rPr>
          <w:rFonts w:ascii="Times New Roman" w:hAnsi="Times New Roman" w:eastAsia="Times New Roman" w:cs="Times New Roman"/>
          <w:spacing w:val="-2"/>
          <w:position w:val="2"/>
          <w:sz w:val="24"/>
          <w:szCs w:val="24"/>
        </w:rPr>
        <w:t>24.6%</w:t>
      </w:r>
      <w:r>
        <w:rPr>
          <w:rFonts w:ascii="宋体" w:hAnsi="宋体" w:eastAsia="宋体" w:cs="宋体"/>
          <w:spacing w:val="-2"/>
          <w:position w:val="2"/>
          <w:sz w:val="24"/>
          <w:szCs w:val="24"/>
        </w:rPr>
        <w:t>；</w:t>
      </w:r>
    </w:p>
    <w:p w14:paraId="56B19E80">
      <w:pPr>
        <w:spacing w:before="129"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7</w:t>
      </w:r>
      <w:r>
        <w:rPr>
          <w:rFonts w:ascii="宋体" w:hAnsi="宋体" w:eastAsia="宋体" w:cs="宋体"/>
          <w:spacing w:val="-3"/>
          <w:position w:val="2"/>
          <w:sz w:val="24"/>
          <w:szCs w:val="24"/>
        </w:rPr>
        <w:t>）</w:t>
      </w:r>
      <w:r>
        <w:rPr>
          <w:rFonts w:ascii="宋体" w:hAnsi="宋体" w:eastAsia="宋体" w:cs="宋体"/>
          <w:spacing w:val="-71"/>
          <w:position w:val="2"/>
          <w:sz w:val="24"/>
          <w:szCs w:val="24"/>
        </w:rPr>
        <w:t xml:space="preserve"> </w:t>
      </w:r>
      <w:r>
        <w:rPr>
          <w:rFonts w:ascii="宋体" w:hAnsi="宋体" w:eastAsia="宋体" w:cs="宋体"/>
          <w:spacing w:val="-3"/>
          <w:position w:val="2"/>
          <w:sz w:val="24"/>
          <w:szCs w:val="24"/>
        </w:rPr>
        <w:t>占地面积：</w:t>
      </w:r>
      <w:r>
        <w:rPr>
          <w:rFonts w:ascii="Times New Roman" w:hAnsi="Times New Roman" w:eastAsia="Times New Roman" w:cs="Times New Roman"/>
          <w:spacing w:val="-3"/>
          <w:position w:val="2"/>
          <w:sz w:val="24"/>
          <w:szCs w:val="24"/>
        </w:rPr>
        <w:t>17194m</w:t>
      </w:r>
      <w:r>
        <w:rPr>
          <w:rFonts w:ascii="Times New Roman" w:hAnsi="Times New Roman" w:eastAsia="Times New Roman" w:cs="Times New Roman"/>
          <w:spacing w:val="-3"/>
          <w:position w:val="9"/>
          <w:sz w:val="15"/>
          <w:szCs w:val="15"/>
        </w:rPr>
        <w:t>2</w:t>
      </w:r>
      <w:r>
        <w:rPr>
          <w:rFonts w:ascii="宋体" w:hAnsi="宋体" w:eastAsia="宋体" w:cs="宋体"/>
          <w:spacing w:val="-3"/>
          <w:position w:val="2"/>
          <w:sz w:val="24"/>
          <w:szCs w:val="24"/>
        </w:rPr>
        <w:t>（约</w:t>
      </w:r>
      <w:r>
        <w:rPr>
          <w:rFonts w:ascii="宋体" w:hAnsi="宋体" w:eastAsia="宋体" w:cs="宋体"/>
          <w:spacing w:val="-55"/>
          <w:position w:val="2"/>
          <w:sz w:val="24"/>
          <w:szCs w:val="24"/>
        </w:rPr>
        <w:t xml:space="preserve"> </w:t>
      </w:r>
      <w:r>
        <w:rPr>
          <w:rFonts w:ascii="Times New Roman" w:hAnsi="Times New Roman" w:eastAsia="Times New Roman" w:cs="Times New Roman"/>
          <w:spacing w:val="-3"/>
          <w:position w:val="2"/>
          <w:sz w:val="24"/>
          <w:szCs w:val="24"/>
        </w:rPr>
        <w:t xml:space="preserve">25.79 </w:t>
      </w:r>
      <w:r>
        <w:rPr>
          <w:rFonts w:ascii="宋体" w:hAnsi="宋体" w:eastAsia="宋体" w:cs="宋体"/>
          <w:spacing w:val="-3"/>
          <w:position w:val="2"/>
          <w:sz w:val="24"/>
          <w:szCs w:val="24"/>
        </w:rPr>
        <w:t>亩</w:t>
      </w:r>
      <w:r>
        <w:rPr>
          <w:rFonts w:ascii="宋体" w:hAnsi="宋体" w:eastAsia="宋体" w:cs="宋体"/>
          <w:spacing w:val="10"/>
          <w:position w:val="2"/>
          <w:sz w:val="24"/>
          <w:szCs w:val="24"/>
        </w:rPr>
        <w:t>），</w:t>
      </w:r>
      <w:r>
        <w:rPr>
          <w:rFonts w:ascii="宋体" w:hAnsi="宋体" w:eastAsia="宋体" w:cs="宋体"/>
          <w:spacing w:val="-3"/>
          <w:position w:val="2"/>
          <w:sz w:val="24"/>
          <w:szCs w:val="24"/>
        </w:rPr>
        <w:t>建筑面积为</w:t>
      </w:r>
      <w:r>
        <w:rPr>
          <w:rFonts w:ascii="宋体" w:hAnsi="宋体" w:eastAsia="宋体" w:cs="宋体"/>
          <w:spacing w:val="-45"/>
          <w:position w:val="2"/>
          <w:sz w:val="24"/>
          <w:szCs w:val="24"/>
        </w:rPr>
        <w:t xml:space="preserve"> </w:t>
      </w:r>
      <w:r>
        <w:rPr>
          <w:rFonts w:ascii="Times New Roman" w:hAnsi="Times New Roman" w:eastAsia="Times New Roman" w:cs="Times New Roman"/>
          <w:spacing w:val="-3"/>
          <w:position w:val="2"/>
          <w:sz w:val="24"/>
          <w:szCs w:val="24"/>
        </w:rPr>
        <w:t>8346m</w:t>
      </w:r>
      <w:r>
        <w:rPr>
          <w:rFonts w:ascii="Times New Roman" w:hAnsi="Times New Roman" w:eastAsia="Times New Roman" w:cs="Times New Roman"/>
          <w:spacing w:val="-3"/>
          <w:position w:val="9"/>
          <w:sz w:val="15"/>
          <w:szCs w:val="15"/>
        </w:rPr>
        <w:t>2</w:t>
      </w:r>
      <w:r>
        <w:rPr>
          <w:rFonts w:ascii="宋体" w:hAnsi="宋体" w:eastAsia="宋体" w:cs="宋体"/>
          <w:spacing w:val="-3"/>
          <w:position w:val="2"/>
          <w:sz w:val="24"/>
          <w:szCs w:val="24"/>
        </w:rPr>
        <w:t>；</w:t>
      </w:r>
    </w:p>
    <w:p w14:paraId="27E06174">
      <w:pPr>
        <w:spacing w:before="126"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8</w:t>
      </w:r>
      <w:r>
        <w:rPr>
          <w:rFonts w:ascii="宋体" w:hAnsi="宋体" w:eastAsia="宋体" w:cs="宋体"/>
          <w:spacing w:val="-2"/>
          <w:position w:val="2"/>
          <w:sz w:val="24"/>
          <w:szCs w:val="24"/>
        </w:rPr>
        <w:t>）规模：各类猪只常年存栏量</w:t>
      </w:r>
      <w:r>
        <w:rPr>
          <w:rFonts w:ascii="宋体" w:hAnsi="宋体" w:eastAsia="宋体" w:cs="宋体"/>
          <w:spacing w:val="-51"/>
          <w:position w:val="2"/>
          <w:sz w:val="24"/>
          <w:szCs w:val="24"/>
        </w:rPr>
        <w:t xml:space="preserve"> </w:t>
      </w:r>
      <w:r>
        <w:rPr>
          <w:rFonts w:ascii="Times New Roman" w:hAnsi="Times New Roman" w:eastAsia="Times New Roman" w:cs="Times New Roman"/>
          <w:spacing w:val="-2"/>
          <w:position w:val="2"/>
          <w:sz w:val="24"/>
          <w:szCs w:val="24"/>
        </w:rPr>
        <w:t xml:space="preserve">7000 </w:t>
      </w:r>
      <w:r>
        <w:rPr>
          <w:rFonts w:ascii="宋体" w:hAnsi="宋体" w:eastAsia="宋体" w:cs="宋体"/>
          <w:spacing w:val="-2"/>
          <w:position w:val="2"/>
          <w:sz w:val="24"/>
          <w:szCs w:val="24"/>
        </w:rPr>
        <w:t>头，出栏量</w:t>
      </w:r>
      <w:r>
        <w:rPr>
          <w:rFonts w:ascii="宋体" w:hAnsi="宋体" w:eastAsia="宋体" w:cs="宋体"/>
          <w:spacing w:val="-32"/>
          <w:position w:val="2"/>
          <w:sz w:val="24"/>
          <w:szCs w:val="24"/>
        </w:rPr>
        <w:t xml:space="preserve"> </w:t>
      </w:r>
      <w:r>
        <w:rPr>
          <w:rFonts w:ascii="Times New Roman" w:hAnsi="Times New Roman" w:eastAsia="Times New Roman" w:cs="Times New Roman"/>
          <w:spacing w:val="-2"/>
          <w:position w:val="2"/>
          <w:sz w:val="24"/>
          <w:szCs w:val="24"/>
        </w:rPr>
        <w:t xml:space="preserve">15000 </w:t>
      </w:r>
      <w:r>
        <w:rPr>
          <w:rFonts w:ascii="宋体" w:hAnsi="宋体" w:eastAsia="宋体" w:cs="宋体"/>
          <w:spacing w:val="-2"/>
          <w:position w:val="2"/>
          <w:sz w:val="24"/>
          <w:szCs w:val="24"/>
        </w:rPr>
        <w:t>头</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年（约</w:t>
      </w:r>
      <w:r>
        <w:rPr>
          <w:rFonts w:ascii="宋体" w:hAnsi="宋体" w:eastAsia="宋体" w:cs="宋体"/>
          <w:spacing w:val="-55"/>
          <w:position w:val="2"/>
          <w:sz w:val="24"/>
          <w:szCs w:val="24"/>
        </w:rPr>
        <w:t xml:space="preserve"> </w:t>
      </w:r>
      <w:r>
        <w:rPr>
          <w:rFonts w:ascii="Times New Roman" w:hAnsi="Times New Roman" w:eastAsia="Times New Roman" w:cs="Times New Roman"/>
          <w:spacing w:val="-3"/>
          <w:position w:val="2"/>
          <w:sz w:val="24"/>
          <w:szCs w:val="24"/>
        </w:rPr>
        <w:t>220</w:t>
      </w:r>
      <w:r>
        <w:rPr>
          <w:rFonts w:ascii="Times New Roman" w:hAnsi="Times New Roman" w:eastAsia="Times New Roman" w:cs="Times New Roman"/>
          <w:spacing w:val="18"/>
          <w:position w:val="2"/>
          <w:sz w:val="24"/>
          <w:szCs w:val="24"/>
        </w:rPr>
        <w:t xml:space="preserve"> </w:t>
      </w:r>
      <w:r>
        <w:rPr>
          <w:rFonts w:ascii="宋体" w:hAnsi="宋体" w:eastAsia="宋体" w:cs="宋体"/>
          <w:spacing w:val="-3"/>
          <w:position w:val="2"/>
          <w:sz w:val="24"/>
          <w:szCs w:val="24"/>
        </w:rPr>
        <w:t>斤</w:t>
      </w:r>
      <w:r>
        <w:rPr>
          <w:rFonts w:ascii="宋体" w:hAnsi="宋体" w:eastAsia="宋体" w:cs="宋体"/>
          <w:position w:val="2"/>
          <w:sz w:val="24"/>
          <w:szCs w:val="24"/>
        </w:rPr>
        <w:t>）；</w:t>
      </w:r>
    </w:p>
    <w:p w14:paraId="2B043723">
      <w:pPr>
        <w:spacing w:before="129" w:line="327" w:lineRule="auto"/>
        <w:ind w:left="164" w:right="110" w:firstLine="45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9</w:t>
      </w:r>
      <w:r>
        <w:rPr>
          <w:rFonts w:ascii="宋体" w:hAnsi="宋体" w:eastAsia="宋体" w:cs="宋体"/>
          <w:sz w:val="24"/>
          <w:szCs w:val="24"/>
        </w:rPr>
        <w:t>）劳动定员及工作制度：共有员工</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12 </w:t>
      </w:r>
      <w:r>
        <w:rPr>
          <w:rFonts w:ascii="宋体" w:hAnsi="宋体" w:eastAsia="宋体" w:cs="宋体"/>
          <w:spacing w:val="-1"/>
          <w:sz w:val="24"/>
          <w:szCs w:val="24"/>
        </w:rPr>
        <w:t>人，其中</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人厂区内住宿。年工作</w:t>
      </w:r>
      <w:r>
        <w:rPr>
          <w:rFonts w:ascii="Times New Roman" w:hAnsi="Times New Roman" w:eastAsia="Times New Roman" w:cs="Times New Roman"/>
          <w:spacing w:val="-1"/>
          <w:sz w:val="24"/>
          <w:szCs w:val="24"/>
        </w:rPr>
        <w:t>365</w:t>
      </w:r>
      <w:r>
        <w:rPr>
          <w:rFonts w:ascii="Times New Roman" w:hAnsi="Times New Roman" w:eastAsia="Times New Roman" w:cs="Times New Roman"/>
          <w:sz w:val="24"/>
          <w:szCs w:val="24"/>
        </w:rPr>
        <w:t xml:space="preserve"> </w:t>
      </w:r>
      <w:r>
        <w:rPr>
          <w:rFonts w:ascii="宋体" w:hAnsi="宋体" w:eastAsia="宋体" w:cs="宋体"/>
          <w:spacing w:val="-9"/>
          <w:sz w:val="24"/>
          <w:szCs w:val="24"/>
        </w:rPr>
        <w:t>日，每天工作</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小时。</w:t>
      </w:r>
    </w:p>
    <w:p w14:paraId="3739EF6A">
      <w:pPr>
        <w:spacing w:before="165"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3.1.1</w:t>
      </w:r>
      <w:r>
        <w:rPr>
          <w:rFonts w:ascii="宋体" w:hAnsi="宋体" w:eastAsia="宋体" w:cs="宋体"/>
          <w:b/>
          <w:bCs/>
          <w:spacing w:val="-2"/>
          <w:sz w:val="24"/>
          <w:szCs w:val="24"/>
        </w:rPr>
        <w:t>项目用地及四至情况</w:t>
      </w:r>
    </w:p>
    <w:p w14:paraId="305CA027">
      <w:pPr>
        <w:spacing w:before="166" w:line="359" w:lineRule="auto"/>
        <w:ind w:left="122" w:right="113" w:firstLine="480"/>
        <w:jc w:val="both"/>
        <w:rPr>
          <w:rFonts w:ascii="宋体" w:hAnsi="宋体" w:eastAsia="宋体" w:cs="宋体"/>
          <w:sz w:val="24"/>
          <w:szCs w:val="24"/>
        </w:rPr>
      </w:pPr>
      <w:r>
        <w:rPr>
          <w:rFonts w:ascii="宋体" w:hAnsi="宋体" w:eastAsia="宋体" w:cs="宋体"/>
          <w:spacing w:val="-1"/>
          <w:sz w:val="24"/>
          <w:szCs w:val="24"/>
        </w:rPr>
        <w:t>本项目选址于海丰县公平镇龙岗美月姑少山坡地，项目东面相隔</w:t>
      </w:r>
      <w:r>
        <w:rPr>
          <w:rFonts w:ascii="宋体" w:hAnsi="宋体" w:eastAsia="宋体" w:cs="宋体"/>
          <w:spacing w:val="-14"/>
          <w:sz w:val="24"/>
          <w:szCs w:val="24"/>
        </w:rPr>
        <w:t xml:space="preserve"> </w:t>
      </w:r>
      <w:r>
        <w:rPr>
          <w:rFonts w:ascii="Times New Roman" w:hAnsi="Times New Roman" w:eastAsia="Times New Roman" w:cs="Times New Roman"/>
          <w:spacing w:val="-1"/>
          <w:sz w:val="24"/>
          <w:szCs w:val="24"/>
        </w:rPr>
        <w:t xml:space="preserve">10m </w:t>
      </w:r>
      <w:r>
        <w:rPr>
          <w:rFonts w:ascii="宋体" w:hAnsi="宋体" w:eastAsia="宋体" w:cs="宋体"/>
          <w:spacing w:val="-1"/>
          <w:sz w:val="24"/>
          <w:szCs w:val="24"/>
        </w:rPr>
        <w:t>为海丰县</w:t>
      </w:r>
      <w:r>
        <w:rPr>
          <w:rFonts w:ascii="宋体" w:hAnsi="宋体" w:eastAsia="宋体" w:cs="宋体"/>
          <w:sz w:val="24"/>
          <w:szCs w:val="24"/>
        </w:rPr>
        <w:t xml:space="preserve"> </w:t>
      </w:r>
      <w:r>
        <w:rPr>
          <w:rFonts w:ascii="宋体" w:hAnsi="宋体" w:eastAsia="宋体" w:cs="宋体"/>
          <w:spacing w:val="2"/>
          <w:sz w:val="24"/>
          <w:szCs w:val="24"/>
        </w:rPr>
        <w:t>公平镇龙寨实成种养专业合作社养猪场，项目南、西、北面隔均为山林。项目病死</w:t>
      </w:r>
      <w:r>
        <w:rPr>
          <w:rFonts w:ascii="宋体" w:hAnsi="宋体" w:eastAsia="宋体" w:cs="宋体"/>
          <w:spacing w:val="6"/>
          <w:sz w:val="24"/>
          <w:szCs w:val="24"/>
        </w:rPr>
        <w:t xml:space="preserve"> </w:t>
      </w:r>
      <w:r>
        <w:rPr>
          <w:rFonts w:ascii="宋体" w:hAnsi="宋体" w:eastAsia="宋体" w:cs="宋体"/>
          <w:spacing w:val="2"/>
          <w:sz w:val="24"/>
          <w:szCs w:val="24"/>
        </w:rPr>
        <w:t>猪尸体依托海丰县公平镇龙寨实成种养专业合作社养猪场的安全填埋井进行填埋处</w:t>
      </w:r>
      <w:r>
        <w:rPr>
          <w:rFonts w:ascii="宋体" w:hAnsi="宋体" w:eastAsia="宋体" w:cs="宋体"/>
          <w:spacing w:val="6"/>
          <w:sz w:val="24"/>
          <w:szCs w:val="24"/>
        </w:rPr>
        <w:t xml:space="preserve"> </w:t>
      </w:r>
      <w:r>
        <w:rPr>
          <w:rFonts w:ascii="宋体" w:hAnsi="宋体" w:eastAsia="宋体" w:cs="宋体"/>
          <w:spacing w:val="-2"/>
          <w:sz w:val="24"/>
          <w:szCs w:val="24"/>
        </w:rPr>
        <w:t>理，安全填埋井位于项目东南面</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195m </w:t>
      </w:r>
      <w:r>
        <w:rPr>
          <w:rFonts w:ascii="宋体" w:hAnsi="宋体" w:eastAsia="宋体" w:cs="宋体"/>
          <w:spacing w:val="-2"/>
          <w:sz w:val="24"/>
          <w:szCs w:val="24"/>
        </w:rPr>
        <w:t>处。</w:t>
      </w: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5"/>
        <w:gridCol w:w="4445"/>
      </w:tblGrid>
      <w:tr w14:paraId="03A0C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5" w:hRule="atLeast"/>
        </w:trPr>
        <w:tc>
          <w:tcPr>
            <w:tcW w:w="4505" w:type="dxa"/>
            <w:vAlign w:val="top"/>
          </w:tcPr>
          <w:p w14:paraId="5C4ED553">
            <w:pPr>
              <w:spacing w:before="217" w:line="2834" w:lineRule="exact"/>
              <w:ind w:firstLine="360"/>
            </w:pPr>
            <w:r>
              <w:rPr>
                <w:position w:val="-56"/>
              </w:rPr>
              <w:drawing>
                <wp:inline distT="0" distB="0" distL="0" distR="0">
                  <wp:extent cx="2412365" cy="179959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7"/>
                          <a:stretch>
                            <a:fillRect/>
                          </a:stretch>
                        </pic:blipFill>
                        <pic:spPr>
                          <a:xfrm>
                            <a:off x="0" y="0"/>
                            <a:ext cx="2412491" cy="1799844"/>
                          </a:xfrm>
                          <a:prstGeom prst="rect">
                            <a:avLst/>
                          </a:prstGeom>
                        </pic:spPr>
                      </pic:pic>
                    </a:graphicData>
                  </a:graphic>
                </wp:inline>
              </w:drawing>
            </w:r>
          </w:p>
        </w:tc>
        <w:tc>
          <w:tcPr>
            <w:tcW w:w="4445" w:type="dxa"/>
            <w:vAlign w:val="top"/>
          </w:tcPr>
          <w:p w14:paraId="1C93EFA3">
            <w:pPr>
              <w:spacing w:before="162" w:line="2947" w:lineRule="exact"/>
              <w:ind w:firstLine="264"/>
            </w:pPr>
            <w:r>
              <w:rPr>
                <w:position w:val="-58"/>
              </w:rPr>
              <w:drawing>
                <wp:inline distT="0" distB="0" distL="0" distR="0">
                  <wp:extent cx="2501900" cy="18713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8"/>
                          <a:stretch>
                            <a:fillRect/>
                          </a:stretch>
                        </pic:blipFill>
                        <pic:spPr>
                          <a:xfrm>
                            <a:off x="0" y="0"/>
                            <a:ext cx="2502407" cy="1871471"/>
                          </a:xfrm>
                          <a:prstGeom prst="rect">
                            <a:avLst/>
                          </a:prstGeom>
                        </pic:spPr>
                      </pic:pic>
                    </a:graphicData>
                  </a:graphic>
                </wp:inline>
              </w:drawing>
            </w:r>
          </w:p>
        </w:tc>
      </w:tr>
      <w:tr w14:paraId="654E6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505" w:type="dxa"/>
            <w:vAlign w:val="top"/>
          </w:tcPr>
          <w:p w14:paraId="00805D3F">
            <w:pPr>
              <w:pStyle w:val="6"/>
              <w:spacing w:before="49" w:line="220" w:lineRule="auto"/>
              <w:ind w:left="188"/>
              <w:rPr>
                <w:sz w:val="24"/>
                <w:szCs w:val="24"/>
              </w:rPr>
            </w:pPr>
            <w:r>
              <w:rPr>
                <w:spacing w:val="-2"/>
                <w:sz w:val="24"/>
                <w:szCs w:val="24"/>
              </w:rPr>
              <w:t>东面</w:t>
            </w:r>
            <w:r>
              <w:rPr>
                <w:rFonts w:ascii="Times New Roman" w:hAnsi="Times New Roman" w:eastAsia="Times New Roman" w:cs="Times New Roman"/>
                <w:spacing w:val="-2"/>
                <w:sz w:val="24"/>
                <w:szCs w:val="24"/>
              </w:rPr>
              <w:t>-</w:t>
            </w:r>
            <w:r>
              <w:rPr>
                <w:spacing w:val="-2"/>
                <w:sz w:val="24"/>
                <w:szCs w:val="24"/>
              </w:rPr>
              <w:t>海丰县公平镇龙寨实成种养专业合</w:t>
            </w:r>
          </w:p>
          <w:p w14:paraId="4204108B">
            <w:pPr>
              <w:pStyle w:val="6"/>
              <w:spacing w:before="40" w:line="210" w:lineRule="auto"/>
              <w:ind w:left="1662"/>
              <w:rPr>
                <w:sz w:val="24"/>
                <w:szCs w:val="24"/>
              </w:rPr>
            </w:pPr>
            <w:r>
              <w:rPr>
                <w:spacing w:val="-3"/>
                <w:sz w:val="24"/>
                <w:szCs w:val="24"/>
              </w:rPr>
              <w:t>作社养猪场</w:t>
            </w:r>
          </w:p>
        </w:tc>
        <w:tc>
          <w:tcPr>
            <w:tcW w:w="4445" w:type="dxa"/>
            <w:vAlign w:val="top"/>
          </w:tcPr>
          <w:p w14:paraId="49A285E1">
            <w:pPr>
              <w:pStyle w:val="6"/>
              <w:spacing w:before="212" w:line="220" w:lineRule="auto"/>
              <w:ind w:left="1711"/>
              <w:rPr>
                <w:sz w:val="24"/>
                <w:szCs w:val="24"/>
              </w:rPr>
            </w:pPr>
            <w:r>
              <w:rPr>
                <w:spacing w:val="-3"/>
                <w:sz w:val="24"/>
                <w:szCs w:val="24"/>
              </w:rPr>
              <w:t>南面</w:t>
            </w:r>
            <w:r>
              <w:rPr>
                <w:rFonts w:ascii="Times New Roman" w:hAnsi="Times New Roman" w:eastAsia="Times New Roman" w:cs="Times New Roman"/>
                <w:spacing w:val="-3"/>
                <w:sz w:val="24"/>
                <w:szCs w:val="24"/>
              </w:rPr>
              <w:t>-</w:t>
            </w:r>
            <w:r>
              <w:rPr>
                <w:spacing w:val="-3"/>
                <w:sz w:val="24"/>
                <w:szCs w:val="24"/>
              </w:rPr>
              <w:t>山林</w:t>
            </w:r>
          </w:p>
        </w:tc>
      </w:tr>
    </w:tbl>
    <w:p w14:paraId="2024E312">
      <w:pPr>
        <w:pStyle w:val="2"/>
      </w:pPr>
    </w:p>
    <w:p w14:paraId="3B9F5879">
      <w:pPr>
        <w:sectPr>
          <w:footerReference r:id="rId58"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5"/>
        <w:gridCol w:w="4445"/>
      </w:tblGrid>
      <w:tr w14:paraId="07EF1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4" w:hRule="atLeast"/>
        </w:trPr>
        <w:tc>
          <w:tcPr>
            <w:tcW w:w="4505" w:type="dxa"/>
            <w:vAlign w:val="top"/>
          </w:tcPr>
          <w:p w14:paraId="755A9E7C">
            <w:pPr>
              <w:spacing w:before="153" w:line="3288" w:lineRule="exact"/>
              <w:ind w:firstLine="137"/>
            </w:pPr>
            <w:r>
              <w:rPr>
                <w:position w:val="-65"/>
              </w:rPr>
              <w:drawing>
                <wp:inline distT="0" distB="0" distL="0" distR="0">
                  <wp:extent cx="2769870" cy="20878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9"/>
                          <a:stretch>
                            <a:fillRect/>
                          </a:stretch>
                        </pic:blipFill>
                        <pic:spPr>
                          <a:xfrm>
                            <a:off x="0" y="0"/>
                            <a:ext cx="2770251" cy="2087880"/>
                          </a:xfrm>
                          <a:prstGeom prst="rect">
                            <a:avLst/>
                          </a:prstGeom>
                        </pic:spPr>
                      </pic:pic>
                    </a:graphicData>
                  </a:graphic>
                </wp:inline>
              </w:drawing>
            </w:r>
          </w:p>
        </w:tc>
        <w:tc>
          <w:tcPr>
            <w:tcW w:w="4445" w:type="dxa"/>
            <w:vAlign w:val="top"/>
          </w:tcPr>
          <w:p w14:paraId="08221763">
            <w:pPr>
              <w:spacing w:line="291" w:lineRule="auto"/>
              <w:rPr>
                <w:rFonts w:ascii="Arial"/>
                <w:sz w:val="21"/>
              </w:rPr>
            </w:pPr>
          </w:p>
          <w:p w14:paraId="164AC91B">
            <w:pPr>
              <w:spacing w:line="3012" w:lineRule="exact"/>
              <w:ind w:firstLine="218"/>
            </w:pPr>
            <w:r>
              <w:rPr>
                <w:position w:val="-60"/>
              </w:rPr>
              <w:drawing>
                <wp:inline distT="0" distB="0" distL="0" distR="0">
                  <wp:extent cx="2557145" cy="1911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0"/>
                          <a:stretch>
                            <a:fillRect/>
                          </a:stretch>
                        </pic:blipFill>
                        <pic:spPr>
                          <a:xfrm>
                            <a:off x="0" y="0"/>
                            <a:ext cx="2557271" cy="1912619"/>
                          </a:xfrm>
                          <a:prstGeom prst="rect">
                            <a:avLst/>
                          </a:prstGeom>
                        </pic:spPr>
                      </pic:pic>
                    </a:graphicData>
                  </a:graphic>
                </wp:inline>
              </w:drawing>
            </w:r>
          </w:p>
        </w:tc>
      </w:tr>
      <w:tr w14:paraId="1097A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505" w:type="dxa"/>
            <w:vAlign w:val="top"/>
          </w:tcPr>
          <w:p w14:paraId="754C2F04">
            <w:pPr>
              <w:pStyle w:val="6"/>
              <w:spacing w:before="45" w:line="212" w:lineRule="auto"/>
              <w:ind w:left="1746"/>
              <w:rPr>
                <w:sz w:val="24"/>
                <w:szCs w:val="24"/>
              </w:rPr>
            </w:pPr>
            <w:r>
              <w:rPr>
                <w:spacing w:val="-4"/>
                <w:sz w:val="24"/>
                <w:szCs w:val="24"/>
              </w:rPr>
              <w:t>西面</w:t>
            </w:r>
            <w:r>
              <w:rPr>
                <w:rFonts w:ascii="Times New Roman" w:hAnsi="Times New Roman" w:eastAsia="Times New Roman" w:cs="Times New Roman"/>
                <w:spacing w:val="-4"/>
                <w:sz w:val="24"/>
                <w:szCs w:val="24"/>
              </w:rPr>
              <w:t>-</w:t>
            </w:r>
            <w:r>
              <w:rPr>
                <w:spacing w:val="-4"/>
                <w:sz w:val="24"/>
                <w:szCs w:val="24"/>
              </w:rPr>
              <w:t>山林</w:t>
            </w:r>
          </w:p>
        </w:tc>
        <w:tc>
          <w:tcPr>
            <w:tcW w:w="4445" w:type="dxa"/>
            <w:vAlign w:val="top"/>
          </w:tcPr>
          <w:p w14:paraId="06F83650">
            <w:pPr>
              <w:pStyle w:val="6"/>
              <w:spacing w:before="45" w:line="212" w:lineRule="auto"/>
              <w:ind w:left="1712"/>
              <w:rPr>
                <w:sz w:val="24"/>
                <w:szCs w:val="24"/>
              </w:rPr>
            </w:pPr>
            <w:r>
              <w:rPr>
                <w:spacing w:val="-3"/>
                <w:sz w:val="24"/>
                <w:szCs w:val="24"/>
              </w:rPr>
              <w:t>北面</w:t>
            </w:r>
            <w:r>
              <w:rPr>
                <w:rFonts w:ascii="Times New Roman" w:hAnsi="Times New Roman" w:eastAsia="Times New Roman" w:cs="Times New Roman"/>
                <w:spacing w:val="-3"/>
                <w:sz w:val="24"/>
                <w:szCs w:val="24"/>
              </w:rPr>
              <w:t>-</w:t>
            </w:r>
            <w:r>
              <w:rPr>
                <w:spacing w:val="-3"/>
                <w:sz w:val="24"/>
                <w:szCs w:val="24"/>
              </w:rPr>
              <w:t>山林</w:t>
            </w:r>
          </w:p>
        </w:tc>
      </w:tr>
      <w:tr w14:paraId="25716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4" w:hRule="atLeast"/>
        </w:trPr>
        <w:tc>
          <w:tcPr>
            <w:tcW w:w="8950" w:type="dxa"/>
            <w:gridSpan w:val="2"/>
            <w:vAlign w:val="top"/>
          </w:tcPr>
          <w:p w14:paraId="55C542A0">
            <w:pPr>
              <w:spacing w:before="25" w:line="5498" w:lineRule="exact"/>
              <w:ind w:firstLine="1078"/>
            </w:pPr>
            <w:r>
              <w:rPr>
                <w:position w:val="-109"/>
              </w:rPr>
              <w:drawing>
                <wp:inline distT="0" distB="0" distL="0" distR="0">
                  <wp:extent cx="4329430" cy="34912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11"/>
                          <a:stretch>
                            <a:fillRect/>
                          </a:stretch>
                        </pic:blipFill>
                        <pic:spPr>
                          <a:xfrm>
                            <a:off x="0" y="0"/>
                            <a:ext cx="4329683" cy="3491483"/>
                          </a:xfrm>
                          <a:prstGeom prst="rect">
                            <a:avLst/>
                          </a:prstGeom>
                        </pic:spPr>
                      </pic:pic>
                    </a:graphicData>
                  </a:graphic>
                </wp:inline>
              </w:drawing>
            </w:r>
          </w:p>
        </w:tc>
      </w:tr>
      <w:tr w14:paraId="70B7A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950" w:type="dxa"/>
            <w:gridSpan w:val="2"/>
            <w:vAlign w:val="top"/>
          </w:tcPr>
          <w:p w14:paraId="5B821734">
            <w:pPr>
              <w:pStyle w:val="6"/>
              <w:spacing w:before="48" w:line="213" w:lineRule="auto"/>
              <w:ind w:left="1331"/>
              <w:rPr>
                <w:sz w:val="24"/>
                <w:szCs w:val="24"/>
              </w:rPr>
            </w:pPr>
            <w:r>
              <w:rPr>
                <w:spacing w:val="-1"/>
                <w:sz w:val="24"/>
                <w:szCs w:val="24"/>
              </w:rPr>
              <w:t>东南面</w:t>
            </w:r>
            <w:r>
              <w:rPr>
                <w:rFonts w:ascii="Times New Roman" w:hAnsi="Times New Roman" w:eastAsia="Times New Roman" w:cs="Times New Roman"/>
                <w:spacing w:val="-1"/>
                <w:sz w:val="24"/>
                <w:szCs w:val="24"/>
              </w:rPr>
              <w:t>-</w:t>
            </w:r>
            <w:r>
              <w:rPr>
                <w:spacing w:val="-1"/>
                <w:sz w:val="24"/>
                <w:szCs w:val="24"/>
              </w:rPr>
              <w:t>海丰县公平镇龙寨实成种养专业合作社养猪场填埋井</w:t>
            </w:r>
          </w:p>
        </w:tc>
      </w:tr>
    </w:tbl>
    <w:p w14:paraId="28BB9CFD">
      <w:pPr>
        <w:spacing w:before="124" w:line="221" w:lineRule="auto"/>
        <w:ind w:left="327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b/>
          <w:bCs/>
          <w:spacing w:val="-4"/>
          <w:sz w:val="24"/>
          <w:szCs w:val="24"/>
        </w:rPr>
        <w:t xml:space="preserve">3.1-1    </w:t>
      </w:r>
      <w:r>
        <w:rPr>
          <w:rFonts w:ascii="宋体" w:hAnsi="宋体" w:eastAsia="宋体" w:cs="宋体"/>
          <w:b/>
          <w:bCs/>
          <w:spacing w:val="-4"/>
          <w:sz w:val="24"/>
          <w:szCs w:val="24"/>
        </w:rPr>
        <w:t>项目四至情况</w:t>
      </w:r>
    </w:p>
    <w:p w14:paraId="12856E2C">
      <w:pPr>
        <w:spacing w:line="221" w:lineRule="auto"/>
        <w:rPr>
          <w:rFonts w:ascii="宋体" w:hAnsi="宋体" w:eastAsia="宋体" w:cs="宋体"/>
          <w:sz w:val="24"/>
          <w:szCs w:val="24"/>
        </w:rPr>
        <w:sectPr>
          <w:footerReference r:id="rId59" w:type="default"/>
          <w:pgSz w:w="11906" w:h="16839"/>
          <w:pgMar w:top="1418" w:right="1475" w:bottom="1485" w:left="1475" w:header="0" w:footer="1249" w:gutter="0"/>
          <w:cols w:space="720" w:num="1"/>
        </w:sectPr>
      </w:pPr>
    </w:p>
    <w:p w14:paraId="28E158A4">
      <w:pPr>
        <w:pStyle w:val="2"/>
        <w:spacing w:line="274" w:lineRule="auto"/>
      </w:pPr>
    </w:p>
    <w:p w14:paraId="45128C5D">
      <w:pPr>
        <w:pStyle w:val="2"/>
        <w:spacing w:line="275" w:lineRule="auto"/>
      </w:pPr>
    </w:p>
    <w:p w14:paraId="0D51AF8B">
      <w:pPr>
        <w:pStyle w:val="2"/>
        <w:spacing w:line="275" w:lineRule="auto"/>
      </w:pPr>
    </w:p>
    <w:p w14:paraId="61969353">
      <w:pPr>
        <w:pStyle w:val="2"/>
        <w:spacing w:line="275" w:lineRule="auto"/>
      </w:pPr>
    </w:p>
    <w:p w14:paraId="42727019">
      <w:pPr>
        <w:spacing w:line="7646" w:lineRule="exact"/>
      </w:pPr>
      <w:r>
        <w:rPr>
          <w:position w:val="-152"/>
        </w:rPr>
        <w:drawing>
          <wp:inline distT="0" distB="0" distL="0" distR="0">
            <wp:extent cx="5582285" cy="485521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2"/>
                    <a:stretch>
                      <a:fillRect/>
                    </a:stretch>
                  </pic:blipFill>
                  <pic:spPr>
                    <a:xfrm>
                      <a:off x="0" y="0"/>
                      <a:ext cx="5582411" cy="4855464"/>
                    </a:xfrm>
                    <a:prstGeom prst="rect">
                      <a:avLst/>
                    </a:prstGeom>
                  </pic:spPr>
                </pic:pic>
              </a:graphicData>
            </a:graphic>
          </wp:inline>
        </w:drawing>
      </w:r>
    </w:p>
    <w:p w14:paraId="59D3F3E1">
      <w:pPr>
        <w:spacing w:before="213" w:line="221" w:lineRule="auto"/>
        <w:ind w:left="3098"/>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b/>
          <w:bCs/>
          <w:spacing w:val="-4"/>
          <w:sz w:val="24"/>
          <w:szCs w:val="24"/>
        </w:rPr>
        <w:t xml:space="preserve">3.1-2  </w:t>
      </w:r>
      <w:r>
        <w:rPr>
          <w:rFonts w:ascii="宋体" w:hAnsi="宋体" w:eastAsia="宋体" w:cs="宋体"/>
          <w:b/>
          <w:bCs/>
          <w:spacing w:val="-4"/>
          <w:sz w:val="24"/>
          <w:szCs w:val="24"/>
        </w:rPr>
        <w:t>项目卫星四至图</w:t>
      </w:r>
    </w:p>
    <w:p w14:paraId="1C203852">
      <w:pPr>
        <w:spacing w:before="202" w:line="220" w:lineRule="auto"/>
        <w:ind w:left="5"/>
        <w:outlineLvl w:val="2"/>
        <w:rPr>
          <w:rFonts w:ascii="宋体" w:hAnsi="宋体" w:eastAsia="宋体" w:cs="宋体"/>
          <w:sz w:val="24"/>
          <w:szCs w:val="24"/>
        </w:rPr>
      </w:pPr>
      <w:r>
        <w:rPr>
          <w:rFonts w:ascii="Times New Roman" w:hAnsi="Times New Roman" w:eastAsia="Times New Roman" w:cs="Times New Roman"/>
          <w:b/>
          <w:bCs/>
          <w:spacing w:val="-2"/>
          <w:sz w:val="24"/>
          <w:szCs w:val="24"/>
        </w:rPr>
        <w:t>3.1.2</w:t>
      </w:r>
      <w:r>
        <w:rPr>
          <w:rFonts w:ascii="宋体" w:hAnsi="宋体" w:eastAsia="宋体" w:cs="宋体"/>
          <w:b/>
          <w:bCs/>
          <w:spacing w:val="-2"/>
          <w:sz w:val="24"/>
          <w:szCs w:val="24"/>
        </w:rPr>
        <w:t>建设内容及规模</w:t>
      </w:r>
    </w:p>
    <w:p w14:paraId="1C7F4927">
      <w:pPr>
        <w:spacing w:before="204" w:line="370" w:lineRule="auto"/>
        <w:ind w:left="10" w:right="86" w:firstLine="482"/>
        <w:rPr>
          <w:rFonts w:ascii="宋体" w:hAnsi="宋体" w:eastAsia="宋体" w:cs="宋体"/>
          <w:sz w:val="24"/>
          <w:szCs w:val="24"/>
        </w:rPr>
      </w:pPr>
      <w:r>
        <w:rPr>
          <w:rFonts w:ascii="宋体" w:hAnsi="宋体" w:eastAsia="宋体" w:cs="宋体"/>
          <w:spacing w:val="2"/>
          <w:sz w:val="24"/>
          <w:szCs w:val="24"/>
        </w:rPr>
        <w:t>汕尾市天磊联信种养有限公司生猪养殖项目位于海丰县公平镇龙岗美月姑少山</w:t>
      </w:r>
      <w:r>
        <w:rPr>
          <w:rFonts w:ascii="宋体" w:hAnsi="宋体" w:eastAsia="宋体" w:cs="宋体"/>
          <w:spacing w:val="7"/>
          <w:sz w:val="24"/>
          <w:szCs w:val="24"/>
        </w:rPr>
        <w:t xml:space="preserve"> </w:t>
      </w:r>
      <w:r>
        <w:rPr>
          <w:rFonts w:ascii="宋体" w:hAnsi="宋体" w:eastAsia="宋体" w:cs="宋体"/>
          <w:spacing w:val="-5"/>
          <w:sz w:val="24"/>
          <w:szCs w:val="24"/>
        </w:rPr>
        <w:t>坡地（东经</w:t>
      </w:r>
      <w:r>
        <w:rPr>
          <w:rFonts w:ascii="宋体" w:hAnsi="宋体" w:eastAsia="宋体" w:cs="宋体"/>
          <w:spacing w:val="-17"/>
          <w:sz w:val="24"/>
          <w:szCs w:val="24"/>
        </w:rPr>
        <w:t xml:space="preserve"> </w:t>
      </w:r>
      <w:r>
        <w:rPr>
          <w:rFonts w:ascii="Times New Roman" w:hAnsi="Times New Roman" w:eastAsia="Times New Roman" w:cs="Times New Roman"/>
          <w:spacing w:val="-5"/>
          <w:sz w:val="24"/>
          <w:szCs w:val="24"/>
        </w:rPr>
        <w:t>115.407802°</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宋体" w:hAnsi="宋体" w:eastAsia="宋体" w:cs="宋体"/>
          <w:spacing w:val="65"/>
          <w:sz w:val="24"/>
          <w:szCs w:val="24"/>
        </w:rPr>
        <w:t xml:space="preserve"> </w:t>
      </w:r>
      <w:r>
        <w:rPr>
          <w:rFonts w:ascii="宋体" w:hAnsi="宋体" w:eastAsia="宋体" w:cs="宋体"/>
          <w:spacing w:val="-5"/>
          <w:sz w:val="24"/>
          <w:szCs w:val="24"/>
        </w:rPr>
        <w:t>北纬</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23.034166°</w:t>
      </w:r>
      <w:r>
        <w:rPr>
          <w:rFonts w:ascii="宋体" w:hAnsi="宋体" w:eastAsia="宋体" w:cs="宋体"/>
          <w:spacing w:val="-5"/>
          <w:sz w:val="24"/>
          <w:szCs w:val="24"/>
        </w:rPr>
        <w:t>) 。</w:t>
      </w:r>
    </w:p>
    <w:p w14:paraId="50F1A3F4">
      <w:pPr>
        <w:spacing w:before="5" w:line="335" w:lineRule="auto"/>
        <w:ind w:left="10" w:firstLine="483"/>
        <w:jc w:val="both"/>
        <w:rPr>
          <w:rFonts w:ascii="宋体" w:hAnsi="宋体" w:eastAsia="宋体" w:cs="宋体"/>
          <w:sz w:val="24"/>
          <w:szCs w:val="24"/>
        </w:rPr>
      </w:pPr>
      <w:r>
        <w:rPr>
          <w:rFonts w:ascii="宋体" w:hAnsi="宋体" w:eastAsia="宋体" w:cs="宋体"/>
          <w:sz w:val="24"/>
          <w:szCs w:val="24"/>
        </w:rPr>
        <w:t>项目占地面</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 xml:space="preserve">17194 </w:t>
      </w:r>
      <w:r>
        <w:rPr>
          <w:rFonts w:ascii="宋体" w:hAnsi="宋体" w:eastAsia="宋体" w:cs="宋体"/>
          <w:sz w:val="24"/>
          <w:szCs w:val="24"/>
        </w:rPr>
        <w:t>平方米，建筑面积约</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 xml:space="preserve">8346 </w:t>
      </w:r>
      <w:r>
        <w:rPr>
          <w:rFonts w:ascii="宋体" w:hAnsi="宋体" w:eastAsia="宋体" w:cs="宋体"/>
          <w:sz w:val="24"/>
          <w:szCs w:val="24"/>
        </w:rPr>
        <w:t>平方米，</w:t>
      </w:r>
      <w:r>
        <w:rPr>
          <w:rFonts w:ascii="Times New Roman" w:hAnsi="Times New Roman" w:eastAsia="Times New Roman" w:cs="Times New Roman"/>
          <w:sz w:val="24"/>
          <w:szCs w:val="24"/>
        </w:rPr>
        <w:t xml:space="preserve">5 </w:t>
      </w:r>
      <w:r>
        <w:rPr>
          <w:rFonts w:ascii="宋体" w:hAnsi="宋体" w:eastAsia="宋体" w:cs="宋体"/>
          <w:sz w:val="24"/>
          <w:szCs w:val="24"/>
        </w:rPr>
        <w:t>栋育肥舍、疫</w:t>
      </w:r>
      <w:r>
        <w:rPr>
          <w:rFonts w:ascii="宋体" w:hAnsi="宋体" w:eastAsia="宋体" w:cs="宋体"/>
          <w:spacing w:val="-1"/>
          <w:sz w:val="24"/>
          <w:szCs w:val="24"/>
        </w:rPr>
        <w:t>苗仓库</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z w:val="24"/>
          <w:szCs w:val="24"/>
        </w:rPr>
        <w:t>栋、兽药仓库</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栋、消毒仓库</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 xml:space="preserve">栋、危废暂存间及有机肥发酵车间等配套设施。年 </w:t>
      </w:r>
      <w:r>
        <w:rPr>
          <w:rFonts w:ascii="宋体" w:hAnsi="宋体" w:eastAsia="宋体" w:cs="宋体"/>
          <w:spacing w:val="-6"/>
          <w:sz w:val="24"/>
          <w:szCs w:val="24"/>
        </w:rPr>
        <w:t>猪只常年存栏量为</w:t>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 xml:space="preserve">7000 </w:t>
      </w:r>
      <w:r>
        <w:rPr>
          <w:rFonts w:ascii="宋体" w:hAnsi="宋体" w:eastAsia="宋体" w:cs="宋体"/>
          <w:spacing w:val="-6"/>
          <w:sz w:val="24"/>
          <w:szCs w:val="24"/>
        </w:rPr>
        <w:t>头，出栏量为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 xml:space="preserve">15000 </w:t>
      </w:r>
      <w:r>
        <w:rPr>
          <w:rFonts w:ascii="宋体" w:hAnsi="宋体" w:eastAsia="宋体" w:cs="宋体"/>
          <w:spacing w:val="-6"/>
          <w:sz w:val="24"/>
          <w:szCs w:val="24"/>
        </w:rPr>
        <w:t>头</w:t>
      </w:r>
      <w:r>
        <w:rPr>
          <w:rFonts w:ascii="Times New Roman" w:hAnsi="Times New Roman" w:eastAsia="Times New Roman" w:cs="Times New Roman"/>
          <w:spacing w:val="-6"/>
          <w:sz w:val="24"/>
          <w:szCs w:val="24"/>
        </w:rPr>
        <w:t>/</w:t>
      </w:r>
      <w:r>
        <w:rPr>
          <w:rFonts w:ascii="宋体" w:hAnsi="宋体" w:eastAsia="宋体" w:cs="宋体"/>
          <w:spacing w:val="-6"/>
          <w:sz w:val="24"/>
          <w:szCs w:val="24"/>
        </w:rPr>
        <w:t>年。项目主要</w:t>
      </w:r>
      <w:r>
        <w:rPr>
          <w:rFonts w:ascii="宋体" w:hAnsi="宋体" w:eastAsia="宋体" w:cs="宋体"/>
          <w:spacing w:val="-7"/>
          <w:sz w:val="24"/>
          <w:szCs w:val="24"/>
        </w:rPr>
        <w:t>技术经济指标见表</w:t>
      </w:r>
      <w:r>
        <w:rPr>
          <w:rFonts w:ascii="Times New Roman" w:hAnsi="Times New Roman" w:eastAsia="Times New Roman" w:cs="Times New Roman"/>
          <w:spacing w:val="-7"/>
          <w:sz w:val="24"/>
          <w:szCs w:val="24"/>
        </w:rPr>
        <w:t>3.1-1</w:t>
      </w:r>
      <w:r>
        <w:rPr>
          <w:rFonts w:ascii="宋体" w:hAnsi="宋体" w:eastAsia="宋体" w:cs="宋体"/>
          <w:spacing w:val="-7"/>
          <w:sz w:val="24"/>
          <w:szCs w:val="24"/>
        </w:rPr>
        <w:t>。</w:t>
      </w:r>
      <w:r>
        <w:rPr>
          <w:rFonts w:ascii="宋体" w:hAnsi="宋体" w:eastAsia="宋体" w:cs="宋体"/>
          <w:sz w:val="24"/>
          <w:szCs w:val="24"/>
        </w:rPr>
        <w:t xml:space="preserve"> 项目严格按照《无公害食品生猪饲养管理准则》（</w:t>
      </w:r>
      <w:r>
        <w:rPr>
          <w:rFonts w:ascii="Times New Roman" w:hAnsi="Times New Roman" w:eastAsia="Times New Roman" w:cs="Times New Roman"/>
          <w:sz w:val="24"/>
          <w:szCs w:val="24"/>
        </w:rPr>
        <w:t>NY/T5033</w:t>
      </w:r>
      <w:r>
        <w:rPr>
          <w:rFonts w:ascii="宋体" w:hAnsi="宋体" w:eastAsia="宋体" w:cs="宋体"/>
          <w:sz w:val="24"/>
          <w:szCs w:val="24"/>
        </w:rPr>
        <w:t xml:space="preserve">）建设。主要建设标准 </w:t>
      </w:r>
      <w:r>
        <w:rPr>
          <w:rFonts w:ascii="宋体" w:hAnsi="宋体" w:eastAsia="宋体" w:cs="宋体"/>
          <w:spacing w:val="-3"/>
          <w:sz w:val="24"/>
          <w:szCs w:val="24"/>
        </w:rPr>
        <w:t>化养殖猪舍、员工办公生活用房、供水供电设施、有机肥发酵车间等。建设周期为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个月。</w:t>
      </w:r>
    </w:p>
    <w:p w14:paraId="6426E0AA">
      <w:pPr>
        <w:spacing w:line="335" w:lineRule="auto"/>
        <w:rPr>
          <w:rFonts w:ascii="宋体" w:hAnsi="宋体" w:eastAsia="宋体" w:cs="宋体"/>
          <w:sz w:val="24"/>
          <w:szCs w:val="24"/>
        </w:rPr>
        <w:sectPr>
          <w:headerReference r:id="rId60" w:type="default"/>
          <w:footerReference r:id="rId61" w:type="default"/>
          <w:pgSz w:w="11906" w:h="16839"/>
          <w:pgMar w:top="400" w:right="1502" w:bottom="1485" w:left="1587" w:header="0" w:footer="1249" w:gutter="0"/>
          <w:cols w:space="720" w:num="1"/>
        </w:sectPr>
      </w:pPr>
    </w:p>
    <w:p w14:paraId="06B26F7C">
      <w:pPr>
        <w:pStyle w:val="2"/>
        <w:spacing w:line="264" w:lineRule="auto"/>
      </w:pPr>
    </w:p>
    <w:p w14:paraId="6CDB4FF0">
      <w:pPr>
        <w:pStyle w:val="2"/>
        <w:spacing w:line="264" w:lineRule="auto"/>
      </w:pPr>
    </w:p>
    <w:p w14:paraId="2D522223">
      <w:pPr>
        <w:pStyle w:val="2"/>
        <w:spacing w:line="264" w:lineRule="auto"/>
      </w:pPr>
    </w:p>
    <w:p w14:paraId="19997CE6">
      <w:pPr>
        <w:pStyle w:val="2"/>
        <w:spacing w:line="265" w:lineRule="auto"/>
      </w:pPr>
    </w:p>
    <w:p w14:paraId="631CE7FD">
      <w:pPr>
        <w:spacing w:before="78" w:line="219" w:lineRule="auto"/>
        <w:ind w:left="300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3.1-1    </w:t>
      </w:r>
      <w:r>
        <w:rPr>
          <w:rFonts w:ascii="宋体" w:hAnsi="宋体" w:eastAsia="宋体" w:cs="宋体"/>
          <w:b/>
          <w:bCs/>
          <w:spacing w:val="-2"/>
          <w:sz w:val="24"/>
          <w:szCs w:val="24"/>
        </w:rPr>
        <w:t>本项目经济技术指标表</w:t>
      </w:r>
    </w:p>
    <w:p w14:paraId="371F907F">
      <w:pPr>
        <w:spacing w:line="7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1983"/>
        <w:gridCol w:w="850"/>
        <w:gridCol w:w="1133"/>
        <w:gridCol w:w="3878"/>
      </w:tblGrid>
      <w:tr w14:paraId="59D2B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6" w:type="dxa"/>
            <w:vAlign w:val="top"/>
          </w:tcPr>
          <w:p w14:paraId="10CA4FF7">
            <w:pPr>
              <w:pStyle w:val="6"/>
              <w:spacing w:before="62" w:line="230" w:lineRule="auto"/>
              <w:ind w:left="348"/>
            </w:pPr>
            <w:r>
              <w:rPr>
                <w:spacing w:val="5"/>
              </w:rPr>
              <w:t>序号</w:t>
            </w:r>
          </w:p>
        </w:tc>
        <w:tc>
          <w:tcPr>
            <w:tcW w:w="1983" w:type="dxa"/>
            <w:vAlign w:val="top"/>
          </w:tcPr>
          <w:p w14:paraId="149AD422">
            <w:pPr>
              <w:pStyle w:val="6"/>
              <w:spacing w:before="62" w:line="228" w:lineRule="auto"/>
              <w:ind w:left="786"/>
            </w:pPr>
            <w:r>
              <w:rPr>
                <w:spacing w:val="4"/>
              </w:rPr>
              <w:t>类别</w:t>
            </w:r>
          </w:p>
        </w:tc>
        <w:tc>
          <w:tcPr>
            <w:tcW w:w="850" w:type="dxa"/>
            <w:vAlign w:val="top"/>
          </w:tcPr>
          <w:p w14:paraId="170746E5">
            <w:pPr>
              <w:pStyle w:val="6"/>
              <w:spacing w:before="62" w:line="229" w:lineRule="auto"/>
              <w:ind w:left="221"/>
            </w:pPr>
            <w:r>
              <w:rPr>
                <w:spacing w:val="3"/>
              </w:rPr>
              <w:t>单位</w:t>
            </w:r>
          </w:p>
        </w:tc>
        <w:tc>
          <w:tcPr>
            <w:tcW w:w="1133" w:type="dxa"/>
            <w:vAlign w:val="top"/>
          </w:tcPr>
          <w:p w14:paraId="21CBC3E7">
            <w:pPr>
              <w:pStyle w:val="6"/>
              <w:spacing w:before="62" w:line="229" w:lineRule="auto"/>
              <w:ind w:left="154"/>
            </w:pPr>
            <w:r>
              <w:rPr>
                <w:spacing w:val="6"/>
              </w:rPr>
              <w:t>工程指标</w:t>
            </w:r>
          </w:p>
        </w:tc>
        <w:tc>
          <w:tcPr>
            <w:tcW w:w="3878" w:type="dxa"/>
            <w:vAlign w:val="top"/>
          </w:tcPr>
          <w:p w14:paraId="560EC20D">
            <w:pPr>
              <w:pStyle w:val="6"/>
              <w:spacing w:before="62" w:line="228" w:lineRule="auto"/>
              <w:ind w:left="1525"/>
            </w:pPr>
            <w:r>
              <w:rPr>
                <w:spacing w:val="5"/>
              </w:rPr>
              <w:t>长</w:t>
            </w:r>
            <w:r>
              <w:rPr>
                <w:rFonts w:ascii="Times New Roman" w:hAnsi="Times New Roman" w:eastAsia="Times New Roman" w:cs="Times New Roman"/>
                <w:spacing w:val="5"/>
              </w:rPr>
              <w:t>*</w:t>
            </w:r>
            <w:r>
              <w:rPr>
                <w:spacing w:val="5"/>
              </w:rPr>
              <w:t>宽</w:t>
            </w:r>
            <w:r>
              <w:rPr>
                <w:rFonts w:ascii="Times New Roman" w:hAnsi="Times New Roman" w:eastAsia="Times New Roman" w:cs="Times New Roman"/>
                <w:spacing w:val="5"/>
              </w:rPr>
              <w:t>*</w:t>
            </w:r>
            <w:r>
              <w:rPr>
                <w:spacing w:val="5"/>
              </w:rPr>
              <w:t>高</w:t>
            </w:r>
          </w:p>
        </w:tc>
      </w:tr>
      <w:tr w14:paraId="2BB9C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2A15AB49">
            <w:pPr>
              <w:spacing w:before="27"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83" w:type="dxa"/>
            <w:vAlign w:val="top"/>
          </w:tcPr>
          <w:p w14:paraId="54786DFD">
            <w:pPr>
              <w:pStyle w:val="6"/>
              <w:spacing w:before="58" w:line="229" w:lineRule="auto"/>
              <w:ind w:left="477"/>
            </w:pPr>
            <w:r>
              <w:rPr>
                <w:spacing w:val="7"/>
              </w:rPr>
              <w:t>总用地面积</w:t>
            </w:r>
          </w:p>
        </w:tc>
        <w:tc>
          <w:tcPr>
            <w:tcW w:w="850" w:type="dxa"/>
            <w:vAlign w:val="top"/>
          </w:tcPr>
          <w:p w14:paraId="58FF6766">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0D0B7DF0">
            <w:pPr>
              <w:spacing w:before="27" w:line="274" w:lineRule="exact"/>
              <w:ind w:left="3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17194</w:t>
            </w:r>
          </w:p>
        </w:tc>
        <w:tc>
          <w:tcPr>
            <w:tcW w:w="3878" w:type="dxa"/>
            <w:vAlign w:val="top"/>
          </w:tcPr>
          <w:p w14:paraId="5CB063BF">
            <w:pPr>
              <w:spacing w:before="27"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1C0C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53F32815">
            <w:pPr>
              <w:spacing w:before="27" w:line="274" w:lineRule="exact"/>
              <w:ind w:left="50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983" w:type="dxa"/>
            <w:vAlign w:val="top"/>
          </w:tcPr>
          <w:p w14:paraId="2512165D">
            <w:pPr>
              <w:pStyle w:val="6"/>
              <w:spacing w:before="58" w:line="229" w:lineRule="auto"/>
              <w:ind w:left="371"/>
            </w:pPr>
            <w:r>
              <w:rPr>
                <w:spacing w:val="7"/>
              </w:rPr>
              <w:t>建筑占地面积</w:t>
            </w:r>
          </w:p>
        </w:tc>
        <w:tc>
          <w:tcPr>
            <w:tcW w:w="850" w:type="dxa"/>
            <w:vAlign w:val="top"/>
          </w:tcPr>
          <w:p w14:paraId="4011CFD0">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6123917B">
            <w:pPr>
              <w:spacing w:before="27"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8346</w:t>
            </w:r>
          </w:p>
        </w:tc>
        <w:tc>
          <w:tcPr>
            <w:tcW w:w="3878" w:type="dxa"/>
            <w:vAlign w:val="top"/>
          </w:tcPr>
          <w:p w14:paraId="5031AE20">
            <w:pPr>
              <w:spacing w:before="27"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6EEA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07859B0E">
            <w:pPr>
              <w:spacing w:before="27" w:line="274" w:lineRule="exact"/>
              <w:ind w:left="5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983" w:type="dxa"/>
            <w:vAlign w:val="top"/>
          </w:tcPr>
          <w:p w14:paraId="55FC701D">
            <w:pPr>
              <w:pStyle w:val="6"/>
              <w:spacing w:before="58" w:line="229" w:lineRule="auto"/>
              <w:ind w:left="582"/>
            </w:pPr>
            <w:r>
              <w:rPr>
                <w:spacing w:val="6"/>
              </w:rPr>
              <w:t>建筑面积</w:t>
            </w:r>
          </w:p>
        </w:tc>
        <w:tc>
          <w:tcPr>
            <w:tcW w:w="850" w:type="dxa"/>
            <w:vAlign w:val="top"/>
          </w:tcPr>
          <w:p w14:paraId="663FD930">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05A86E90">
            <w:pPr>
              <w:spacing w:before="27"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8346</w:t>
            </w:r>
          </w:p>
        </w:tc>
        <w:tc>
          <w:tcPr>
            <w:tcW w:w="3878" w:type="dxa"/>
            <w:vAlign w:val="top"/>
          </w:tcPr>
          <w:p w14:paraId="54B49C27">
            <w:pPr>
              <w:spacing w:before="27"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E8EC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6" w:type="dxa"/>
            <w:vAlign w:val="top"/>
          </w:tcPr>
          <w:p w14:paraId="537E4BF4">
            <w:pPr>
              <w:spacing w:before="27"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3.1</w:t>
            </w:r>
          </w:p>
        </w:tc>
        <w:tc>
          <w:tcPr>
            <w:tcW w:w="1983" w:type="dxa"/>
            <w:vAlign w:val="top"/>
          </w:tcPr>
          <w:p w14:paraId="0760F5AE">
            <w:pPr>
              <w:pStyle w:val="6"/>
              <w:spacing w:before="58" w:line="229" w:lineRule="auto"/>
              <w:ind w:left="789"/>
            </w:pPr>
            <w:r>
              <w:rPr>
                <w:spacing w:val="4"/>
              </w:rPr>
              <w:t>猪舍</w:t>
            </w:r>
          </w:p>
        </w:tc>
        <w:tc>
          <w:tcPr>
            <w:tcW w:w="850" w:type="dxa"/>
            <w:vAlign w:val="top"/>
          </w:tcPr>
          <w:p w14:paraId="0B06ECCF">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0F231077">
            <w:pPr>
              <w:spacing w:before="27" w:line="274" w:lineRule="exact"/>
              <w:ind w:left="3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5850</w:t>
            </w:r>
          </w:p>
        </w:tc>
        <w:tc>
          <w:tcPr>
            <w:tcW w:w="3878" w:type="dxa"/>
            <w:vAlign w:val="top"/>
          </w:tcPr>
          <w:p w14:paraId="24CD4583">
            <w:pPr>
              <w:spacing w:before="27" w:line="274" w:lineRule="exact"/>
              <w:ind w:left="150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65*18*3.8</w:t>
            </w:r>
          </w:p>
        </w:tc>
      </w:tr>
      <w:tr w14:paraId="426B0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521E6426">
            <w:pPr>
              <w:spacing w:before="28"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3.2</w:t>
            </w:r>
          </w:p>
        </w:tc>
        <w:tc>
          <w:tcPr>
            <w:tcW w:w="1983" w:type="dxa"/>
            <w:vAlign w:val="top"/>
          </w:tcPr>
          <w:p w14:paraId="655A7109">
            <w:pPr>
              <w:pStyle w:val="6"/>
              <w:spacing w:before="59" w:line="229" w:lineRule="auto"/>
              <w:ind w:left="473"/>
            </w:pPr>
            <w:r>
              <w:rPr>
                <w:spacing w:val="8"/>
              </w:rPr>
              <w:t>饲料加工房</w:t>
            </w:r>
          </w:p>
        </w:tc>
        <w:tc>
          <w:tcPr>
            <w:tcW w:w="850" w:type="dxa"/>
            <w:vAlign w:val="top"/>
          </w:tcPr>
          <w:p w14:paraId="7BDD09EB">
            <w:pPr>
              <w:spacing w:before="33"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4F9D5539">
            <w:pPr>
              <w:spacing w:before="28"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260</w:t>
            </w:r>
          </w:p>
        </w:tc>
        <w:tc>
          <w:tcPr>
            <w:tcW w:w="3878" w:type="dxa"/>
            <w:vAlign w:val="top"/>
          </w:tcPr>
          <w:p w14:paraId="1D86194F">
            <w:pPr>
              <w:rPr>
                <w:rFonts w:ascii="Arial"/>
                <w:sz w:val="21"/>
              </w:rPr>
            </w:pPr>
          </w:p>
        </w:tc>
      </w:tr>
      <w:tr w14:paraId="41134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06" w:type="dxa"/>
            <w:vAlign w:val="top"/>
          </w:tcPr>
          <w:p w14:paraId="1F8A06DF">
            <w:pPr>
              <w:spacing w:before="28"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3.3</w:t>
            </w:r>
          </w:p>
        </w:tc>
        <w:tc>
          <w:tcPr>
            <w:tcW w:w="1983" w:type="dxa"/>
            <w:vAlign w:val="top"/>
          </w:tcPr>
          <w:p w14:paraId="168D0654">
            <w:pPr>
              <w:pStyle w:val="6"/>
              <w:spacing w:before="76" w:line="228" w:lineRule="auto"/>
              <w:ind w:left="585"/>
            </w:pPr>
            <w:r>
              <w:rPr>
                <w:spacing w:val="6"/>
              </w:rPr>
              <w:t>原料仓库</w:t>
            </w:r>
          </w:p>
        </w:tc>
        <w:tc>
          <w:tcPr>
            <w:tcW w:w="850" w:type="dxa"/>
            <w:vAlign w:val="top"/>
          </w:tcPr>
          <w:p w14:paraId="48EC17A1">
            <w:pPr>
              <w:spacing w:before="33"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58B5FA38">
            <w:pPr>
              <w:spacing w:before="45"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3878" w:type="dxa"/>
            <w:vAlign w:val="top"/>
          </w:tcPr>
          <w:p w14:paraId="077457E4">
            <w:pPr>
              <w:rPr>
                <w:rFonts w:ascii="Arial"/>
                <w:sz w:val="21"/>
              </w:rPr>
            </w:pPr>
          </w:p>
        </w:tc>
      </w:tr>
      <w:tr w14:paraId="3605E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6" w:type="dxa"/>
            <w:vAlign w:val="top"/>
          </w:tcPr>
          <w:p w14:paraId="4500D8DC">
            <w:pPr>
              <w:spacing w:before="31"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3.4</w:t>
            </w:r>
          </w:p>
        </w:tc>
        <w:tc>
          <w:tcPr>
            <w:tcW w:w="1983" w:type="dxa"/>
            <w:vAlign w:val="top"/>
          </w:tcPr>
          <w:p w14:paraId="0AB7960B">
            <w:pPr>
              <w:pStyle w:val="6"/>
              <w:spacing w:before="62" w:line="228" w:lineRule="auto"/>
              <w:ind w:left="581"/>
            </w:pPr>
            <w:r>
              <w:rPr>
                <w:spacing w:val="7"/>
              </w:rPr>
              <w:t>疫苗仓库</w:t>
            </w:r>
          </w:p>
        </w:tc>
        <w:tc>
          <w:tcPr>
            <w:tcW w:w="850" w:type="dxa"/>
            <w:vAlign w:val="top"/>
          </w:tcPr>
          <w:p w14:paraId="0E2A81DF">
            <w:pPr>
              <w:spacing w:before="33"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6078463D">
            <w:pPr>
              <w:spacing w:before="31" w:line="274" w:lineRule="exact"/>
              <w:ind w:left="4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3878" w:type="dxa"/>
            <w:vAlign w:val="top"/>
          </w:tcPr>
          <w:p w14:paraId="68A66FCB">
            <w:pPr>
              <w:rPr>
                <w:rFonts w:ascii="Arial"/>
                <w:sz w:val="21"/>
              </w:rPr>
            </w:pPr>
          </w:p>
        </w:tc>
      </w:tr>
      <w:tr w14:paraId="3FE15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11BE56FE">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3.5</w:t>
            </w:r>
          </w:p>
        </w:tc>
        <w:tc>
          <w:tcPr>
            <w:tcW w:w="1983" w:type="dxa"/>
            <w:vAlign w:val="top"/>
          </w:tcPr>
          <w:p w14:paraId="08F2C4CF">
            <w:pPr>
              <w:pStyle w:val="6"/>
              <w:spacing w:before="63" w:line="228" w:lineRule="auto"/>
              <w:ind w:left="581"/>
            </w:pPr>
            <w:r>
              <w:rPr>
                <w:spacing w:val="7"/>
              </w:rPr>
              <w:t>兽药仓库</w:t>
            </w:r>
          </w:p>
        </w:tc>
        <w:tc>
          <w:tcPr>
            <w:tcW w:w="850" w:type="dxa"/>
            <w:vAlign w:val="top"/>
          </w:tcPr>
          <w:p w14:paraId="2664BF3B">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352EC7A4">
            <w:pPr>
              <w:spacing w:before="32" w:line="274" w:lineRule="exact"/>
              <w:ind w:left="4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3878" w:type="dxa"/>
            <w:vAlign w:val="top"/>
          </w:tcPr>
          <w:p w14:paraId="4C259B35">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4CE8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6419DFD1">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1983" w:type="dxa"/>
            <w:vAlign w:val="top"/>
          </w:tcPr>
          <w:p w14:paraId="0ACE803A">
            <w:pPr>
              <w:pStyle w:val="6"/>
              <w:spacing w:before="63" w:line="228" w:lineRule="auto"/>
              <w:ind w:left="584"/>
            </w:pPr>
            <w:r>
              <w:rPr>
                <w:spacing w:val="6"/>
              </w:rPr>
              <w:t>消毒仓库</w:t>
            </w:r>
          </w:p>
        </w:tc>
        <w:tc>
          <w:tcPr>
            <w:tcW w:w="850" w:type="dxa"/>
            <w:vAlign w:val="top"/>
          </w:tcPr>
          <w:p w14:paraId="2B0A08D3">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361FBD84">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3878" w:type="dxa"/>
            <w:vAlign w:val="top"/>
          </w:tcPr>
          <w:p w14:paraId="75CFF6B8">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1539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4C5CA362">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3.7</w:t>
            </w:r>
          </w:p>
        </w:tc>
        <w:tc>
          <w:tcPr>
            <w:tcW w:w="1983" w:type="dxa"/>
            <w:vAlign w:val="top"/>
          </w:tcPr>
          <w:p w14:paraId="089FE627">
            <w:pPr>
              <w:pStyle w:val="6"/>
              <w:spacing w:before="63" w:line="228" w:lineRule="auto"/>
              <w:ind w:left="582"/>
            </w:pPr>
            <w:r>
              <w:rPr>
                <w:spacing w:val="6"/>
              </w:rPr>
              <w:t>杂物仓库</w:t>
            </w:r>
          </w:p>
        </w:tc>
        <w:tc>
          <w:tcPr>
            <w:tcW w:w="850" w:type="dxa"/>
            <w:vAlign w:val="top"/>
          </w:tcPr>
          <w:p w14:paraId="6BB998B8">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2495ED0F">
            <w:pPr>
              <w:spacing w:before="32"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3878" w:type="dxa"/>
            <w:vAlign w:val="top"/>
          </w:tcPr>
          <w:p w14:paraId="1E0995BB">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6555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4E11D49A">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3.8</w:t>
            </w:r>
          </w:p>
        </w:tc>
        <w:tc>
          <w:tcPr>
            <w:tcW w:w="1983" w:type="dxa"/>
            <w:vAlign w:val="top"/>
          </w:tcPr>
          <w:p w14:paraId="5C344972">
            <w:pPr>
              <w:pStyle w:val="6"/>
              <w:spacing w:before="63" w:line="228" w:lineRule="auto"/>
              <w:ind w:left="275"/>
            </w:pPr>
            <w:r>
              <w:rPr>
                <w:spacing w:val="7"/>
              </w:rPr>
              <w:t>医疗废物暂存间</w:t>
            </w:r>
          </w:p>
        </w:tc>
        <w:tc>
          <w:tcPr>
            <w:tcW w:w="850" w:type="dxa"/>
            <w:vAlign w:val="top"/>
          </w:tcPr>
          <w:p w14:paraId="40228B80">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4B9B6CE7">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878" w:type="dxa"/>
            <w:vAlign w:val="top"/>
          </w:tcPr>
          <w:p w14:paraId="219EB0BB">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F6E6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6" w:type="dxa"/>
            <w:vAlign w:val="top"/>
          </w:tcPr>
          <w:p w14:paraId="41A97C6C">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3.9</w:t>
            </w:r>
          </w:p>
        </w:tc>
        <w:tc>
          <w:tcPr>
            <w:tcW w:w="1983" w:type="dxa"/>
            <w:vAlign w:val="top"/>
          </w:tcPr>
          <w:p w14:paraId="633E249D">
            <w:pPr>
              <w:pStyle w:val="6"/>
              <w:spacing w:before="62" w:line="228" w:lineRule="auto"/>
              <w:ind w:left="371"/>
            </w:pPr>
            <w:r>
              <w:rPr>
                <w:spacing w:val="7"/>
              </w:rPr>
              <w:t>备用发电机房</w:t>
            </w:r>
          </w:p>
        </w:tc>
        <w:tc>
          <w:tcPr>
            <w:tcW w:w="850" w:type="dxa"/>
            <w:vAlign w:val="top"/>
          </w:tcPr>
          <w:p w14:paraId="73EBD72C">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65082423">
            <w:pPr>
              <w:spacing w:before="32" w:line="274" w:lineRule="exact"/>
              <w:ind w:left="4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3878" w:type="dxa"/>
            <w:vAlign w:val="top"/>
          </w:tcPr>
          <w:p w14:paraId="07D34843">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EC8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38285466">
            <w:pPr>
              <w:spacing w:before="33"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3.10</w:t>
            </w:r>
          </w:p>
        </w:tc>
        <w:tc>
          <w:tcPr>
            <w:tcW w:w="1983" w:type="dxa"/>
            <w:vAlign w:val="top"/>
          </w:tcPr>
          <w:p w14:paraId="7A3C469B">
            <w:pPr>
              <w:pStyle w:val="6"/>
              <w:spacing w:before="64" w:line="228" w:lineRule="auto"/>
              <w:ind w:left="478"/>
            </w:pPr>
            <w:r>
              <w:rPr>
                <w:spacing w:val="7"/>
              </w:rPr>
              <w:t>办公宿舍楼</w:t>
            </w:r>
          </w:p>
        </w:tc>
        <w:tc>
          <w:tcPr>
            <w:tcW w:w="850" w:type="dxa"/>
            <w:vAlign w:val="top"/>
          </w:tcPr>
          <w:p w14:paraId="2D10D194">
            <w:pPr>
              <w:spacing w:before="35"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74519A9D">
            <w:pPr>
              <w:spacing w:before="33"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3878" w:type="dxa"/>
            <w:vAlign w:val="top"/>
          </w:tcPr>
          <w:p w14:paraId="239B5F88">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C272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1728BB84">
            <w:pPr>
              <w:spacing w:before="33" w:line="274"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83" w:type="dxa"/>
            <w:vAlign w:val="top"/>
          </w:tcPr>
          <w:p w14:paraId="2DA9049B">
            <w:pPr>
              <w:pStyle w:val="6"/>
              <w:spacing w:before="64" w:line="228" w:lineRule="auto"/>
              <w:ind w:left="370"/>
            </w:pPr>
            <w:r>
              <w:rPr>
                <w:spacing w:val="7"/>
              </w:rPr>
              <w:t>污水处理设施</w:t>
            </w:r>
          </w:p>
        </w:tc>
        <w:tc>
          <w:tcPr>
            <w:tcW w:w="850" w:type="dxa"/>
            <w:vAlign w:val="top"/>
          </w:tcPr>
          <w:p w14:paraId="423AC5B5">
            <w:pPr>
              <w:spacing w:before="35"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4C0ABF29">
            <w:pPr>
              <w:spacing w:before="33" w:line="274" w:lineRule="exact"/>
              <w:ind w:left="5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878" w:type="dxa"/>
            <w:vAlign w:val="top"/>
          </w:tcPr>
          <w:p w14:paraId="1E3DCF95">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F77F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6384E3F6">
            <w:pPr>
              <w:spacing w:before="102" w:line="192" w:lineRule="auto"/>
              <w:ind w:left="5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83" w:type="dxa"/>
            <w:vAlign w:val="top"/>
          </w:tcPr>
          <w:p w14:paraId="23A2EC79">
            <w:pPr>
              <w:pStyle w:val="6"/>
              <w:spacing w:before="63" w:line="228" w:lineRule="auto"/>
              <w:ind w:left="266"/>
            </w:pPr>
            <w:r>
              <w:rPr>
                <w:spacing w:val="8"/>
              </w:rPr>
              <w:t>有机肥发酵车间</w:t>
            </w:r>
          </w:p>
        </w:tc>
        <w:tc>
          <w:tcPr>
            <w:tcW w:w="850" w:type="dxa"/>
            <w:vAlign w:val="top"/>
          </w:tcPr>
          <w:p w14:paraId="27DF1407">
            <w:pPr>
              <w:spacing w:before="35"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14D816CB">
            <w:pPr>
              <w:spacing w:before="33"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1650</w:t>
            </w:r>
          </w:p>
        </w:tc>
        <w:tc>
          <w:tcPr>
            <w:tcW w:w="3878" w:type="dxa"/>
            <w:vAlign w:val="top"/>
          </w:tcPr>
          <w:p w14:paraId="2A106510">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C073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416A9CC9">
            <w:pPr>
              <w:spacing w:before="33" w:line="274"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983" w:type="dxa"/>
            <w:vAlign w:val="top"/>
          </w:tcPr>
          <w:p w14:paraId="56ED24D9">
            <w:pPr>
              <w:pStyle w:val="6"/>
              <w:spacing w:before="63" w:line="228" w:lineRule="auto"/>
              <w:ind w:left="162"/>
            </w:pPr>
            <w:r>
              <w:rPr>
                <w:spacing w:val="8"/>
              </w:rPr>
              <w:t>依托的安全填埋井</w:t>
            </w:r>
          </w:p>
        </w:tc>
        <w:tc>
          <w:tcPr>
            <w:tcW w:w="850" w:type="dxa"/>
            <w:vAlign w:val="top"/>
          </w:tcPr>
          <w:p w14:paraId="5F0C0FF4">
            <w:pPr>
              <w:pStyle w:val="6"/>
              <w:spacing w:before="33" w:line="274" w:lineRule="exact"/>
              <w:ind w:left="273"/>
            </w:pPr>
            <w:r>
              <w:rPr>
                <w:rFonts w:ascii="Times New Roman" w:hAnsi="Times New Roman" w:eastAsia="Times New Roman" w:cs="Times New Roman"/>
                <w:spacing w:val="5"/>
                <w:position w:val="1"/>
              </w:rPr>
              <w:t>2</w:t>
            </w:r>
            <w:r>
              <w:rPr>
                <w:spacing w:val="5"/>
                <w:position w:val="1"/>
              </w:rPr>
              <w:t>个</w:t>
            </w:r>
          </w:p>
        </w:tc>
        <w:tc>
          <w:tcPr>
            <w:tcW w:w="1133" w:type="dxa"/>
            <w:vAlign w:val="top"/>
          </w:tcPr>
          <w:p w14:paraId="0920C3FF">
            <w:pPr>
              <w:spacing w:before="33" w:line="274" w:lineRule="exact"/>
              <w:ind w:left="5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878" w:type="dxa"/>
            <w:vAlign w:val="top"/>
          </w:tcPr>
          <w:p w14:paraId="38B24D8F">
            <w:pPr>
              <w:pStyle w:val="6"/>
              <w:spacing w:before="33" w:line="274" w:lineRule="exact"/>
              <w:ind w:left="1102"/>
              <w:rPr>
                <w:rFonts w:ascii="Times New Roman" w:hAnsi="Times New Roman" w:eastAsia="Times New Roman" w:cs="Times New Roman"/>
              </w:rPr>
            </w:pPr>
            <w:r>
              <w:rPr>
                <w:spacing w:val="4"/>
                <w:position w:val="1"/>
              </w:rPr>
              <w:t>深</w:t>
            </w:r>
            <w:r>
              <w:rPr>
                <w:rFonts w:ascii="Times New Roman" w:hAnsi="Times New Roman" w:eastAsia="Times New Roman" w:cs="Times New Roman"/>
                <w:spacing w:val="4"/>
                <w:position w:val="1"/>
              </w:rPr>
              <w:t>6.5m</w:t>
            </w:r>
            <w:r>
              <w:rPr>
                <w:rFonts w:ascii="Times New Roman" w:hAnsi="Times New Roman" w:eastAsia="Times New Roman" w:cs="Times New Roman"/>
                <w:spacing w:val="-28"/>
                <w:position w:val="1"/>
              </w:rPr>
              <w:t xml:space="preserve"> </w:t>
            </w:r>
            <w:r>
              <w:rPr>
                <w:spacing w:val="4"/>
                <w:position w:val="1"/>
              </w:rPr>
              <w:t>，直径</w:t>
            </w:r>
            <w:r>
              <w:rPr>
                <w:rFonts w:ascii="Times New Roman" w:hAnsi="Times New Roman" w:eastAsia="Times New Roman" w:cs="Times New Roman"/>
                <w:spacing w:val="4"/>
                <w:position w:val="1"/>
              </w:rPr>
              <w:t>1.6m</w:t>
            </w:r>
          </w:p>
        </w:tc>
      </w:tr>
      <w:tr w14:paraId="264AD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6" w:type="dxa"/>
            <w:vAlign w:val="top"/>
          </w:tcPr>
          <w:p w14:paraId="15BDF704">
            <w:pPr>
              <w:spacing w:before="102"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83" w:type="dxa"/>
            <w:vAlign w:val="top"/>
          </w:tcPr>
          <w:p w14:paraId="1C3025BA">
            <w:pPr>
              <w:pStyle w:val="6"/>
              <w:spacing w:before="63" w:line="229" w:lineRule="auto"/>
              <w:ind w:left="582"/>
            </w:pPr>
            <w:r>
              <w:rPr>
                <w:spacing w:val="6"/>
              </w:rPr>
              <w:t>建设周期</w:t>
            </w:r>
          </w:p>
        </w:tc>
        <w:tc>
          <w:tcPr>
            <w:tcW w:w="850" w:type="dxa"/>
            <w:vAlign w:val="top"/>
          </w:tcPr>
          <w:p w14:paraId="207BA3A2">
            <w:pPr>
              <w:pStyle w:val="6"/>
              <w:spacing w:before="64" w:line="228" w:lineRule="auto"/>
              <w:ind w:left="332"/>
            </w:pPr>
            <w:r>
              <w:t>月</w:t>
            </w:r>
          </w:p>
        </w:tc>
        <w:tc>
          <w:tcPr>
            <w:tcW w:w="1133" w:type="dxa"/>
            <w:vAlign w:val="top"/>
          </w:tcPr>
          <w:p w14:paraId="3F5BE56D">
            <w:pPr>
              <w:spacing w:before="102" w:line="192"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878" w:type="dxa"/>
            <w:vAlign w:val="top"/>
          </w:tcPr>
          <w:p w14:paraId="121CE9E7">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7918CA08">
      <w:pPr>
        <w:spacing w:before="126"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3.1.3</w:t>
      </w:r>
      <w:r>
        <w:rPr>
          <w:rFonts w:ascii="宋体" w:hAnsi="宋体" w:eastAsia="宋体" w:cs="宋体"/>
          <w:b/>
          <w:bCs/>
          <w:spacing w:val="-2"/>
          <w:sz w:val="24"/>
          <w:szCs w:val="24"/>
        </w:rPr>
        <w:t>项目总体布局</w:t>
      </w:r>
    </w:p>
    <w:p w14:paraId="226E4D3C">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）内环境角度分析</w:t>
      </w:r>
    </w:p>
    <w:p w14:paraId="5760B3CA">
      <w:pPr>
        <w:spacing w:before="166" w:line="359" w:lineRule="auto"/>
        <w:ind w:left="124" w:right="113" w:firstLine="479"/>
        <w:rPr>
          <w:rFonts w:ascii="宋体" w:hAnsi="宋体" w:eastAsia="宋体" w:cs="宋体"/>
          <w:sz w:val="24"/>
          <w:szCs w:val="24"/>
        </w:rPr>
      </w:pPr>
      <w:r>
        <w:rPr>
          <w:rFonts w:ascii="宋体" w:hAnsi="宋体" w:eastAsia="宋体" w:cs="宋体"/>
          <w:spacing w:val="2"/>
          <w:sz w:val="24"/>
          <w:szCs w:val="24"/>
        </w:rPr>
        <w:t>本项目平面布置图依据猪只的生产流程、交通运输、环境保护、防火、安全、</w:t>
      </w:r>
      <w:r>
        <w:rPr>
          <w:rFonts w:ascii="宋体" w:hAnsi="宋体" w:eastAsia="宋体" w:cs="宋体"/>
          <w:spacing w:val="9"/>
          <w:sz w:val="24"/>
          <w:szCs w:val="24"/>
        </w:rPr>
        <w:t xml:space="preserve"> </w:t>
      </w:r>
      <w:r>
        <w:rPr>
          <w:rFonts w:ascii="宋体" w:hAnsi="宋体" w:eastAsia="宋体" w:cs="宋体"/>
          <w:spacing w:val="2"/>
          <w:sz w:val="24"/>
          <w:szCs w:val="24"/>
        </w:rPr>
        <w:t>卫生、施工、检修、生产经营管理及发展，并结合场内地形进行布置，力求做到布</w:t>
      </w:r>
      <w:r>
        <w:rPr>
          <w:rFonts w:ascii="宋体" w:hAnsi="宋体" w:eastAsia="宋体" w:cs="宋体"/>
          <w:spacing w:val="4"/>
          <w:sz w:val="24"/>
          <w:szCs w:val="24"/>
        </w:rPr>
        <w:t xml:space="preserve"> </w:t>
      </w:r>
      <w:r>
        <w:rPr>
          <w:rFonts w:ascii="宋体" w:hAnsi="宋体" w:eastAsia="宋体" w:cs="宋体"/>
          <w:spacing w:val="2"/>
          <w:sz w:val="24"/>
          <w:szCs w:val="24"/>
        </w:rPr>
        <w:t>局合理、分区明确；在满足生产工艺流程要求的前提下，尽可能整洁美观，并有利</w:t>
      </w:r>
      <w:r>
        <w:rPr>
          <w:rFonts w:ascii="宋体" w:hAnsi="宋体" w:eastAsia="宋体" w:cs="宋体"/>
          <w:spacing w:val="4"/>
          <w:sz w:val="24"/>
          <w:szCs w:val="24"/>
        </w:rPr>
        <w:t xml:space="preserve"> </w:t>
      </w:r>
      <w:r>
        <w:rPr>
          <w:rFonts w:ascii="宋体" w:hAnsi="宋体" w:eastAsia="宋体" w:cs="宋体"/>
          <w:spacing w:val="-2"/>
          <w:sz w:val="24"/>
          <w:szCs w:val="24"/>
        </w:rPr>
        <w:t>于管理和生产。</w:t>
      </w:r>
    </w:p>
    <w:p w14:paraId="2887DE67">
      <w:pPr>
        <w:spacing w:before="4" w:line="359" w:lineRule="auto"/>
        <w:ind w:left="123" w:right="201" w:firstLine="480"/>
        <w:jc w:val="both"/>
        <w:rPr>
          <w:rFonts w:ascii="宋体" w:hAnsi="宋体" w:eastAsia="宋体" w:cs="宋体"/>
          <w:sz w:val="24"/>
          <w:szCs w:val="24"/>
        </w:rPr>
      </w:pPr>
      <w:r>
        <w:rPr>
          <w:rFonts w:ascii="宋体" w:hAnsi="宋体" w:eastAsia="宋体" w:cs="宋体"/>
          <w:sz w:val="24"/>
          <w:szCs w:val="24"/>
        </w:rPr>
        <w:t>养殖场按照生物安全防疫法规的要求实行全封闭管</w:t>
      </w:r>
      <w:r>
        <w:rPr>
          <w:rFonts w:ascii="宋体" w:hAnsi="宋体" w:eastAsia="宋体" w:cs="宋体"/>
          <w:spacing w:val="-1"/>
          <w:sz w:val="24"/>
          <w:szCs w:val="24"/>
        </w:rPr>
        <w:t>理，与外界隔离。生产区与</w:t>
      </w:r>
      <w:r>
        <w:rPr>
          <w:rFonts w:ascii="宋体" w:hAnsi="宋体" w:eastAsia="宋体" w:cs="宋体"/>
          <w:sz w:val="24"/>
          <w:szCs w:val="24"/>
        </w:rPr>
        <w:t xml:space="preserve"> 其他区域分开布置，进入生产区必须进行严格的消毒程</w:t>
      </w:r>
      <w:r>
        <w:rPr>
          <w:rFonts w:ascii="宋体" w:hAnsi="宋体" w:eastAsia="宋体" w:cs="宋体"/>
          <w:spacing w:val="-1"/>
          <w:sz w:val="24"/>
          <w:szCs w:val="24"/>
        </w:rPr>
        <w:t>序。生产区清洁道和污道分</w:t>
      </w:r>
      <w:r>
        <w:rPr>
          <w:rFonts w:ascii="宋体" w:hAnsi="宋体" w:eastAsia="宋体" w:cs="宋体"/>
          <w:sz w:val="24"/>
          <w:szCs w:val="24"/>
        </w:rPr>
        <w:t xml:space="preserve"> 设，为沙石标准硬化路面。养殖场粪污设置专用排污管</w:t>
      </w:r>
      <w:r>
        <w:rPr>
          <w:rFonts w:ascii="宋体" w:hAnsi="宋体" w:eastAsia="宋体" w:cs="宋体"/>
          <w:spacing w:val="-1"/>
          <w:sz w:val="24"/>
          <w:szCs w:val="24"/>
        </w:rPr>
        <w:t>道输送至有机肥发酵车间，</w:t>
      </w:r>
      <w:r>
        <w:rPr>
          <w:rFonts w:ascii="宋体" w:hAnsi="宋体" w:eastAsia="宋体" w:cs="宋体"/>
          <w:sz w:val="24"/>
          <w:szCs w:val="24"/>
        </w:rPr>
        <w:t xml:space="preserve"> </w:t>
      </w:r>
      <w:r>
        <w:rPr>
          <w:rFonts w:ascii="宋体" w:hAnsi="宋体" w:eastAsia="宋体" w:cs="宋体"/>
          <w:spacing w:val="-1"/>
          <w:sz w:val="24"/>
          <w:szCs w:val="24"/>
        </w:rPr>
        <w:t>雨水利用雨水沟收集后汇入雨水净化池，以达到雨污分流的效果。</w:t>
      </w:r>
    </w:p>
    <w:p w14:paraId="04D5909B">
      <w:pPr>
        <w:spacing w:before="87" w:line="369" w:lineRule="auto"/>
        <w:ind w:left="123" w:right="32" w:firstLine="502"/>
        <w:jc w:val="both"/>
        <w:rPr>
          <w:rFonts w:ascii="宋体" w:hAnsi="宋体" w:eastAsia="宋体" w:cs="宋体"/>
          <w:sz w:val="24"/>
          <w:szCs w:val="24"/>
        </w:rPr>
      </w:pPr>
      <w:r>
        <w:rPr>
          <w:rFonts w:ascii="宋体" w:hAnsi="宋体" w:eastAsia="宋体" w:cs="宋体"/>
          <w:spacing w:val="2"/>
          <w:sz w:val="24"/>
          <w:szCs w:val="24"/>
        </w:rPr>
        <w:t>同时，将生产辅助设施和环保设施包括有机肥</w:t>
      </w:r>
      <w:r>
        <w:rPr>
          <w:rFonts w:ascii="宋体" w:hAnsi="宋体" w:eastAsia="宋体" w:cs="宋体"/>
          <w:spacing w:val="1"/>
          <w:sz w:val="24"/>
          <w:szCs w:val="24"/>
        </w:rPr>
        <w:t>发酵车间、应急池等布置在猪只</w:t>
      </w:r>
      <w:r>
        <w:rPr>
          <w:rFonts w:ascii="宋体" w:hAnsi="宋体" w:eastAsia="宋体" w:cs="宋体"/>
          <w:sz w:val="24"/>
          <w:szCs w:val="24"/>
        </w:rPr>
        <w:t xml:space="preserve"> </w:t>
      </w:r>
      <w:r>
        <w:rPr>
          <w:rFonts w:ascii="宋体" w:hAnsi="宋体" w:eastAsia="宋体" w:cs="宋体"/>
          <w:spacing w:val="2"/>
          <w:sz w:val="24"/>
          <w:szCs w:val="24"/>
        </w:rPr>
        <w:t>养殖区边上，临近场区道路，既有利于生产原料、产品的运输，也减少了恶臭气体</w:t>
      </w:r>
      <w:r>
        <w:rPr>
          <w:rFonts w:ascii="宋体" w:hAnsi="宋体" w:eastAsia="宋体" w:cs="宋体"/>
          <w:spacing w:val="5"/>
          <w:sz w:val="24"/>
          <w:szCs w:val="24"/>
        </w:rPr>
        <w:t xml:space="preserve"> </w:t>
      </w:r>
      <w:r>
        <w:rPr>
          <w:rFonts w:ascii="宋体" w:hAnsi="宋体" w:eastAsia="宋体" w:cs="宋体"/>
          <w:spacing w:val="22"/>
          <w:sz w:val="24"/>
          <w:szCs w:val="24"/>
        </w:rPr>
        <w:t>的影响范围</w:t>
      </w:r>
      <w:r>
        <w:rPr>
          <w:rFonts w:ascii="宋体" w:hAnsi="宋体" w:eastAsia="宋体" w:cs="宋体"/>
          <w:spacing w:val="-59"/>
          <w:sz w:val="24"/>
          <w:szCs w:val="24"/>
        </w:rPr>
        <w:t xml:space="preserve"> </w:t>
      </w:r>
      <w:r>
        <w:rPr>
          <w:rFonts w:ascii="宋体" w:hAnsi="宋体" w:eastAsia="宋体" w:cs="宋体"/>
          <w:spacing w:val="22"/>
          <w:sz w:val="24"/>
          <w:szCs w:val="24"/>
        </w:rPr>
        <w:t>。该场地的建设符合国家环保局《畜禽养殖污染防治技术规范》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HJ/T81-2001</w:t>
      </w:r>
      <w:r>
        <w:rPr>
          <w:rFonts w:ascii="宋体" w:hAnsi="宋体" w:eastAsia="宋体" w:cs="宋体"/>
          <w:spacing w:val="-32"/>
          <w:sz w:val="24"/>
          <w:szCs w:val="24"/>
        </w:rPr>
        <w:t>），</w:t>
      </w:r>
      <w:r>
        <w:rPr>
          <w:rFonts w:ascii="宋体" w:hAnsi="宋体" w:eastAsia="宋体" w:cs="宋体"/>
          <w:spacing w:val="-2"/>
          <w:sz w:val="24"/>
          <w:szCs w:val="24"/>
        </w:rPr>
        <w:t>符合养殖场动物防疫条件选</w:t>
      </w:r>
      <w:r>
        <w:rPr>
          <w:rFonts w:ascii="宋体" w:hAnsi="宋体" w:eastAsia="宋体" w:cs="宋体"/>
          <w:spacing w:val="-3"/>
          <w:sz w:val="24"/>
          <w:szCs w:val="24"/>
        </w:rPr>
        <w:t>址要求。项目总体布局是基本合理的。</w:t>
      </w:r>
    </w:p>
    <w:p w14:paraId="3DCEAFEF">
      <w:pPr>
        <w:spacing w:line="359"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）从外环境对本项目的影响角度分析</w:t>
      </w:r>
    </w:p>
    <w:p w14:paraId="2ABB36E8">
      <w:pPr>
        <w:spacing w:line="359" w:lineRule="exact"/>
        <w:rPr>
          <w:rFonts w:ascii="宋体" w:hAnsi="宋体" w:eastAsia="宋体" w:cs="宋体"/>
          <w:sz w:val="24"/>
          <w:szCs w:val="24"/>
        </w:rPr>
        <w:sectPr>
          <w:headerReference r:id="rId62" w:type="default"/>
          <w:footerReference r:id="rId63" w:type="default"/>
          <w:pgSz w:w="11906" w:h="16839"/>
          <w:pgMar w:top="400" w:right="1475" w:bottom="1485" w:left="1475" w:header="0" w:footer="1249" w:gutter="0"/>
          <w:cols w:space="720" w:num="1"/>
        </w:sectPr>
      </w:pPr>
    </w:p>
    <w:p w14:paraId="43A7805A">
      <w:pPr>
        <w:pStyle w:val="2"/>
        <w:spacing w:line="255" w:lineRule="auto"/>
      </w:pPr>
    </w:p>
    <w:p w14:paraId="23137F38">
      <w:pPr>
        <w:pStyle w:val="2"/>
        <w:spacing w:line="255" w:lineRule="auto"/>
      </w:pPr>
    </w:p>
    <w:p w14:paraId="7AB9A4BD">
      <w:pPr>
        <w:pStyle w:val="2"/>
        <w:spacing w:line="255" w:lineRule="auto"/>
      </w:pPr>
    </w:p>
    <w:p w14:paraId="095E1BA1">
      <w:pPr>
        <w:pStyle w:val="2"/>
        <w:spacing w:line="256" w:lineRule="auto"/>
      </w:pPr>
    </w:p>
    <w:p w14:paraId="67F6FA4A">
      <w:pPr>
        <w:spacing w:before="78" w:line="367" w:lineRule="auto"/>
        <w:ind w:left="123" w:right="110" w:firstLine="479"/>
        <w:rPr>
          <w:rFonts w:ascii="宋体" w:hAnsi="宋体" w:eastAsia="宋体" w:cs="宋体"/>
          <w:sz w:val="24"/>
          <w:szCs w:val="24"/>
        </w:rPr>
      </w:pPr>
      <w:r>
        <w:rPr>
          <w:rFonts w:ascii="宋体" w:hAnsi="宋体" w:eastAsia="宋体" w:cs="宋体"/>
          <w:spacing w:val="-4"/>
          <w:sz w:val="24"/>
          <w:szCs w:val="24"/>
        </w:rPr>
        <w:t>根据现场调查，项目所在地周围环境质量状况良好，养殖区周围</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范围内没</w:t>
      </w:r>
      <w:r>
        <w:rPr>
          <w:rFonts w:ascii="宋体" w:hAnsi="宋体" w:eastAsia="宋体" w:cs="宋体"/>
          <w:sz w:val="24"/>
          <w:szCs w:val="24"/>
        </w:rPr>
        <w:t xml:space="preserve"> </w:t>
      </w:r>
      <w:r>
        <w:rPr>
          <w:rFonts w:ascii="宋体" w:hAnsi="宋体" w:eastAsia="宋体" w:cs="宋体"/>
          <w:spacing w:val="-1"/>
          <w:sz w:val="24"/>
          <w:szCs w:val="24"/>
        </w:rPr>
        <w:t>有其他工业污染源，能够保障项目生产所必须的防疫环境。</w:t>
      </w:r>
    </w:p>
    <w:p w14:paraId="578B5CBF">
      <w:pPr>
        <w:spacing w:before="23" w:line="359"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）从周边环境敏感目标影响角度分析</w:t>
      </w:r>
    </w:p>
    <w:p w14:paraId="4F016CB4">
      <w:pPr>
        <w:spacing w:before="168" w:line="361" w:lineRule="auto"/>
        <w:ind w:left="123" w:right="110" w:firstLine="480"/>
        <w:rPr>
          <w:rFonts w:ascii="宋体" w:hAnsi="宋体" w:eastAsia="宋体" w:cs="宋体"/>
          <w:sz w:val="24"/>
          <w:szCs w:val="24"/>
        </w:rPr>
      </w:pPr>
      <w:r>
        <w:rPr>
          <w:rFonts w:ascii="宋体" w:hAnsi="宋体" w:eastAsia="宋体" w:cs="宋体"/>
          <w:spacing w:val="2"/>
          <w:sz w:val="24"/>
          <w:szCs w:val="24"/>
        </w:rPr>
        <w:t>本项目对外界环境的影响主要为恶臭气体。根据大气环境影响预测，本项目污</w:t>
      </w:r>
      <w:r>
        <w:rPr>
          <w:rFonts w:ascii="宋体" w:hAnsi="宋体" w:eastAsia="宋体" w:cs="宋体"/>
          <w:spacing w:val="9"/>
          <w:sz w:val="24"/>
          <w:szCs w:val="24"/>
        </w:rPr>
        <w:t xml:space="preserve"> </w:t>
      </w:r>
      <w:r>
        <w:rPr>
          <w:rFonts w:ascii="宋体" w:hAnsi="宋体" w:eastAsia="宋体" w:cs="宋体"/>
          <w:spacing w:val="-4"/>
          <w:sz w:val="24"/>
          <w:szCs w:val="24"/>
        </w:rPr>
        <w:t>染物最大落地浓度均在</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范围内，本项目养殖区下风向</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范围内没有环境敏</w:t>
      </w:r>
      <w:r>
        <w:rPr>
          <w:rFonts w:ascii="宋体" w:hAnsi="宋体" w:eastAsia="宋体" w:cs="宋体"/>
          <w:sz w:val="24"/>
          <w:szCs w:val="24"/>
        </w:rPr>
        <w:t xml:space="preserve"> </w:t>
      </w:r>
      <w:r>
        <w:rPr>
          <w:rFonts w:ascii="宋体" w:hAnsi="宋体" w:eastAsia="宋体" w:cs="宋体"/>
          <w:spacing w:val="-3"/>
          <w:sz w:val="24"/>
          <w:szCs w:val="24"/>
        </w:rPr>
        <w:t>感目标。</w:t>
      </w:r>
    </w:p>
    <w:p w14:paraId="10A27D4A">
      <w:pPr>
        <w:spacing w:before="58" w:line="219" w:lineRule="auto"/>
        <w:ind w:left="605"/>
        <w:rPr>
          <w:rFonts w:ascii="宋体" w:hAnsi="宋体" w:eastAsia="宋体" w:cs="宋体"/>
          <w:sz w:val="24"/>
          <w:szCs w:val="24"/>
        </w:rPr>
      </w:pPr>
      <w:r>
        <w:rPr>
          <w:rFonts w:ascii="宋体" w:hAnsi="宋体" w:eastAsia="宋体" w:cs="宋体"/>
          <w:spacing w:val="-1"/>
          <w:sz w:val="24"/>
          <w:szCs w:val="24"/>
        </w:rPr>
        <w:t>综上所述，整个建设项目的总平面布置是基本合理的。</w:t>
      </w:r>
    </w:p>
    <w:p w14:paraId="4A096C92">
      <w:pPr>
        <w:spacing w:before="204"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3.1.4</w:t>
      </w:r>
      <w:r>
        <w:rPr>
          <w:rFonts w:ascii="宋体" w:hAnsi="宋体" w:eastAsia="宋体" w:cs="宋体"/>
          <w:b/>
          <w:bCs/>
          <w:spacing w:val="-2"/>
          <w:sz w:val="24"/>
          <w:szCs w:val="24"/>
        </w:rPr>
        <w:t>各类牲畜常年存栏量</w:t>
      </w:r>
    </w:p>
    <w:p w14:paraId="0F06D13D">
      <w:pPr>
        <w:spacing w:before="164" w:line="366" w:lineRule="auto"/>
        <w:ind w:left="122" w:right="113" w:firstLine="480"/>
        <w:jc w:val="both"/>
        <w:rPr>
          <w:rFonts w:ascii="宋体" w:hAnsi="宋体" w:eastAsia="宋体" w:cs="宋体"/>
          <w:sz w:val="24"/>
          <w:szCs w:val="24"/>
        </w:rPr>
      </w:pPr>
      <w:r>
        <w:rPr>
          <w:rFonts w:ascii="宋体" w:hAnsi="宋体" w:eastAsia="宋体" w:cs="宋体"/>
          <w:spacing w:val="-6"/>
          <w:sz w:val="24"/>
          <w:szCs w:val="24"/>
        </w:rPr>
        <w:t>本项目外购猪仔于项目内进行养殖，项目不进行繁殖。本项目</w:t>
      </w:r>
      <w:r>
        <w:rPr>
          <w:rFonts w:ascii="宋体" w:hAnsi="宋体" w:eastAsia="宋体" w:cs="宋体"/>
          <w:spacing w:val="-7"/>
          <w:sz w:val="24"/>
          <w:szCs w:val="24"/>
        </w:rPr>
        <w:t>常年存栏生猪</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7000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头。出栏周期为</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个月，则出栏量约为</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15000 </w:t>
      </w:r>
      <w:r>
        <w:rPr>
          <w:rFonts w:ascii="宋体" w:hAnsi="宋体" w:eastAsia="宋体" w:cs="宋体"/>
          <w:spacing w:val="-1"/>
          <w:sz w:val="24"/>
          <w:szCs w:val="24"/>
        </w:rPr>
        <w:t>头</w:t>
      </w:r>
      <w:r>
        <w:rPr>
          <w:rFonts w:ascii="Times New Roman" w:hAnsi="Times New Roman" w:eastAsia="Times New Roman" w:cs="Times New Roman"/>
          <w:spacing w:val="-1"/>
          <w:sz w:val="24"/>
          <w:szCs w:val="24"/>
        </w:rPr>
        <w:t>/</w:t>
      </w:r>
      <w:r>
        <w:rPr>
          <w:rFonts w:ascii="宋体" w:hAnsi="宋体" w:eastAsia="宋体" w:cs="宋体"/>
          <w:spacing w:val="-1"/>
          <w:sz w:val="24"/>
          <w:szCs w:val="24"/>
        </w:rPr>
        <w:t>年。项目常年牲畜存栏情况如下表</w:t>
      </w:r>
      <w:r>
        <w:rPr>
          <w:rFonts w:ascii="宋体" w:hAnsi="宋体" w:eastAsia="宋体" w:cs="宋体"/>
          <w:sz w:val="24"/>
          <w:szCs w:val="24"/>
        </w:rPr>
        <w:t xml:space="preserve"> </w:t>
      </w:r>
      <w:r>
        <w:rPr>
          <w:rFonts w:ascii="宋体" w:hAnsi="宋体" w:eastAsia="宋体" w:cs="宋体"/>
          <w:spacing w:val="-4"/>
          <w:sz w:val="24"/>
          <w:szCs w:val="24"/>
        </w:rPr>
        <w:t>所示：</w:t>
      </w:r>
    </w:p>
    <w:p w14:paraId="6E520393">
      <w:pPr>
        <w:spacing w:before="94" w:line="228" w:lineRule="auto"/>
        <w:ind w:left="305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3.1-3 </w:t>
      </w:r>
      <w:r>
        <w:rPr>
          <w:rFonts w:ascii="宋体" w:hAnsi="宋体" w:eastAsia="宋体" w:cs="宋体"/>
          <w:b/>
          <w:bCs/>
          <w:spacing w:val="6"/>
          <w:sz w:val="20"/>
          <w:szCs w:val="20"/>
        </w:rPr>
        <w:t>各类牲畜的常年存栏数</w:t>
      </w:r>
    </w:p>
    <w:p w14:paraId="4F00CDA4">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5"/>
        <w:gridCol w:w="2981"/>
        <w:gridCol w:w="2984"/>
      </w:tblGrid>
      <w:tr w14:paraId="2F03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985" w:type="dxa"/>
            <w:vAlign w:val="top"/>
          </w:tcPr>
          <w:p w14:paraId="469C2080">
            <w:pPr>
              <w:pStyle w:val="6"/>
              <w:spacing w:before="64" w:line="228" w:lineRule="auto"/>
              <w:ind w:left="1079"/>
            </w:pPr>
            <w:r>
              <w:rPr>
                <w:spacing w:val="7"/>
              </w:rPr>
              <w:t>猪只种类</w:t>
            </w:r>
          </w:p>
        </w:tc>
        <w:tc>
          <w:tcPr>
            <w:tcW w:w="2981" w:type="dxa"/>
            <w:vAlign w:val="top"/>
          </w:tcPr>
          <w:p w14:paraId="6099EC2C">
            <w:pPr>
              <w:pStyle w:val="6"/>
              <w:spacing w:before="64" w:line="228" w:lineRule="auto"/>
              <w:ind w:left="759"/>
            </w:pPr>
            <w:r>
              <w:rPr>
                <w:spacing w:val="7"/>
              </w:rPr>
              <w:t>存栏数量（头）</w:t>
            </w:r>
          </w:p>
        </w:tc>
        <w:tc>
          <w:tcPr>
            <w:tcW w:w="2984" w:type="dxa"/>
            <w:vAlign w:val="top"/>
          </w:tcPr>
          <w:p w14:paraId="0162EA62">
            <w:pPr>
              <w:pStyle w:val="6"/>
              <w:spacing w:before="64" w:line="228" w:lineRule="auto"/>
              <w:ind w:left="553"/>
            </w:pPr>
            <w:r>
              <w:rPr>
                <w:spacing w:val="7"/>
              </w:rPr>
              <w:t>折合成成年猪（头）</w:t>
            </w:r>
          </w:p>
        </w:tc>
      </w:tr>
      <w:tr w14:paraId="53C33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985" w:type="dxa"/>
            <w:vAlign w:val="top"/>
          </w:tcPr>
          <w:p w14:paraId="028E0CD1">
            <w:pPr>
              <w:pStyle w:val="6"/>
              <w:spacing w:before="60" w:line="228" w:lineRule="auto"/>
              <w:ind w:left="1192"/>
            </w:pPr>
            <w:r>
              <w:rPr>
                <w:spacing w:val="4"/>
              </w:rPr>
              <w:t>育肥猪</w:t>
            </w:r>
          </w:p>
        </w:tc>
        <w:tc>
          <w:tcPr>
            <w:tcW w:w="2981" w:type="dxa"/>
            <w:vAlign w:val="top"/>
          </w:tcPr>
          <w:p w14:paraId="6CDE0B21">
            <w:pPr>
              <w:spacing w:before="30"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984" w:type="dxa"/>
            <w:vAlign w:val="top"/>
          </w:tcPr>
          <w:p w14:paraId="27216E54">
            <w:pPr>
              <w:spacing w:before="30"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r>
      <w:tr w14:paraId="70839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985" w:type="dxa"/>
            <w:vAlign w:val="top"/>
          </w:tcPr>
          <w:p w14:paraId="135007E8">
            <w:pPr>
              <w:pStyle w:val="6"/>
              <w:spacing w:before="62" w:line="230" w:lineRule="auto"/>
              <w:ind w:left="1290"/>
            </w:pPr>
            <w:r>
              <w:rPr>
                <w:spacing w:val="3"/>
              </w:rPr>
              <w:t>总计</w:t>
            </w:r>
          </w:p>
        </w:tc>
        <w:tc>
          <w:tcPr>
            <w:tcW w:w="2981" w:type="dxa"/>
            <w:vAlign w:val="top"/>
          </w:tcPr>
          <w:p w14:paraId="475403B2">
            <w:pPr>
              <w:spacing w:before="32"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984" w:type="dxa"/>
            <w:vAlign w:val="top"/>
          </w:tcPr>
          <w:p w14:paraId="7F62F5DE">
            <w:pPr>
              <w:spacing w:before="32"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r>
    </w:tbl>
    <w:p w14:paraId="7DEA2716">
      <w:pPr>
        <w:spacing w:before="124"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3.1.5</w:t>
      </w:r>
      <w:r>
        <w:rPr>
          <w:rFonts w:ascii="宋体" w:hAnsi="宋体" w:eastAsia="宋体" w:cs="宋体"/>
          <w:b/>
          <w:bCs/>
          <w:spacing w:val="-2"/>
          <w:sz w:val="24"/>
          <w:szCs w:val="24"/>
        </w:rPr>
        <w:t>生产定员及工作制度</w:t>
      </w:r>
    </w:p>
    <w:p w14:paraId="0874C4B2">
      <w:pPr>
        <w:spacing w:before="168" w:line="374" w:lineRule="auto"/>
        <w:ind w:left="122" w:right="138" w:firstLine="483"/>
        <w:rPr>
          <w:rFonts w:ascii="宋体" w:hAnsi="宋体" w:eastAsia="宋体" w:cs="宋体"/>
          <w:sz w:val="24"/>
          <w:szCs w:val="24"/>
        </w:rPr>
      </w:pPr>
      <w:r>
        <w:rPr>
          <w:rFonts w:ascii="宋体" w:hAnsi="宋体" w:eastAsia="宋体" w:cs="宋体"/>
          <w:spacing w:val="-4"/>
          <w:sz w:val="24"/>
          <w:szCs w:val="24"/>
        </w:rPr>
        <w:t>项目招募员工</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人，其中约</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人在厂内住宿。项目实行两班制，每班</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w:t>
      </w:r>
      <w:r>
        <w:rPr>
          <w:rFonts w:ascii="宋体" w:hAnsi="宋体" w:eastAsia="宋体" w:cs="宋体"/>
          <w:sz w:val="24"/>
          <w:szCs w:val="24"/>
        </w:rPr>
        <w:t xml:space="preserve"> </w:t>
      </w:r>
      <w:r>
        <w:rPr>
          <w:rFonts w:ascii="宋体" w:hAnsi="宋体" w:eastAsia="宋体" w:cs="宋体"/>
          <w:spacing w:val="3"/>
          <w:sz w:val="24"/>
          <w:szCs w:val="24"/>
        </w:rPr>
        <w:t>每天工作两班，年工作</w:t>
      </w:r>
      <w:r>
        <w:rPr>
          <w:rFonts w:ascii="Times New Roman" w:hAnsi="Times New Roman" w:eastAsia="Times New Roman" w:cs="Times New Roman"/>
          <w:spacing w:val="3"/>
          <w:sz w:val="24"/>
          <w:szCs w:val="24"/>
        </w:rPr>
        <w:t xml:space="preserve">365 </w:t>
      </w:r>
      <w:r>
        <w:rPr>
          <w:rFonts w:ascii="宋体" w:hAnsi="宋体" w:eastAsia="宋体" w:cs="宋体"/>
          <w:spacing w:val="3"/>
          <w:sz w:val="24"/>
          <w:szCs w:val="24"/>
        </w:rPr>
        <w:t>天。</w:t>
      </w:r>
    </w:p>
    <w:p w14:paraId="28FCEA19">
      <w:pPr>
        <w:spacing w:before="43"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3.1.6</w:t>
      </w:r>
      <w:r>
        <w:rPr>
          <w:rFonts w:ascii="宋体" w:hAnsi="宋体" w:eastAsia="宋体" w:cs="宋体"/>
          <w:b/>
          <w:bCs/>
          <w:spacing w:val="-2"/>
          <w:sz w:val="24"/>
          <w:szCs w:val="24"/>
        </w:rPr>
        <w:t>生产设备</w:t>
      </w:r>
    </w:p>
    <w:p w14:paraId="6BEA46AF">
      <w:pPr>
        <w:spacing w:before="165" w:line="360" w:lineRule="exact"/>
        <w:ind w:left="603"/>
        <w:rPr>
          <w:rFonts w:ascii="宋体" w:hAnsi="宋体" w:eastAsia="宋体" w:cs="宋体"/>
          <w:sz w:val="24"/>
          <w:szCs w:val="24"/>
        </w:rPr>
      </w:pPr>
      <w:r>
        <w:rPr>
          <w:rFonts w:ascii="宋体" w:hAnsi="宋体" w:eastAsia="宋体" w:cs="宋体"/>
          <w:spacing w:val="1"/>
          <w:position w:val="2"/>
          <w:sz w:val="24"/>
          <w:szCs w:val="24"/>
        </w:rPr>
        <w:t>本项目设备包括生产设备、辅助设备和环保设备，详见表</w:t>
      </w:r>
      <w:r>
        <w:rPr>
          <w:rFonts w:ascii="Times New Roman" w:hAnsi="Times New Roman" w:eastAsia="Times New Roman" w:cs="Times New Roman"/>
          <w:spacing w:val="1"/>
          <w:position w:val="2"/>
          <w:sz w:val="24"/>
          <w:szCs w:val="24"/>
        </w:rPr>
        <w:t>3.1-4</w:t>
      </w:r>
      <w:r>
        <w:rPr>
          <w:rFonts w:ascii="宋体" w:hAnsi="宋体" w:eastAsia="宋体" w:cs="宋体"/>
          <w:spacing w:val="1"/>
          <w:position w:val="2"/>
          <w:sz w:val="24"/>
          <w:szCs w:val="24"/>
        </w:rPr>
        <w:t>。</w:t>
      </w:r>
    </w:p>
    <w:p w14:paraId="6B2F2464">
      <w:pPr>
        <w:spacing w:before="180" w:line="229" w:lineRule="auto"/>
        <w:ind w:left="361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5"/>
          <w:sz w:val="20"/>
          <w:szCs w:val="20"/>
        </w:rPr>
        <w:t xml:space="preserve">3.1-4 </w:t>
      </w:r>
      <w:r>
        <w:rPr>
          <w:rFonts w:ascii="宋体" w:hAnsi="宋体" w:eastAsia="宋体" w:cs="宋体"/>
          <w:b/>
          <w:bCs/>
          <w:spacing w:val="5"/>
          <w:sz w:val="20"/>
          <w:szCs w:val="20"/>
        </w:rPr>
        <w:t>建设项目设备表</w:t>
      </w:r>
    </w:p>
    <w:p w14:paraId="3B894C84">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2"/>
        <w:gridCol w:w="2626"/>
        <w:gridCol w:w="1049"/>
        <w:gridCol w:w="1703"/>
      </w:tblGrid>
      <w:tr w14:paraId="3CC77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572" w:type="dxa"/>
            <w:vAlign w:val="top"/>
          </w:tcPr>
          <w:p w14:paraId="6615CF39">
            <w:pPr>
              <w:pStyle w:val="6"/>
              <w:spacing w:before="62" w:line="229" w:lineRule="auto"/>
              <w:ind w:left="1584"/>
            </w:pPr>
            <w:r>
              <w:rPr>
                <w:b/>
                <w:bCs/>
                <w:spacing w:val="2"/>
              </w:rPr>
              <w:t>项目</w:t>
            </w:r>
          </w:p>
        </w:tc>
        <w:tc>
          <w:tcPr>
            <w:tcW w:w="2626" w:type="dxa"/>
            <w:vAlign w:val="top"/>
          </w:tcPr>
          <w:p w14:paraId="33883F86">
            <w:pPr>
              <w:pStyle w:val="6"/>
              <w:spacing w:before="62" w:line="230" w:lineRule="auto"/>
              <w:ind w:left="901"/>
            </w:pPr>
            <w:r>
              <w:rPr>
                <w:b/>
                <w:bCs/>
                <w:spacing w:val="5"/>
              </w:rPr>
              <w:t>设备型号</w:t>
            </w:r>
          </w:p>
        </w:tc>
        <w:tc>
          <w:tcPr>
            <w:tcW w:w="1049" w:type="dxa"/>
            <w:vAlign w:val="top"/>
          </w:tcPr>
          <w:p w14:paraId="00A26558">
            <w:pPr>
              <w:pStyle w:val="6"/>
              <w:spacing w:before="62" w:line="229" w:lineRule="auto"/>
              <w:ind w:left="323"/>
            </w:pPr>
            <w:r>
              <w:rPr>
                <w:b/>
                <w:bCs/>
                <w:spacing w:val="3"/>
              </w:rPr>
              <w:t>单位</w:t>
            </w:r>
          </w:p>
        </w:tc>
        <w:tc>
          <w:tcPr>
            <w:tcW w:w="1703" w:type="dxa"/>
            <w:vAlign w:val="top"/>
          </w:tcPr>
          <w:p w14:paraId="0CED1F3B">
            <w:pPr>
              <w:pStyle w:val="6"/>
              <w:spacing w:before="62" w:line="228" w:lineRule="auto"/>
              <w:ind w:left="647"/>
            </w:pPr>
            <w:r>
              <w:rPr>
                <w:b/>
                <w:bCs/>
                <w:spacing w:val="3"/>
              </w:rPr>
              <w:t>数量</w:t>
            </w:r>
          </w:p>
        </w:tc>
      </w:tr>
      <w:tr w14:paraId="36D04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950" w:type="dxa"/>
            <w:gridSpan w:val="4"/>
            <w:vAlign w:val="top"/>
          </w:tcPr>
          <w:p w14:paraId="09A469A3">
            <w:pPr>
              <w:pStyle w:val="6"/>
              <w:spacing w:before="58" w:line="228" w:lineRule="auto"/>
              <w:ind w:left="4166"/>
            </w:pPr>
            <w:r>
              <w:rPr>
                <w:b/>
                <w:bCs/>
                <w:spacing w:val="6"/>
              </w:rPr>
              <w:t>养殖场设备</w:t>
            </w:r>
          </w:p>
        </w:tc>
      </w:tr>
      <w:tr w14:paraId="0214C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07C2A947">
            <w:pPr>
              <w:pStyle w:val="6"/>
              <w:spacing w:before="59" w:line="228" w:lineRule="auto"/>
              <w:ind w:left="739"/>
            </w:pPr>
            <w:r>
              <w:rPr>
                <w:spacing w:val="9"/>
              </w:rPr>
              <w:t>饲料常规营养分析设备</w:t>
            </w:r>
          </w:p>
        </w:tc>
        <w:tc>
          <w:tcPr>
            <w:tcW w:w="2626" w:type="dxa"/>
            <w:vAlign w:val="top"/>
          </w:tcPr>
          <w:p w14:paraId="7FC39749">
            <w:pPr>
              <w:spacing w:before="28"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66B5A70A">
            <w:pPr>
              <w:pStyle w:val="6"/>
              <w:spacing w:before="59" w:line="231" w:lineRule="auto"/>
              <w:ind w:left="443"/>
            </w:pPr>
            <w:r>
              <w:t>台</w:t>
            </w:r>
          </w:p>
        </w:tc>
        <w:tc>
          <w:tcPr>
            <w:tcW w:w="1703" w:type="dxa"/>
            <w:vAlign w:val="top"/>
          </w:tcPr>
          <w:p w14:paraId="5FE364E2">
            <w:pPr>
              <w:spacing w:before="28"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5C42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5E55C0E1">
            <w:pPr>
              <w:pStyle w:val="6"/>
              <w:spacing w:before="60" w:line="228" w:lineRule="auto"/>
              <w:ind w:left="1372"/>
            </w:pPr>
            <w:r>
              <w:rPr>
                <w:spacing w:val="7"/>
              </w:rPr>
              <w:t>兽医器械</w:t>
            </w:r>
          </w:p>
        </w:tc>
        <w:tc>
          <w:tcPr>
            <w:tcW w:w="2626" w:type="dxa"/>
            <w:vAlign w:val="top"/>
          </w:tcPr>
          <w:p w14:paraId="462A73AC">
            <w:pPr>
              <w:spacing w:before="29"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10D96405">
            <w:pPr>
              <w:pStyle w:val="6"/>
              <w:spacing w:before="60" w:line="231" w:lineRule="auto"/>
              <w:ind w:left="426"/>
            </w:pPr>
            <w:r>
              <w:rPr>
                <w:spacing w:val="1"/>
              </w:rPr>
              <w:t>批</w:t>
            </w:r>
          </w:p>
        </w:tc>
        <w:tc>
          <w:tcPr>
            <w:tcW w:w="1703" w:type="dxa"/>
            <w:vAlign w:val="top"/>
          </w:tcPr>
          <w:p w14:paraId="1FD04968">
            <w:pPr>
              <w:spacing w:before="29"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2BD7B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7E23D64F">
            <w:pPr>
              <w:pStyle w:val="6"/>
              <w:spacing w:before="61" w:line="228" w:lineRule="auto"/>
              <w:ind w:left="1159"/>
            </w:pPr>
            <w:r>
              <w:rPr>
                <w:spacing w:val="8"/>
              </w:rPr>
              <w:t>饲料加工机组</w:t>
            </w:r>
          </w:p>
        </w:tc>
        <w:tc>
          <w:tcPr>
            <w:tcW w:w="2626" w:type="dxa"/>
            <w:vAlign w:val="top"/>
          </w:tcPr>
          <w:p w14:paraId="0457A179">
            <w:pPr>
              <w:spacing w:before="30"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7C7A78D0">
            <w:pPr>
              <w:pStyle w:val="6"/>
              <w:spacing w:before="61" w:line="229" w:lineRule="auto"/>
              <w:ind w:left="428"/>
            </w:pPr>
            <w:r>
              <w:t>套</w:t>
            </w:r>
          </w:p>
        </w:tc>
        <w:tc>
          <w:tcPr>
            <w:tcW w:w="1703" w:type="dxa"/>
            <w:vAlign w:val="top"/>
          </w:tcPr>
          <w:p w14:paraId="17788ADA">
            <w:pPr>
              <w:spacing w:before="30"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63DB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40A7817F">
            <w:pPr>
              <w:pStyle w:val="6"/>
              <w:spacing w:before="62" w:line="228" w:lineRule="auto"/>
              <w:ind w:left="1396"/>
            </w:pPr>
            <w:r>
              <w:rPr>
                <w:spacing w:val="1"/>
              </w:rPr>
              <w:t>电子地磅</w:t>
            </w:r>
          </w:p>
        </w:tc>
        <w:tc>
          <w:tcPr>
            <w:tcW w:w="2626" w:type="dxa"/>
            <w:vAlign w:val="top"/>
          </w:tcPr>
          <w:p w14:paraId="42D1DCCA">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0AFB4C53">
            <w:pPr>
              <w:pStyle w:val="6"/>
              <w:spacing w:before="62" w:line="231" w:lineRule="auto"/>
              <w:ind w:left="443"/>
            </w:pPr>
            <w:r>
              <w:t>台</w:t>
            </w:r>
          </w:p>
        </w:tc>
        <w:tc>
          <w:tcPr>
            <w:tcW w:w="1703" w:type="dxa"/>
            <w:vAlign w:val="top"/>
          </w:tcPr>
          <w:p w14:paraId="3CB68551">
            <w:pPr>
              <w:spacing w:before="31" w:line="274" w:lineRule="exact"/>
              <w:ind w:left="8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7E74F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18674970">
            <w:pPr>
              <w:pStyle w:val="6"/>
              <w:spacing w:before="62" w:line="228" w:lineRule="auto"/>
              <w:ind w:left="951"/>
            </w:pPr>
            <w:r>
              <w:rPr>
                <w:spacing w:val="8"/>
              </w:rPr>
              <w:t>超声波喷雾消毒机</w:t>
            </w:r>
          </w:p>
        </w:tc>
        <w:tc>
          <w:tcPr>
            <w:tcW w:w="2626" w:type="dxa"/>
            <w:vAlign w:val="top"/>
          </w:tcPr>
          <w:p w14:paraId="5305288C">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5E88D1E1">
            <w:pPr>
              <w:pStyle w:val="6"/>
              <w:spacing w:before="62" w:line="229" w:lineRule="auto"/>
              <w:ind w:left="428"/>
            </w:pPr>
            <w:r>
              <w:t>套</w:t>
            </w:r>
          </w:p>
        </w:tc>
        <w:tc>
          <w:tcPr>
            <w:tcW w:w="1703" w:type="dxa"/>
            <w:vAlign w:val="top"/>
          </w:tcPr>
          <w:p w14:paraId="66211814">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13D23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2022690E">
            <w:pPr>
              <w:pStyle w:val="6"/>
              <w:spacing w:before="62" w:line="228" w:lineRule="auto"/>
              <w:ind w:left="643"/>
            </w:pPr>
            <w:r>
              <w:rPr>
                <w:spacing w:val="8"/>
              </w:rPr>
              <w:t>高压喷雾消毒、清洗用车</w:t>
            </w:r>
          </w:p>
        </w:tc>
        <w:tc>
          <w:tcPr>
            <w:tcW w:w="2626" w:type="dxa"/>
            <w:vAlign w:val="top"/>
          </w:tcPr>
          <w:p w14:paraId="5EF17BD0">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0881F1E0">
            <w:pPr>
              <w:pStyle w:val="6"/>
              <w:spacing w:before="62" w:line="231" w:lineRule="auto"/>
              <w:ind w:left="443"/>
            </w:pPr>
            <w:r>
              <w:t>台</w:t>
            </w:r>
          </w:p>
        </w:tc>
        <w:tc>
          <w:tcPr>
            <w:tcW w:w="1703" w:type="dxa"/>
            <w:vAlign w:val="top"/>
          </w:tcPr>
          <w:p w14:paraId="0C3FFDA5">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03AD4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32E0AF16">
            <w:pPr>
              <w:pStyle w:val="6"/>
              <w:spacing w:before="62" w:line="228" w:lineRule="auto"/>
              <w:ind w:left="1062"/>
            </w:pPr>
            <w:r>
              <w:rPr>
                <w:spacing w:val="7"/>
              </w:rPr>
              <w:t>实验室仪器设备</w:t>
            </w:r>
          </w:p>
        </w:tc>
        <w:tc>
          <w:tcPr>
            <w:tcW w:w="2626" w:type="dxa"/>
            <w:vAlign w:val="top"/>
          </w:tcPr>
          <w:p w14:paraId="689D95B6">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39FE6180">
            <w:pPr>
              <w:pStyle w:val="6"/>
              <w:spacing w:before="62" w:line="231" w:lineRule="auto"/>
              <w:ind w:left="426"/>
            </w:pPr>
            <w:r>
              <w:rPr>
                <w:spacing w:val="1"/>
              </w:rPr>
              <w:t>批</w:t>
            </w:r>
          </w:p>
        </w:tc>
        <w:tc>
          <w:tcPr>
            <w:tcW w:w="1703" w:type="dxa"/>
            <w:vAlign w:val="top"/>
          </w:tcPr>
          <w:p w14:paraId="72814841">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0D389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6B9E2849">
            <w:pPr>
              <w:pStyle w:val="6"/>
              <w:spacing w:before="62" w:line="228" w:lineRule="auto"/>
              <w:ind w:left="1022"/>
            </w:pPr>
            <w:r>
              <w:rPr>
                <w:spacing w:val="8"/>
              </w:rPr>
              <w:t>荧光定量</w:t>
            </w:r>
            <w:r>
              <w:rPr>
                <w:spacing w:val="-41"/>
              </w:rPr>
              <w:t xml:space="preserve"> </w:t>
            </w:r>
            <w:r>
              <w:rPr>
                <w:rFonts w:ascii="Times New Roman" w:hAnsi="Times New Roman" w:eastAsia="Times New Roman" w:cs="Times New Roman"/>
              </w:rPr>
              <w:t>PCR</w:t>
            </w:r>
            <w:r>
              <w:rPr>
                <w:rFonts w:ascii="Times New Roman" w:hAnsi="Times New Roman" w:eastAsia="Times New Roman" w:cs="Times New Roman"/>
                <w:spacing w:val="8"/>
              </w:rPr>
              <w:t xml:space="preserve"> </w:t>
            </w:r>
            <w:r>
              <w:rPr>
                <w:spacing w:val="8"/>
              </w:rPr>
              <w:t>仪</w:t>
            </w:r>
          </w:p>
        </w:tc>
        <w:tc>
          <w:tcPr>
            <w:tcW w:w="2626" w:type="dxa"/>
            <w:vAlign w:val="top"/>
          </w:tcPr>
          <w:p w14:paraId="48FCA3D6">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2FD5AACC">
            <w:pPr>
              <w:pStyle w:val="6"/>
              <w:spacing w:before="62" w:line="229" w:lineRule="auto"/>
              <w:ind w:left="447"/>
            </w:pPr>
            <w:r>
              <w:t>套</w:t>
            </w:r>
          </w:p>
        </w:tc>
        <w:tc>
          <w:tcPr>
            <w:tcW w:w="1703" w:type="dxa"/>
            <w:vAlign w:val="top"/>
          </w:tcPr>
          <w:p w14:paraId="67A1069D">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5F685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3FD2BA1E">
            <w:pPr>
              <w:pStyle w:val="6"/>
              <w:spacing w:before="62" w:line="228" w:lineRule="auto"/>
              <w:ind w:left="531"/>
            </w:pPr>
            <w:r>
              <w:rPr>
                <w:spacing w:val="9"/>
              </w:rPr>
              <w:t>全自动数字化室内恒温系统</w:t>
            </w:r>
          </w:p>
        </w:tc>
        <w:tc>
          <w:tcPr>
            <w:tcW w:w="2626" w:type="dxa"/>
            <w:vAlign w:val="top"/>
          </w:tcPr>
          <w:p w14:paraId="1FED626A">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664FF1E5">
            <w:pPr>
              <w:pStyle w:val="6"/>
              <w:spacing w:before="62" w:line="229" w:lineRule="auto"/>
              <w:ind w:left="447"/>
            </w:pPr>
            <w:r>
              <w:t>套</w:t>
            </w:r>
          </w:p>
        </w:tc>
        <w:tc>
          <w:tcPr>
            <w:tcW w:w="1703" w:type="dxa"/>
            <w:vAlign w:val="top"/>
          </w:tcPr>
          <w:p w14:paraId="13747D38">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3D935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8950" w:type="dxa"/>
            <w:gridSpan w:val="4"/>
            <w:vAlign w:val="top"/>
          </w:tcPr>
          <w:p w14:paraId="2D62DFD2">
            <w:pPr>
              <w:pStyle w:val="6"/>
              <w:spacing w:before="62" w:line="229" w:lineRule="auto"/>
              <w:ind w:left="4080"/>
            </w:pPr>
            <w:r>
              <w:rPr>
                <w:b/>
                <w:bCs/>
                <w:spacing w:val="6"/>
              </w:rPr>
              <w:t>辅助设备</w:t>
            </w:r>
          </w:p>
        </w:tc>
      </w:tr>
    </w:tbl>
    <w:p w14:paraId="65ED66BC">
      <w:pPr>
        <w:pStyle w:val="2"/>
        <w:spacing w:line="125" w:lineRule="exact"/>
        <w:rPr>
          <w:sz w:val="10"/>
        </w:rPr>
      </w:pPr>
    </w:p>
    <w:p w14:paraId="398BA992">
      <w:pPr>
        <w:spacing w:line="125" w:lineRule="exact"/>
        <w:rPr>
          <w:sz w:val="10"/>
          <w:szCs w:val="10"/>
        </w:rPr>
        <w:sectPr>
          <w:footerReference r:id="rId64" w:type="default"/>
          <w:pgSz w:w="11906" w:h="16839"/>
          <w:pgMar w:top="400" w:right="1475" w:bottom="1425" w:left="1475" w:header="0" w:footer="1265" w:gutter="0"/>
          <w:cols w:space="720" w:num="1"/>
        </w:sectPr>
      </w:pPr>
    </w:p>
    <w:p w14:paraId="1B907413">
      <w:pPr>
        <w:spacing w:before="13"/>
      </w:pPr>
    </w:p>
    <w:p w14:paraId="3E3D9889">
      <w:pPr>
        <w:spacing w:before="13"/>
      </w:pPr>
    </w:p>
    <w:p w14:paraId="24389469">
      <w:pPr>
        <w:spacing w:before="13"/>
      </w:pPr>
    </w:p>
    <w:p w14:paraId="63146F2A">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2"/>
        <w:gridCol w:w="2626"/>
        <w:gridCol w:w="1049"/>
        <w:gridCol w:w="1703"/>
      </w:tblGrid>
      <w:tr w14:paraId="38E2E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572" w:type="dxa"/>
            <w:vAlign w:val="top"/>
          </w:tcPr>
          <w:p w14:paraId="08C5AAD8">
            <w:pPr>
              <w:pStyle w:val="6"/>
              <w:spacing w:before="64" w:line="228" w:lineRule="auto"/>
              <w:ind w:left="1376"/>
            </w:pPr>
            <w:r>
              <w:rPr>
                <w:spacing w:val="6"/>
              </w:rPr>
              <w:t>消毒设备</w:t>
            </w:r>
          </w:p>
        </w:tc>
        <w:tc>
          <w:tcPr>
            <w:tcW w:w="2626" w:type="dxa"/>
            <w:vAlign w:val="top"/>
          </w:tcPr>
          <w:p w14:paraId="32C6C01F">
            <w:pPr>
              <w:pStyle w:val="6"/>
              <w:spacing w:before="64" w:line="228" w:lineRule="auto"/>
              <w:ind w:left="512"/>
            </w:pPr>
            <w:r>
              <w:rPr>
                <w:spacing w:val="4"/>
              </w:rPr>
              <w:t>自动喷雾消毒系统</w:t>
            </w:r>
          </w:p>
        </w:tc>
        <w:tc>
          <w:tcPr>
            <w:tcW w:w="1049" w:type="dxa"/>
            <w:vAlign w:val="top"/>
          </w:tcPr>
          <w:p w14:paraId="423E5E1F">
            <w:pPr>
              <w:pStyle w:val="6"/>
              <w:spacing w:before="64" w:line="229" w:lineRule="auto"/>
              <w:ind w:left="447"/>
            </w:pPr>
            <w:r>
              <w:t>套</w:t>
            </w:r>
          </w:p>
        </w:tc>
        <w:tc>
          <w:tcPr>
            <w:tcW w:w="1703" w:type="dxa"/>
            <w:vAlign w:val="top"/>
          </w:tcPr>
          <w:p w14:paraId="091C4B92">
            <w:pPr>
              <w:spacing w:before="102" w:line="192" w:lineRule="auto"/>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7144C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7D81F412">
            <w:pPr>
              <w:pStyle w:val="6"/>
              <w:spacing w:before="60" w:line="228" w:lineRule="auto"/>
              <w:ind w:left="1477"/>
            </w:pPr>
            <w:r>
              <w:rPr>
                <w:spacing w:val="6"/>
              </w:rPr>
              <w:t>手推车</w:t>
            </w:r>
          </w:p>
        </w:tc>
        <w:tc>
          <w:tcPr>
            <w:tcW w:w="2626" w:type="dxa"/>
            <w:vAlign w:val="top"/>
          </w:tcPr>
          <w:p w14:paraId="186BBFC5">
            <w:pPr>
              <w:spacing w:before="29"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0D6B9B20">
            <w:pPr>
              <w:pStyle w:val="6"/>
              <w:spacing w:before="60" w:line="228" w:lineRule="auto"/>
              <w:ind w:left="445"/>
            </w:pPr>
            <w:r>
              <w:rPr>
                <w:spacing w:val="1"/>
              </w:rPr>
              <w:t>辆</w:t>
            </w:r>
          </w:p>
        </w:tc>
        <w:tc>
          <w:tcPr>
            <w:tcW w:w="1703" w:type="dxa"/>
            <w:vAlign w:val="top"/>
          </w:tcPr>
          <w:p w14:paraId="51318CCE">
            <w:pPr>
              <w:spacing w:before="29" w:line="274" w:lineRule="exact"/>
              <w:ind w:left="8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r>
      <w:tr w14:paraId="0E5D1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6881B431">
            <w:pPr>
              <w:pStyle w:val="6"/>
              <w:spacing w:before="61" w:line="228" w:lineRule="auto"/>
              <w:ind w:left="1477"/>
            </w:pPr>
            <w:r>
              <w:rPr>
                <w:spacing w:val="6"/>
              </w:rPr>
              <w:t>饮水器</w:t>
            </w:r>
          </w:p>
        </w:tc>
        <w:tc>
          <w:tcPr>
            <w:tcW w:w="2626" w:type="dxa"/>
            <w:vAlign w:val="top"/>
          </w:tcPr>
          <w:p w14:paraId="2EAEA808">
            <w:pPr>
              <w:spacing w:before="30"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176A7092">
            <w:pPr>
              <w:pStyle w:val="6"/>
              <w:spacing w:before="60" w:line="231" w:lineRule="auto"/>
              <w:ind w:left="463"/>
            </w:pPr>
            <w:r>
              <w:t>台</w:t>
            </w:r>
          </w:p>
        </w:tc>
        <w:tc>
          <w:tcPr>
            <w:tcW w:w="1703" w:type="dxa"/>
            <w:vAlign w:val="top"/>
          </w:tcPr>
          <w:p w14:paraId="62EC08DA">
            <w:pPr>
              <w:spacing w:before="99" w:line="192" w:lineRule="auto"/>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DE20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528810F0">
            <w:pPr>
              <w:pStyle w:val="6"/>
              <w:spacing w:before="61" w:line="228" w:lineRule="auto"/>
              <w:ind w:left="1477"/>
            </w:pPr>
            <w:r>
              <w:rPr>
                <w:spacing w:val="6"/>
              </w:rPr>
              <w:t>运输车</w:t>
            </w:r>
          </w:p>
        </w:tc>
        <w:tc>
          <w:tcPr>
            <w:tcW w:w="2626" w:type="dxa"/>
            <w:vAlign w:val="top"/>
          </w:tcPr>
          <w:p w14:paraId="31C5732E">
            <w:pPr>
              <w:spacing w:before="30"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6335328C">
            <w:pPr>
              <w:pStyle w:val="6"/>
              <w:spacing w:before="61" w:line="228" w:lineRule="auto"/>
              <w:ind w:left="445"/>
            </w:pPr>
            <w:r>
              <w:rPr>
                <w:spacing w:val="1"/>
              </w:rPr>
              <w:t>辆</w:t>
            </w:r>
          </w:p>
        </w:tc>
        <w:tc>
          <w:tcPr>
            <w:tcW w:w="1703" w:type="dxa"/>
            <w:vAlign w:val="top"/>
          </w:tcPr>
          <w:p w14:paraId="18B126B1">
            <w:pPr>
              <w:spacing w:before="30" w:line="274" w:lineRule="exact"/>
              <w:ind w:left="8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11932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7A9EA587">
            <w:pPr>
              <w:pStyle w:val="6"/>
              <w:spacing w:before="61" w:line="228" w:lineRule="auto"/>
              <w:ind w:left="1271"/>
            </w:pPr>
            <w:r>
              <w:rPr>
                <w:spacing w:val="7"/>
              </w:rPr>
              <w:t>高压清洗机</w:t>
            </w:r>
          </w:p>
        </w:tc>
        <w:tc>
          <w:tcPr>
            <w:tcW w:w="2626" w:type="dxa"/>
            <w:vAlign w:val="top"/>
          </w:tcPr>
          <w:p w14:paraId="21C342CF">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14BAF0C3">
            <w:pPr>
              <w:pStyle w:val="6"/>
              <w:spacing w:before="61" w:line="231" w:lineRule="auto"/>
              <w:ind w:left="463"/>
            </w:pPr>
            <w:r>
              <w:t>台</w:t>
            </w:r>
          </w:p>
        </w:tc>
        <w:tc>
          <w:tcPr>
            <w:tcW w:w="1703" w:type="dxa"/>
            <w:vAlign w:val="top"/>
          </w:tcPr>
          <w:p w14:paraId="0D98F57A">
            <w:pPr>
              <w:spacing w:before="100" w:line="192" w:lineRule="auto"/>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4112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064B82ED">
            <w:pPr>
              <w:pStyle w:val="6"/>
              <w:spacing w:before="61" w:line="228" w:lineRule="auto"/>
              <w:ind w:left="1268"/>
            </w:pPr>
            <w:r>
              <w:rPr>
                <w:spacing w:val="7"/>
              </w:rPr>
              <w:t>备用发电机</w:t>
            </w:r>
          </w:p>
        </w:tc>
        <w:tc>
          <w:tcPr>
            <w:tcW w:w="2626" w:type="dxa"/>
            <w:vAlign w:val="top"/>
          </w:tcPr>
          <w:p w14:paraId="37E482AF">
            <w:pPr>
              <w:spacing w:before="31" w:line="274" w:lineRule="exact"/>
              <w:ind w:left="102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450</w:t>
            </w:r>
            <w:r>
              <w:rPr>
                <w:rFonts w:ascii="Times New Roman" w:hAnsi="Times New Roman" w:eastAsia="Times New Roman" w:cs="Times New Roman"/>
                <w:position w:val="1"/>
                <w:sz w:val="20"/>
                <w:szCs w:val="20"/>
              </w:rPr>
              <w:t>kw</w:t>
            </w:r>
          </w:p>
        </w:tc>
        <w:tc>
          <w:tcPr>
            <w:tcW w:w="1049" w:type="dxa"/>
            <w:vAlign w:val="top"/>
          </w:tcPr>
          <w:p w14:paraId="327796E8">
            <w:pPr>
              <w:pStyle w:val="6"/>
              <w:spacing w:before="61" w:line="231" w:lineRule="auto"/>
              <w:ind w:left="463"/>
            </w:pPr>
            <w:r>
              <w:t>台</w:t>
            </w:r>
          </w:p>
        </w:tc>
        <w:tc>
          <w:tcPr>
            <w:tcW w:w="1703" w:type="dxa"/>
            <w:vAlign w:val="top"/>
          </w:tcPr>
          <w:p w14:paraId="4B9DDBCF">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E8F0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950" w:type="dxa"/>
            <w:gridSpan w:val="4"/>
            <w:vAlign w:val="top"/>
          </w:tcPr>
          <w:p w14:paraId="1A16C763">
            <w:pPr>
              <w:pStyle w:val="6"/>
              <w:spacing w:before="63" w:line="228" w:lineRule="auto"/>
              <w:ind w:left="3347"/>
            </w:pPr>
            <w:r>
              <w:rPr>
                <w:b/>
                <w:bCs/>
                <w:spacing w:val="7"/>
              </w:rPr>
              <w:t>异位发酵床综合治污设施</w:t>
            </w:r>
          </w:p>
        </w:tc>
      </w:tr>
      <w:tr w14:paraId="16B4C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73499ABF">
            <w:pPr>
              <w:pStyle w:val="6"/>
              <w:spacing w:before="62" w:line="228" w:lineRule="auto"/>
              <w:ind w:left="1476"/>
            </w:pPr>
            <w:r>
              <w:rPr>
                <w:spacing w:val="7"/>
              </w:rPr>
              <w:t>搅拌机</w:t>
            </w:r>
          </w:p>
        </w:tc>
        <w:tc>
          <w:tcPr>
            <w:tcW w:w="2626" w:type="dxa"/>
            <w:vAlign w:val="top"/>
          </w:tcPr>
          <w:p w14:paraId="7D4BB4AE">
            <w:pPr>
              <w:spacing w:before="32"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44628F23">
            <w:pPr>
              <w:pStyle w:val="6"/>
              <w:spacing w:before="62" w:line="231" w:lineRule="auto"/>
              <w:ind w:left="463"/>
            </w:pPr>
            <w:r>
              <w:t>台</w:t>
            </w:r>
          </w:p>
        </w:tc>
        <w:tc>
          <w:tcPr>
            <w:tcW w:w="1703" w:type="dxa"/>
            <w:vAlign w:val="top"/>
          </w:tcPr>
          <w:p w14:paraId="474D235B">
            <w:pPr>
              <w:spacing w:before="32"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6DF3A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16F0A756">
            <w:pPr>
              <w:pStyle w:val="6"/>
              <w:spacing w:before="63" w:line="228" w:lineRule="auto"/>
              <w:ind w:left="1265"/>
            </w:pPr>
            <w:r>
              <w:rPr>
                <w:spacing w:val="8"/>
              </w:rPr>
              <w:t>切割污水泵</w:t>
            </w:r>
          </w:p>
        </w:tc>
        <w:tc>
          <w:tcPr>
            <w:tcW w:w="2626" w:type="dxa"/>
            <w:vAlign w:val="top"/>
          </w:tcPr>
          <w:p w14:paraId="0E42B23D">
            <w:pPr>
              <w:spacing w:before="32"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447138D6">
            <w:pPr>
              <w:pStyle w:val="6"/>
              <w:spacing w:before="62" w:line="231" w:lineRule="auto"/>
              <w:ind w:left="463"/>
            </w:pPr>
            <w:r>
              <w:t>台</w:t>
            </w:r>
          </w:p>
        </w:tc>
        <w:tc>
          <w:tcPr>
            <w:tcW w:w="1703" w:type="dxa"/>
            <w:vAlign w:val="top"/>
          </w:tcPr>
          <w:p w14:paraId="0EF35815">
            <w:pPr>
              <w:spacing w:before="32"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8C76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572" w:type="dxa"/>
            <w:vAlign w:val="top"/>
          </w:tcPr>
          <w:p w14:paraId="53C23A10">
            <w:pPr>
              <w:pStyle w:val="6"/>
              <w:spacing w:before="63" w:line="228" w:lineRule="auto"/>
              <w:ind w:left="1475"/>
            </w:pPr>
            <w:r>
              <w:rPr>
                <w:spacing w:val="7"/>
              </w:rPr>
              <w:t>翻耙机</w:t>
            </w:r>
          </w:p>
        </w:tc>
        <w:tc>
          <w:tcPr>
            <w:tcW w:w="2626" w:type="dxa"/>
            <w:vAlign w:val="top"/>
          </w:tcPr>
          <w:p w14:paraId="52F076B1">
            <w:pPr>
              <w:spacing w:before="33"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5BDA95D2">
            <w:pPr>
              <w:pStyle w:val="6"/>
              <w:spacing w:before="63" w:line="231" w:lineRule="auto"/>
              <w:ind w:left="463"/>
            </w:pPr>
            <w:r>
              <w:t>台</w:t>
            </w:r>
          </w:p>
        </w:tc>
        <w:tc>
          <w:tcPr>
            <w:tcW w:w="1703" w:type="dxa"/>
            <w:vAlign w:val="top"/>
          </w:tcPr>
          <w:p w14:paraId="7165555B">
            <w:pPr>
              <w:spacing w:before="33" w:line="274" w:lineRule="exact"/>
              <w:ind w:left="8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bl>
    <w:p w14:paraId="1F207EAC">
      <w:pPr>
        <w:pStyle w:val="2"/>
        <w:spacing w:line="370" w:lineRule="auto"/>
      </w:pPr>
    </w:p>
    <w:p w14:paraId="786F51A9">
      <w:pPr>
        <w:spacing w:before="78"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3.1.7</w:t>
      </w:r>
      <w:r>
        <w:rPr>
          <w:rFonts w:ascii="宋体" w:hAnsi="宋体" w:eastAsia="宋体" w:cs="宋体"/>
          <w:b/>
          <w:bCs/>
          <w:spacing w:val="-2"/>
          <w:sz w:val="24"/>
          <w:szCs w:val="24"/>
        </w:rPr>
        <w:t>原辅材料</w:t>
      </w:r>
    </w:p>
    <w:p w14:paraId="13456B9F">
      <w:pPr>
        <w:spacing w:before="204" w:line="362" w:lineRule="auto"/>
        <w:ind w:left="125" w:right="113" w:firstLine="478"/>
        <w:rPr>
          <w:rFonts w:ascii="宋体" w:hAnsi="宋体" w:eastAsia="宋体" w:cs="宋体"/>
          <w:sz w:val="24"/>
          <w:szCs w:val="24"/>
        </w:rPr>
      </w:pPr>
      <w:r>
        <w:rPr>
          <w:rFonts w:ascii="宋体" w:hAnsi="宋体" w:eastAsia="宋体" w:cs="宋体"/>
          <w:spacing w:val="2"/>
          <w:sz w:val="24"/>
          <w:szCs w:val="24"/>
        </w:rPr>
        <w:t>本项目饲料主要是玉米、豆粕、麸皮等，外购的玉米、豆粕、糠等经由饲料加</w:t>
      </w:r>
      <w:r>
        <w:rPr>
          <w:rFonts w:ascii="宋体" w:hAnsi="宋体" w:eastAsia="宋体" w:cs="宋体"/>
          <w:spacing w:val="9"/>
          <w:sz w:val="24"/>
          <w:szCs w:val="24"/>
        </w:rPr>
        <w:t xml:space="preserve"> </w:t>
      </w:r>
      <w:r>
        <w:rPr>
          <w:rFonts w:ascii="宋体" w:hAnsi="宋体" w:eastAsia="宋体" w:cs="宋体"/>
          <w:spacing w:val="-2"/>
          <w:sz w:val="24"/>
          <w:szCs w:val="24"/>
        </w:rPr>
        <w:t>工房加工后给猪只进食。</w:t>
      </w:r>
    </w:p>
    <w:p w14:paraId="0F80709A">
      <w:pPr>
        <w:spacing w:before="3" w:line="379" w:lineRule="auto"/>
        <w:ind w:left="121" w:right="113" w:firstLine="482"/>
        <w:jc w:val="both"/>
        <w:rPr>
          <w:rFonts w:ascii="宋体" w:hAnsi="宋体" w:eastAsia="宋体" w:cs="宋体"/>
          <w:sz w:val="24"/>
          <w:szCs w:val="24"/>
        </w:rPr>
      </w:pPr>
      <w:r>
        <w:rPr>
          <w:rFonts w:ascii="宋体" w:hAnsi="宋体" w:eastAsia="宋体" w:cs="宋体"/>
          <w:spacing w:val="1"/>
          <w:sz w:val="24"/>
          <w:szCs w:val="24"/>
        </w:rPr>
        <w:t>本项目饲料来源严格按照《饲料和饲料添加管理条例》（国务院令第</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z w:val="24"/>
          <w:szCs w:val="24"/>
        </w:rPr>
        <w:t>45</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 xml:space="preserve">号） </w:t>
      </w:r>
      <w:r>
        <w:rPr>
          <w:rFonts w:ascii="宋体" w:hAnsi="宋体" w:eastAsia="宋体" w:cs="宋体"/>
          <w:spacing w:val="2"/>
          <w:sz w:val="24"/>
          <w:szCs w:val="24"/>
        </w:rPr>
        <w:t>进行生产和配比，饲料成分及饲料添加剂符合条例规定要求。生产过程中将对使用</w:t>
      </w:r>
      <w:r>
        <w:rPr>
          <w:rFonts w:ascii="宋体" w:hAnsi="宋体" w:eastAsia="宋体" w:cs="宋体"/>
          <w:spacing w:val="8"/>
          <w:sz w:val="24"/>
          <w:szCs w:val="24"/>
        </w:rPr>
        <w:t xml:space="preserve"> </w:t>
      </w:r>
      <w:r>
        <w:rPr>
          <w:rFonts w:ascii="宋体" w:hAnsi="宋体" w:eastAsia="宋体" w:cs="宋体"/>
          <w:sz w:val="24"/>
          <w:szCs w:val="24"/>
        </w:rPr>
        <w:t>到生物除臭剂的猪舍抽风口进行喷洒除臭。原辅材</w:t>
      </w:r>
      <w:r>
        <w:rPr>
          <w:rFonts w:ascii="宋体" w:hAnsi="宋体" w:eastAsia="宋体" w:cs="宋体"/>
          <w:spacing w:val="-1"/>
          <w:sz w:val="24"/>
          <w:szCs w:val="24"/>
        </w:rPr>
        <w:t>料年消耗量见下表。</w:t>
      </w:r>
    </w:p>
    <w:p w14:paraId="67987073">
      <w:pPr>
        <w:spacing w:before="37" w:line="228"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6"/>
          <w:sz w:val="20"/>
          <w:szCs w:val="20"/>
        </w:rPr>
        <w:t xml:space="preserve">3.1-5 </w:t>
      </w:r>
      <w:r>
        <w:rPr>
          <w:rFonts w:ascii="宋体" w:hAnsi="宋体" w:eastAsia="宋体" w:cs="宋体"/>
          <w:b/>
          <w:bCs/>
          <w:spacing w:val="6"/>
          <w:sz w:val="20"/>
          <w:szCs w:val="20"/>
        </w:rPr>
        <w:t>养猪场主要饲料定额消耗指标表</w:t>
      </w:r>
    </w:p>
    <w:p w14:paraId="3DBE18F8">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4"/>
        <w:gridCol w:w="1489"/>
        <w:gridCol w:w="1489"/>
        <w:gridCol w:w="1489"/>
        <w:gridCol w:w="1492"/>
        <w:gridCol w:w="1497"/>
      </w:tblGrid>
      <w:tr w14:paraId="3C8D2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494" w:type="dxa"/>
            <w:vMerge w:val="restart"/>
            <w:tcBorders>
              <w:bottom w:val="nil"/>
            </w:tcBorders>
            <w:vAlign w:val="top"/>
          </w:tcPr>
          <w:p w14:paraId="51C5D88C">
            <w:pPr>
              <w:pStyle w:val="6"/>
              <w:spacing w:before="63" w:line="230" w:lineRule="auto"/>
              <w:ind w:left="543"/>
            </w:pPr>
            <w:r>
              <w:rPr>
                <w:spacing w:val="5"/>
              </w:rPr>
              <w:t>序号</w:t>
            </w:r>
          </w:p>
        </w:tc>
        <w:tc>
          <w:tcPr>
            <w:tcW w:w="1489" w:type="dxa"/>
            <w:vMerge w:val="restart"/>
            <w:tcBorders>
              <w:bottom w:val="nil"/>
            </w:tcBorders>
            <w:vAlign w:val="top"/>
          </w:tcPr>
          <w:p w14:paraId="3039752B">
            <w:pPr>
              <w:pStyle w:val="6"/>
              <w:spacing w:before="63" w:line="231" w:lineRule="auto"/>
              <w:ind w:left="540"/>
            </w:pPr>
            <w:r>
              <w:rPr>
                <w:spacing w:val="3"/>
              </w:rPr>
              <w:t>名称</w:t>
            </w:r>
          </w:p>
        </w:tc>
        <w:tc>
          <w:tcPr>
            <w:tcW w:w="1489" w:type="dxa"/>
            <w:vMerge w:val="restart"/>
            <w:tcBorders>
              <w:bottom w:val="nil"/>
            </w:tcBorders>
            <w:vAlign w:val="top"/>
          </w:tcPr>
          <w:p w14:paraId="3E5FD8ED">
            <w:pPr>
              <w:pStyle w:val="6"/>
              <w:spacing w:before="63" w:line="228" w:lineRule="auto"/>
              <w:ind w:left="226"/>
            </w:pPr>
            <w:r>
              <w:rPr>
                <w:spacing w:val="5"/>
              </w:rPr>
              <w:t>数量（头）</w:t>
            </w:r>
          </w:p>
        </w:tc>
        <w:tc>
          <w:tcPr>
            <w:tcW w:w="4478" w:type="dxa"/>
            <w:gridSpan w:val="3"/>
            <w:vAlign w:val="top"/>
          </w:tcPr>
          <w:p w14:paraId="5EED8439">
            <w:pPr>
              <w:pStyle w:val="6"/>
              <w:spacing w:before="63" w:line="228" w:lineRule="auto"/>
              <w:ind w:left="1718"/>
            </w:pPr>
            <w:r>
              <w:rPr>
                <w:spacing w:val="8"/>
              </w:rPr>
              <w:t>饲料消耗量</w:t>
            </w:r>
          </w:p>
        </w:tc>
      </w:tr>
      <w:tr w14:paraId="13B0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494" w:type="dxa"/>
            <w:vMerge w:val="continue"/>
            <w:tcBorders>
              <w:top w:val="nil"/>
            </w:tcBorders>
            <w:vAlign w:val="top"/>
          </w:tcPr>
          <w:p w14:paraId="5CCA7A99">
            <w:pPr>
              <w:rPr>
                <w:rFonts w:ascii="Arial"/>
                <w:sz w:val="21"/>
              </w:rPr>
            </w:pPr>
          </w:p>
        </w:tc>
        <w:tc>
          <w:tcPr>
            <w:tcW w:w="1489" w:type="dxa"/>
            <w:vMerge w:val="continue"/>
            <w:tcBorders>
              <w:top w:val="nil"/>
            </w:tcBorders>
            <w:vAlign w:val="top"/>
          </w:tcPr>
          <w:p w14:paraId="70D192BB">
            <w:pPr>
              <w:rPr>
                <w:rFonts w:ascii="Arial"/>
                <w:sz w:val="21"/>
              </w:rPr>
            </w:pPr>
          </w:p>
        </w:tc>
        <w:tc>
          <w:tcPr>
            <w:tcW w:w="1489" w:type="dxa"/>
            <w:vMerge w:val="continue"/>
            <w:tcBorders>
              <w:top w:val="nil"/>
            </w:tcBorders>
            <w:vAlign w:val="top"/>
          </w:tcPr>
          <w:p w14:paraId="6DE47695">
            <w:pPr>
              <w:rPr>
                <w:rFonts w:ascii="Arial"/>
                <w:sz w:val="21"/>
              </w:rPr>
            </w:pPr>
          </w:p>
        </w:tc>
        <w:tc>
          <w:tcPr>
            <w:tcW w:w="1489" w:type="dxa"/>
            <w:vAlign w:val="top"/>
          </w:tcPr>
          <w:p w14:paraId="3596A6DD">
            <w:pPr>
              <w:pStyle w:val="6"/>
              <w:spacing w:before="60" w:line="270" w:lineRule="auto"/>
              <w:ind w:left="247" w:right="113" w:hanging="127"/>
            </w:pPr>
            <w:r>
              <w:rPr>
                <w:spacing w:val="8"/>
              </w:rPr>
              <w:t>每头猪饲料定</w:t>
            </w:r>
            <w:r>
              <w:t xml:space="preserve"> </w:t>
            </w:r>
            <w:r>
              <w:rPr>
                <w:spacing w:val="5"/>
              </w:rPr>
              <w:t>额（</w:t>
            </w:r>
            <w:r>
              <w:rPr>
                <w:rFonts w:ascii="Times New Roman" w:hAnsi="Times New Roman" w:eastAsia="Times New Roman" w:cs="Times New Roman"/>
              </w:rPr>
              <w:t>kg</w:t>
            </w:r>
            <w:r>
              <w:rPr>
                <w:rFonts w:ascii="Times New Roman" w:hAnsi="Times New Roman" w:eastAsia="Times New Roman" w:cs="Times New Roman"/>
                <w:spacing w:val="5"/>
              </w:rPr>
              <w:t>/d</w:t>
            </w:r>
            <w:r>
              <w:rPr>
                <w:spacing w:val="5"/>
              </w:rPr>
              <w:t>）</w:t>
            </w:r>
          </w:p>
        </w:tc>
        <w:tc>
          <w:tcPr>
            <w:tcW w:w="1492" w:type="dxa"/>
            <w:vAlign w:val="top"/>
          </w:tcPr>
          <w:p w14:paraId="003E65F1">
            <w:pPr>
              <w:pStyle w:val="6"/>
              <w:spacing w:before="59" w:line="228" w:lineRule="auto"/>
              <w:ind w:left="121"/>
            </w:pPr>
            <w:r>
              <w:rPr>
                <w:spacing w:val="8"/>
              </w:rPr>
              <w:t>饲料日消耗量</w:t>
            </w:r>
          </w:p>
          <w:p w14:paraId="24A856E2">
            <w:pPr>
              <w:pStyle w:val="6"/>
              <w:spacing w:before="48" w:line="274" w:lineRule="exact"/>
              <w:ind w:left="367"/>
            </w:pPr>
            <w:r>
              <w:rPr>
                <w:spacing w:val="2"/>
                <w:position w:val="3"/>
              </w:rPr>
              <w:t>（</w:t>
            </w:r>
            <w:r>
              <w:rPr>
                <w:rFonts w:ascii="Times New Roman" w:hAnsi="Times New Roman" w:eastAsia="Times New Roman" w:cs="Times New Roman"/>
                <w:position w:val="3"/>
              </w:rPr>
              <w:t>kg</w:t>
            </w:r>
            <w:r>
              <w:rPr>
                <w:rFonts w:ascii="Times New Roman" w:hAnsi="Times New Roman" w:eastAsia="Times New Roman" w:cs="Times New Roman"/>
                <w:spacing w:val="2"/>
                <w:position w:val="3"/>
              </w:rPr>
              <w:t>/d</w:t>
            </w:r>
            <w:r>
              <w:rPr>
                <w:spacing w:val="2"/>
                <w:position w:val="3"/>
              </w:rPr>
              <w:t>）</w:t>
            </w:r>
          </w:p>
        </w:tc>
        <w:tc>
          <w:tcPr>
            <w:tcW w:w="1497" w:type="dxa"/>
            <w:vAlign w:val="top"/>
          </w:tcPr>
          <w:p w14:paraId="484A5AB7">
            <w:pPr>
              <w:pStyle w:val="6"/>
              <w:spacing w:before="59" w:line="228" w:lineRule="auto"/>
              <w:ind w:left="122"/>
            </w:pPr>
            <w:r>
              <w:rPr>
                <w:spacing w:val="8"/>
              </w:rPr>
              <w:t>饲料年消耗量</w:t>
            </w:r>
          </w:p>
          <w:p w14:paraId="332E5B7D">
            <w:pPr>
              <w:spacing w:before="48"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(t/a)</w:t>
            </w:r>
          </w:p>
        </w:tc>
      </w:tr>
      <w:tr w14:paraId="45307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494" w:type="dxa"/>
            <w:vAlign w:val="top"/>
          </w:tcPr>
          <w:p w14:paraId="75E2F393">
            <w:pPr>
              <w:spacing w:before="31" w:line="274" w:lineRule="exact"/>
              <w:ind w:left="71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89" w:type="dxa"/>
            <w:vAlign w:val="top"/>
          </w:tcPr>
          <w:p w14:paraId="6B198816">
            <w:pPr>
              <w:pStyle w:val="6"/>
              <w:spacing w:before="61" w:line="228" w:lineRule="auto"/>
              <w:ind w:left="442"/>
            </w:pPr>
            <w:r>
              <w:rPr>
                <w:spacing w:val="4"/>
              </w:rPr>
              <w:t>育肥猪</w:t>
            </w:r>
          </w:p>
        </w:tc>
        <w:tc>
          <w:tcPr>
            <w:tcW w:w="1489" w:type="dxa"/>
            <w:vAlign w:val="top"/>
          </w:tcPr>
          <w:p w14:paraId="59C1305B">
            <w:pPr>
              <w:spacing w:before="31" w:line="274" w:lineRule="exact"/>
              <w:ind w:left="5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1489" w:type="dxa"/>
            <w:vAlign w:val="top"/>
          </w:tcPr>
          <w:p w14:paraId="5CC905B2">
            <w:pPr>
              <w:spacing w:before="31" w:line="274" w:lineRule="exact"/>
              <w:ind w:left="69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492" w:type="dxa"/>
            <w:vAlign w:val="top"/>
          </w:tcPr>
          <w:p w14:paraId="2E530C34">
            <w:pPr>
              <w:spacing w:before="31"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21000</w:t>
            </w:r>
          </w:p>
        </w:tc>
        <w:tc>
          <w:tcPr>
            <w:tcW w:w="1497" w:type="dxa"/>
            <w:vAlign w:val="top"/>
          </w:tcPr>
          <w:p w14:paraId="7CC3695C">
            <w:pPr>
              <w:spacing w:before="31"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7665</w:t>
            </w:r>
          </w:p>
        </w:tc>
      </w:tr>
      <w:tr w14:paraId="61086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983" w:type="dxa"/>
            <w:gridSpan w:val="2"/>
            <w:vAlign w:val="top"/>
          </w:tcPr>
          <w:p w14:paraId="5F410765">
            <w:pPr>
              <w:pStyle w:val="6"/>
              <w:spacing w:before="62" w:line="230" w:lineRule="auto"/>
              <w:ind w:left="1288"/>
            </w:pPr>
            <w:r>
              <w:rPr>
                <w:spacing w:val="4"/>
              </w:rPr>
              <w:t>合计</w:t>
            </w:r>
          </w:p>
        </w:tc>
        <w:tc>
          <w:tcPr>
            <w:tcW w:w="1489" w:type="dxa"/>
            <w:vAlign w:val="top"/>
          </w:tcPr>
          <w:p w14:paraId="2DFB7250">
            <w:pPr>
              <w:spacing w:before="32" w:line="274" w:lineRule="exact"/>
              <w:ind w:left="5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1489" w:type="dxa"/>
            <w:vAlign w:val="top"/>
          </w:tcPr>
          <w:p w14:paraId="7E865A71">
            <w:pPr>
              <w:spacing w:before="32" w:line="274" w:lineRule="exact"/>
              <w:ind w:left="7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2" w:type="dxa"/>
            <w:vAlign w:val="top"/>
          </w:tcPr>
          <w:p w14:paraId="4FC0CC47">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21000</w:t>
            </w:r>
          </w:p>
        </w:tc>
        <w:tc>
          <w:tcPr>
            <w:tcW w:w="1497" w:type="dxa"/>
            <w:vAlign w:val="top"/>
          </w:tcPr>
          <w:p w14:paraId="7BC3AE95">
            <w:pPr>
              <w:spacing w:before="32"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7665</w:t>
            </w:r>
          </w:p>
        </w:tc>
      </w:tr>
    </w:tbl>
    <w:p w14:paraId="71E9D1CF">
      <w:pPr>
        <w:spacing w:before="140" w:line="228" w:lineRule="auto"/>
        <w:ind w:left="324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5"/>
          <w:sz w:val="20"/>
          <w:szCs w:val="20"/>
        </w:rPr>
        <w:t xml:space="preserve"> </w:t>
      </w:r>
      <w:r>
        <w:rPr>
          <w:rFonts w:ascii="Times New Roman" w:hAnsi="Times New Roman" w:eastAsia="Times New Roman" w:cs="Times New Roman"/>
          <w:b/>
          <w:bCs/>
          <w:spacing w:val="6"/>
          <w:sz w:val="20"/>
          <w:szCs w:val="20"/>
        </w:rPr>
        <w:t xml:space="preserve">3.1-6  </w:t>
      </w:r>
      <w:r>
        <w:rPr>
          <w:rFonts w:ascii="宋体" w:hAnsi="宋体" w:eastAsia="宋体" w:cs="宋体"/>
          <w:b/>
          <w:bCs/>
          <w:spacing w:val="6"/>
          <w:sz w:val="20"/>
          <w:szCs w:val="20"/>
        </w:rPr>
        <w:t>主要原辅料用量及来源</w:t>
      </w:r>
    </w:p>
    <w:p w14:paraId="5D560D25">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2200"/>
        <w:gridCol w:w="1701"/>
        <w:gridCol w:w="708"/>
        <w:gridCol w:w="3170"/>
      </w:tblGrid>
      <w:tr w14:paraId="23910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71" w:type="dxa"/>
            <w:vAlign w:val="top"/>
          </w:tcPr>
          <w:p w14:paraId="45804586">
            <w:pPr>
              <w:pStyle w:val="6"/>
              <w:spacing w:before="63" w:line="228" w:lineRule="auto"/>
              <w:ind w:left="381"/>
            </w:pPr>
            <w:r>
              <w:rPr>
                <w:spacing w:val="4"/>
              </w:rPr>
              <w:t>来源</w:t>
            </w:r>
          </w:p>
        </w:tc>
        <w:tc>
          <w:tcPr>
            <w:tcW w:w="2200" w:type="dxa"/>
            <w:vAlign w:val="top"/>
          </w:tcPr>
          <w:p w14:paraId="0D666F32">
            <w:pPr>
              <w:pStyle w:val="6"/>
              <w:spacing w:before="62" w:line="231" w:lineRule="auto"/>
              <w:ind w:left="897"/>
            </w:pPr>
            <w:r>
              <w:rPr>
                <w:spacing w:val="3"/>
              </w:rPr>
              <w:t>名称</w:t>
            </w:r>
          </w:p>
        </w:tc>
        <w:tc>
          <w:tcPr>
            <w:tcW w:w="1701" w:type="dxa"/>
            <w:vAlign w:val="top"/>
          </w:tcPr>
          <w:p w14:paraId="583E9DB9">
            <w:pPr>
              <w:pStyle w:val="6"/>
              <w:spacing w:before="63" w:line="228" w:lineRule="auto"/>
              <w:ind w:left="540"/>
            </w:pPr>
            <w:r>
              <w:rPr>
                <w:spacing w:val="6"/>
              </w:rPr>
              <w:t>年耗量</w:t>
            </w:r>
          </w:p>
        </w:tc>
        <w:tc>
          <w:tcPr>
            <w:tcW w:w="708" w:type="dxa"/>
            <w:vAlign w:val="top"/>
          </w:tcPr>
          <w:p w14:paraId="0CB26DE7">
            <w:pPr>
              <w:pStyle w:val="6"/>
              <w:spacing w:before="63" w:line="228" w:lineRule="auto"/>
              <w:ind w:left="150"/>
            </w:pPr>
            <w:r>
              <w:rPr>
                <w:spacing w:val="4"/>
              </w:rPr>
              <w:t>来源</w:t>
            </w:r>
          </w:p>
        </w:tc>
        <w:tc>
          <w:tcPr>
            <w:tcW w:w="3170" w:type="dxa"/>
            <w:vAlign w:val="top"/>
          </w:tcPr>
          <w:p w14:paraId="17A387AE">
            <w:pPr>
              <w:pStyle w:val="6"/>
              <w:spacing w:before="63" w:line="229" w:lineRule="auto"/>
              <w:ind w:left="1171"/>
            </w:pPr>
            <w:r>
              <w:rPr>
                <w:spacing w:val="6"/>
              </w:rPr>
              <w:t>主要成分</w:t>
            </w:r>
          </w:p>
        </w:tc>
      </w:tr>
      <w:tr w14:paraId="0E09B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171" w:type="dxa"/>
            <w:vMerge w:val="restart"/>
            <w:tcBorders>
              <w:bottom w:val="nil"/>
            </w:tcBorders>
            <w:vAlign w:val="top"/>
          </w:tcPr>
          <w:p w14:paraId="6073E3DE">
            <w:pPr>
              <w:spacing w:line="300" w:lineRule="auto"/>
              <w:rPr>
                <w:rFonts w:ascii="Arial"/>
                <w:sz w:val="21"/>
              </w:rPr>
            </w:pPr>
          </w:p>
          <w:p w14:paraId="6743F428">
            <w:pPr>
              <w:spacing w:line="300" w:lineRule="auto"/>
              <w:rPr>
                <w:rFonts w:ascii="Arial"/>
                <w:sz w:val="21"/>
              </w:rPr>
            </w:pPr>
          </w:p>
          <w:p w14:paraId="74ADD407">
            <w:pPr>
              <w:spacing w:line="300" w:lineRule="auto"/>
              <w:rPr>
                <w:rFonts w:ascii="Arial"/>
                <w:sz w:val="21"/>
              </w:rPr>
            </w:pPr>
          </w:p>
          <w:p w14:paraId="14AE8AC2">
            <w:pPr>
              <w:pStyle w:val="6"/>
              <w:spacing w:before="65" w:line="229" w:lineRule="auto"/>
              <w:ind w:left="118"/>
            </w:pPr>
            <w:r>
              <w:rPr>
                <w:spacing w:val="-13"/>
              </w:rPr>
              <w:t>主（辅）料</w:t>
            </w:r>
          </w:p>
        </w:tc>
        <w:tc>
          <w:tcPr>
            <w:tcW w:w="2200" w:type="dxa"/>
            <w:vAlign w:val="top"/>
          </w:tcPr>
          <w:p w14:paraId="5A338C91">
            <w:pPr>
              <w:pStyle w:val="6"/>
              <w:spacing w:before="97" w:line="229" w:lineRule="auto"/>
              <w:ind w:left="893"/>
            </w:pPr>
            <w:r>
              <w:rPr>
                <w:spacing w:val="5"/>
              </w:rPr>
              <w:t>饲料</w:t>
            </w:r>
          </w:p>
        </w:tc>
        <w:tc>
          <w:tcPr>
            <w:tcW w:w="1701" w:type="dxa"/>
            <w:vAlign w:val="top"/>
          </w:tcPr>
          <w:p w14:paraId="095839C2">
            <w:pPr>
              <w:spacing w:before="66" w:line="274"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7665t/a</w:t>
            </w:r>
          </w:p>
        </w:tc>
        <w:tc>
          <w:tcPr>
            <w:tcW w:w="708" w:type="dxa"/>
            <w:vAlign w:val="top"/>
          </w:tcPr>
          <w:p w14:paraId="71B1E834">
            <w:pPr>
              <w:pStyle w:val="6"/>
              <w:spacing w:before="97" w:line="229" w:lineRule="auto"/>
              <w:ind w:left="153"/>
            </w:pPr>
            <w:r>
              <w:rPr>
                <w:spacing w:val="2"/>
              </w:rPr>
              <w:t>外购</w:t>
            </w:r>
          </w:p>
        </w:tc>
        <w:tc>
          <w:tcPr>
            <w:tcW w:w="3170" w:type="dxa"/>
            <w:vAlign w:val="top"/>
          </w:tcPr>
          <w:p w14:paraId="491FB9F2">
            <w:pPr>
              <w:pStyle w:val="6"/>
              <w:spacing w:before="82" w:line="220" w:lineRule="auto"/>
              <w:ind w:left="675"/>
              <w:rPr>
                <w:sz w:val="24"/>
                <w:szCs w:val="24"/>
              </w:rPr>
            </w:pPr>
            <w:r>
              <w:rPr>
                <w:spacing w:val="2"/>
              </w:rPr>
              <w:t>玉米、</w:t>
            </w:r>
            <w:r>
              <w:rPr>
                <w:spacing w:val="2"/>
                <w:sz w:val="24"/>
                <w:szCs w:val="24"/>
              </w:rPr>
              <w:t>豆粕、麸皮</w:t>
            </w:r>
          </w:p>
        </w:tc>
      </w:tr>
      <w:tr w14:paraId="6FDF3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71" w:type="dxa"/>
            <w:vMerge w:val="continue"/>
            <w:tcBorders>
              <w:top w:val="nil"/>
              <w:bottom w:val="nil"/>
            </w:tcBorders>
            <w:vAlign w:val="top"/>
          </w:tcPr>
          <w:p w14:paraId="73525236">
            <w:pPr>
              <w:rPr>
                <w:rFonts w:ascii="Arial"/>
                <w:sz w:val="21"/>
              </w:rPr>
            </w:pPr>
          </w:p>
        </w:tc>
        <w:tc>
          <w:tcPr>
            <w:tcW w:w="2200" w:type="dxa"/>
            <w:vAlign w:val="top"/>
          </w:tcPr>
          <w:p w14:paraId="3E1F04EE">
            <w:pPr>
              <w:pStyle w:val="6"/>
              <w:spacing w:before="259" w:line="229" w:lineRule="auto"/>
              <w:ind w:left="696"/>
            </w:pPr>
            <w:r>
              <w:rPr>
                <w:spacing w:val="4"/>
              </w:rPr>
              <w:t>防疫药品</w:t>
            </w:r>
          </w:p>
        </w:tc>
        <w:tc>
          <w:tcPr>
            <w:tcW w:w="1701" w:type="dxa"/>
            <w:vAlign w:val="top"/>
          </w:tcPr>
          <w:p w14:paraId="4B1BA629">
            <w:pPr>
              <w:spacing w:before="22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0.1t/a</w:t>
            </w:r>
          </w:p>
        </w:tc>
        <w:tc>
          <w:tcPr>
            <w:tcW w:w="708" w:type="dxa"/>
            <w:vMerge w:val="restart"/>
            <w:tcBorders>
              <w:bottom w:val="nil"/>
            </w:tcBorders>
            <w:vAlign w:val="top"/>
          </w:tcPr>
          <w:p w14:paraId="1E6CAB56">
            <w:pPr>
              <w:spacing w:line="263" w:lineRule="auto"/>
              <w:rPr>
                <w:rFonts w:ascii="Arial"/>
                <w:sz w:val="21"/>
              </w:rPr>
            </w:pPr>
          </w:p>
          <w:p w14:paraId="30A6B111">
            <w:pPr>
              <w:spacing w:line="264" w:lineRule="auto"/>
              <w:rPr>
                <w:rFonts w:ascii="Arial"/>
                <w:sz w:val="21"/>
              </w:rPr>
            </w:pPr>
          </w:p>
          <w:p w14:paraId="0F398D66">
            <w:pPr>
              <w:pStyle w:val="6"/>
              <w:spacing w:before="65" w:line="229" w:lineRule="auto"/>
              <w:ind w:left="153"/>
            </w:pPr>
            <w:r>
              <w:rPr>
                <w:spacing w:val="2"/>
              </w:rPr>
              <w:t>外购</w:t>
            </w:r>
          </w:p>
        </w:tc>
        <w:tc>
          <w:tcPr>
            <w:tcW w:w="3170" w:type="dxa"/>
            <w:vAlign w:val="top"/>
          </w:tcPr>
          <w:p w14:paraId="0D1A4423">
            <w:pPr>
              <w:pStyle w:val="6"/>
              <w:spacing w:before="259" w:line="228" w:lineRule="auto"/>
              <w:ind w:left="540"/>
            </w:pPr>
            <w:r>
              <w:rPr>
                <w:spacing w:val="8"/>
              </w:rPr>
              <w:t>猪瘟疫苗、蓝耳疫苗等</w:t>
            </w:r>
          </w:p>
        </w:tc>
      </w:tr>
      <w:tr w14:paraId="1943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71" w:type="dxa"/>
            <w:vMerge w:val="continue"/>
            <w:tcBorders>
              <w:top w:val="nil"/>
              <w:bottom w:val="nil"/>
            </w:tcBorders>
            <w:vAlign w:val="top"/>
          </w:tcPr>
          <w:p w14:paraId="5081E0BE">
            <w:pPr>
              <w:rPr>
                <w:rFonts w:ascii="Arial"/>
                <w:sz w:val="21"/>
              </w:rPr>
            </w:pPr>
          </w:p>
        </w:tc>
        <w:tc>
          <w:tcPr>
            <w:tcW w:w="2200" w:type="dxa"/>
            <w:vAlign w:val="top"/>
          </w:tcPr>
          <w:p w14:paraId="35493161">
            <w:pPr>
              <w:pStyle w:val="6"/>
              <w:spacing w:before="62" w:line="229" w:lineRule="auto"/>
              <w:ind w:left="895"/>
            </w:pPr>
            <w:r>
              <w:rPr>
                <w:spacing w:val="4"/>
              </w:rPr>
              <w:t>兽药</w:t>
            </w:r>
          </w:p>
        </w:tc>
        <w:tc>
          <w:tcPr>
            <w:tcW w:w="1701" w:type="dxa"/>
            <w:vAlign w:val="top"/>
          </w:tcPr>
          <w:p w14:paraId="32F6B863">
            <w:pPr>
              <w:spacing w:before="31"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0.4t/a</w:t>
            </w:r>
          </w:p>
        </w:tc>
        <w:tc>
          <w:tcPr>
            <w:tcW w:w="708" w:type="dxa"/>
            <w:vMerge w:val="continue"/>
            <w:tcBorders>
              <w:top w:val="nil"/>
              <w:bottom w:val="nil"/>
            </w:tcBorders>
            <w:vAlign w:val="top"/>
          </w:tcPr>
          <w:p w14:paraId="36A18DFE">
            <w:pPr>
              <w:rPr>
                <w:rFonts w:ascii="Arial"/>
                <w:sz w:val="21"/>
              </w:rPr>
            </w:pPr>
          </w:p>
        </w:tc>
        <w:tc>
          <w:tcPr>
            <w:tcW w:w="3170" w:type="dxa"/>
            <w:vAlign w:val="top"/>
          </w:tcPr>
          <w:p w14:paraId="53C04F32">
            <w:pPr>
              <w:pStyle w:val="6"/>
              <w:spacing w:before="62" w:line="228" w:lineRule="auto"/>
              <w:ind w:left="549"/>
            </w:pPr>
            <w:r>
              <w:rPr>
                <w:spacing w:val="8"/>
              </w:rPr>
              <w:t>阿莫西林、林可霉素等</w:t>
            </w:r>
          </w:p>
        </w:tc>
      </w:tr>
      <w:tr w14:paraId="67F99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71" w:type="dxa"/>
            <w:vMerge w:val="continue"/>
            <w:tcBorders>
              <w:top w:val="nil"/>
              <w:bottom w:val="nil"/>
            </w:tcBorders>
            <w:vAlign w:val="top"/>
          </w:tcPr>
          <w:p w14:paraId="47879DEC">
            <w:pPr>
              <w:rPr>
                <w:rFonts w:ascii="Arial"/>
                <w:sz w:val="21"/>
              </w:rPr>
            </w:pPr>
          </w:p>
        </w:tc>
        <w:tc>
          <w:tcPr>
            <w:tcW w:w="2200" w:type="dxa"/>
            <w:vAlign w:val="top"/>
          </w:tcPr>
          <w:p w14:paraId="24BCDA9D">
            <w:pPr>
              <w:pStyle w:val="6"/>
              <w:spacing w:before="62" w:line="228" w:lineRule="auto"/>
              <w:ind w:left="793"/>
            </w:pPr>
            <w:r>
              <w:rPr>
                <w:spacing w:val="5"/>
              </w:rPr>
              <w:t>消毒剂</w:t>
            </w:r>
          </w:p>
        </w:tc>
        <w:tc>
          <w:tcPr>
            <w:tcW w:w="1701" w:type="dxa"/>
            <w:vAlign w:val="top"/>
          </w:tcPr>
          <w:p w14:paraId="2EAC6840">
            <w:pPr>
              <w:spacing w:before="32" w:line="274" w:lineRule="exact"/>
              <w:ind w:left="6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2.3t/a</w:t>
            </w:r>
          </w:p>
        </w:tc>
        <w:tc>
          <w:tcPr>
            <w:tcW w:w="708" w:type="dxa"/>
            <w:vMerge w:val="continue"/>
            <w:tcBorders>
              <w:top w:val="nil"/>
            </w:tcBorders>
            <w:vAlign w:val="top"/>
          </w:tcPr>
          <w:p w14:paraId="63B9ABA6">
            <w:pPr>
              <w:rPr>
                <w:rFonts w:ascii="Arial"/>
                <w:sz w:val="21"/>
              </w:rPr>
            </w:pPr>
          </w:p>
        </w:tc>
        <w:tc>
          <w:tcPr>
            <w:tcW w:w="3170" w:type="dxa"/>
            <w:vAlign w:val="top"/>
          </w:tcPr>
          <w:p w14:paraId="0E9B74C7">
            <w:pPr>
              <w:pStyle w:val="6"/>
              <w:spacing w:before="62" w:line="228" w:lineRule="auto"/>
              <w:ind w:left="854"/>
            </w:pPr>
            <w:r>
              <w:rPr>
                <w:spacing w:val="8"/>
              </w:rPr>
              <w:t>碘、氯、醛制剂</w:t>
            </w:r>
          </w:p>
        </w:tc>
      </w:tr>
      <w:tr w14:paraId="6A72A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71" w:type="dxa"/>
            <w:vMerge w:val="continue"/>
            <w:tcBorders>
              <w:top w:val="nil"/>
            </w:tcBorders>
            <w:vAlign w:val="top"/>
          </w:tcPr>
          <w:p w14:paraId="5C589191">
            <w:pPr>
              <w:rPr>
                <w:rFonts w:ascii="Arial"/>
                <w:sz w:val="21"/>
              </w:rPr>
            </w:pPr>
          </w:p>
        </w:tc>
        <w:tc>
          <w:tcPr>
            <w:tcW w:w="2200" w:type="dxa"/>
            <w:vAlign w:val="top"/>
          </w:tcPr>
          <w:p w14:paraId="19D2388F">
            <w:pPr>
              <w:pStyle w:val="6"/>
              <w:spacing w:before="63" w:line="228" w:lineRule="auto"/>
              <w:ind w:left="801"/>
            </w:pPr>
            <w:r>
              <w:rPr>
                <w:spacing w:val="2"/>
              </w:rPr>
              <w:t>除臭剂</w:t>
            </w:r>
          </w:p>
        </w:tc>
        <w:tc>
          <w:tcPr>
            <w:tcW w:w="1701" w:type="dxa"/>
            <w:vAlign w:val="top"/>
          </w:tcPr>
          <w:p w14:paraId="08A8AD97">
            <w:pPr>
              <w:spacing w:before="33" w:line="274" w:lineRule="exact"/>
              <w:ind w:left="69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6t/a</w:t>
            </w:r>
          </w:p>
        </w:tc>
        <w:tc>
          <w:tcPr>
            <w:tcW w:w="708" w:type="dxa"/>
            <w:vAlign w:val="top"/>
          </w:tcPr>
          <w:p w14:paraId="5FC1A287">
            <w:pPr>
              <w:pStyle w:val="6"/>
              <w:spacing w:before="64" w:line="229" w:lineRule="auto"/>
              <w:ind w:left="153"/>
            </w:pPr>
            <w:r>
              <w:rPr>
                <w:spacing w:val="2"/>
              </w:rPr>
              <w:t>外购</w:t>
            </w:r>
          </w:p>
        </w:tc>
        <w:tc>
          <w:tcPr>
            <w:tcW w:w="3170" w:type="dxa"/>
            <w:vAlign w:val="top"/>
          </w:tcPr>
          <w:p w14:paraId="7C25DE11">
            <w:pPr>
              <w:pStyle w:val="6"/>
              <w:spacing w:before="64" w:line="228" w:lineRule="auto"/>
              <w:ind w:left="1282"/>
            </w:pPr>
            <w:r>
              <w:rPr>
                <w:spacing w:val="4"/>
              </w:rPr>
              <w:t>百芬百</w:t>
            </w:r>
          </w:p>
        </w:tc>
      </w:tr>
    </w:tbl>
    <w:p w14:paraId="5DEFB92D">
      <w:pPr>
        <w:pStyle w:val="2"/>
        <w:spacing w:line="325" w:lineRule="auto"/>
      </w:pPr>
    </w:p>
    <w:p w14:paraId="613F27B3">
      <w:pPr>
        <w:spacing w:before="102" w:line="226" w:lineRule="auto"/>
        <w:ind w:left="118"/>
        <w:outlineLvl w:val="1"/>
        <w:rPr>
          <w:rFonts w:ascii="宋体" w:hAnsi="宋体" w:eastAsia="宋体" w:cs="宋体"/>
          <w:sz w:val="31"/>
          <w:szCs w:val="31"/>
        </w:rPr>
      </w:pPr>
      <w:bookmarkStart w:id="21" w:name="bookmark19"/>
      <w:bookmarkEnd w:id="21"/>
      <w:r>
        <w:rPr>
          <w:rFonts w:ascii="Times New Roman" w:hAnsi="Times New Roman" w:eastAsia="Times New Roman" w:cs="Times New Roman"/>
          <w:b/>
          <w:bCs/>
          <w:spacing w:val="5"/>
          <w:sz w:val="31"/>
          <w:szCs w:val="31"/>
        </w:rPr>
        <w:t>3.2</w:t>
      </w:r>
      <w:r>
        <w:rPr>
          <w:rFonts w:ascii="宋体" w:hAnsi="宋体" w:eastAsia="宋体" w:cs="宋体"/>
          <w:b/>
          <w:bCs/>
          <w:spacing w:val="5"/>
          <w:sz w:val="31"/>
          <w:szCs w:val="31"/>
        </w:rPr>
        <w:t>辅助公用工程</w:t>
      </w:r>
    </w:p>
    <w:p w14:paraId="3590A7A6">
      <w:pPr>
        <w:pStyle w:val="2"/>
        <w:spacing w:line="409" w:lineRule="auto"/>
      </w:pPr>
    </w:p>
    <w:p w14:paraId="03B80472">
      <w:pPr>
        <w:spacing w:before="78"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3.2.1</w:t>
      </w:r>
      <w:r>
        <w:rPr>
          <w:rFonts w:ascii="宋体" w:hAnsi="宋体" w:eastAsia="宋体" w:cs="宋体"/>
          <w:b/>
          <w:bCs/>
          <w:spacing w:val="-2"/>
          <w:sz w:val="24"/>
          <w:szCs w:val="24"/>
        </w:rPr>
        <w:t>给排水工程</w:t>
      </w:r>
    </w:p>
    <w:p w14:paraId="4C382919">
      <w:pPr>
        <w:spacing w:before="203" w:line="220" w:lineRule="auto"/>
        <w:ind w:left="609"/>
        <w:rPr>
          <w:rFonts w:ascii="宋体" w:hAnsi="宋体" w:eastAsia="宋体" w:cs="宋体"/>
          <w:sz w:val="24"/>
          <w:szCs w:val="24"/>
        </w:rPr>
      </w:pPr>
      <w:r>
        <w:rPr>
          <w:rFonts w:ascii="Times New Roman" w:hAnsi="Times New Roman" w:eastAsia="Times New Roman" w:cs="Times New Roman"/>
          <w:b/>
          <w:bCs/>
          <w:spacing w:val="-12"/>
          <w:sz w:val="24"/>
          <w:szCs w:val="24"/>
        </w:rPr>
        <w:t>1</w:t>
      </w:r>
      <w:r>
        <w:rPr>
          <w:rFonts w:ascii="Times New Roman" w:hAnsi="Times New Roman" w:eastAsia="Times New Roman" w:cs="Times New Roman"/>
          <w:b/>
          <w:bCs/>
          <w:spacing w:val="-34"/>
          <w:sz w:val="24"/>
          <w:szCs w:val="24"/>
        </w:rPr>
        <w:t xml:space="preserve"> </w:t>
      </w:r>
      <w:r>
        <w:rPr>
          <w:rFonts w:ascii="宋体" w:hAnsi="宋体" w:eastAsia="宋体" w:cs="宋体"/>
          <w:b/>
          <w:bCs/>
          <w:spacing w:val="-12"/>
          <w:sz w:val="24"/>
          <w:szCs w:val="24"/>
        </w:rPr>
        <w:t>、给水</w:t>
      </w:r>
    </w:p>
    <w:p w14:paraId="082990F0">
      <w:pPr>
        <w:spacing w:line="220" w:lineRule="auto"/>
        <w:rPr>
          <w:rFonts w:ascii="宋体" w:hAnsi="宋体" w:eastAsia="宋体" w:cs="宋体"/>
          <w:sz w:val="24"/>
          <w:szCs w:val="24"/>
        </w:rPr>
        <w:sectPr>
          <w:footerReference r:id="rId65" w:type="default"/>
          <w:pgSz w:w="11906" w:h="16839"/>
          <w:pgMar w:top="400" w:right="1475" w:bottom="1485" w:left="1475" w:header="0" w:footer="1249" w:gutter="0"/>
          <w:cols w:space="720" w:num="1"/>
        </w:sectPr>
      </w:pPr>
    </w:p>
    <w:p w14:paraId="286EC9DC">
      <w:pPr>
        <w:pStyle w:val="2"/>
        <w:spacing w:line="264" w:lineRule="auto"/>
      </w:pPr>
    </w:p>
    <w:p w14:paraId="7103E564">
      <w:pPr>
        <w:pStyle w:val="2"/>
        <w:spacing w:line="264" w:lineRule="auto"/>
      </w:pPr>
    </w:p>
    <w:p w14:paraId="7FA15F47">
      <w:pPr>
        <w:pStyle w:val="2"/>
        <w:spacing w:line="264" w:lineRule="auto"/>
      </w:pPr>
    </w:p>
    <w:p w14:paraId="36087EA3">
      <w:pPr>
        <w:pStyle w:val="2"/>
        <w:spacing w:line="265" w:lineRule="auto"/>
      </w:pPr>
    </w:p>
    <w:p w14:paraId="63CF5423">
      <w:pPr>
        <w:spacing w:before="78" w:line="219" w:lineRule="auto"/>
        <w:ind w:left="603"/>
        <w:rPr>
          <w:rFonts w:ascii="宋体" w:hAnsi="宋体" w:eastAsia="宋体" w:cs="宋体"/>
          <w:sz w:val="24"/>
          <w:szCs w:val="24"/>
        </w:rPr>
      </w:pPr>
      <w:r>
        <w:rPr>
          <w:rFonts w:ascii="宋体" w:hAnsi="宋体" w:eastAsia="宋体" w:cs="宋体"/>
          <w:spacing w:val="-1"/>
          <w:sz w:val="24"/>
          <w:szCs w:val="24"/>
        </w:rPr>
        <w:t>本项目水源是市政供水的自来水。</w:t>
      </w:r>
    </w:p>
    <w:p w14:paraId="3836CC49">
      <w:pPr>
        <w:spacing w:before="169"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）用水量及水平衡</w:t>
      </w:r>
    </w:p>
    <w:p w14:paraId="0833B066">
      <w:pPr>
        <w:spacing w:before="163" w:line="376" w:lineRule="auto"/>
        <w:ind w:left="141" w:right="113" w:firstLine="462"/>
        <w:rPr>
          <w:rFonts w:ascii="宋体" w:hAnsi="宋体" w:eastAsia="宋体" w:cs="宋体"/>
          <w:sz w:val="24"/>
          <w:szCs w:val="24"/>
        </w:rPr>
      </w:pPr>
      <w:r>
        <w:rPr>
          <w:rFonts w:ascii="宋体" w:hAnsi="宋体" w:eastAsia="宋体" w:cs="宋体"/>
          <w:spacing w:val="2"/>
          <w:sz w:val="24"/>
          <w:szCs w:val="24"/>
        </w:rPr>
        <w:t>本项目主要用水是员工办公生活用水、猪只饮用水、猪舍清洗用水、夏季猪舍</w:t>
      </w:r>
      <w:r>
        <w:rPr>
          <w:rFonts w:ascii="宋体" w:hAnsi="宋体" w:eastAsia="宋体" w:cs="宋体"/>
          <w:spacing w:val="9"/>
          <w:sz w:val="24"/>
          <w:szCs w:val="24"/>
        </w:rPr>
        <w:t xml:space="preserve"> </w:t>
      </w:r>
      <w:r>
        <w:rPr>
          <w:rFonts w:ascii="宋体" w:hAnsi="宋体" w:eastAsia="宋体" w:cs="宋体"/>
          <w:spacing w:val="-5"/>
          <w:sz w:val="24"/>
          <w:szCs w:val="24"/>
        </w:rPr>
        <w:t>降温水帘用水。</w:t>
      </w:r>
    </w:p>
    <w:p w14:paraId="0C0F7BF8">
      <w:pPr>
        <w:spacing w:before="1" w:line="217" w:lineRule="auto"/>
        <w:ind w:left="602"/>
        <w:rPr>
          <w:rFonts w:ascii="宋体" w:hAnsi="宋体" w:eastAsia="宋体" w:cs="宋体"/>
          <w:sz w:val="24"/>
          <w:szCs w:val="24"/>
        </w:rPr>
      </w:pPr>
      <w:r>
        <w:rPr>
          <w:rFonts w:ascii="宋体" w:hAnsi="宋体" w:eastAsia="宋体" w:cs="宋体"/>
          <w:spacing w:val="-2"/>
          <w:sz w:val="24"/>
          <w:szCs w:val="24"/>
        </w:rPr>
        <w:t>①猪只饮用水</w:t>
      </w:r>
    </w:p>
    <w:p w14:paraId="2BED8119">
      <w:pPr>
        <w:spacing w:before="171" w:line="367" w:lineRule="auto"/>
        <w:ind w:left="123" w:right="110" w:firstLine="480"/>
        <w:rPr>
          <w:rFonts w:ascii="宋体" w:hAnsi="宋体" w:eastAsia="宋体" w:cs="宋体"/>
          <w:sz w:val="24"/>
          <w:szCs w:val="24"/>
        </w:rPr>
      </w:pPr>
      <w:r>
        <w:rPr>
          <w:rFonts w:ascii="宋体" w:hAnsi="宋体" w:eastAsia="宋体" w:cs="宋体"/>
          <w:spacing w:val="-1"/>
          <w:sz w:val="24"/>
          <w:szCs w:val="24"/>
        </w:rPr>
        <w:t>本项目猪只常年存栏量为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7000 </w:t>
      </w:r>
      <w:r>
        <w:rPr>
          <w:rFonts w:ascii="宋体" w:hAnsi="宋体" w:eastAsia="宋体" w:cs="宋体"/>
          <w:spacing w:val="-1"/>
          <w:sz w:val="24"/>
          <w:szCs w:val="24"/>
        </w:rPr>
        <w:t>头，均为育肥</w:t>
      </w:r>
      <w:r>
        <w:rPr>
          <w:rFonts w:ascii="宋体" w:hAnsi="宋体" w:eastAsia="宋体" w:cs="宋体"/>
          <w:spacing w:val="-2"/>
          <w:sz w:val="24"/>
          <w:szCs w:val="24"/>
        </w:rPr>
        <w:t>猪。根据《养猪场综合废水利用研</w:t>
      </w:r>
      <w:r>
        <w:rPr>
          <w:rFonts w:ascii="宋体" w:hAnsi="宋体" w:eastAsia="宋体" w:cs="宋体"/>
          <w:sz w:val="24"/>
          <w:szCs w:val="24"/>
        </w:rPr>
        <w:t xml:space="preserve"> </w:t>
      </w:r>
      <w:r>
        <w:rPr>
          <w:rFonts w:ascii="宋体" w:hAnsi="宋体" w:eastAsia="宋体" w:cs="宋体"/>
          <w:spacing w:val="2"/>
          <w:sz w:val="24"/>
          <w:szCs w:val="24"/>
        </w:rPr>
        <w:t>究》（张海燕</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孙艳青</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养猪场废水综合利用研究</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1"/>
          <w:sz w:val="24"/>
          <w:szCs w:val="24"/>
        </w:rPr>
        <w:t>//2010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中国环境科学学会学术</w:t>
      </w:r>
      <w:r>
        <w:rPr>
          <w:rFonts w:ascii="宋体" w:hAnsi="宋体" w:eastAsia="宋体" w:cs="宋体"/>
          <w:sz w:val="24"/>
          <w:szCs w:val="24"/>
        </w:rPr>
        <w:t xml:space="preserve"> </w:t>
      </w:r>
      <w:r>
        <w:rPr>
          <w:rFonts w:ascii="宋体" w:hAnsi="宋体" w:eastAsia="宋体" w:cs="宋体"/>
          <w:spacing w:val="-1"/>
          <w:sz w:val="24"/>
          <w:szCs w:val="24"/>
        </w:rPr>
        <w:t>年会论文集</w:t>
      </w:r>
      <w:r>
        <w:rPr>
          <w:rFonts w:ascii="Times New Roman" w:hAnsi="Times New Roman" w:eastAsia="Times New Roman" w:cs="Times New Roman"/>
          <w:spacing w:val="-1"/>
          <w:sz w:val="24"/>
          <w:szCs w:val="24"/>
        </w:rPr>
        <w:t>(</w:t>
      </w:r>
      <w:r>
        <w:rPr>
          <w:rFonts w:ascii="宋体" w:hAnsi="宋体" w:eastAsia="宋体" w:cs="宋体"/>
          <w:spacing w:val="-1"/>
          <w:sz w:val="24"/>
          <w:szCs w:val="24"/>
        </w:rPr>
        <w:t>第三卷</w:t>
      </w:r>
      <w:r>
        <w:rPr>
          <w:rFonts w:ascii="Times New Roman" w:hAnsi="Times New Roman" w:eastAsia="Times New Roman" w:cs="Times New Roman"/>
          <w:spacing w:val="-1"/>
          <w:sz w:val="24"/>
          <w:szCs w:val="24"/>
        </w:rPr>
        <w:t>). 2010.</w:t>
      </w:r>
      <w:r>
        <w:rPr>
          <w:rFonts w:ascii="Times New Roman" w:hAnsi="Times New Roman" w:eastAsia="Times New Roman" w:cs="Times New Roman"/>
          <w:spacing w:val="-24"/>
          <w:sz w:val="24"/>
          <w:szCs w:val="24"/>
        </w:rPr>
        <w:t xml:space="preserve"> </w:t>
      </w:r>
      <w:r>
        <w:rPr>
          <w:rFonts w:ascii="宋体" w:hAnsi="宋体" w:eastAsia="宋体" w:cs="宋体"/>
          <w:spacing w:val="-10"/>
          <w:sz w:val="24"/>
          <w:szCs w:val="24"/>
        </w:rPr>
        <w:t>），</w:t>
      </w:r>
      <w:r>
        <w:rPr>
          <w:rFonts w:ascii="宋体" w:hAnsi="宋体" w:eastAsia="宋体" w:cs="宋体"/>
          <w:spacing w:val="-1"/>
          <w:sz w:val="24"/>
          <w:szCs w:val="24"/>
        </w:rPr>
        <w:t>项目猪只的饮水量见下表。</w:t>
      </w:r>
    </w:p>
    <w:p w14:paraId="25C8E682">
      <w:pPr>
        <w:spacing w:before="85" w:line="228" w:lineRule="auto"/>
        <w:ind w:left="3504"/>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4"/>
          <w:sz w:val="20"/>
          <w:szCs w:val="20"/>
        </w:rPr>
        <w:t xml:space="preserve">3.2-1    </w:t>
      </w:r>
      <w:r>
        <w:rPr>
          <w:rFonts w:ascii="宋体" w:hAnsi="宋体" w:eastAsia="宋体" w:cs="宋体"/>
          <w:b/>
          <w:bCs/>
          <w:spacing w:val="4"/>
          <w:sz w:val="20"/>
          <w:szCs w:val="20"/>
        </w:rPr>
        <w:t>猪只饮水量</w:t>
      </w:r>
    </w:p>
    <w:p w14:paraId="3454B275">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0"/>
        <w:gridCol w:w="3043"/>
        <w:gridCol w:w="1609"/>
        <w:gridCol w:w="2408"/>
      </w:tblGrid>
      <w:tr w14:paraId="468CB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90" w:type="dxa"/>
            <w:vAlign w:val="top"/>
          </w:tcPr>
          <w:p w14:paraId="475A72A7">
            <w:pPr>
              <w:pStyle w:val="6"/>
              <w:spacing w:before="62" w:line="228" w:lineRule="auto"/>
              <w:ind w:left="531"/>
            </w:pPr>
            <w:r>
              <w:rPr>
                <w:spacing w:val="7"/>
              </w:rPr>
              <w:t>猪只类别</w:t>
            </w:r>
          </w:p>
        </w:tc>
        <w:tc>
          <w:tcPr>
            <w:tcW w:w="3043" w:type="dxa"/>
            <w:vAlign w:val="top"/>
          </w:tcPr>
          <w:p w14:paraId="7C7C7980">
            <w:pPr>
              <w:pStyle w:val="6"/>
              <w:spacing w:before="31" w:line="274" w:lineRule="exact"/>
              <w:ind w:left="353"/>
            </w:pPr>
            <w:r>
              <w:rPr>
                <w:spacing w:val="5"/>
                <w:position w:val="1"/>
              </w:rPr>
              <w:t>饮水系数（</w:t>
            </w:r>
            <w:r>
              <w:rPr>
                <w:rFonts w:ascii="Times New Roman" w:hAnsi="Times New Roman" w:eastAsia="Times New Roman" w:cs="Times New Roman"/>
                <w:spacing w:val="5"/>
                <w:position w:val="1"/>
              </w:rPr>
              <w:t>10</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1"/>
              </w:rPr>
              <w:t>m</w:t>
            </w:r>
            <w:r>
              <w:rPr>
                <w:rFonts w:ascii="Times New Roman" w:hAnsi="Times New Roman" w:eastAsia="Times New Roman" w:cs="Times New Roman"/>
                <w:spacing w:val="5"/>
                <w:position w:val="7"/>
                <w:sz w:val="13"/>
                <w:szCs w:val="13"/>
              </w:rPr>
              <w:t>3</w:t>
            </w:r>
            <w:r>
              <w:rPr>
                <w:rFonts w:ascii="Times New Roman" w:hAnsi="Times New Roman" w:eastAsia="Times New Roman" w:cs="Times New Roman"/>
                <w:spacing w:val="5"/>
                <w:position w:val="1"/>
              </w:rPr>
              <w:t>/</w:t>
            </w:r>
            <w:r>
              <w:rPr>
                <w:spacing w:val="5"/>
                <w:position w:val="1"/>
              </w:rPr>
              <w:t>头</w:t>
            </w:r>
            <w:r>
              <w:rPr>
                <w:rFonts w:ascii="Times New Roman" w:hAnsi="Times New Roman" w:eastAsia="Times New Roman" w:cs="Times New Roman"/>
                <w:spacing w:val="5"/>
                <w:position w:val="1"/>
              </w:rPr>
              <w:t>∙</w:t>
            </w:r>
            <w:r>
              <w:rPr>
                <w:spacing w:val="5"/>
                <w:position w:val="1"/>
              </w:rPr>
              <w:t>天）</w:t>
            </w:r>
          </w:p>
        </w:tc>
        <w:tc>
          <w:tcPr>
            <w:tcW w:w="1609" w:type="dxa"/>
            <w:vAlign w:val="top"/>
          </w:tcPr>
          <w:p w14:paraId="30846902">
            <w:pPr>
              <w:pStyle w:val="6"/>
              <w:spacing w:before="62" w:line="228" w:lineRule="auto"/>
              <w:ind w:left="287"/>
            </w:pPr>
            <w:r>
              <w:rPr>
                <w:spacing w:val="5"/>
              </w:rPr>
              <w:t>数量（头）</w:t>
            </w:r>
          </w:p>
        </w:tc>
        <w:tc>
          <w:tcPr>
            <w:tcW w:w="2408" w:type="dxa"/>
            <w:vAlign w:val="top"/>
          </w:tcPr>
          <w:p w14:paraId="5FB9DEC5">
            <w:pPr>
              <w:pStyle w:val="6"/>
              <w:spacing w:before="31" w:line="274" w:lineRule="exact"/>
              <w:ind w:left="277"/>
            </w:pPr>
            <w:r>
              <w:rPr>
                <w:spacing w:val="6"/>
                <w:position w:val="1"/>
              </w:rPr>
              <w:t>每天饮水量（</w:t>
            </w:r>
            <w:r>
              <w:rPr>
                <w:rFonts w:ascii="Times New Roman" w:hAnsi="Times New Roman" w:eastAsia="Times New Roman" w:cs="Times New Roman"/>
                <w:spacing w:val="6"/>
                <w:position w:val="1"/>
              </w:rPr>
              <w:t>m</w:t>
            </w:r>
            <w:r>
              <w:rPr>
                <w:rFonts w:ascii="Times New Roman" w:hAnsi="Times New Roman" w:eastAsia="Times New Roman" w:cs="Times New Roman"/>
                <w:spacing w:val="6"/>
                <w:position w:val="7"/>
                <w:sz w:val="13"/>
                <w:szCs w:val="13"/>
              </w:rPr>
              <w:t>3</w:t>
            </w:r>
            <w:r>
              <w:rPr>
                <w:rFonts w:ascii="Times New Roman" w:hAnsi="Times New Roman" w:eastAsia="Times New Roman" w:cs="Times New Roman"/>
                <w:spacing w:val="6"/>
                <w:position w:val="1"/>
              </w:rPr>
              <w:t>/d</w:t>
            </w:r>
            <w:r>
              <w:rPr>
                <w:spacing w:val="6"/>
                <w:position w:val="1"/>
              </w:rPr>
              <w:t>）</w:t>
            </w:r>
          </w:p>
        </w:tc>
      </w:tr>
      <w:tr w14:paraId="0456E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90" w:type="dxa"/>
            <w:vAlign w:val="top"/>
          </w:tcPr>
          <w:p w14:paraId="66509B0B">
            <w:pPr>
              <w:pStyle w:val="6"/>
              <w:spacing w:before="58" w:line="228" w:lineRule="auto"/>
              <w:ind w:left="643"/>
            </w:pPr>
            <w:r>
              <w:rPr>
                <w:spacing w:val="4"/>
              </w:rPr>
              <w:t>育肥猪</w:t>
            </w:r>
          </w:p>
        </w:tc>
        <w:tc>
          <w:tcPr>
            <w:tcW w:w="3043" w:type="dxa"/>
            <w:vAlign w:val="top"/>
          </w:tcPr>
          <w:p w14:paraId="513A151A">
            <w:pPr>
              <w:spacing w:before="98" w:line="192" w:lineRule="auto"/>
              <w:ind w:left="13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609" w:type="dxa"/>
            <w:vAlign w:val="top"/>
          </w:tcPr>
          <w:p w14:paraId="765D05A4">
            <w:pPr>
              <w:spacing w:before="28"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408" w:type="dxa"/>
            <w:vAlign w:val="top"/>
          </w:tcPr>
          <w:p w14:paraId="086A094A">
            <w:pPr>
              <w:spacing w:before="28" w:line="274" w:lineRule="exact"/>
              <w:ind w:left="10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w:t>
            </w:r>
          </w:p>
        </w:tc>
      </w:tr>
      <w:tr w14:paraId="228CF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933" w:type="dxa"/>
            <w:gridSpan w:val="2"/>
            <w:vAlign w:val="top"/>
          </w:tcPr>
          <w:p w14:paraId="3D994219">
            <w:pPr>
              <w:pStyle w:val="6"/>
              <w:spacing w:before="61" w:line="230" w:lineRule="auto"/>
              <w:ind w:left="2263"/>
            </w:pPr>
            <w:r>
              <w:rPr>
                <w:spacing w:val="4"/>
              </w:rPr>
              <w:t>合计</w:t>
            </w:r>
          </w:p>
        </w:tc>
        <w:tc>
          <w:tcPr>
            <w:tcW w:w="1609" w:type="dxa"/>
            <w:vAlign w:val="top"/>
          </w:tcPr>
          <w:p w14:paraId="5365C833">
            <w:pPr>
              <w:spacing w:before="30"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408" w:type="dxa"/>
            <w:vAlign w:val="top"/>
          </w:tcPr>
          <w:p w14:paraId="4A428F44">
            <w:pPr>
              <w:spacing w:before="30" w:line="274" w:lineRule="exact"/>
              <w:ind w:left="10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w:t>
            </w:r>
          </w:p>
        </w:tc>
      </w:tr>
    </w:tbl>
    <w:p w14:paraId="0A59A8A7">
      <w:pPr>
        <w:spacing w:before="253" w:line="359" w:lineRule="exact"/>
        <w:ind w:left="632"/>
        <w:rPr>
          <w:rFonts w:ascii="宋体" w:hAnsi="宋体" w:eastAsia="宋体" w:cs="宋体"/>
          <w:sz w:val="24"/>
          <w:szCs w:val="24"/>
        </w:rPr>
      </w:pPr>
      <w:r>
        <w:rPr>
          <w:rFonts w:ascii="宋体" w:hAnsi="宋体" w:eastAsia="宋体" w:cs="宋体"/>
          <w:spacing w:val="-1"/>
          <w:position w:val="2"/>
          <w:sz w:val="24"/>
          <w:szCs w:val="24"/>
        </w:rPr>
        <w:t>由上表可知，本项目猪只的饮水量为</w:t>
      </w:r>
      <w:r>
        <w:rPr>
          <w:rFonts w:ascii="宋体" w:hAnsi="宋体" w:eastAsia="宋体" w:cs="宋体"/>
          <w:spacing w:val="-48"/>
          <w:position w:val="2"/>
          <w:sz w:val="24"/>
          <w:szCs w:val="24"/>
        </w:rPr>
        <w:t xml:space="preserve"> </w:t>
      </w:r>
      <w:r>
        <w:rPr>
          <w:rFonts w:ascii="Times New Roman" w:hAnsi="Times New Roman" w:eastAsia="Times New Roman" w:cs="Times New Roman"/>
          <w:spacing w:val="-1"/>
          <w:position w:val="2"/>
          <w:sz w:val="24"/>
          <w:szCs w:val="24"/>
        </w:rPr>
        <w:t>53.9m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sz w:val="24"/>
          <w:szCs w:val="24"/>
        </w:rPr>
        <w:t>/d</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1967</w:t>
      </w:r>
      <w:r>
        <w:rPr>
          <w:rFonts w:ascii="Times New Roman" w:hAnsi="Times New Roman" w:eastAsia="Times New Roman" w:cs="Times New Roman"/>
          <w:spacing w:val="-2"/>
          <w:position w:val="2"/>
          <w:sz w:val="24"/>
          <w:szCs w:val="24"/>
        </w:rPr>
        <w:t>3.5m</w:t>
      </w:r>
      <w:r>
        <w:rPr>
          <w:rFonts w:ascii="Times New Roman" w:hAnsi="Times New Roman" w:eastAsia="Times New Roman" w:cs="Times New Roman"/>
          <w:spacing w:val="-2"/>
          <w:position w:val="9"/>
          <w:sz w:val="15"/>
          <w:szCs w:val="15"/>
        </w:rPr>
        <w:t>3</w:t>
      </w:r>
      <w:r>
        <w:rPr>
          <w:rFonts w:ascii="Times New Roman" w:hAnsi="Times New Roman" w:eastAsia="Times New Roman" w:cs="Times New Roman"/>
          <w:spacing w:val="-2"/>
          <w:position w:val="2"/>
          <w:sz w:val="24"/>
          <w:szCs w:val="24"/>
        </w:rPr>
        <w:t>/a</w:t>
      </w:r>
      <w:r>
        <w:rPr>
          <w:rFonts w:ascii="宋体" w:hAnsi="宋体" w:eastAsia="宋体" w:cs="宋体"/>
          <w:spacing w:val="-2"/>
          <w:position w:val="2"/>
          <w:sz w:val="24"/>
          <w:szCs w:val="24"/>
        </w:rPr>
        <w:t>）。</w:t>
      </w:r>
    </w:p>
    <w:p w14:paraId="37E37441">
      <w:pPr>
        <w:spacing w:before="166" w:line="218" w:lineRule="auto"/>
        <w:ind w:left="601"/>
        <w:rPr>
          <w:rFonts w:ascii="宋体" w:hAnsi="宋体" w:eastAsia="宋体" w:cs="宋体"/>
          <w:sz w:val="24"/>
          <w:szCs w:val="24"/>
        </w:rPr>
      </w:pPr>
      <w:r>
        <w:rPr>
          <w:rFonts w:ascii="宋体" w:hAnsi="宋体" w:eastAsia="宋体" w:cs="宋体"/>
          <w:spacing w:val="-2"/>
          <w:sz w:val="24"/>
          <w:szCs w:val="24"/>
        </w:rPr>
        <w:t>②猪舍冲洗用水</w:t>
      </w:r>
    </w:p>
    <w:p w14:paraId="25E3E891">
      <w:pPr>
        <w:spacing w:before="204" w:line="374" w:lineRule="auto"/>
        <w:ind w:left="122" w:right="47" w:firstLine="481"/>
        <w:rPr>
          <w:rFonts w:ascii="宋体" w:hAnsi="宋体" w:eastAsia="宋体" w:cs="宋体"/>
          <w:sz w:val="24"/>
          <w:szCs w:val="24"/>
        </w:rPr>
      </w:pPr>
      <w:r>
        <w:rPr>
          <w:rFonts w:ascii="宋体" w:hAnsi="宋体" w:eastAsia="宋体" w:cs="宋体"/>
          <w:spacing w:val="1"/>
          <w:sz w:val="24"/>
          <w:szCs w:val="24"/>
        </w:rPr>
        <w:t>本项目猪舍全部采用“机械干清粪</w:t>
      </w:r>
      <w:r>
        <w:rPr>
          <w:rFonts w:ascii="宋体" w:hAnsi="宋体" w:eastAsia="宋体" w:cs="宋体"/>
          <w:spacing w:val="-77"/>
          <w:sz w:val="24"/>
          <w:szCs w:val="24"/>
        </w:rPr>
        <w:t xml:space="preserve"> </w:t>
      </w:r>
      <w:r>
        <w:rPr>
          <w:rFonts w:ascii="宋体" w:hAnsi="宋体" w:eastAsia="宋体" w:cs="宋体"/>
          <w:spacing w:val="1"/>
          <w:sz w:val="24"/>
          <w:szCs w:val="24"/>
        </w:rPr>
        <w:t>”工艺饲养，仅在猪只出栏时清洗一次，根</w:t>
      </w:r>
      <w:r>
        <w:rPr>
          <w:rFonts w:ascii="宋体" w:hAnsi="宋体" w:eastAsia="宋体" w:cs="宋体"/>
          <w:sz w:val="24"/>
          <w:szCs w:val="24"/>
        </w:rPr>
        <w:t xml:space="preserve"> </w:t>
      </w:r>
      <w:r>
        <w:rPr>
          <w:rFonts w:ascii="宋体" w:hAnsi="宋体" w:eastAsia="宋体" w:cs="宋体"/>
          <w:spacing w:val="-5"/>
          <w:sz w:val="24"/>
          <w:szCs w:val="24"/>
        </w:rPr>
        <w:t>据《养猪场综合废水利用研究》（张海燕</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孙艳青</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养猪场废水综合利</w:t>
      </w:r>
      <w:r>
        <w:rPr>
          <w:rFonts w:ascii="宋体" w:hAnsi="宋体" w:eastAsia="宋体" w:cs="宋体"/>
          <w:spacing w:val="-6"/>
          <w:sz w:val="24"/>
          <w:szCs w:val="24"/>
        </w:rPr>
        <w:t>用研究</w:t>
      </w:r>
      <w:r>
        <w:rPr>
          <w:rFonts w:ascii="Times New Roman" w:hAnsi="Times New Roman" w:eastAsia="Times New Roman" w:cs="Times New Roman"/>
          <w:spacing w:val="-6"/>
          <w:sz w:val="24"/>
          <w:szCs w:val="24"/>
        </w:rPr>
        <w:t>[C]//2010</w:t>
      </w:r>
      <w:r>
        <w:rPr>
          <w:rFonts w:ascii="Times New Roman" w:hAnsi="Times New Roman" w:eastAsia="Times New Roman" w:cs="Times New Roman"/>
          <w:sz w:val="24"/>
          <w:szCs w:val="24"/>
        </w:rPr>
        <w:t xml:space="preserve">  </w:t>
      </w:r>
      <w:r>
        <w:rPr>
          <w:rFonts w:ascii="宋体" w:hAnsi="宋体" w:eastAsia="宋体" w:cs="宋体"/>
          <w:sz w:val="24"/>
          <w:szCs w:val="24"/>
        </w:rPr>
        <w:t>中国环境科学学会学术年会论文集</w:t>
      </w:r>
      <w:r>
        <w:rPr>
          <w:rFonts w:ascii="Times New Roman" w:hAnsi="Times New Roman" w:eastAsia="Times New Roman" w:cs="Times New Roman"/>
          <w:sz w:val="24"/>
          <w:szCs w:val="24"/>
        </w:rPr>
        <w:t>(</w:t>
      </w:r>
      <w:r>
        <w:rPr>
          <w:rFonts w:ascii="宋体" w:hAnsi="宋体" w:eastAsia="宋体" w:cs="宋体"/>
          <w:sz w:val="24"/>
          <w:szCs w:val="24"/>
        </w:rPr>
        <w:t>第三卷</w:t>
      </w:r>
      <w:r>
        <w:rPr>
          <w:rFonts w:ascii="Times New Roman" w:hAnsi="Times New Roman" w:eastAsia="Times New Roman" w:cs="Times New Roman"/>
          <w:sz w:val="24"/>
          <w:szCs w:val="24"/>
        </w:rPr>
        <w:t>). 2010.</w:t>
      </w:r>
      <w:r>
        <w:rPr>
          <w:rFonts w:ascii="Times New Roman" w:hAnsi="Times New Roman" w:eastAsia="Times New Roman" w:cs="Times New Roman"/>
          <w:spacing w:val="-25"/>
          <w:sz w:val="24"/>
          <w:szCs w:val="24"/>
        </w:rPr>
        <w:t xml:space="preserve"> </w:t>
      </w:r>
      <w:r>
        <w:rPr>
          <w:rFonts w:ascii="宋体" w:hAnsi="宋体" w:eastAsia="宋体" w:cs="宋体"/>
          <w:spacing w:val="-13"/>
          <w:sz w:val="24"/>
          <w:szCs w:val="24"/>
        </w:rPr>
        <w:t>），</w:t>
      </w:r>
      <w:r>
        <w:rPr>
          <w:rFonts w:ascii="宋体" w:hAnsi="宋体" w:eastAsia="宋体" w:cs="宋体"/>
          <w:sz w:val="24"/>
          <w:szCs w:val="24"/>
        </w:rPr>
        <w:t>清</w:t>
      </w:r>
      <w:r>
        <w:rPr>
          <w:rFonts w:ascii="宋体" w:hAnsi="宋体" w:eastAsia="宋体" w:cs="宋体"/>
          <w:spacing w:val="-1"/>
          <w:sz w:val="24"/>
          <w:szCs w:val="24"/>
        </w:rPr>
        <w:t>洗用水按</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6L/</w:t>
      </w:r>
      <w:r>
        <w:rPr>
          <w:rFonts w:ascii="宋体" w:hAnsi="宋体" w:eastAsia="宋体" w:cs="宋体"/>
          <w:spacing w:val="-1"/>
          <w:sz w:val="24"/>
          <w:szCs w:val="24"/>
        </w:rPr>
        <w:t>头</w:t>
      </w:r>
      <w:r>
        <w:rPr>
          <w:rFonts w:ascii="Times New Roman" w:hAnsi="Times New Roman" w:eastAsia="Times New Roman" w:cs="Times New Roman"/>
          <w:spacing w:val="-1"/>
          <w:sz w:val="24"/>
          <w:szCs w:val="24"/>
        </w:rPr>
        <w:t>∙</w:t>
      </w:r>
      <w:r>
        <w:rPr>
          <w:rFonts w:ascii="宋体" w:hAnsi="宋体" w:eastAsia="宋体" w:cs="宋体"/>
          <w:spacing w:val="-1"/>
          <w:sz w:val="24"/>
          <w:szCs w:val="24"/>
        </w:rPr>
        <w:t>次。项目猪</w:t>
      </w:r>
      <w:r>
        <w:rPr>
          <w:rFonts w:ascii="宋体" w:hAnsi="宋体" w:eastAsia="宋体" w:cs="宋体"/>
          <w:sz w:val="24"/>
          <w:szCs w:val="24"/>
        </w:rPr>
        <w:t xml:space="preserve"> </w:t>
      </w:r>
      <w:r>
        <w:rPr>
          <w:rFonts w:ascii="宋体" w:hAnsi="宋体" w:eastAsia="宋体" w:cs="宋体"/>
          <w:spacing w:val="1"/>
          <w:sz w:val="24"/>
          <w:szCs w:val="24"/>
        </w:rPr>
        <w:t>只出栏量为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15000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头，项目只在猪只出栏时</w:t>
      </w:r>
      <w:r>
        <w:rPr>
          <w:rFonts w:ascii="宋体" w:hAnsi="宋体" w:eastAsia="宋体" w:cs="宋体"/>
          <w:sz w:val="24"/>
          <w:szCs w:val="24"/>
        </w:rPr>
        <w:t>清洗，项目约</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z w:val="24"/>
          <w:szCs w:val="24"/>
        </w:rPr>
        <w:t xml:space="preserve">个月出栏一次，由于所 </w:t>
      </w:r>
      <w:r>
        <w:rPr>
          <w:rFonts w:ascii="宋体" w:hAnsi="宋体" w:eastAsia="宋体" w:cs="宋体"/>
          <w:spacing w:val="-2"/>
          <w:sz w:val="24"/>
          <w:szCs w:val="24"/>
        </w:rPr>
        <w:t>有猪只是分很多不同批次出栏的，猪只每月出栏一次，因此清洗用水量为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7.5m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w:t>
      </w:r>
      <w:r>
        <w:rPr>
          <w:rFonts w:ascii="宋体" w:hAnsi="宋体" w:eastAsia="宋体" w:cs="宋体"/>
          <w:spacing w:val="-2"/>
          <w:sz w:val="24"/>
          <w:szCs w:val="24"/>
        </w:rPr>
        <w:t>次，</w:t>
      </w:r>
      <w:r>
        <w:rPr>
          <w:rFonts w:ascii="宋体" w:hAnsi="宋体" w:eastAsia="宋体" w:cs="宋体"/>
          <w:sz w:val="24"/>
          <w:szCs w:val="24"/>
        </w:rPr>
        <w:t xml:space="preserve"> </w:t>
      </w:r>
      <w:r>
        <w:rPr>
          <w:rFonts w:ascii="Times New Roman" w:hAnsi="Times New Roman" w:eastAsia="Times New Roman" w:cs="Times New Roman"/>
          <w:spacing w:val="-2"/>
          <w:sz w:val="24"/>
          <w:szCs w:val="24"/>
        </w:rPr>
        <w:t>90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p>
    <w:p w14:paraId="60E0B69C">
      <w:pPr>
        <w:spacing w:before="17" w:line="218" w:lineRule="auto"/>
        <w:ind w:left="601"/>
        <w:rPr>
          <w:rFonts w:ascii="宋体" w:hAnsi="宋体" w:eastAsia="宋体" w:cs="宋体"/>
          <w:sz w:val="24"/>
          <w:szCs w:val="24"/>
        </w:rPr>
      </w:pPr>
      <w:r>
        <w:rPr>
          <w:rFonts w:ascii="宋体" w:hAnsi="宋体" w:eastAsia="宋体" w:cs="宋体"/>
          <w:spacing w:val="-1"/>
          <w:sz w:val="24"/>
          <w:szCs w:val="24"/>
        </w:rPr>
        <w:t>③员工办公生活用水</w:t>
      </w:r>
    </w:p>
    <w:p w14:paraId="11D20A4F">
      <w:pPr>
        <w:spacing w:before="169" w:line="375" w:lineRule="auto"/>
        <w:ind w:left="123" w:right="108" w:firstLine="480"/>
        <w:rPr>
          <w:rFonts w:ascii="宋体" w:hAnsi="宋体" w:eastAsia="宋体" w:cs="宋体"/>
          <w:sz w:val="24"/>
          <w:szCs w:val="24"/>
        </w:rPr>
      </w:pPr>
      <w:r>
        <w:rPr>
          <w:rFonts w:ascii="宋体" w:hAnsi="宋体" w:eastAsia="宋体" w:cs="宋体"/>
          <w:spacing w:val="6"/>
          <w:sz w:val="24"/>
          <w:szCs w:val="24"/>
        </w:rPr>
        <w:t>本项</w:t>
      </w:r>
      <w:r>
        <w:rPr>
          <w:rFonts w:ascii="宋体" w:hAnsi="宋体" w:eastAsia="宋体" w:cs="宋体"/>
          <w:spacing w:val="-31"/>
          <w:sz w:val="24"/>
          <w:szCs w:val="24"/>
        </w:rPr>
        <w:t xml:space="preserve"> </w:t>
      </w:r>
      <w:r>
        <w:rPr>
          <w:rFonts w:ascii="宋体" w:hAnsi="宋体" w:eastAsia="宋体" w:cs="宋体"/>
          <w:spacing w:val="6"/>
          <w:sz w:val="24"/>
          <w:szCs w:val="24"/>
        </w:rPr>
        <w:t>目</w:t>
      </w:r>
      <w:r>
        <w:rPr>
          <w:rFonts w:ascii="宋体" w:hAnsi="宋体" w:eastAsia="宋体" w:cs="宋体"/>
          <w:spacing w:val="-70"/>
          <w:sz w:val="24"/>
          <w:szCs w:val="24"/>
        </w:rPr>
        <w:t xml:space="preserve"> </w:t>
      </w:r>
      <w:r>
        <w:rPr>
          <w:rFonts w:ascii="宋体" w:hAnsi="宋体" w:eastAsia="宋体" w:cs="宋体"/>
          <w:spacing w:val="6"/>
          <w:sz w:val="24"/>
          <w:szCs w:val="24"/>
        </w:rPr>
        <w:t xml:space="preserve">员工共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43"/>
          <w:sz w:val="24"/>
          <w:szCs w:val="24"/>
        </w:rPr>
        <w:t xml:space="preserve"> </w:t>
      </w:r>
      <w:r>
        <w:rPr>
          <w:rFonts w:ascii="宋体" w:hAnsi="宋体" w:eastAsia="宋体" w:cs="宋体"/>
          <w:spacing w:val="6"/>
          <w:sz w:val="24"/>
          <w:szCs w:val="24"/>
        </w:rPr>
        <w:t>人</w:t>
      </w:r>
      <w:r>
        <w:rPr>
          <w:rFonts w:ascii="宋体" w:hAnsi="宋体" w:eastAsia="宋体" w:cs="宋体"/>
          <w:spacing w:val="-63"/>
          <w:sz w:val="24"/>
          <w:szCs w:val="24"/>
        </w:rPr>
        <w:t xml:space="preserve"> </w:t>
      </w:r>
      <w:r>
        <w:rPr>
          <w:rFonts w:ascii="宋体" w:hAnsi="宋体" w:eastAsia="宋体" w:cs="宋体"/>
          <w:spacing w:val="6"/>
          <w:sz w:val="24"/>
          <w:szCs w:val="24"/>
        </w:rPr>
        <w:t>，其</w:t>
      </w:r>
      <w:r>
        <w:rPr>
          <w:rFonts w:ascii="宋体" w:hAnsi="宋体" w:eastAsia="宋体" w:cs="宋体"/>
          <w:spacing w:val="-57"/>
          <w:sz w:val="24"/>
          <w:szCs w:val="24"/>
        </w:rPr>
        <w:t xml:space="preserve"> </w:t>
      </w:r>
      <w:r>
        <w:rPr>
          <w:rFonts w:ascii="宋体" w:hAnsi="宋体" w:eastAsia="宋体" w:cs="宋体"/>
          <w:spacing w:val="6"/>
          <w:sz w:val="24"/>
          <w:szCs w:val="24"/>
        </w:rPr>
        <w:t>中</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45"/>
          <w:sz w:val="24"/>
          <w:szCs w:val="24"/>
        </w:rPr>
        <w:t xml:space="preserve"> </w:t>
      </w:r>
      <w:r>
        <w:rPr>
          <w:rFonts w:ascii="宋体" w:hAnsi="宋体" w:eastAsia="宋体" w:cs="宋体"/>
          <w:spacing w:val="6"/>
          <w:sz w:val="24"/>
          <w:szCs w:val="24"/>
        </w:rPr>
        <w:t>人在厂</w:t>
      </w:r>
      <w:r>
        <w:rPr>
          <w:rFonts w:ascii="宋体" w:hAnsi="宋体" w:eastAsia="宋体" w:cs="宋体"/>
          <w:spacing w:val="-62"/>
          <w:sz w:val="24"/>
          <w:szCs w:val="24"/>
        </w:rPr>
        <w:t xml:space="preserve"> </w:t>
      </w:r>
      <w:r>
        <w:rPr>
          <w:rFonts w:ascii="宋体" w:hAnsi="宋体" w:eastAsia="宋体" w:cs="宋体"/>
          <w:spacing w:val="6"/>
          <w:sz w:val="24"/>
          <w:szCs w:val="24"/>
        </w:rPr>
        <w:t>区食宿</w:t>
      </w:r>
      <w:r>
        <w:rPr>
          <w:rFonts w:ascii="宋体" w:hAnsi="宋体" w:eastAsia="宋体" w:cs="宋体"/>
          <w:spacing w:val="-56"/>
          <w:sz w:val="24"/>
          <w:szCs w:val="24"/>
        </w:rPr>
        <w:t xml:space="preserve"> </w:t>
      </w:r>
      <w:r>
        <w:rPr>
          <w:rFonts w:ascii="宋体" w:hAnsi="宋体" w:eastAsia="宋体" w:cs="宋体"/>
          <w:spacing w:val="6"/>
          <w:sz w:val="24"/>
          <w:szCs w:val="24"/>
        </w:rPr>
        <w:t>。根据广</w:t>
      </w:r>
      <w:r>
        <w:rPr>
          <w:rFonts w:ascii="宋体" w:hAnsi="宋体" w:eastAsia="宋体" w:cs="宋体"/>
          <w:spacing w:val="-68"/>
          <w:sz w:val="24"/>
          <w:szCs w:val="24"/>
        </w:rPr>
        <w:t xml:space="preserve"> </w:t>
      </w:r>
      <w:r>
        <w:rPr>
          <w:rFonts w:ascii="宋体" w:hAnsi="宋体" w:eastAsia="宋体" w:cs="宋体"/>
          <w:spacing w:val="5"/>
          <w:sz w:val="24"/>
          <w:szCs w:val="24"/>
        </w:rPr>
        <w:t>东省《</w:t>
      </w:r>
      <w:r>
        <w:rPr>
          <w:rFonts w:ascii="宋体" w:hAnsi="宋体" w:eastAsia="宋体" w:cs="宋体"/>
          <w:spacing w:val="-52"/>
          <w:sz w:val="24"/>
          <w:szCs w:val="24"/>
        </w:rPr>
        <w:t xml:space="preserve"> </w:t>
      </w:r>
      <w:r>
        <w:rPr>
          <w:rFonts w:ascii="宋体" w:hAnsi="宋体" w:eastAsia="宋体" w:cs="宋体"/>
          <w:spacing w:val="5"/>
          <w:sz w:val="24"/>
          <w:szCs w:val="24"/>
        </w:rPr>
        <w:t>用水定额</w:t>
      </w:r>
      <w:r>
        <w:rPr>
          <w:rFonts w:ascii="宋体" w:hAnsi="宋体" w:eastAsia="宋体" w:cs="宋体"/>
          <w:spacing w:val="-66"/>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DB44/T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3"/>
          <w:sz w:val="24"/>
          <w:szCs w:val="24"/>
        </w:rPr>
        <w:t>1461-2014</w:t>
      </w:r>
      <w:r>
        <w:rPr>
          <w:rFonts w:ascii="宋体" w:hAnsi="宋体" w:eastAsia="宋体" w:cs="宋体"/>
          <w:spacing w:val="-3"/>
          <w:sz w:val="24"/>
          <w:szCs w:val="24"/>
        </w:rPr>
        <w:t>）规定，本项目住宿员工参照“城镇生活综合用水定额</w:t>
      </w:r>
      <w:r>
        <w:rPr>
          <w:rFonts w:ascii="宋体" w:hAnsi="宋体" w:eastAsia="宋体" w:cs="宋体"/>
          <w:spacing w:val="-88"/>
          <w:sz w:val="24"/>
          <w:szCs w:val="24"/>
        </w:rPr>
        <w:t xml:space="preserve"> </w:t>
      </w:r>
      <w:r>
        <w:rPr>
          <w:rFonts w:ascii="宋体" w:hAnsi="宋体" w:eastAsia="宋体" w:cs="宋体"/>
          <w:spacing w:val="-3"/>
          <w:sz w:val="24"/>
          <w:szCs w:val="24"/>
        </w:rPr>
        <w:t>”小城镇</w:t>
      </w:r>
      <w:r>
        <w:rPr>
          <w:rFonts w:ascii="宋体" w:hAnsi="宋体" w:eastAsia="宋体" w:cs="宋体"/>
          <w:sz w:val="24"/>
          <w:szCs w:val="24"/>
        </w:rPr>
        <w:t xml:space="preserve"> </w:t>
      </w:r>
      <w:r>
        <w:rPr>
          <w:rFonts w:ascii="宋体" w:hAnsi="宋体" w:eastAsia="宋体" w:cs="宋体"/>
          <w:spacing w:val="1"/>
          <w:sz w:val="24"/>
          <w:szCs w:val="24"/>
        </w:rPr>
        <w:t>标准，即按</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80 </w:t>
      </w:r>
      <w:r>
        <w:rPr>
          <w:rFonts w:ascii="宋体" w:hAnsi="宋体" w:eastAsia="宋体" w:cs="宋体"/>
          <w:spacing w:val="1"/>
          <w:sz w:val="24"/>
          <w:szCs w:val="24"/>
        </w:rPr>
        <w:t>升</w:t>
      </w:r>
      <w:r>
        <w:rPr>
          <w:rFonts w:ascii="Times New Roman" w:hAnsi="Times New Roman" w:eastAsia="Times New Roman" w:cs="Times New Roman"/>
          <w:spacing w:val="1"/>
          <w:sz w:val="24"/>
          <w:szCs w:val="24"/>
        </w:rPr>
        <w:t>/</w:t>
      </w:r>
      <w:r>
        <w:rPr>
          <w:rFonts w:ascii="宋体" w:hAnsi="宋体" w:eastAsia="宋体" w:cs="宋体"/>
          <w:spacing w:val="1"/>
          <w:sz w:val="24"/>
          <w:szCs w:val="24"/>
        </w:rPr>
        <w:t>人</w:t>
      </w:r>
      <w:r>
        <w:rPr>
          <w:rFonts w:ascii="Times New Roman" w:hAnsi="Times New Roman" w:eastAsia="Times New Roman" w:cs="Times New Roman"/>
          <w:spacing w:val="1"/>
          <w:sz w:val="24"/>
          <w:szCs w:val="24"/>
        </w:rPr>
        <w:t>∙</w:t>
      </w:r>
      <w:r>
        <w:rPr>
          <w:rFonts w:ascii="宋体" w:hAnsi="宋体" w:eastAsia="宋体" w:cs="宋体"/>
          <w:spacing w:val="1"/>
          <w:sz w:val="24"/>
          <w:szCs w:val="24"/>
        </w:rPr>
        <w:t>天计算，不在厂区住</w:t>
      </w:r>
      <w:r>
        <w:rPr>
          <w:rFonts w:ascii="宋体" w:hAnsi="宋体" w:eastAsia="宋体" w:cs="宋体"/>
          <w:sz w:val="24"/>
          <w:szCs w:val="24"/>
        </w:rPr>
        <w:t>宿员工参照“机关事业单位</w:t>
      </w:r>
      <w:r>
        <w:rPr>
          <w:rFonts w:ascii="宋体" w:hAnsi="宋体" w:eastAsia="宋体" w:cs="宋体"/>
          <w:spacing w:val="-86"/>
          <w:sz w:val="24"/>
          <w:szCs w:val="24"/>
        </w:rPr>
        <w:t xml:space="preserve"> </w:t>
      </w:r>
      <w:r>
        <w:rPr>
          <w:rFonts w:ascii="宋体" w:hAnsi="宋体" w:eastAsia="宋体" w:cs="宋体"/>
          <w:sz w:val="24"/>
          <w:szCs w:val="24"/>
        </w:rPr>
        <w:t>”无食堂浴室 标准，即按</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40 </w:t>
      </w:r>
      <w:r>
        <w:rPr>
          <w:rFonts w:ascii="宋体" w:hAnsi="宋体" w:eastAsia="宋体" w:cs="宋体"/>
          <w:sz w:val="24"/>
          <w:szCs w:val="24"/>
        </w:rPr>
        <w:t>升</w:t>
      </w:r>
      <w:r>
        <w:rPr>
          <w:rFonts w:ascii="Times New Roman" w:hAnsi="Times New Roman" w:eastAsia="Times New Roman" w:cs="Times New Roman"/>
          <w:sz w:val="24"/>
          <w:szCs w:val="24"/>
        </w:rPr>
        <w:t>/</w:t>
      </w:r>
      <w:r>
        <w:rPr>
          <w:rFonts w:ascii="宋体" w:hAnsi="宋体" w:eastAsia="宋体" w:cs="宋体"/>
          <w:sz w:val="24"/>
          <w:szCs w:val="24"/>
        </w:rPr>
        <w:t>人</w:t>
      </w:r>
      <w:r>
        <w:rPr>
          <w:rFonts w:ascii="Times New Roman" w:hAnsi="Times New Roman" w:eastAsia="Times New Roman" w:cs="Times New Roman"/>
          <w:sz w:val="24"/>
          <w:szCs w:val="24"/>
        </w:rPr>
        <w:t>∙</w:t>
      </w:r>
      <w:r>
        <w:rPr>
          <w:rFonts w:ascii="宋体" w:hAnsi="宋体" w:eastAsia="宋体" w:cs="宋体"/>
          <w:sz w:val="24"/>
          <w:szCs w:val="24"/>
        </w:rPr>
        <w:t>天计算，则本项目办公生活用水量</w:t>
      </w:r>
      <w:r>
        <w:rPr>
          <w:rFonts w:ascii="宋体" w:hAnsi="宋体" w:eastAsia="宋体" w:cs="宋体"/>
          <w:spacing w:val="-1"/>
          <w:sz w:val="24"/>
          <w:szCs w:val="24"/>
        </w:rPr>
        <w:t>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0.64m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233.6m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43BD1DC4">
      <w:pPr>
        <w:spacing w:before="44" w:line="218" w:lineRule="auto"/>
        <w:ind w:left="601"/>
        <w:rPr>
          <w:rFonts w:ascii="宋体" w:hAnsi="宋体" w:eastAsia="宋体" w:cs="宋体"/>
          <w:sz w:val="24"/>
          <w:szCs w:val="24"/>
        </w:rPr>
      </w:pPr>
      <w:r>
        <w:rPr>
          <w:rFonts w:ascii="宋体" w:hAnsi="宋体" w:eastAsia="宋体" w:cs="宋体"/>
          <w:spacing w:val="-1"/>
          <w:sz w:val="24"/>
          <w:szCs w:val="24"/>
        </w:rPr>
        <w:t>④夏季降温水帘用水量</w:t>
      </w:r>
    </w:p>
    <w:p w14:paraId="09D157BC">
      <w:pPr>
        <w:spacing w:before="167" w:line="375" w:lineRule="auto"/>
        <w:ind w:left="123" w:right="107" w:firstLine="479"/>
        <w:rPr>
          <w:rFonts w:ascii="宋体" w:hAnsi="宋体" w:eastAsia="宋体" w:cs="宋体"/>
          <w:sz w:val="24"/>
          <w:szCs w:val="24"/>
        </w:rPr>
      </w:pPr>
      <w:r>
        <w:rPr>
          <w:rFonts w:ascii="宋体" w:hAnsi="宋体" w:eastAsia="宋体" w:cs="宋体"/>
          <w:spacing w:val="-2"/>
          <w:sz w:val="24"/>
          <w:szCs w:val="24"/>
        </w:rPr>
        <w:t>每栋猪舍均设有水帘，用于夏季高温天气给猪舍降温，循环量水量约为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/h</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年工作时间按</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个月算，每天</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小时计算，补水量按循环量的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w:t>
      </w:r>
      <w:r>
        <w:rPr>
          <w:rFonts w:ascii="宋体" w:hAnsi="宋体" w:eastAsia="宋体" w:cs="宋体"/>
          <w:spacing w:val="-2"/>
          <w:sz w:val="24"/>
          <w:szCs w:val="24"/>
        </w:rPr>
        <w:t>计算，则项目水</w:t>
      </w:r>
      <w:r>
        <w:rPr>
          <w:rFonts w:ascii="宋体" w:hAnsi="宋体" w:eastAsia="宋体" w:cs="宋体"/>
          <w:sz w:val="24"/>
          <w:szCs w:val="24"/>
        </w:rPr>
        <w:t xml:space="preserve"> </w:t>
      </w:r>
      <w:r>
        <w:rPr>
          <w:rFonts w:ascii="宋体" w:hAnsi="宋体" w:eastAsia="宋体" w:cs="宋体"/>
          <w:spacing w:val="-1"/>
          <w:sz w:val="24"/>
          <w:szCs w:val="24"/>
        </w:rPr>
        <w:t>帘补水量为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0.384m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46.08m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4FE1F993">
      <w:pPr>
        <w:spacing w:line="375" w:lineRule="auto"/>
        <w:rPr>
          <w:rFonts w:ascii="宋体" w:hAnsi="宋体" w:eastAsia="宋体" w:cs="宋体"/>
          <w:sz w:val="24"/>
          <w:szCs w:val="24"/>
        </w:rPr>
        <w:sectPr>
          <w:footerReference r:id="rId66" w:type="default"/>
          <w:pgSz w:w="11906" w:h="16839"/>
          <w:pgMar w:top="400" w:right="1475" w:bottom="1425" w:left="1475" w:header="0" w:footer="1265" w:gutter="0"/>
          <w:cols w:space="720" w:num="1"/>
        </w:sectPr>
      </w:pPr>
    </w:p>
    <w:p w14:paraId="4F3EDEE3">
      <w:pPr>
        <w:pStyle w:val="2"/>
        <w:spacing w:line="271" w:lineRule="auto"/>
      </w:pPr>
    </w:p>
    <w:p w14:paraId="68232F91">
      <w:pPr>
        <w:pStyle w:val="2"/>
        <w:spacing w:line="271" w:lineRule="auto"/>
      </w:pPr>
    </w:p>
    <w:p w14:paraId="7215EF67">
      <w:pPr>
        <w:pStyle w:val="2"/>
        <w:spacing w:line="271" w:lineRule="auto"/>
      </w:pPr>
    </w:p>
    <w:p w14:paraId="3F4A3FB9">
      <w:pPr>
        <w:pStyle w:val="2"/>
        <w:spacing w:line="271" w:lineRule="auto"/>
      </w:pPr>
    </w:p>
    <w:p w14:paraId="7AE7DDBB">
      <w:pPr>
        <w:spacing w:before="65" w:line="227" w:lineRule="auto"/>
        <w:ind w:left="3296"/>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b/>
          <w:bCs/>
          <w:spacing w:val="5"/>
          <w:sz w:val="20"/>
          <w:szCs w:val="20"/>
        </w:rPr>
        <w:t xml:space="preserve">3.2-2    </w:t>
      </w:r>
      <w:r>
        <w:rPr>
          <w:rFonts w:ascii="宋体" w:hAnsi="宋体" w:eastAsia="宋体" w:cs="宋体"/>
          <w:b/>
          <w:bCs/>
          <w:spacing w:val="5"/>
          <w:sz w:val="20"/>
          <w:szCs w:val="20"/>
        </w:rPr>
        <w:t>项目用水估量表</w:t>
      </w:r>
    </w:p>
    <w:p w14:paraId="5ED01012">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275"/>
        <w:gridCol w:w="993"/>
        <w:gridCol w:w="1418"/>
        <w:gridCol w:w="1135"/>
        <w:gridCol w:w="1275"/>
        <w:gridCol w:w="2033"/>
      </w:tblGrid>
      <w:tr w14:paraId="2DBC5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096" w:type="dxa"/>
            <w:gridSpan w:val="2"/>
            <w:vAlign w:val="top"/>
          </w:tcPr>
          <w:p w14:paraId="755DDC8E">
            <w:pPr>
              <w:pStyle w:val="6"/>
              <w:spacing w:before="170" w:line="228" w:lineRule="auto"/>
              <w:ind w:left="844"/>
            </w:pPr>
            <w:r>
              <w:rPr>
                <w:spacing w:val="4"/>
              </w:rPr>
              <w:t>来源</w:t>
            </w:r>
          </w:p>
        </w:tc>
        <w:tc>
          <w:tcPr>
            <w:tcW w:w="993" w:type="dxa"/>
            <w:vAlign w:val="top"/>
          </w:tcPr>
          <w:p w14:paraId="7E1BE3D6">
            <w:pPr>
              <w:pStyle w:val="6"/>
              <w:spacing w:before="170" w:line="228" w:lineRule="auto"/>
              <w:ind w:left="291"/>
            </w:pPr>
            <w:r>
              <w:rPr>
                <w:spacing w:val="4"/>
              </w:rPr>
              <w:t>规模</w:t>
            </w:r>
          </w:p>
        </w:tc>
        <w:tc>
          <w:tcPr>
            <w:tcW w:w="1418" w:type="dxa"/>
            <w:vAlign w:val="top"/>
          </w:tcPr>
          <w:p w14:paraId="61F4A1CE">
            <w:pPr>
              <w:pStyle w:val="6"/>
              <w:spacing w:before="170" w:line="228" w:lineRule="auto"/>
              <w:ind w:left="507"/>
            </w:pPr>
            <w:r>
              <w:rPr>
                <w:spacing w:val="2"/>
              </w:rPr>
              <w:t>系数</w:t>
            </w:r>
          </w:p>
        </w:tc>
        <w:tc>
          <w:tcPr>
            <w:tcW w:w="1135" w:type="dxa"/>
            <w:vAlign w:val="top"/>
          </w:tcPr>
          <w:p w14:paraId="70B9934B">
            <w:pPr>
              <w:pStyle w:val="6"/>
              <w:spacing w:before="36" w:line="224" w:lineRule="auto"/>
              <w:ind w:left="366"/>
            </w:pPr>
            <w:r>
              <w:rPr>
                <w:spacing w:val="3"/>
              </w:rPr>
              <w:t>水量</w:t>
            </w:r>
          </w:p>
          <w:p w14:paraId="05488B60">
            <w:pPr>
              <w:pStyle w:val="6"/>
              <w:spacing w:line="265" w:lineRule="exact"/>
              <w:ind w:left="177"/>
            </w:pPr>
            <w:r>
              <w:rPr>
                <w:spacing w:val="1"/>
                <w:position w:val="1"/>
              </w:rPr>
              <w:t>（</w:t>
            </w:r>
            <w:r>
              <w:rPr>
                <w:rFonts w:ascii="Times New Roman" w:hAnsi="Times New Roman" w:eastAsia="Times New Roman" w:cs="Times New Roman"/>
                <w:spacing w:val="1"/>
                <w:position w:val="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rPr>
              <w:t>/d</w:t>
            </w:r>
            <w:r>
              <w:rPr>
                <w:spacing w:val="1"/>
                <w:position w:val="1"/>
              </w:rPr>
              <w:t>）</w:t>
            </w:r>
          </w:p>
        </w:tc>
        <w:tc>
          <w:tcPr>
            <w:tcW w:w="1275" w:type="dxa"/>
            <w:vAlign w:val="top"/>
          </w:tcPr>
          <w:p w14:paraId="124D695E">
            <w:pPr>
              <w:pStyle w:val="6"/>
              <w:spacing w:before="36" w:line="224" w:lineRule="auto"/>
              <w:ind w:left="225"/>
            </w:pPr>
            <w:r>
              <w:rPr>
                <w:spacing w:val="7"/>
              </w:rPr>
              <w:t>年用水量</w:t>
            </w:r>
          </w:p>
          <w:p w14:paraId="35C086D6">
            <w:pPr>
              <w:pStyle w:val="6"/>
              <w:spacing w:line="265" w:lineRule="exact"/>
              <w:ind w:left="254"/>
            </w:pPr>
            <w:r>
              <w:rPr>
                <w:spacing w:val="1"/>
                <w:position w:val="1"/>
              </w:rPr>
              <w:t>（</w:t>
            </w:r>
            <w:r>
              <w:rPr>
                <w:rFonts w:ascii="Times New Roman" w:hAnsi="Times New Roman" w:eastAsia="Times New Roman" w:cs="Times New Roman"/>
                <w:spacing w:val="1"/>
                <w:position w:val="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rPr>
              <w:t>/a</w:t>
            </w:r>
            <w:r>
              <w:rPr>
                <w:spacing w:val="1"/>
                <w:position w:val="1"/>
              </w:rPr>
              <w:t>）</w:t>
            </w:r>
          </w:p>
        </w:tc>
        <w:tc>
          <w:tcPr>
            <w:tcW w:w="2033" w:type="dxa"/>
            <w:vAlign w:val="top"/>
          </w:tcPr>
          <w:p w14:paraId="13DEB997">
            <w:pPr>
              <w:pStyle w:val="6"/>
              <w:spacing w:before="170" w:line="230" w:lineRule="auto"/>
              <w:ind w:left="815"/>
            </w:pPr>
            <w:r>
              <w:rPr>
                <w:spacing w:val="3"/>
              </w:rPr>
              <w:t>备注</w:t>
            </w:r>
          </w:p>
        </w:tc>
      </w:tr>
      <w:tr w14:paraId="06920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21" w:type="dxa"/>
            <w:vAlign w:val="top"/>
          </w:tcPr>
          <w:p w14:paraId="2EA69BA0">
            <w:pPr>
              <w:pStyle w:val="6"/>
              <w:spacing w:before="31" w:line="229" w:lineRule="auto"/>
              <w:ind w:left="205"/>
            </w:pPr>
            <w:r>
              <w:rPr>
                <w:spacing w:val="4"/>
              </w:rPr>
              <w:t>猪只</w:t>
            </w:r>
          </w:p>
          <w:p w14:paraId="5BF553E7">
            <w:pPr>
              <w:pStyle w:val="6"/>
              <w:spacing w:before="22" w:line="235" w:lineRule="auto"/>
              <w:ind w:left="313" w:right="200" w:hanging="108"/>
            </w:pPr>
            <w:r>
              <w:rPr>
                <w:spacing w:val="4"/>
              </w:rPr>
              <w:t>饮用</w:t>
            </w:r>
            <w:r>
              <w:t xml:space="preserve"> 水</w:t>
            </w:r>
          </w:p>
        </w:tc>
        <w:tc>
          <w:tcPr>
            <w:tcW w:w="1275" w:type="dxa"/>
            <w:vAlign w:val="top"/>
          </w:tcPr>
          <w:p w14:paraId="3C368190">
            <w:pPr>
              <w:pStyle w:val="6"/>
              <w:spacing w:before="302" w:line="228" w:lineRule="auto"/>
              <w:ind w:left="335"/>
            </w:pPr>
            <w:r>
              <w:rPr>
                <w:spacing w:val="4"/>
              </w:rPr>
              <w:t>育肥猪</w:t>
            </w:r>
          </w:p>
        </w:tc>
        <w:tc>
          <w:tcPr>
            <w:tcW w:w="993" w:type="dxa"/>
            <w:vAlign w:val="top"/>
          </w:tcPr>
          <w:p w14:paraId="78F1255C">
            <w:pPr>
              <w:pStyle w:val="6"/>
              <w:spacing w:before="271" w:line="274" w:lineRule="exact"/>
              <w:ind w:left="158"/>
            </w:pPr>
            <w:r>
              <w:rPr>
                <w:rFonts w:ascii="Times New Roman" w:hAnsi="Times New Roman" w:eastAsia="Times New Roman" w:cs="Times New Roman"/>
                <w:spacing w:val="2"/>
                <w:position w:val="1"/>
              </w:rPr>
              <w:t>7000</w:t>
            </w:r>
            <w:r>
              <w:rPr>
                <w:rFonts w:ascii="Times New Roman" w:hAnsi="Times New Roman" w:eastAsia="Times New Roman" w:cs="Times New Roman"/>
                <w:spacing w:val="15"/>
                <w:w w:val="101"/>
                <w:position w:val="1"/>
              </w:rPr>
              <w:t xml:space="preserve"> </w:t>
            </w:r>
            <w:r>
              <w:rPr>
                <w:spacing w:val="2"/>
                <w:position w:val="1"/>
              </w:rPr>
              <w:t>头</w:t>
            </w:r>
          </w:p>
        </w:tc>
        <w:tc>
          <w:tcPr>
            <w:tcW w:w="1418" w:type="dxa"/>
            <w:vAlign w:val="top"/>
          </w:tcPr>
          <w:p w14:paraId="19221089">
            <w:pPr>
              <w:pStyle w:val="6"/>
              <w:spacing w:before="271" w:line="274" w:lineRule="exact"/>
              <w:ind w:left="252"/>
            </w:pPr>
            <w:r>
              <w:rPr>
                <w:rFonts w:ascii="Times New Roman" w:hAnsi="Times New Roman" w:eastAsia="Times New Roman" w:cs="Times New Roman"/>
                <w:spacing w:val="4"/>
                <w:position w:val="1"/>
              </w:rPr>
              <w:t>7.7L/</w:t>
            </w:r>
            <w:r>
              <w:rPr>
                <w:spacing w:val="4"/>
                <w:position w:val="1"/>
              </w:rPr>
              <w:t>头</w:t>
            </w:r>
            <w:r>
              <w:rPr>
                <w:rFonts w:ascii="Times New Roman" w:hAnsi="Times New Roman" w:eastAsia="Times New Roman" w:cs="Times New Roman"/>
                <w:spacing w:val="4"/>
                <w:position w:val="1"/>
              </w:rPr>
              <w:t>∙</w:t>
            </w:r>
            <w:r>
              <w:rPr>
                <w:spacing w:val="4"/>
                <w:position w:val="1"/>
              </w:rPr>
              <w:t>天</w:t>
            </w:r>
          </w:p>
        </w:tc>
        <w:tc>
          <w:tcPr>
            <w:tcW w:w="1135" w:type="dxa"/>
            <w:vAlign w:val="top"/>
          </w:tcPr>
          <w:p w14:paraId="27915290">
            <w:pPr>
              <w:spacing w:before="271" w:line="274"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w:t>
            </w:r>
          </w:p>
        </w:tc>
        <w:tc>
          <w:tcPr>
            <w:tcW w:w="1275" w:type="dxa"/>
            <w:vAlign w:val="top"/>
          </w:tcPr>
          <w:p w14:paraId="78E2DC75">
            <w:pPr>
              <w:spacing w:before="271"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19673.5</w:t>
            </w:r>
          </w:p>
        </w:tc>
        <w:tc>
          <w:tcPr>
            <w:tcW w:w="2033" w:type="dxa"/>
            <w:vAlign w:val="top"/>
          </w:tcPr>
          <w:p w14:paraId="351DB3C2">
            <w:pPr>
              <w:spacing w:line="366" w:lineRule="auto"/>
              <w:rPr>
                <w:rFonts w:ascii="Arial"/>
                <w:sz w:val="21"/>
              </w:rPr>
            </w:pPr>
          </w:p>
          <w:p w14:paraId="429F5E54">
            <w:pPr>
              <w:spacing w:before="58"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008B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2096" w:type="dxa"/>
            <w:gridSpan w:val="2"/>
            <w:vAlign w:val="top"/>
          </w:tcPr>
          <w:p w14:paraId="7713D5F1">
            <w:pPr>
              <w:spacing w:line="374" w:lineRule="auto"/>
              <w:rPr>
                <w:rFonts w:ascii="Arial"/>
                <w:sz w:val="21"/>
              </w:rPr>
            </w:pPr>
          </w:p>
          <w:p w14:paraId="50DB53D6">
            <w:pPr>
              <w:pStyle w:val="6"/>
              <w:spacing w:before="65" w:line="228" w:lineRule="auto"/>
              <w:ind w:left="529"/>
            </w:pPr>
            <w:r>
              <w:rPr>
                <w:spacing w:val="8"/>
              </w:rPr>
              <w:t>猪舍冲洗水</w:t>
            </w:r>
          </w:p>
        </w:tc>
        <w:tc>
          <w:tcPr>
            <w:tcW w:w="993" w:type="dxa"/>
            <w:vAlign w:val="top"/>
          </w:tcPr>
          <w:p w14:paraId="12E3F4AE">
            <w:pPr>
              <w:pStyle w:val="6"/>
              <w:spacing w:before="288" w:line="265" w:lineRule="exact"/>
              <w:ind w:left="129"/>
            </w:pPr>
            <w:r>
              <w:rPr>
                <w:rFonts w:ascii="Times New Roman" w:hAnsi="Times New Roman" w:eastAsia="Times New Roman" w:cs="Times New Roman"/>
                <w:position w:val="1"/>
              </w:rPr>
              <w:t xml:space="preserve">15000 </w:t>
            </w:r>
            <w:r>
              <w:rPr>
                <w:position w:val="1"/>
              </w:rPr>
              <w:t>头</w:t>
            </w:r>
          </w:p>
          <w:p w14:paraId="4831357B">
            <w:pPr>
              <w:spacing w:line="265"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/a</w:t>
            </w:r>
          </w:p>
        </w:tc>
        <w:tc>
          <w:tcPr>
            <w:tcW w:w="1418" w:type="dxa"/>
            <w:vAlign w:val="top"/>
          </w:tcPr>
          <w:p w14:paraId="6A5AAC57">
            <w:pPr>
              <w:spacing w:line="343" w:lineRule="auto"/>
              <w:rPr>
                <w:rFonts w:ascii="Arial"/>
                <w:sz w:val="21"/>
              </w:rPr>
            </w:pPr>
          </w:p>
          <w:p w14:paraId="7A52BA23">
            <w:pPr>
              <w:pStyle w:val="6"/>
              <w:spacing w:before="65" w:line="274" w:lineRule="exact"/>
              <w:ind w:left="333"/>
            </w:pPr>
            <w:r>
              <w:rPr>
                <w:rFonts w:ascii="Times New Roman" w:hAnsi="Times New Roman" w:eastAsia="Times New Roman" w:cs="Times New Roman"/>
                <w:spacing w:val="4"/>
                <w:position w:val="1"/>
              </w:rPr>
              <w:t>6L/</w:t>
            </w:r>
            <w:r>
              <w:rPr>
                <w:spacing w:val="4"/>
                <w:position w:val="1"/>
              </w:rPr>
              <w:t>头</w:t>
            </w:r>
            <w:r>
              <w:rPr>
                <w:rFonts w:ascii="Times New Roman" w:hAnsi="Times New Roman" w:eastAsia="Times New Roman" w:cs="Times New Roman"/>
                <w:spacing w:val="4"/>
                <w:position w:val="1"/>
              </w:rPr>
              <w:t>∙</w:t>
            </w:r>
            <w:r>
              <w:rPr>
                <w:spacing w:val="4"/>
                <w:position w:val="1"/>
              </w:rPr>
              <w:t>次</w:t>
            </w:r>
          </w:p>
        </w:tc>
        <w:tc>
          <w:tcPr>
            <w:tcW w:w="1135" w:type="dxa"/>
            <w:vAlign w:val="top"/>
          </w:tcPr>
          <w:p w14:paraId="747149BB">
            <w:pPr>
              <w:spacing w:line="343" w:lineRule="auto"/>
              <w:rPr>
                <w:rFonts w:ascii="Arial"/>
                <w:sz w:val="21"/>
              </w:rPr>
            </w:pPr>
          </w:p>
          <w:p w14:paraId="2237AD9F">
            <w:pPr>
              <w:pStyle w:val="6"/>
              <w:spacing w:before="65" w:line="274" w:lineRule="exact"/>
              <w:ind w:left="193"/>
            </w:pPr>
            <w:r>
              <w:rPr>
                <w:rFonts w:ascii="Times New Roman" w:hAnsi="Times New Roman" w:eastAsia="Times New Roman" w:cs="Times New Roman"/>
                <w:spacing w:val="3"/>
                <w:position w:val="1"/>
              </w:rPr>
              <w:t>7.5m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rPr>
              <w:t>/</w:t>
            </w:r>
            <w:r>
              <w:rPr>
                <w:spacing w:val="3"/>
                <w:position w:val="1"/>
              </w:rPr>
              <w:t>次</w:t>
            </w:r>
          </w:p>
        </w:tc>
        <w:tc>
          <w:tcPr>
            <w:tcW w:w="1275" w:type="dxa"/>
            <w:vAlign w:val="top"/>
          </w:tcPr>
          <w:p w14:paraId="666DD92E">
            <w:pPr>
              <w:spacing w:line="350" w:lineRule="auto"/>
              <w:rPr>
                <w:rFonts w:ascii="Arial"/>
                <w:sz w:val="21"/>
              </w:rPr>
            </w:pPr>
          </w:p>
          <w:p w14:paraId="3E636498">
            <w:pPr>
              <w:spacing w:before="58" w:line="274" w:lineRule="exact"/>
              <w:ind w:left="53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2033" w:type="dxa"/>
            <w:vAlign w:val="top"/>
          </w:tcPr>
          <w:p w14:paraId="1F9A25B1">
            <w:pPr>
              <w:pStyle w:val="6"/>
              <w:spacing w:before="33" w:line="229" w:lineRule="auto"/>
              <w:ind w:left="207"/>
              <w:rPr>
                <w:rFonts w:ascii="Times New Roman" w:hAnsi="Times New Roman" w:eastAsia="Times New Roman" w:cs="Times New Roman"/>
              </w:rPr>
            </w:pPr>
            <w:r>
              <w:rPr>
                <w:spacing w:val="7"/>
              </w:rPr>
              <w:t>猪只生长周期为</w:t>
            </w:r>
            <w:r>
              <w:rPr>
                <w:spacing w:val="-32"/>
              </w:rPr>
              <w:t xml:space="preserve"> </w:t>
            </w:r>
            <w:r>
              <w:rPr>
                <w:rFonts w:ascii="Times New Roman" w:hAnsi="Times New Roman" w:eastAsia="Times New Roman" w:cs="Times New Roman"/>
                <w:spacing w:val="7"/>
              </w:rPr>
              <w:t>5</w:t>
            </w:r>
          </w:p>
          <w:p w14:paraId="4EA810EC">
            <w:pPr>
              <w:pStyle w:val="6"/>
              <w:spacing w:before="23" w:line="228" w:lineRule="auto"/>
              <w:ind w:left="116"/>
            </w:pPr>
            <w:r>
              <w:t>个月，由于猪只不是</w:t>
            </w:r>
          </w:p>
          <w:p w14:paraId="25DC002A">
            <w:pPr>
              <w:pStyle w:val="6"/>
              <w:spacing w:before="24" w:line="228" w:lineRule="auto"/>
              <w:ind w:left="119"/>
            </w:pPr>
            <w:r>
              <w:t>一起出栏的，猪只每</w:t>
            </w:r>
          </w:p>
          <w:p w14:paraId="64435D6F">
            <w:pPr>
              <w:pStyle w:val="6"/>
              <w:spacing w:before="25" w:line="216" w:lineRule="auto"/>
              <w:ind w:left="500"/>
            </w:pPr>
            <w:r>
              <w:rPr>
                <w:spacing w:val="7"/>
              </w:rPr>
              <w:t>月出栏一次</w:t>
            </w:r>
          </w:p>
        </w:tc>
      </w:tr>
      <w:tr w14:paraId="2839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96" w:type="dxa"/>
            <w:gridSpan w:val="2"/>
            <w:vAlign w:val="top"/>
          </w:tcPr>
          <w:p w14:paraId="36B75F68">
            <w:pPr>
              <w:pStyle w:val="6"/>
              <w:spacing w:before="97" w:line="228" w:lineRule="auto"/>
              <w:ind w:left="530"/>
            </w:pPr>
            <w:r>
              <w:rPr>
                <w:spacing w:val="7"/>
              </w:rPr>
              <w:t>养殖区合计</w:t>
            </w:r>
          </w:p>
        </w:tc>
        <w:tc>
          <w:tcPr>
            <w:tcW w:w="993" w:type="dxa"/>
            <w:vAlign w:val="top"/>
          </w:tcPr>
          <w:p w14:paraId="70261C20">
            <w:pPr>
              <w:spacing w:before="221" w:line="96"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189F11D8">
            <w:pPr>
              <w:spacing w:before="221" w:line="96"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41C6E943">
            <w:pPr>
              <w:spacing w:before="221" w:line="96"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75" w:type="dxa"/>
            <w:vAlign w:val="top"/>
          </w:tcPr>
          <w:p w14:paraId="2DF8B1EA">
            <w:pPr>
              <w:spacing w:before="66"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19763.5</w:t>
            </w:r>
          </w:p>
        </w:tc>
        <w:tc>
          <w:tcPr>
            <w:tcW w:w="2033" w:type="dxa"/>
            <w:vAlign w:val="top"/>
          </w:tcPr>
          <w:p w14:paraId="1F07441D">
            <w:pPr>
              <w:spacing w:before="221" w:line="96"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5EB9E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1" w:type="dxa"/>
            <w:vMerge w:val="restart"/>
            <w:tcBorders>
              <w:bottom w:val="nil"/>
            </w:tcBorders>
            <w:vAlign w:val="top"/>
          </w:tcPr>
          <w:p w14:paraId="0859BF92">
            <w:pPr>
              <w:pStyle w:val="6"/>
              <w:spacing w:before="33" w:line="228" w:lineRule="auto"/>
              <w:ind w:left="209"/>
            </w:pPr>
            <w:r>
              <w:rPr>
                <w:spacing w:val="2"/>
              </w:rPr>
              <w:t>办公</w:t>
            </w:r>
          </w:p>
          <w:p w14:paraId="0501752B">
            <w:pPr>
              <w:pStyle w:val="6"/>
              <w:spacing w:before="26" w:line="229" w:lineRule="auto"/>
              <w:ind w:left="207"/>
            </w:pPr>
            <w:r>
              <w:rPr>
                <w:spacing w:val="3"/>
              </w:rPr>
              <w:t>生活</w:t>
            </w:r>
          </w:p>
          <w:p w14:paraId="6B793C0E">
            <w:pPr>
              <w:pStyle w:val="6"/>
              <w:spacing w:before="22" w:line="215" w:lineRule="auto"/>
              <w:ind w:left="207"/>
            </w:pPr>
            <w:r>
              <w:rPr>
                <w:spacing w:val="3"/>
              </w:rPr>
              <w:t>用水</w:t>
            </w:r>
          </w:p>
        </w:tc>
        <w:tc>
          <w:tcPr>
            <w:tcW w:w="1275" w:type="dxa"/>
            <w:vAlign w:val="top"/>
          </w:tcPr>
          <w:p w14:paraId="6CAF506B">
            <w:pPr>
              <w:pStyle w:val="6"/>
              <w:spacing w:before="32" w:line="216" w:lineRule="auto"/>
              <w:ind w:left="430"/>
            </w:pPr>
            <w:r>
              <w:rPr>
                <w:spacing w:val="5"/>
              </w:rPr>
              <w:t>住宿</w:t>
            </w:r>
          </w:p>
        </w:tc>
        <w:tc>
          <w:tcPr>
            <w:tcW w:w="993" w:type="dxa"/>
            <w:vAlign w:val="top"/>
          </w:tcPr>
          <w:p w14:paraId="732339A8">
            <w:pPr>
              <w:pStyle w:val="6"/>
              <w:spacing w:before="2" w:line="264" w:lineRule="exact"/>
              <w:ind w:left="312"/>
            </w:pPr>
            <w:r>
              <w:rPr>
                <w:rFonts w:ascii="Times New Roman" w:hAnsi="Times New Roman" w:eastAsia="Times New Roman" w:cs="Times New Roman"/>
                <w:position w:val="1"/>
              </w:rPr>
              <w:t>4</w:t>
            </w:r>
            <w:r>
              <w:rPr>
                <w:rFonts w:ascii="Times New Roman" w:hAnsi="Times New Roman" w:eastAsia="Times New Roman" w:cs="Times New Roman"/>
                <w:spacing w:val="13"/>
                <w:w w:val="101"/>
                <w:position w:val="1"/>
              </w:rPr>
              <w:t xml:space="preserve"> </w:t>
            </w:r>
            <w:r>
              <w:rPr>
                <w:position w:val="1"/>
              </w:rPr>
              <w:t>人</w:t>
            </w:r>
          </w:p>
        </w:tc>
        <w:tc>
          <w:tcPr>
            <w:tcW w:w="1418" w:type="dxa"/>
            <w:vAlign w:val="top"/>
          </w:tcPr>
          <w:p w14:paraId="1F960D3F">
            <w:pPr>
              <w:pStyle w:val="6"/>
              <w:spacing w:before="2" w:line="264" w:lineRule="exact"/>
              <w:ind w:left="284"/>
            </w:pPr>
            <w:r>
              <w:rPr>
                <w:rFonts w:ascii="Times New Roman" w:hAnsi="Times New Roman" w:eastAsia="Times New Roman" w:cs="Times New Roman"/>
                <w:spacing w:val="4"/>
                <w:position w:val="1"/>
              </w:rPr>
              <w:t>80L/</w:t>
            </w:r>
            <w:r>
              <w:rPr>
                <w:spacing w:val="4"/>
                <w:position w:val="1"/>
              </w:rPr>
              <w:t>人</w:t>
            </w:r>
            <w:r>
              <w:rPr>
                <w:rFonts w:ascii="Times New Roman" w:hAnsi="Times New Roman" w:eastAsia="Times New Roman" w:cs="Times New Roman"/>
                <w:spacing w:val="4"/>
                <w:position w:val="1"/>
              </w:rPr>
              <w:t>∙</w:t>
            </w:r>
            <w:r>
              <w:rPr>
                <w:spacing w:val="4"/>
                <w:position w:val="1"/>
              </w:rPr>
              <w:t>天</w:t>
            </w:r>
          </w:p>
        </w:tc>
        <w:tc>
          <w:tcPr>
            <w:tcW w:w="1135" w:type="dxa"/>
            <w:vAlign w:val="top"/>
          </w:tcPr>
          <w:p w14:paraId="1FD25246">
            <w:pPr>
              <w:spacing w:before="2" w:line="26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0.32</w:t>
            </w:r>
          </w:p>
        </w:tc>
        <w:tc>
          <w:tcPr>
            <w:tcW w:w="1275" w:type="dxa"/>
            <w:vAlign w:val="top"/>
          </w:tcPr>
          <w:p w14:paraId="0E1E8B21">
            <w:pPr>
              <w:spacing w:before="2" w:line="264"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116.8</w:t>
            </w:r>
          </w:p>
        </w:tc>
        <w:tc>
          <w:tcPr>
            <w:tcW w:w="2033" w:type="dxa"/>
            <w:vMerge w:val="restart"/>
            <w:tcBorders>
              <w:bottom w:val="nil"/>
            </w:tcBorders>
            <w:vAlign w:val="top"/>
          </w:tcPr>
          <w:p w14:paraId="3D6C40A3">
            <w:pPr>
              <w:pStyle w:val="6"/>
              <w:spacing w:before="33" w:line="224" w:lineRule="auto"/>
              <w:ind w:left="116"/>
            </w:pPr>
            <w:r>
              <w:rPr>
                <w:spacing w:val="7"/>
              </w:rPr>
              <w:t>广东省《用水定额》</w:t>
            </w:r>
          </w:p>
          <w:p w14:paraId="2B1BB2FF">
            <w:pPr>
              <w:pStyle w:val="6"/>
              <w:spacing w:line="274" w:lineRule="exact"/>
              <w:ind w:left="129"/>
              <w:rPr>
                <w:rFonts w:ascii="Times New Roman" w:hAnsi="Times New Roman" w:eastAsia="Times New Roman" w:cs="Times New Roman"/>
              </w:rPr>
            </w:pPr>
            <w:r>
              <w:rPr>
                <w:spacing w:val="2"/>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2"/>
                <w:position w:val="1"/>
              </w:rPr>
              <w:t>44/T</w:t>
            </w:r>
            <w:r>
              <w:rPr>
                <w:rFonts w:ascii="Times New Roman" w:hAnsi="Times New Roman" w:eastAsia="Times New Roman" w:cs="Times New Roman"/>
                <w:spacing w:val="-14"/>
                <w:position w:val="1"/>
              </w:rPr>
              <w:t xml:space="preserve"> </w:t>
            </w:r>
            <w:r>
              <w:rPr>
                <w:rFonts w:ascii="Times New Roman" w:hAnsi="Times New Roman" w:eastAsia="Times New Roman" w:cs="Times New Roman"/>
                <w:spacing w:val="2"/>
                <w:position w:val="1"/>
              </w:rPr>
              <w:t>1461-2014</w:t>
            </w:r>
          </w:p>
          <w:p w14:paraId="6890179F">
            <w:pPr>
              <w:pStyle w:val="6"/>
              <w:spacing w:before="27" w:line="215" w:lineRule="auto"/>
              <w:ind w:left="937"/>
            </w:pPr>
            <w:r>
              <w:t>)</w:t>
            </w:r>
          </w:p>
        </w:tc>
      </w:tr>
      <w:tr w14:paraId="0BDE7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21" w:type="dxa"/>
            <w:vMerge w:val="continue"/>
            <w:tcBorders>
              <w:top w:val="nil"/>
            </w:tcBorders>
            <w:vAlign w:val="top"/>
          </w:tcPr>
          <w:p w14:paraId="57D97BCC">
            <w:pPr>
              <w:rPr>
                <w:rFonts w:ascii="Arial"/>
                <w:sz w:val="21"/>
              </w:rPr>
            </w:pPr>
          </w:p>
        </w:tc>
        <w:tc>
          <w:tcPr>
            <w:tcW w:w="1275" w:type="dxa"/>
            <w:vAlign w:val="top"/>
          </w:tcPr>
          <w:p w14:paraId="0057088A">
            <w:pPr>
              <w:pStyle w:val="6"/>
              <w:spacing w:before="164" w:line="228" w:lineRule="auto"/>
              <w:ind w:left="331"/>
            </w:pPr>
            <w:r>
              <w:rPr>
                <w:spacing w:val="5"/>
              </w:rPr>
              <w:t>非住宿</w:t>
            </w:r>
          </w:p>
        </w:tc>
        <w:tc>
          <w:tcPr>
            <w:tcW w:w="993" w:type="dxa"/>
            <w:vAlign w:val="top"/>
          </w:tcPr>
          <w:p w14:paraId="300EC99A">
            <w:pPr>
              <w:pStyle w:val="6"/>
              <w:spacing w:before="133" w:line="274" w:lineRule="exact"/>
              <w:ind w:left="322"/>
            </w:pPr>
            <w:r>
              <w:rPr>
                <w:rFonts w:ascii="Times New Roman" w:hAnsi="Times New Roman" w:eastAsia="Times New Roman" w:cs="Times New Roman"/>
                <w:spacing w:val="-5"/>
                <w:position w:val="1"/>
              </w:rPr>
              <w:t>8</w:t>
            </w:r>
            <w:r>
              <w:rPr>
                <w:rFonts w:ascii="Times New Roman" w:hAnsi="Times New Roman" w:eastAsia="Times New Roman" w:cs="Times New Roman"/>
                <w:spacing w:val="14"/>
                <w:position w:val="1"/>
              </w:rPr>
              <w:t xml:space="preserve"> </w:t>
            </w:r>
            <w:r>
              <w:rPr>
                <w:spacing w:val="-5"/>
                <w:position w:val="1"/>
              </w:rPr>
              <w:t>人</w:t>
            </w:r>
          </w:p>
        </w:tc>
        <w:tc>
          <w:tcPr>
            <w:tcW w:w="1418" w:type="dxa"/>
            <w:vAlign w:val="top"/>
          </w:tcPr>
          <w:p w14:paraId="5AD66093">
            <w:pPr>
              <w:pStyle w:val="6"/>
              <w:spacing w:before="133" w:line="274" w:lineRule="exact"/>
              <w:ind w:left="248"/>
            </w:pPr>
            <w:r>
              <w:rPr>
                <w:rFonts w:ascii="Times New Roman" w:hAnsi="Times New Roman" w:eastAsia="Times New Roman" w:cs="Times New Roman"/>
                <w:spacing w:val="4"/>
                <w:position w:val="1"/>
              </w:rPr>
              <w:t>40 L/</w:t>
            </w:r>
            <w:r>
              <w:rPr>
                <w:spacing w:val="4"/>
                <w:position w:val="1"/>
              </w:rPr>
              <w:t>人</w:t>
            </w:r>
            <w:r>
              <w:rPr>
                <w:rFonts w:ascii="Times New Roman" w:hAnsi="Times New Roman" w:eastAsia="Times New Roman" w:cs="Times New Roman"/>
                <w:spacing w:val="4"/>
                <w:position w:val="1"/>
              </w:rPr>
              <w:t>∙</w:t>
            </w:r>
            <w:r>
              <w:rPr>
                <w:spacing w:val="4"/>
                <w:position w:val="1"/>
              </w:rPr>
              <w:t>天</w:t>
            </w:r>
          </w:p>
        </w:tc>
        <w:tc>
          <w:tcPr>
            <w:tcW w:w="1135" w:type="dxa"/>
            <w:vAlign w:val="top"/>
          </w:tcPr>
          <w:p w14:paraId="53F291F9">
            <w:pPr>
              <w:spacing w:before="133"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w:t>
            </w:r>
          </w:p>
        </w:tc>
        <w:tc>
          <w:tcPr>
            <w:tcW w:w="1275" w:type="dxa"/>
            <w:vAlign w:val="top"/>
          </w:tcPr>
          <w:p w14:paraId="3EAEDC66">
            <w:pPr>
              <w:spacing w:before="133" w:line="274"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116.8</w:t>
            </w:r>
          </w:p>
        </w:tc>
        <w:tc>
          <w:tcPr>
            <w:tcW w:w="2033" w:type="dxa"/>
            <w:vMerge w:val="continue"/>
            <w:tcBorders>
              <w:top w:val="nil"/>
            </w:tcBorders>
            <w:vAlign w:val="top"/>
          </w:tcPr>
          <w:p w14:paraId="07711823">
            <w:pPr>
              <w:rPr>
                <w:rFonts w:ascii="Arial"/>
                <w:sz w:val="21"/>
              </w:rPr>
            </w:pPr>
          </w:p>
        </w:tc>
      </w:tr>
      <w:tr w14:paraId="1641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96" w:type="dxa"/>
            <w:gridSpan w:val="2"/>
            <w:vAlign w:val="top"/>
          </w:tcPr>
          <w:p w14:paraId="6A856C9A">
            <w:pPr>
              <w:pStyle w:val="6"/>
              <w:spacing w:before="35" w:line="214" w:lineRule="auto"/>
              <w:ind w:left="531"/>
            </w:pPr>
            <w:r>
              <w:rPr>
                <w:spacing w:val="7"/>
              </w:rPr>
              <w:t>生活区合计</w:t>
            </w:r>
          </w:p>
        </w:tc>
        <w:tc>
          <w:tcPr>
            <w:tcW w:w="993" w:type="dxa"/>
            <w:vAlign w:val="top"/>
          </w:tcPr>
          <w:p w14:paraId="1F1721A9">
            <w:pPr>
              <w:spacing w:before="159" w:line="97"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3D11F0D6">
            <w:pPr>
              <w:spacing w:before="159" w:line="97"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43C8BDB5">
            <w:pPr>
              <w:spacing w:before="4" w:line="262"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0.64</w:t>
            </w:r>
          </w:p>
        </w:tc>
        <w:tc>
          <w:tcPr>
            <w:tcW w:w="1275" w:type="dxa"/>
            <w:vAlign w:val="top"/>
          </w:tcPr>
          <w:p w14:paraId="310AA3EF">
            <w:pPr>
              <w:spacing w:before="4" w:line="262" w:lineRule="exact"/>
              <w:ind w:left="40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233.6</w:t>
            </w:r>
          </w:p>
        </w:tc>
        <w:tc>
          <w:tcPr>
            <w:tcW w:w="2033" w:type="dxa"/>
            <w:vAlign w:val="top"/>
          </w:tcPr>
          <w:p w14:paraId="1E462063">
            <w:pPr>
              <w:spacing w:before="159"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4A652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096" w:type="dxa"/>
            <w:gridSpan w:val="2"/>
            <w:vAlign w:val="top"/>
          </w:tcPr>
          <w:p w14:paraId="7B48654F">
            <w:pPr>
              <w:pStyle w:val="6"/>
              <w:spacing w:before="34" w:line="216" w:lineRule="auto"/>
              <w:ind w:left="321"/>
            </w:pPr>
            <w:r>
              <w:rPr>
                <w:spacing w:val="8"/>
              </w:rPr>
              <w:t>项目区域内合计</w:t>
            </w:r>
          </w:p>
        </w:tc>
        <w:tc>
          <w:tcPr>
            <w:tcW w:w="993" w:type="dxa"/>
            <w:vAlign w:val="top"/>
          </w:tcPr>
          <w:p w14:paraId="050A6487">
            <w:pPr>
              <w:spacing w:before="158" w:line="97"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509B4BAD">
            <w:pPr>
              <w:spacing w:before="158" w:line="97"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0D13311F">
            <w:pPr>
              <w:spacing w:before="158" w:line="97"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75" w:type="dxa"/>
            <w:vAlign w:val="top"/>
          </w:tcPr>
          <w:p w14:paraId="09DBC608">
            <w:pPr>
              <w:spacing w:before="3" w:line="265"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19997.1</w:t>
            </w:r>
          </w:p>
        </w:tc>
        <w:tc>
          <w:tcPr>
            <w:tcW w:w="2033" w:type="dxa"/>
            <w:vAlign w:val="top"/>
          </w:tcPr>
          <w:p w14:paraId="776ED702">
            <w:pPr>
              <w:spacing w:before="158"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6D2F0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096" w:type="dxa"/>
            <w:gridSpan w:val="2"/>
            <w:vAlign w:val="top"/>
          </w:tcPr>
          <w:p w14:paraId="08100213">
            <w:pPr>
              <w:pStyle w:val="6"/>
              <w:spacing w:before="306" w:line="228" w:lineRule="auto"/>
              <w:ind w:left="423"/>
            </w:pPr>
            <w:r>
              <w:rPr>
                <w:spacing w:val="8"/>
              </w:rPr>
              <w:t>夏季降温用水</w:t>
            </w:r>
          </w:p>
        </w:tc>
        <w:tc>
          <w:tcPr>
            <w:tcW w:w="993" w:type="dxa"/>
            <w:vAlign w:val="top"/>
          </w:tcPr>
          <w:p w14:paraId="4CFC830E">
            <w:pPr>
              <w:pStyle w:val="6"/>
              <w:spacing w:before="274" w:line="275" w:lineRule="exact"/>
              <w:ind w:left="266"/>
            </w:pPr>
            <w:r>
              <w:rPr>
                <w:rFonts w:ascii="Times New Roman" w:hAnsi="Times New Roman" w:eastAsia="Times New Roman" w:cs="Times New Roman"/>
                <w:spacing w:val="1"/>
                <w:position w:val="1"/>
              </w:rPr>
              <w:t>8h/</w:t>
            </w:r>
            <w:r>
              <w:rPr>
                <w:spacing w:val="1"/>
                <w:position w:val="1"/>
              </w:rPr>
              <w:t>天</w:t>
            </w:r>
          </w:p>
        </w:tc>
        <w:tc>
          <w:tcPr>
            <w:tcW w:w="1418" w:type="dxa"/>
            <w:vAlign w:val="top"/>
          </w:tcPr>
          <w:p w14:paraId="6D0DEE88">
            <w:pPr>
              <w:spacing w:before="274" w:line="275"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/h*0.012</w:t>
            </w:r>
          </w:p>
        </w:tc>
        <w:tc>
          <w:tcPr>
            <w:tcW w:w="1135" w:type="dxa"/>
            <w:vAlign w:val="top"/>
          </w:tcPr>
          <w:p w14:paraId="50296054">
            <w:pPr>
              <w:spacing w:before="274" w:line="275"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0.384</w:t>
            </w:r>
          </w:p>
        </w:tc>
        <w:tc>
          <w:tcPr>
            <w:tcW w:w="1275" w:type="dxa"/>
            <w:vAlign w:val="top"/>
          </w:tcPr>
          <w:p w14:paraId="2055A083">
            <w:pPr>
              <w:spacing w:before="274" w:line="275" w:lineRule="exact"/>
              <w:ind w:left="4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46.08</w:t>
            </w:r>
          </w:p>
        </w:tc>
        <w:tc>
          <w:tcPr>
            <w:tcW w:w="2033" w:type="dxa"/>
            <w:vAlign w:val="top"/>
          </w:tcPr>
          <w:p w14:paraId="4F7F3DD4">
            <w:pPr>
              <w:pStyle w:val="6"/>
              <w:spacing w:before="34" w:line="222" w:lineRule="auto"/>
              <w:ind w:left="119"/>
            </w:pPr>
            <w:r>
              <w:rPr>
                <w:spacing w:val="-1"/>
              </w:rPr>
              <w:t>蒸发损耗，无废水产</w:t>
            </w:r>
          </w:p>
          <w:p w14:paraId="54BED38A">
            <w:pPr>
              <w:pStyle w:val="6"/>
              <w:spacing w:line="274" w:lineRule="exact"/>
              <w:ind w:left="118"/>
            </w:pPr>
            <w:r>
              <w:rPr>
                <w:spacing w:val="-1"/>
                <w:position w:val="1"/>
              </w:rPr>
              <w:t>生，每年约有</w:t>
            </w:r>
            <w:r>
              <w:rPr>
                <w:spacing w:val="-42"/>
                <w:position w:val="1"/>
              </w:rPr>
              <w:t xml:space="preserve"> </w:t>
            </w:r>
            <w:r>
              <w:rPr>
                <w:rFonts w:ascii="Times New Roman" w:hAnsi="Times New Roman" w:eastAsia="Times New Roman" w:cs="Times New Roman"/>
                <w:spacing w:val="-1"/>
                <w:position w:val="1"/>
              </w:rPr>
              <w:t xml:space="preserve">4 </w:t>
            </w:r>
            <w:r>
              <w:rPr>
                <w:spacing w:val="-1"/>
                <w:position w:val="1"/>
              </w:rPr>
              <w:t>个月</w:t>
            </w:r>
          </w:p>
          <w:p w14:paraId="66E62524">
            <w:pPr>
              <w:pStyle w:val="6"/>
              <w:spacing w:before="30" w:line="214" w:lineRule="auto"/>
              <w:ind w:left="611"/>
            </w:pPr>
            <w:r>
              <w:rPr>
                <w:spacing w:val="4"/>
              </w:rPr>
              <w:t>需要降温</w:t>
            </w:r>
          </w:p>
        </w:tc>
      </w:tr>
      <w:tr w14:paraId="6D84F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096" w:type="dxa"/>
            <w:gridSpan w:val="2"/>
            <w:vAlign w:val="top"/>
          </w:tcPr>
          <w:p w14:paraId="73443BE3">
            <w:pPr>
              <w:pStyle w:val="6"/>
              <w:spacing w:before="36" w:line="216" w:lineRule="auto"/>
              <w:ind w:left="846"/>
            </w:pPr>
            <w:r>
              <w:rPr>
                <w:spacing w:val="3"/>
              </w:rPr>
              <w:t>总计</w:t>
            </w:r>
          </w:p>
        </w:tc>
        <w:tc>
          <w:tcPr>
            <w:tcW w:w="993" w:type="dxa"/>
            <w:vAlign w:val="top"/>
          </w:tcPr>
          <w:p w14:paraId="3608FD15">
            <w:pPr>
              <w:spacing w:before="160" w:line="97"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2ADEA178">
            <w:pPr>
              <w:spacing w:before="160" w:line="97"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3A5590D5">
            <w:pPr>
              <w:spacing w:before="160" w:line="97"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75" w:type="dxa"/>
            <w:vAlign w:val="top"/>
          </w:tcPr>
          <w:p w14:paraId="1933D577">
            <w:pPr>
              <w:spacing w:before="5" w:line="265"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20043.18</w:t>
            </w:r>
          </w:p>
        </w:tc>
        <w:tc>
          <w:tcPr>
            <w:tcW w:w="2033" w:type="dxa"/>
            <w:vAlign w:val="top"/>
          </w:tcPr>
          <w:p w14:paraId="053F8A80">
            <w:pPr>
              <w:spacing w:before="160"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bl>
    <w:p w14:paraId="7934B43C">
      <w:pPr>
        <w:pStyle w:val="2"/>
        <w:spacing w:line="370" w:lineRule="auto"/>
      </w:pPr>
    </w:p>
    <w:p w14:paraId="5D4C126A">
      <w:pPr>
        <w:spacing w:before="78" w:line="220" w:lineRule="auto"/>
        <w:ind w:left="599"/>
        <w:rPr>
          <w:rFonts w:ascii="宋体" w:hAnsi="宋体" w:eastAsia="宋体" w:cs="宋体"/>
          <w:sz w:val="24"/>
          <w:szCs w:val="24"/>
        </w:rPr>
      </w:pPr>
      <w:r>
        <w:rPr>
          <w:rFonts w:ascii="Times New Roman" w:hAnsi="Times New Roman" w:eastAsia="Times New Roman" w:cs="Times New Roman"/>
          <w:b/>
          <w:bCs/>
          <w:spacing w:val="-10"/>
          <w:sz w:val="24"/>
          <w:szCs w:val="24"/>
        </w:rPr>
        <w:t>2</w:t>
      </w:r>
      <w:r>
        <w:rPr>
          <w:rFonts w:ascii="Times New Roman" w:hAnsi="Times New Roman" w:eastAsia="Times New Roman" w:cs="Times New Roman"/>
          <w:b/>
          <w:bCs/>
          <w:spacing w:val="-32"/>
          <w:sz w:val="24"/>
          <w:szCs w:val="24"/>
        </w:rPr>
        <w:t xml:space="preserve"> </w:t>
      </w:r>
      <w:r>
        <w:rPr>
          <w:rFonts w:ascii="宋体" w:hAnsi="宋体" w:eastAsia="宋体" w:cs="宋体"/>
          <w:b/>
          <w:bCs/>
          <w:spacing w:val="-10"/>
          <w:sz w:val="24"/>
          <w:szCs w:val="24"/>
        </w:rPr>
        <w:t>、排水</w:t>
      </w:r>
    </w:p>
    <w:p w14:paraId="56827849">
      <w:pPr>
        <w:spacing w:before="203" w:line="219" w:lineRule="auto"/>
        <w:ind w:left="603"/>
        <w:rPr>
          <w:rFonts w:ascii="宋体" w:hAnsi="宋体" w:eastAsia="宋体" w:cs="宋体"/>
          <w:sz w:val="24"/>
          <w:szCs w:val="24"/>
        </w:rPr>
      </w:pPr>
      <w:r>
        <w:rPr>
          <w:rFonts w:ascii="宋体" w:hAnsi="宋体" w:eastAsia="宋体" w:cs="宋体"/>
          <w:spacing w:val="-1"/>
          <w:sz w:val="24"/>
          <w:szCs w:val="24"/>
        </w:rPr>
        <w:t>本项目采用雨污分流制排水系统。</w:t>
      </w:r>
    </w:p>
    <w:p w14:paraId="4C875E0D">
      <w:pPr>
        <w:spacing w:before="204" w:line="218" w:lineRule="auto"/>
        <w:ind w:left="602"/>
        <w:rPr>
          <w:rFonts w:ascii="宋体" w:hAnsi="宋体" w:eastAsia="宋体" w:cs="宋体"/>
          <w:sz w:val="24"/>
          <w:szCs w:val="24"/>
        </w:rPr>
      </w:pPr>
      <w:r>
        <w:rPr>
          <w:rFonts w:ascii="宋体" w:hAnsi="宋体" w:eastAsia="宋体" w:cs="宋体"/>
          <w:spacing w:val="-2"/>
          <w:sz w:val="24"/>
          <w:szCs w:val="24"/>
        </w:rPr>
        <w:t>①牲畜尿液量</w:t>
      </w:r>
    </w:p>
    <w:p w14:paraId="4D6D57A7">
      <w:pPr>
        <w:spacing w:before="168" w:line="367" w:lineRule="auto"/>
        <w:ind w:left="122" w:right="108" w:firstLine="481"/>
        <w:rPr>
          <w:rFonts w:ascii="宋体" w:hAnsi="宋体" w:eastAsia="宋体" w:cs="宋体"/>
          <w:sz w:val="24"/>
          <w:szCs w:val="24"/>
        </w:rPr>
      </w:pPr>
      <w:r>
        <w:rPr>
          <w:rFonts w:ascii="宋体" w:hAnsi="宋体" w:eastAsia="宋体" w:cs="宋体"/>
          <w:spacing w:val="2"/>
          <w:sz w:val="24"/>
          <w:szCs w:val="24"/>
        </w:rPr>
        <w:t>本项目存栏猪只的饮水量为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53.9m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19673.5m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2"/>
          <w:sz w:val="24"/>
          <w:szCs w:val="24"/>
        </w:rPr>
        <w:t>），</w:t>
      </w:r>
      <w:r>
        <w:rPr>
          <w:rFonts w:ascii="宋体" w:hAnsi="宋体" w:eastAsia="宋体" w:cs="宋体"/>
          <w:spacing w:val="1"/>
          <w:sz w:val="24"/>
          <w:szCs w:val="24"/>
        </w:rPr>
        <w:t>根据经验公式，猪的排</w:t>
      </w:r>
      <w:r>
        <w:rPr>
          <w:rFonts w:ascii="宋体" w:hAnsi="宋体" w:eastAsia="宋体" w:cs="宋体"/>
          <w:sz w:val="24"/>
          <w:szCs w:val="24"/>
        </w:rPr>
        <w:t xml:space="preserve"> </w:t>
      </w:r>
      <w:r>
        <w:rPr>
          <w:rFonts w:ascii="宋体" w:hAnsi="宋体" w:eastAsia="宋体" w:cs="宋体"/>
          <w:spacing w:val="-1"/>
          <w:sz w:val="24"/>
          <w:szCs w:val="24"/>
        </w:rPr>
        <w:t>尿量可根据以下公式计算</w:t>
      </w:r>
    </w:p>
    <w:p w14:paraId="328ACF06">
      <w:pPr>
        <w:spacing w:before="26" w:line="315" w:lineRule="exact"/>
        <w:ind w:left="3620"/>
        <w:rPr>
          <w:rFonts w:ascii="Times New Roman" w:hAnsi="Times New Roman" w:eastAsia="Times New Roman" w:cs="Times New Roman"/>
          <w:sz w:val="24"/>
          <w:szCs w:val="24"/>
        </w:rPr>
      </w:pPr>
      <w:r>
        <w:rPr>
          <w:rFonts w:ascii="Times New Roman" w:hAnsi="Times New Roman" w:eastAsia="Times New Roman" w:cs="Times New Roman"/>
          <w:i/>
          <w:iCs/>
          <w:spacing w:val="5"/>
          <w:position w:val="2"/>
          <w:sz w:val="24"/>
          <w:szCs w:val="24"/>
        </w:rPr>
        <w:t>Y</w:t>
      </w:r>
      <w:r>
        <w:rPr>
          <w:rFonts w:ascii="Times New Roman" w:hAnsi="Times New Roman" w:eastAsia="Times New Roman" w:cs="Times New Roman"/>
          <w:i/>
          <w:iCs/>
          <w:position w:val="1"/>
          <w:sz w:val="15"/>
          <w:szCs w:val="15"/>
        </w:rPr>
        <w:t>u</w:t>
      </w:r>
      <w:r>
        <w:rPr>
          <w:rFonts w:ascii="Times New Roman" w:hAnsi="Times New Roman" w:eastAsia="Times New Roman" w:cs="Times New Roman"/>
          <w:position w:val="2"/>
          <w:sz w:val="24"/>
          <w:szCs w:val="24"/>
        </w:rPr>
        <w:t>=0.025+0.438</w:t>
      </w:r>
      <w:r>
        <w:rPr>
          <w:rFonts w:ascii="Times New Roman" w:hAnsi="Times New Roman" w:eastAsia="Times New Roman" w:cs="Times New Roman"/>
          <w:i/>
          <w:iCs/>
          <w:position w:val="2"/>
          <w:sz w:val="24"/>
          <w:szCs w:val="24"/>
        </w:rPr>
        <w:t>W</w:t>
      </w:r>
    </w:p>
    <w:p w14:paraId="322B5A50">
      <w:pPr>
        <w:spacing w:before="172" w:line="333" w:lineRule="exact"/>
        <w:ind w:left="607"/>
        <w:rPr>
          <w:rFonts w:ascii="宋体" w:hAnsi="宋体" w:eastAsia="宋体" w:cs="宋体"/>
          <w:sz w:val="24"/>
          <w:szCs w:val="24"/>
        </w:rPr>
      </w:pPr>
      <w:r>
        <w:rPr>
          <w:rFonts w:ascii="宋体" w:hAnsi="宋体" w:eastAsia="宋体" w:cs="宋体"/>
          <w:spacing w:val="-1"/>
          <w:position w:val="3"/>
          <w:sz w:val="24"/>
          <w:szCs w:val="24"/>
        </w:rPr>
        <w:t>式中：</w:t>
      </w:r>
      <w:r>
        <w:rPr>
          <w:rFonts w:ascii="Times New Roman" w:hAnsi="Times New Roman" w:eastAsia="Times New Roman" w:cs="Times New Roman"/>
          <w:i/>
          <w:iCs/>
          <w:spacing w:val="-1"/>
          <w:position w:val="3"/>
          <w:sz w:val="24"/>
          <w:szCs w:val="24"/>
        </w:rPr>
        <w:t>Y</w:t>
      </w:r>
      <w:r>
        <w:rPr>
          <w:rFonts w:ascii="Times New Roman" w:hAnsi="Times New Roman" w:eastAsia="Times New Roman" w:cs="Times New Roman"/>
          <w:i/>
          <w:iCs/>
          <w:spacing w:val="-1"/>
          <w:position w:val="2"/>
          <w:sz w:val="15"/>
          <w:szCs w:val="15"/>
        </w:rPr>
        <w:t>u</w:t>
      </w:r>
      <w:r>
        <w:rPr>
          <w:rFonts w:ascii="宋体" w:hAnsi="宋体" w:eastAsia="宋体" w:cs="宋体"/>
          <w:spacing w:val="-1"/>
          <w:position w:val="3"/>
          <w:sz w:val="24"/>
          <w:szCs w:val="24"/>
        </w:rPr>
        <w:t>——尿的排放量，</w:t>
      </w:r>
      <w:r>
        <w:rPr>
          <w:rFonts w:ascii="Times New Roman" w:hAnsi="Times New Roman" w:eastAsia="Times New Roman" w:cs="Times New Roman"/>
          <w:spacing w:val="-1"/>
          <w:position w:val="3"/>
          <w:sz w:val="24"/>
          <w:szCs w:val="24"/>
        </w:rPr>
        <w:t>kg</w:t>
      </w:r>
      <w:r>
        <w:rPr>
          <w:rFonts w:ascii="宋体" w:hAnsi="宋体" w:eastAsia="宋体" w:cs="宋体"/>
          <w:spacing w:val="-1"/>
          <w:position w:val="3"/>
          <w:sz w:val="24"/>
          <w:szCs w:val="24"/>
        </w:rPr>
        <w:t>；</w:t>
      </w:r>
    </w:p>
    <w:p w14:paraId="1C133893">
      <w:pPr>
        <w:spacing w:before="157" w:line="333" w:lineRule="exact"/>
        <w:ind w:left="1342"/>
        <w:rPr>
          <w:rFonts w:ascii="宋体" w:hAnsi="宋体" w:eastAsia="宋体" w:cs="宋体"/>
          <w:sz w:val="24"/>
          <w:szCs w:val="24"/>
        </w:rPr>
      </w:pPr>
      <w:r>
        <w:rPr>
          <w:rFonts w:ascii="Times New Roman" w:hAnsi="Times New Roman" w:eastAsia="Times New Roman" w:cs="Times New Roman"/>
          <w:i/>
          <w:iCs/>
          <w:spacing w:val="-4"/>
          <w:position w:val="3"/>
          <w:sz w:val="24"/>
          <w:szCs w:val="24"/>
        </w:rPr>
        <w:t>W</w:t>
      </w:r>
      <w:r>
        <w:rPr>
          <w:rFonts w:ascii="宋体" w:hAnsi="宋体" w:eastAsia="宋体" w:cs="宋体"/>
          <w:spacing w:val="-4"/>
          <w:position w:val="3"/>
          <w:sz w:val="24"/>
          <w:szCs w:val="24"/>
        </w:rPr>
        <w:t>——饮水量，</w:t>
      </w:r>
      <w:r>
        <w:rPr>
          <w:rFonts w:ascii="Times New Roman" w:hAnsi="Times New Roman" w:eastAsia="Times New Roman" w:cs="Times New Roman"/>
          <w:spacing w:val="-4"/>
          <w:position w:val="3"/>
          <w:sz w:val="24"/>
          <w:szCs w:val="24"/>
        </w:rPr>
        <w:t>kg</w:t>
      </w:r>
      <w:r>
        <w:rPr>
          <w:rFonts w:ascii="宋体" w:hAnsi="宋体" w:eastAsia="宋体" w:cs="宋体"/>
          <w:spacing w:val="-4"/>
          <w:position w:val="3"/>
          <w:sz w:val="24"/>
          <w:szCs w:val="24"/>
        </w:rPr>
        <w:t>。</w:t>
      </w:r>
    </w:p>
    <w:p w14:paraId="265B4E3C">
      <w:pPr>
        <w:spacing w:before="156" w:line="361" w:lineRule="exact"/>
        <w:ind w:left="602"/>
        <w:rPr>
          <w:rFonts w:ascii="宋体" w:hAnsi="宋体" w:eastAsia="宋体" w:cs="宋体"/>
          <w:sz w:val="24"/>
          <w:szCs w:val="24"/>
        </w:rPr>
      </w:pPr>
      <w:r>
        <w:rPr>
          <w:rFonts w:ascii="宋体" w:hAnsi="宋体" w:eastAsia="宋体" w:cs="宋体"/>
          <w:position w:val="2"/>
          <w:sz w:val="24"/>
          <w:szCs w:val="24"/>
        </w:rPr>
        <w:t>计算得，项目运营期猪只排尿量为</w:t>
      </w:r>
      <w:r>
        <w:rPr>
          <w:rFonts w:ascii="宋体" w:hAnsi="宋体" w:eastAsia="宋体" w:cs="宋体"/>
          <w:spacing w:val="-55"/>
          <w:position w:val="2"/>
          <w:sz w:val="24"/>
          <w:szCs w:val="24"/>
        </w:rPr>
        <w:t xml:space="preserve"> </w:t>
      </w:r>
      <w:r>
        <w:rPr>
          <w:rFonts w:ascii="Times New Roman" w:hAnsi="Times New Roman" w:eastAsia="Times New Roman" w:cs="Times New Roman"/>
          <w:position w:val="2"/>
          <w:sz w:val="24"/>
          <w:szCs w:val="24"/>
        </w:rPr>
        <w:t>23.6</w:t>
      </w:r>
      <w:r>
        <w:rPr>
          <w:rFonts w:ascii="Times New Roman" w:hAnsi="Times New Roman" w:eastAsia="Times New Roman" w:cs="Times New Roman"/>
          <w:spacing w:val="-1"/>
          <w:position w:val="2"/>
          <w:sz w:val="24"/>
          <w:szCs w:val="24"/>
        </w:rPr>
        <w:t>3t/d</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8617.02t/a</w:t>
      </w:r>
      <w:r>
        <w:rPr>
          <w:rFonts w:ascii="宋体" w:hAnsi="宋体" w:eastAsia="宋体" w:cs="宋体"/>
          <w:spacing w:val="-1"/>
          <w:position w:val="2"/>
          <w:sz w:val="24"/>
          <w:szCs w:val="24"/>
        </w:rPr>
        <w:t>）。</w:t>
      </w:r>
    </w:p>
    <w:p w14:paraId="29E4AD01">
      <w:pPr>
        <w:spacing w:before="164" w:line="218" w:lineRule="auto"/>
        <w:ind w:left="601"/>
        <w:rPr>
          <w:rFonts w:ascii="宋体" w:hAnsi="宋体" w:eastAsia="宋体" w:cs="宋体"/>
          <w:sz w:val="24"/>
          <w:szCs w:val="24"/>
        </w:rPr>
      </w:pPr>
      <w:r>
        <w:rPr>
          <w:rFonts w:ascii="宋体" w:hAnsi="宋体" w:eastAsia="宋体" w:cs="宋体"/>
          <w:spacing w:val="-2"/>
          <w:sz w:val="24"/>
          <w:szCs w:val="24"/>
        </w:rPr>
        <w:t>②猪舍冲洗废水</w:t>
      </w:r>
    </w:p>
    <w:p w14:paraId="00A2451C">
      <w:pPr>
        <w:spacing w:before="169" w:line="374" w:lineRule="auto"/>
        <w:ind w:left="128" w:right="110" w:firstLine="475"/>
        <w:rPr>
          <w:rFonts w:ascii="宋体" w:hAnsi="宋体" w:eastAsia="宋体" w:cs="宋体"/>
          <w:sz w:val="24"/>
          <w:szCs w:val="24"/>
        </w:rPr>
      </w:pPr>
      <w:r>
        <w:rPr>
          <w:rFonts w:ascii="宋体" w:hAnsi="宋体" w:eastAsia="宋体" w:cs="宋体"/>
          <w:spacing w:val="2"/>
          <w:sz w:val="24"/>
          <w:szCs w:val="24"/>
        </w:rPr>
        <w:t>本项目猪舍冲洗用水量为</w:t>
      </w:r>
      <w:r>
        <w:rPr>
          <w:rFonts w:ascii="Times New Roman" w:hAnsi="Times New Roman" w:eastAsia="Times New Roman" w:cs="Times New Roman"/>
          <w:spacing w:val="2"/>
          <w:sz w:val="24"/>
          <w:szCs w:val="24"/>
        </w:rPr>
        <w:t>90m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，排污系数取</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1"/>
          <w:sz w:val="24"/>
          <w:szCs w:val="24"/>
        </w:rPr>
        <w:t>9</w:t>
      </w:r>
      <w:r>
        <w:rPr>
          <w:rFonts w:ascii="宋体" w:hAnsi="宋体" w:eastAsia="宋体" w:cs="宋体"/>
          <w:spacing w:val="1"/>
          <w:sz w:val="24"/>
          <w:szCs w:val="24"/>
        </w:rPr>
        <w:t>，则本项目猪舍冲洗废水量为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81m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/a</w:t>
      </w:r>
      <w:r>
        <w:rPr>
          <w:rFonts w:ascii="宋体" w:hAnsi="宋体" w:eastAsia="宋体" w:cs="宋体"/>
          <w:sz w:val="24"/>
          <w:szCs w:val="24"/>
        </w:rPr>
        <w:t>（</w:t>
      </w:r>
      <w:r>
        <w:rPr>
          <w:rFonts w:ascii="Times New Roman" w:hAnsi="Times New Roman" w:eastAsia="Times New Roman" w:cs="Times New Roman"/>
          <w:sz w:val="24"/>
          <w:szCs w:val="24"/>
        </w:rPr>
        <w:t>6.75m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w:t>
      </w:r>
      <w:r>
        <w:rPr>
          <w:rFonts w:ascii="宋体" w:hAnsi="宋体" w:eastAsia="宋体" w:cs="宋体"/>
          <w:sz w:val="24"/>
          <w:szCs w:val="24"/>
        </w:rPr>
        <w:t>次）。</w:t>
      </w:r>
    </w:p>
    <w:p w14:paraId="414A873A">
      <w:pPr>
        <w:spacing w:before="42" w:line="218" w:lineRule="auto"/>
        <w:ind w:left="601"/>
        <w:rPr>
          <w:rFonts w:ascii="宋体" w:hAnsi="宋体" w:eastAsia="宋体" w:cs="宋体"/>
          <w:sz w:val="24"/>
          <w:szCs w:val="24"/>
        </w:rPr>
      </w:pPr>
      <w:r>
        <w:rPr>
          <w:rFonts w:ascii="宋体" w:hAnsi="宋体" w:eastAsia="宋体" w:cs="宋体"/>
          <w:spacing w:val="-2"/>
          <w:sz w:val="24"/>
          <w:szCs w:val="24"/>
        </w:rPr>
        <w:t>③生活污水</w:t>
      </w:r>
    </w:p>
    <w:p w14:paraId="229869D5">
      <w:pPr>
        <w:spacing w:before="171" w:line="372" w:lineRule="auto"/>
        <w:ind w:left="125" w:right="106" w:firstLine="478"/>
        <w:rPr>
          <w:rFonts w:ascii="宋体" w:hAnsi="宋体" w:eastAsia="宋体" w:cs="宋体"/>
          <w:sz w:val="24"/>
          <w:szCs w:val="24"/>
        </w:rPr>
      </w:pPr>
      <w:r>
        <w:rPr>
          <w:rFonts w:ascii="宋体" w:hAnsi="宋体" w:eastAsia="宋体" w:cs="宋体"/>
          <w:spacing w:val="-1"/>
          <w:sz w:val="24"/>
          <w:szCs w:val="24"/>
        </w:rPr>
        <w:t>本项目生活用水量为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0.64m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233.</w:t>
      </w:r>
      <w:r>
        <w:rPr>
          <w:rFonts w:ascii="Times New Roman" w:hAnsi="Times New Roman" w:eastAsia="Times New Roman" w:cs="Times New Roman"/>
          <w:spacing w:val="-2"/>
          <w:sz w:val="24"/>
          <w:szCs w:val="24"/>
        </w:rPr>
        <w:t>6m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宋体" w:hAnsi="宋体" w:eastAsia="宋体" w:cs="宋体"/>
          <w:sz w:val="24"/>
          <w:szCs w:val="24"/>
        </w:rPr>
        <w:t>），</w:t>
      </w:r>
      <w:r>
        <w:rPr>
          <w:rFonts w:ascii="宋体" w:hAnsi="宋体" w:eastAsia="宋体" w:cs="宋体"/>
          <w:spacing w:val="-2"/>
          <w:sz w:val="24"/>
          <w:szCs w:val="24"/>
        </w:rPr>
        <w:t>排污系数取</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0.9</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，则本项目生活污</w:t>
      </w:r>
      <w:r>
        <w:rPr>
          <w:rFonts w:ascii="宋体" w:hAnsi="宋体" w:eastAsia="宋体" w:cs="宋体"/>
          <w:sz w:val="24"/>
          <w:szCs w:val="24"/>
        </w:rPr>
        <w:t xml:space="preserve"> </w:t>
      </w:r>
      <w:r>
        <w:rPr>
          <w:rFonts w:ascii="宋体" w:hAnsi="宋体" w:eastAsia="宋体" w:cs="宋体"/>
          <w:spacing w:val="-1"/>
          <w:sz w:val="24"/>
          <w:szCs w:val="24"/>
        </w:rPr>
        <w:t>水产生量为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0.58m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210.24m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4FB0FE15">
      <w:pPr>
        <w:spacing w:line="372" w:lineRule="auto"/>
        <w:rPr>
          <w:rFonts w:ascii="宋体" w:hAnsi="宋体" w:eastAsia="宋体" w:cs="宋体"/>
          <w:sz w:val="24"/>
          <w:szCs w:val="24"/>
        </w:rPr>
        <w:sectPr>
          <w:footerReference r:id="rId67" w:type="default"/>
          <w:pgSz w:w="11906" w:h="16839"/>
          <w:pgMar w:top="400" w:right="1475" w:bottom="1485" w:left="1475" w:header="0" w:footer="1249" w:gutter="0"/>
          <w:cols w:space="720" w:num="1"/>
        </w:sectPr>
      </w:pPr>
    </w:p>
    <w:p w14:paraId="6ABCCF18">
      <w:pPr>
        <w:pStyle w:val="2"/>
        <w:spacing w:line="264" w:lineRule="auto"/>
      </w:pPr>
    </w:p>
    <w:p w14:paraId="56346D82">
      <w:pPr>
        <w:pStyle w:val="2"/>
        <w:spacing w:line="264" w:lineRule="auto"/>
      </w:pPr>
    </w:p>
    <w:p w14:paraId="72394D99">
      <w:pPr>
        <w:pStyle w:val="2"/>
        <w:spacing w:line="264" w:lineRule="auto"/>
      </w:pPr>
    </w:p>
    <w:p w14:paraId="65BC1E6F">
      <w:pPr>
        <w:pStyle w:val="2"/>
        <w:spacing w:line="265" w:lineRule="auto"/>
      </w:pPr>
    </w:p>
    <w:p w14:paraId="67750FC0">
      <w:pPr>
        <w:spacing w:before="78" w:line="218" w:lineRule="auto"/>
        <w:ind w:left="601"/>
        <w:rPr>
          <w:rFonts w:ascii="宋体" w:hAnsi="宋体" w:eastAsia="宋体" w:cs="宋体"/>
          <w:sz w:val="24"/>
          <w:szCs w:val="24"/>
        </w:rPr>
      </w:pPr>
      <w:r>
        <w:rPr>
          <w:rFonts w:ascii="宋体" w:hAnsi="宋体" w:eastAsia="宋体" w:cs="宋体"/>
          <w:spacing w:val="-2"/>
          <w:sz w:val="24"/>
          <w:szCs w:val="24"/>
        </w:rPr>
        <w:t>④排放去向</w:t>
      </w:r>
    </w:p>
    <w:p w14:paraId="41628EDF">
      <w:pPr>
        <w:spacing w:before="169" w:line="372" w:lineRule="auto"/>
        <w:ind w:left="122" w:right="106" w:firstLine="483"/>
        <w:rPr>
          <w:rFonts w:ascii="宋体" w:hAnsi="宋体" w:eastAsia="宋体" w:cs="宋体"/>
          <w:sz w:val="24"/>
          <w:szCs w:val="24"/>
        </w:rPr>
      </w:pPr>
      <w:r>
        <w:rPr>
          <w:rFonts w:ascii="宋体" w:hAnsi="宋体" w:eastAsia="宋体" w:cs="宋体"/>
          <w:spacing w:val="-1"/>
          <w:sz w:val="24"/>
          <w:szCs w:val="24"/>
        </w:rPr>
        <w:t>项目运营期生活污水产生量为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0.58m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210.24m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5"/>
          <w:sz w:val="24"/>
          <w:szCs w:val="24"/>
        </w:rPr>
        <w:t>），</w:t>
      </w:r>
      <w:r>
        <w:rPr>
          <w:rFonts w:ascii="宋体" w:hAnsi="宋体" w:eastAsia="宋体" w:cs="宋体"/>
          <w:spacing w:val="-1"/>
          <w:sz w:val="24"/>
          <w:szCs w:val="24"/>
        </w:rPr>
        <w:t>猪只尿液与猪舍冲洗废</w:t>
      </w:r>
      <w:r>
        <w:rPr>
          <w:rFonts w:ascii="宋体" w:hAnsi="宋体" w:eastAsia="宋体" w:cs="宋体"/>
          <w:sz w:val="24"/>
          <w:szCs w:val="24"/>
        </w:rPr>
        <w:t xml:space="preserve"> </w:t>
      </w:r>
      <w:r>
        <w:rPr>
          <w:rFonts w:ascii="宋体" w:hAnsi="宋体" w:eastAsia="宋体" w:cs="宋体"/>
          <w:spacing w:val="-2"/>
          <w:sz w:val="24"/>
          <w:szCs w:val="24"/>
        </w:rPr>
        <w:t>水产生量为</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8707.74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，猪舍只在猪只出栏是冲洗，此时产生</w:t>
      </w:r>
      <w:r>
        <w:rPr>
          <w:rFonts w:ascii="宋体" w:hAnsi="宋体" w:eastAsia="宋体" w:cs="宋体"/>
          <w:spacing w:val="-3"/>
          <w:sz w:val="24"/>
          <w:szCs w:val="24"/>
        </w:rPr>
        <w:t>的尿液、冲洗废水的</w:t>
      </w:r>
      <w:r>
        <w:rPr>
          <w:rFonts w:ascii="宋体" w:hAnsi="宋体" w:eastAsia="宋体" w:cs="宋体"/>
          <w:sz w:val="24"/>
          <w:szCs w:val="24"/>
        </w:rPr>
        <w:t xml:space="preserve"> </w:t>
      </w:r>
      <w:r>
        <w:rPr>
          <w:rFonts w:ascii="宋体" w:hAnsi="宋体" w:eastAsia="宋体" w:cs="宋体"/>
          <w:spacing w:val="-1"/>
          <w:sz w:val="24"/>
          <w:szCs w:val="24"/>
        </w:rPr>
        <w:t>量最大，为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30.96m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。项目猪只尿液、猪舍冲洗水与猪只粪便一起</w:t>
      </w:r>
      <w:r>
        <w:rPr>
          <w:rFonts w:ascii="宋体" w:hAnsi="宋体" w:eastAsia="宋体" w:cs="宋体"/>
          <w:spacing w:val="-2"/>
          <w:sz w:val="24"/>
          <w:szCs w:val="24"/>
        </w:rPr>
        <w:t>经刮粪机一起送</w:t>
      </w:r>
      <w:r>
        <w:rPr>
          <w:rFonts w:ascii="宋体" w:hAnsi="宋体" w:eastAsia="宋体" w:cs="宋体"/>
          <w:sz w:val="24"/>
          <w:szCs w:val="24"/>
        </w:rPr>
        <w:t xml:space="preserve"> </w:t>
      </w:r>
      <w:r>
        <w:rPr>
          <w:rFonts w:ascii="宋体" w:hAnsi="宋体" w:eastAsia="宋体" w:cs="宋体"/>
          <w:spacing w:val="2"/>
          <w:sz w:val="24"/>
          <w:szCs w:val="24"/>
        </w:rPr>
        <w:t>刮出，收集到集污切粪池中，待发酵处理成有机肥半成品。生活污水经污水管道送</w:t>
      </w:r>
      <w:r>
        <w:rPr>
          <w:rFonts w:ascii="宋体" w:hAnsi="宋体" w:eastAsia="宋体" w:cs="宋体"/>
          <w:spacing w:val="6"/>
          <w:sz w:val="24"/>
          <w:szCs w:val="24"/>
        </w:rPr>
        <w:t xml:space="preserve"> </w:t>
      </w:r>
      <w:r>
        <w:rPr>
          <w:rFonts w:ascii="宋体" w:hAnsi="宋体" w:eastAsia="宋体" w:cs="宋体"/>
          <w:spacing w:val="2"/>
          <w:sz w:val="24"/>
          <w:szCs w:val="24"/>
        </w:rPr>
        <w:t>集污切粪池，待发酵处理成有机肥半成品。本项目设有</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套异位发酵床，对项目粪</w:t>
      </w:r>
      <w:r>
        <w:rPr>
          <w:rFonts w:ascii="宋体" w:hAnsi="宋体" w:eastAsia="宋体" w:cs="宋体"/>
          <w:sz w:val="24"/>
          <w:szCs w:val="24"/>
        </w:rPr>
        <w:t xml:space="preserve"> </w:t>
      </w:r>
      <w:r>
        <w:rPr>
          <w:rFonts w:ascii="宋体" w:hAnsi="宋体" w:eastAsia="宋体" w:cs="宋体"/>
          <w:spacing w:val="-1"/>
          <w:sz w:val="24"/>
          <w:szCs w:val="24"/>
        </w:rPr>
        <w:t>污进行发酵处理成为有机肥半成品外售。</w:t>
      </w:r>
    </w:p>
    <w:p w14:paraId="5550212A">
      <w:pPr>
        <w:spacing w:before="70" w:line="220" w:lineRule="auto"/>
        <w:ind w:left="597"/>
        <w:rPr>
          <w:rFonts w:ascii="宋体" w:hAnsi="宋体" w:eastAsia="宋体" w:cs="宋体"/>
          <w:sz w:val="24"/>
          <w:szCs w:val="24"/>
        </w:rPr>
      </w:pPr>
      <w:r>
        <w:rPr>
          <w:rFonts w:ascii="Times New Roman" w:hAnsi="Times New Roman" w:eastAsia="Times New Roman" w:cs="Times New Roman"/>
          <w:b/>
          <w:bCs/>
          <w:spacing w:val="-9"/>
          <w:sz w:val="24"/>
          <w:szCs w:val="24"/>
        </w:rPr>
        <w:t>3</w:t>
      </w:r>
      <w:r>
        <w:rPr>
          <w:rFonts w:ascii="Times New Roman" w:hAnsi="Times New Roman" w:eastAsia="Times New Roman" w:cs="Times New Roman"/>
          <w:b/>
          <w:bCs/>
          <w:spacing w:val="-34"/>
          <w:sz w:val="24"/>
          <w:szCs w:val="24"/>
        </w:rPr>
        <w:t xml:space="preserve"> </w:t>
      </w:r>
      <w:r>
        <w:rPr>
          <w:rFonts w:ascii="宋体" w:hAnsi="宋体" w:eastAsia="宋体" w:cs="宋体"/>
          <w:b/>
          <w:bCs/>
          <w:spacing w:val="-9"/>
          <w:sz w:val="24"/>
          <w:szCs w:val="24"/>
        </w:rPr>
        <w:t>、降温</w:t>
      </w:r>
    </w:p>
    <w:p w14:paraId="39E60E52">
      <w:pPr>
        <w:spacing w:before="200" w:line="371" w:lineRule="auto"/>
        <w:ind w:left="122" w:right="49" w:firstLine="480"/>
        <w:jc w:val="both"/>
        <w:rPr>
          <w:rFonts w:ascii="宋体" w:hAnsi="宋体" w:eastAsia="宋体" w:cs="宋体"/>
          <w:sz w:val="24"/>
          <w:szCs w:val="24"/>
        </w:rPr>
      </w:pPr>
      <w:r>
        <w:rPr>
          <w:rFonts w:ascii="宋体" w:hAnsi="宋体" w:eastAsia="宋体" w:cs="宋体"/>
          <w:sz w:val="24"/>
          <w:szCs w:val="24"/>
        </w:rPr>
        <w:t>夏季，猪舍采用水帘降温系统进行降温；办公生活区</w:t>
      </w:r>
      <w:r>
        <w:rPr>
          <w:rFonts w:ascii="宋体" w:hAnsi="宋体" w:eastAsia="宋体" w:cs="宋体"/>
          <w:spacing w:val="-1"/>
          <w:sz w:val="24"/>
          <w:szCs w:val="24"/>
        </w:rPr>
        <w:t>采用分体式空调制冷。在</w:t>
      </w:r>
      <w:r>
        <w:rPr>
          <w:rFonts w:ascii="宋体" w:hAnsi="宋体" w:eastAsia="宋体" w:cs="宋体"/>
          <w:sz w:val="24"/>
          <w:szCs w:val="24"/>
        </w:rPr>
        <w:t xml:space="preserve">  </w:t>
      </w:r>
      <w:r>
        <w:rPr>
          <w:rFonts w:ascii="宋体" w:hAnsi="宋体" w:eastAsia="宋体" w:cs="宋体"/>
          <w:spacing w:val="-3"/>
          <w:sz w:val="24"/>
          <w:szCs w:val="24"/>
        </w:rPr>
        <w:t>猪舍墙壁安装降温水帘，定时或不定时的为猪舍直接降温。在舍内温度达到</w:t>
      </w:r>
      <w:r>
        <w:rPr>
          <w:rFonts w:ascii="Times New Roman" w:hAnsi="Times New Roman" w:eastAsia="Times New Roman" w:cs="Times New Roman"/>
          <w:spacing w:val="-3"/>
          <w:sz w:val="24"/>
          <w:szCs w:val="24"/>
        </w:rPr>
        <w:t>30</w:t>
      </w:r>
      <w:r>
        <w:rPr>
          <w:rFonts w:ascii="宋体" w:hAnsi="宋体" w:eastAsia="宋体" w:cs="宋体"/>
          <w:spacing w:val="-3"/>
          <w:sz w:val="24"/>
          <w:szCs w:val="24"/>
        </w:rPr>
        <w:t>℃时，</w:t>
      </w:r>
      <w:r>
        <w:rPr>
          <w:rFonts w:ascii="宋体" w:hAnsi="宋体" w:eastAsia="宋体" w:cs="宋体"/>
          <w:spacing w:val="15"/>
          <w:sz w:val="24"/>
          <w:szCs w:val="24"/>
        </w:rPr>
        <w:t xml:space="preserve"> </w:t>
      </w:r>
      <w:r>
        <w:rPr>
          <w:rFonts w:ascii="宋体" w:hAnsi="宋体" w:eastAsia="宋体" w:cs="宋体"/>
          <w:spacing w:val="-2"/>
          <w:sz w:val="24"/>
          <w:szCs w:val="24"/>
        </w:rPr>
        <w:t>就需要开启降温水帘，降温水帘能使厂房内的温度迅速在</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分钟内下降，降温环保</w:t>
      </w:r>
      <w:r>
        <w:rPr>
          <w:rFonts w:ascii="宋体" w:hAnsi="宋体" w:eastAsia="宋体" w:cs="宋体"/>
          <w:sz w:val="24"/>
          <w:szCs w:val="24"/>
        </w:rPr>
        <w:t xml:space="preserve"> </w:t>
      </w:r>
      <w:r>
        <w:rPr>
          <w:rFonts w:ascii="宋体" w:hAnsi="宋体" w:eastAsia="宋体" w:cs="宋体"/>
          <w:spacing w:val="-2"/>
          <w:sz w:val="24"/>
          <w:szCs w:val="24"/>
        </w:rPr>
        <w:t>效果佳。降温水帘通常在夏季</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5-9</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月使用。</w:t>
      </w:r>
    </w:p>
    <w:p w14:paraId="0EF95EDF">
      <w:pPr>
        <w:spacing w:before="42" w:line="228" w:lineRule="auto"/>
        <w:ind w:left="3128"/>
        <w:rPr>
          <w:rFonts w:ascii="Times New Roman" w:hAnsi="Times New Roman" w:eastAsia="Times New Roman" w:cs="Times New Roman"/>
          <w:sz w:val="20"/>
          <w:szCs w:val="20"/>
        </w:rPr>
      </w:pPr>
      <w:r>
        <w:rPr>
          <w:rFonts w:ascii="宋体" w:hAnsi="宋体" w:eastAsia="宋体" w:cs="宋体"/>
          <w:b/>
          <w:bCs/>
          <w:spacing w:val="4"/>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4"/>
          <w:sz w:val="20"/>
          <w:szCs w:val="20"/>
        </w:rPr>
        <w:t>3.2-3</w:t>
      </w:r>
      <w:r>
        <w:rPr>
          <w:rFonts w:ascii="Times New Roman" w:hAnsi="Times New Roman" w:eastAsia="Times New Roman" w:cs="Times New Roman"/>
          <w:b/>
          <w:bCs/>
          <w:spacing w:val="15"/>
          <w:w w:val="101"/>
          <w:sz w:val="20"/>
          <w:szCs w:val="20"/>
        </w:rPr>
        <w:t xml:space="preserve"> </w:t>
      </w:r>
      <w:r>
        <w:rPr>
          <w:rFonts w:ascii="宋体" w:hAnsi="宋体" w:eastAsia="宋体" w:cs="宋体"/>
          <w:b/>
          <w:bCs/>
          <w:spacing w:val="4"/>
          <w:sz w:val="20"/>
          <w:szCs w:val="20"/>
        </w:rPr>
        <w:t>项目用水量统计表</w:t>
      </w:r>
      <w:r>
        <w:rPr>
          <w:rFonts w:ascii="宋体" w:hAnsi="宋体" w:eastAsia="宋体" w:cs="宋体"/>
          <w:spacing w:val="-41"/>
          <w:sz w:val="20"/>
          <w:szCs w:val="20"/>
        </w:rPr>
        <w:t xml:space="preserve"> </w:t>
      </w:r>
      <w:r>
        <w:rPr>
          <w:rFonts w:ascii="Times New Roman" w:hAnsi="Times New Roman" w:eastAsia="Times New Roman" w:cs="Times New Roman"/>
          <w:b/>
          <w:bCs/>
          <w:spacing w:val="4"/>
          <w:sz w:val="20"/>
          <w:szCs w:val="20"/>
        </w:rPr>
        <w:t>t/a</w:t>
      </w:r>
    </w:p>
    <w:p w14:paraId="6E95D1E0">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362"/>
        <w:gridCol w:w="1940"/>
        <w:gridCol w:w="1004"/>
        <w:gridCol w:w="1166"/>
        <w:gridCol w:w="1180"/>
        <w:gridCol w:w="1185"/>
      </w:tblGrid>
      <w:tr w14:paraId="273F9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13" w:type="dxa"/>
            <w:vAlign w:val="top"/>
          </w:tcPr>
          <w:p w14:paraId="24B6EFD6">
            <w:pPr>
              <w:pStyle w:val="6"/>
              <w:spacing w:before="170" w:line="230" w:lineRule="auto"/>
              <w:ind w:left="351"/>
            </w:pPr>
            <w:r>
              <w:rPr>
                <w:b/>
                <w:bCs/>
                <w:spacing w:val="4"/>
              </w:rPr>
              <w:t>序号</w:t>
            </w:r>
          </w:p>
        </w:tc>
        <w:tc>
          <w:tcPr>
            <w:tcW w:w="1362" w:type="dxa"/>
            <w:vAlign w:val="top"/>
          </w:tcPr>
          <w:p w14:paraId="19D468EC">
            <w:pPr>
              <w:pStyle w:val="6"/>
              <w:spacing w:before="170" w:line="228" w:lineRule="auto"/>
              <w:ind w:left="265"/>
            </w:pPr>
            <w:r>
              <w:rPr>
                <w:b/>
                <w:bCs/>
                <w:spacing w:val="6"/>
              </w:rPr>
              <w:t>用水单元</w:t>
            </w:r>
          </w:p>
        </w:tc>
        <w:tc>
          <w:tcPr>
            <w:tcW w:w="1940" w:type="dxa"/>
            <w:vAlign w:val="top"/>
          </w:tcPr>
          <w:p w14:paraId="0AAA2DCC">
            <w:pPr>
              <w:pStyle w:val="6"/>
              <w:spacing w:before="170" w:line="228" w:lineRule="auto"/>
              <w:ind w:left="450"/>
            </w:pPr>
            <w:r>
              <w:rPr>
                <w:b/>
                <w:bCs/>
                <w:spacing w:val="6"/>
              </w:rPr>
              <w:t>新鲜用水量</w:t>
            </w:r>
          </w:p>
        </w:tc>
        <w:tc>
          <w:tcPr>
            <w:tcW w:w="1004" w:type="dxa"/>
            <w:vAlign w:val="top"/>
          </w:tcPr>
          <w:p w14:paraId="1764F1F8">
            <w:pPr>
              <w:pStyle w:val="6"/>
              <w:spacing w:before="170" w:line="228" w:lineRule="auto"/>
              <w:ind w:left="192"/>
            </w:pPr>
            <w:r>
              <w:rPr>
                <w:b/>
                <w:bCs/>
                <w:spacing w:val="5"/>
              </w:rPr>
              <w:t>损耗量</w:t>
            </w:r>
          </w:p>
        </w:tc>
        <w:tc>
          <w:tcPr>
            <w:tcW w:w="1166" w:type="dxa"/>
            <w:vAlign w:val="top"/>
          </w:tcPr>
          <w:p w14:paraId="46071A24">
            <w:pPr>
              <w:pStyle w:val="6"/>
              <w:spacing w:before="36" w:line="228" w:lineRule="auto"/>
              <w:ind w:left="168"/>
            </w:pPr>
            <w:r>
              <w:rPr>
                <w:b/>
                <w:bCs/>
                <w:spacing w:val="6"/>
              </w:rPr>
              <w:t>废水产生</w:t>
            </w:r>
          </w:p>
          <w:p w14:paraId="3686ABB9">
            <w:pPr>
              <w:pStyle w:val="6"/>
              <w:spacing w:before="25" w:line="216" w:lineRule="auto"/>
              <w:ind w:left="484"/>
            </w:pPr>
            <w:r>
              <w:rPr>
                <w:b/>
                <w:bCs/>
                <w:spacing w:val="-2"/>
              </w:rPr>
              <w:t>量</w:t>
            </w:r>
          </w:p>
        </w:tc>
        <w:tc>
          <w:tcPr>
            <w:tcW w:w="1180" w:type="dxa"/>
            <w:vAlign w:val="top"/>
          </w:tcPr>
          <w:p w14:paraId="185BD257">
            <w:pPr>
              <w:pStyle w:val="6"/>
              <w:spacing w:before="170" w:line="228" w:lineRule="auto"/>
              <w:ind w:left="197"/>
            </w:pPr>
            <w:r>
              <w:rPr>
                <w:b/>
                <w:bCs/>
                <w:spacing w:val="1"/>
              </w:rPr>
              <w:t>回用水量</w:t>
            </w:r>
          </w:p>
        </w:tc>
        <w:tc>
          <w:tcPr>
            <w:tcW w:w="1185" w:type="dxa"/>
            <w:vAlign w:val="top"/>
          </w:tcPr>
          <w:p w14:paraId="1AA4072A">
            <w:pPr>
              <w:pStyle w:val="6"/>
              <w:spacing w:before="170" w:line="228" w:lineRule="auto"/>
              <w:ind w:left="182"/>
            </w:pPr>
            <w:r>
              <w:rPr>
                <w:b/>
                <w:bCs/>
                <w:spacing w:val="5"/>
              </w:rPr>
              <w:t>外排水量</w:t>
            </w:r>
          </w:p>
        </w:tc>
      </w:tr>
      <w:tr w14:paraId="60952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13" w:type="dxa"/>
            <w:vAlign w:val="top"/>
          </w:tcPr>
          <w:p w14:paraId="00F70DC6">
            <w:pPr>
              <w:spacing w:before="1" w:line="264" w:lineRule="exact"/>
              <w:ind w:left="52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62" w:type="dxa"/>
            <w:vAlign w:val="top"/>
          </w:tcPr>
          <w:p w14:paraId="2BA871B1">
            <w:pPr>
              <w:pStyle w:val="6"/>
              <w:spacing w:before="31" w:line="216" w:lineRule="auto"/>
              <w:ind w:left="263"/>
            </w:pPr>
            <w:r>
              <w:rPr>
                <w:spacing w:val="7"/>
              </w:rPr>
              <w:t>猪只饮用</w:t>
            </w:r>
          </w:p>
        </w:tc>
        <w:tc>
          <w:tcPr>
            <w:tcW w:w="1940" w:type="dxa"/>
            <w:vAlign w:val="top"/>
          </w:tcPr>
          <w:p w14:paraId="304DCD26">
            <w:pPr>
              <w:spacing w:before="1" w:line="264" w:lineRule="exact"/>
              <w:ind w:left="65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19673.5</w:t>
            </w:r>
          </w:p>
        </w:tc>
        <w:tc>
          <w:tcPr>
            <w:tcW w:w="1004" w:type="dxa"/>
            <w:vAlign w:val="top"/>
          </w:tcPr>
          <w:p w14:paraId="686DB330">
            <w:pPr>
              <w:spacing w:before="1" w:line="26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11056.48</w:t>
            </w:r>
          </w:p>
        </w:tc>
        <w:tc>
          <w:tcPr>
            <w:tcW w:w="1166" w:type="dxa"/>
            <w:vAlign w:val="top"/>
          </w:tcPr>
          <w:p w14:paraId="000D14C8">
            <w:pPr>
              <w:spacing w:before="1" w:line="26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8617.02</w:t>
            </w:r>
          </w:p>
        </w:tc>
        <w:tc>
          <w:tcPr>
            <w:tcW w:w="1180" w:type="dxa"/>
            <w:vMerge w:val="restart"/>
            <w:tcBorders>
              <w:bottom w:val="nil"/>
            </w:tcBorders>
            <w:vAlign w:val="top"/>
          </w:tcPr>
          <w:p w14:paraId="667F84C3">
            <w:pPr>
              <w:spacing w:before="284"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8908.26</w:t>
            </w:r>
          </w:p>
        </w:tc>
        <w:tc>
          <w:tcPr>
            <w:tcW w:w="1185" w:type="dxa"/>
            <w:vMerge w:val="restart"/>
            <w:tcBorders>
              <w:bottom w:val="nil"/>
            </w:tcBorders>
            <w:vAlign w:val="top"/>
          </w:tcPr>
          <w:p w14:paraId="055D0362">
            <w:pPr>
              <w:spacing w:line="364" w:lineRule="auto"/>
              <w:rPr>
                <w:rFonts w:ascii="Arial"/>
                <w:sz w:val="21"/>
              </w:rPr>
            </w:pPr>
          </w:p>
          <w:p w14:paraId="75DF5CE7">
            <w:pPr>
              <w:spacing w:before="57" w:line="274" w:lineRule="exact"/>
              <w:ind w:left="5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CC3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13" w:type="dxa"/>
            <w:vAlign w:val="top"/>
          </w:tcPr>
          <w:p w14:paraId="5A0D8B61">
            <w:pPr>
              <w:spacing w:before="3" w:line="262"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62" w:type="dxa"/>
            <w:vAlign w:val="top"/>
          </w:tcPr>
          <w:p w14:paraId="0AC65439">
            <w:pPr>
              <w:pStyle w:val="6"/>
              <w:spacing w:before="34" w:line="214" w:lineRule="auto"/>
              <w:ind w:left="263"/>
            </w:pPr>
            <w:r>
              <w:rPr>
                <w:spacing w:val="7"/>
              </w:rPr>
              <w:t>猪舍冲洗</w:t>
            </w:r>
          </w:p>
        </w:tc>
        <w:tc>
          <w:tcPr>
            <w:tcW w:w="1940" w:type="dxa"/>
            <w:vAlign w:val="top"/>
          </w:tcPr>
          <w:p w14:paraId="0ED1796E">
            <w:pPr>
              <w:spacing w:before="3" w:line="262" w:lineRule="exact"/>
              <w:ind w:left="86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90</w:t>
            </w:r>
          </w:p>
        </w:tc>
        <w:tc>
          <w:tcPr>
            <w:tcW w:w="1004" w:type="dxa"/>
            <w:vAlign w:val="top"/>
          </w:tcPr>
          <w:p w14:paraId="682C3C8D">
            <w:pPr>
              <w:spacing w:before="3" w:line="262" w:lineRule="exact"/>
              <w:ind w:left="45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9</w:t>
            </w:r>
          </w:p>
        </w:tc>
        <w:tc>
          <w:tcPr>
            <w:tcW w:w="1166" w:type="dxa"/>
            <w:vAlign w:val="top"/>
          </w:tcPr>
          <w:p w14:paraId="548FBCB5">
            <w:pPr>
              <w:spacing w:before="3" w:line="262"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81</w:t>
            </w:r>
          </w:p>
        </w:tc>
        <w:tc>
          <w:tcPr>
            <w:tcW w:w="1180" w:type="dxa"/>
            <w:vMerge w:val="continue"/>
            <w:tcBorders>
              <w:top w:val="nil"/>
              <w:bottom w:val="nil"/>
            </w:tcBorders>
            <w:vAlign w:val="top"/>
          </w:tcPr>
          <w:p w14:paraId="6422373E">
            <w:pPr>
              <w:rPr>
                <w:rFonts w:ascii="Arial"/>
                <w:sz w:val="21"/>
              </w:rPr>
            </w:pPr>
          </w:p>
        </w:tc>
        <w:tc>
          <w:tcPr>
            <w:tcW w:w="1185" w:type="dxa"/>
            <w:vMerge w:val="continue"/>
            <w:tcBorders>
              <w:top w:val="nil"/>
              <w:bottom w:val="nil"/>
            </w:tcBorders>
            <w:vAlign w:val="top"/>
          </w:tcPr>
          <w:p w14:paraId="4129DDF2">
            <w:pPr>
              <w:rPr>
                <w:rFonts w:ascii="Arial"/>
                <w:sz w:val="21"/>
              </w:rPr>
            </w:pPr>
          </w:p>
        </w:tc>
      </w:tr>
      <w:tr w14:paraId="2723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3" w:type="dxa"/>
            <w:vAlign w:val="top"/>
          </w:tcPr>
          <w:p w14:paraId="4EDF9CCD">
            <w:pPr>
              <w:spacing w:before="3" w:line="264" w:lineRule="exact"/>
              <w:ind w:left="51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w:t>
            </w:r>
          </w:p>
        </w:tc>
        <w:tc>
          <w:tcPr>
            <w:tcW w:w="1362" w:type="dxa"/>
            <w:vAlign w:val="top"/>
          </w:tcPr>
          <w:p w14:paraId="3D2E7FC4">
            <w:pPr>
              <w:pStyle w:val="6"/>
              <w:spacing w:before="34" w:line="215" w:lineRule="auto"/>
              <w:ind w:left="267"/>
            </w:pPr>
            <w:r>
              <w:rPr>
                <w:spacing w:val="6"/>
              </w:rPr>
              <w:t>办公生活</w:t>
            </w:r>
          </w:p>
        </w:tc>
        <w:tc>
          <w:tcPr>
            <w:tcW w:w="1940" w:type="dxa"/>
            <w:vAlign w:val="top"/>
          </w:tcPr>
          <w:p w14:paraId="21272D50">
            <w:pPr>
              <w:spacing w:before="3" w:line="26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233.6</w:t>
            </w:r>
          </w:p>
        </w:tc>
        <w:tc>
          <w:tcPr>
            <w:tcW w:w="1004" w:type="dxa"/>
            <w:vAlign w:val="top"/>
          </w:tcPr>
          <w:p w14:paraId="311D8290">
            <w:pPr>
              <w:spacing w:before="3" w:line="264"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23.36</w:t>
            </w:r>
          </w:p>
        </w:tc>
        <w:tc>
          <w:tcPr>
            <w:tcW w:w="1166" w:type="dxa"/>
            <w:vAlign w:val="top"/>
          </w:tcPr>
          <w:p w14:paraId="63F6E1EF">
            <w:pPr>
              <w:spacing w:before="3" w:line="26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210.24</w:t>
            </w:r>
          </w:p>
        </w:tc>
        <w:tc>
          <w:tcPr>
            <w:tcW w:w="1180" w:type="dxa"/>
            <w:vMerge w:val="continue"/>
            <w:tcBorders>
              <w:top w:val="nil"/>
            </w:tcBorders>
            <w:vAlign w:val="top"/>
          </w:tcPr>
          <w:p w14:paraId="0740750A">
            <w:pPr>
              <w:rPr>
                <w:rFonts w:ascii="Arial"/>
                <w:sz w:val="21"/>
              </w:rPr>
            </w:pPr>
          </w:p>
        </w:tc>
        <w:tc>
          <w:tcPr>
            <w:tcW w:w="1185" w:type="dxa"/>
            <w:vMerge w:val="continue"/>
            <w:tcBorders>
              <w:top w:val="nil"/>
              <w:bottom w:val="nil"/>
            </w:tcBorders>
            <w:vAlign w:val="top"/>
          </w:tcPr>
          <w:p w14:paraId="0AD21025">
            <w:pPr>
              <w:rPr>
                <w:rFonts w:ascii="Arial"/>
                <w:sz w:val="21"/>
              </w:rPr>
            </w:pPr>
          </w:p>
        </w:tc>
      </w:tr>
      <w:tr w14:paraId="583B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113" w:type="dxa"/>
            <w:vAlign w:val="top"/>
          </w:tcPr>
          <w:p w14:paraId="1948528C">
            <w:pPr>
              <w:spacing w:before="4" w:line="266"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362" w:type="dxa"/>
            <w:vAlign w:val="top"/>
          </w:tcPr>
          <w:p w14:paraId="10C241AE">
            <w:pPr>
              <w:pStyle w:val="6"/>
              <w:spacing w:before="35" w:line="217" w:lineRule="auto"/>
              <w:ind w:left="266"/>
            </w:pPr>
            <w:r>
              <w:rPr>
                <w:spacing w:val="6"/>
              </w:rPr>
              <w:t>水帘用水</w:t>
            </w:r>
          </w:p>
        </w:tc>
        <w:tc>
          <w:tcPr>
            <w:tcW w:w="1940" w:type="dxa"/>
            <w:vAlign w:val="top"/>
          </w:tcPr>
          <w:p w14:paraId="30DC94EE">
            <w:pPr>
              <w:spacing w:before="4" w:line="266" w:lineRule="exact"/>
              <w:ind w:left="73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46.08</w:t>
            </w:r>
          </w:p>
        </w:tc>
        <w:tc>
          <w:tcPr>
            <w:tcW w:w="1004" w:type="dxa"/>
            <w:vAlign w:val="top"/>
          </w:tcPr>
          <w:p w14:paraId="404ED873">
            <w:pPr>
              <w:spacing w:before="4" w:line="266"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46.08</w:t>
            </w:r>
          </w:p>
        </w:tc>
        <w:tc>
          <w:tcPr>
            <w:tcW w:w="1166" w:type="dxa"/>
            <w:vAlign w:val="top"/>
          </w:tcPr>
          <w:p w14:paraId="502E84F9">
            <w:pPr>
              <w:spacing w:before="4" w:line="266" w:lineRule="exact"/>
              <w:ind w:left="5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c>
          <w:tcPr>
            <w:tcW w:w="1180" w:type="dxa"/>
            <w:vAlign w:val="top"/>
          </w:tcPr>
          <w:p w14:paraId="7C36E973">
            <w:pPr>
              <w:spacing w:before="4" w:line="266" w:lineRule="exact"/>
              <w:ind w:left="54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c>
          <w:tcPr>
            <w:tcW w:w="1185" w:type="dxa"/>
            <w:vMerge w:val="continue"/>
            <w:tcBorders>
              <w:top w:val="nil"/>
            </w:tcBorders>
            <w:vAlign w:val="top"/>
          </w:tcPr>
          <w:p w14:paraId="7D2D3CA1">
            <w:pPr>
              <w:rPr>
                <w:rFonts w:ascii="Arial"/>
                <w:sz w:val="21"/>
              </w:rPr>
            </w:pPr>
          </w:p>
        </w:tc>
      </w:tr>
    </w:tbl>
    <w:p w14:paraId="555CA190">
      <w:pPr>
        <w:spacing w:before="48" w:line="5020" w:lineRule="exact"/>
        <w:ind w:firstLine="449"/>
      </w:pPr>
      <w:r>
        <w:rPr>
          <w:position w:val="-100"/>
        </w:rPr>
        <w:drawing>
          <wp:inline distT="0" distB="0" distL="0" distR="0">
            <wp:extent cx="5101590" cy="31877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13"/>
                    <a:stretch>
                      <a:fillRect/>
                    </a:stretch>
                  </pic:blipFill>
                  <pic:spPr>
                    <a:xfrm>
                      <a:off x="0" y="0"/>
                      <a:ext cx="5101852" cy="3188043"/>
                    </a:xfrm>
                    <a:prstGeom prst="rect">
                      <a:avLst/>
                    </a:prstGeom>
                  </pic:spPr>
                </pic:pic>
              </a:graphicData>
            </a:graphic>
          </wp:inline>
        </w:drawing>
      </w:r>
    </w:p>
    <w:p w14:paraId="6334FD15">
      <w:pPr>
        <w:spacing w:before="273" w:line="220" w:lineRule="auto"/>
        <w:ind w:left="2599"/>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b/>
          <w:bCs/>
          <w:spacing w:val="-3"/>
          <w:sz w:val="24"/>
          <w:szCs w:val="24"/>
        </w:rPr>
        <w:t xml:space="preserve">3.2-1  </w:t>
      </w:r>
      <w:r>
        <w:rPr>
          <w:rFonts w:ascii="宋体" w:hAnsi="宋体" w:eastAsia="宋体" w:cs="宋体"/>
          <w:b/>
          <w:bCs/>
          <w:spacing w:val="-3"/>
          <w:sz w:val="24"/>
          <w:szCs w:val="24"/>
        </w:rPr>
        <w:t>项目水平衡图（单位：</w:t>
      </w:r>
      <w:r>
        <w:rPr>
          <w:rFonts w:ascii="Times New Roman" w:hAnsi="Times New Roman" w:eastAsia="Times New Roman" w:cs="Times New Roman"/>
          <w:b/>
          <w:bCs/>
          <w:spacing w:val="-3"/>
          <w:sz w:val="24"/>
          <w:szCs w:val="24"/>
        </w:rPr>
        <w:t>t/a</w:t>
      </w:r>
      <w:r>
        <w:rPr>
          <w:rFonts w:ascii="宋体" w:hAnsi="宋体" w:eastAsia="宋体" w:cs="宋体"/>
          <w:b/>
          <w:bCs/>
          <w:spacing w:val="-3"/>
          <w:sz w:val="24"/>
          <w:szCs w:val="24"/>
        </w:rPr>
        <w:t>）</w:t>
      </w:r>
    </w:p>
    <w:p w14:paraId="5F61A3A4">
      <w:pPr>
        <w:spacing w:line="220" w:lineRule="auto"/>
        <w:rPr>
          <w:rFonts w:ascii="宋体" w:hAnsi="宋体" w:eastAsia="宋体" w:cs="宋体"/>
          <w:sz w:val="24"/>
          <w:szCs w:val="24"/>
        </w:rPr>
        <w:sectPr>
          <w:footerReference r:id="rId68" w:type="default"/>
          <w:pgSz w:w="11906" w:h="16839"/>
          <w:pgMar w:top="400" w:right="1475" w:bottom="1485" w:left="1475" w:header="0" w:footer="1249" w:gutter="0"/>
          <w:cols w:space="720" w:num="1"/>
        </w:sectPr>
      </w:pPr>
    </w:p>
    <w:p w14:paraId="56E0287A">
      <w:pPr>
        <w:pStyle w:val="2"/>
        <w:spacing w:line="264" w:lineRule="auto"/>
      </w:pPr>
    </w:p>
    <w:p w14:paraId="1FA13A3E">
      <w:pPr>
        <w:pStyle w:val="2"/>
        <w:spacing w:line="264" w:lineRule="auto"/>
      </w:pPr>
    </w:p>
    <w:p w14:paraId="629C2342">
      <w:pPr>
        <w:pStyle w:val="2"/>
        <w:spacing w:line="264" w:lineRule="auto"/>
      </w:pPr>
    </w:p>
    <w:p w14:paraId="1335E166">
      <w:pPr>
        <w:pStyle w:val="2"/>
        <w:spacing w:line="265" w:lineRule="auto"/>
      </w:pPr>
    </w:p>
    <w:p w14:paraId="4104526E">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3.2.2</w:t>
      </w:r>
      <w:r>
        <w:rPr>
          <w:rFonts w:ascii="宋体" w:hAnsi="宋体" w:eastAsia="宋体" w:cs="宋体"/>
          <w:b/>
          <w:bCs/>
          <w:spacing w:val="-2"/>
          <w:sz w:val="24"/>
          <w:szCs w:val="24"/>
        </w:rPr>
        <w:t>供电、供气工程</w:t>
      </w:r>
    </w:p>
    <w:p w14:paraId="7C4E2479">
      <w:pPr>
        <w:spacing w:before="203" w:line="377" w:lineRule="auto"/>
        <w:ind w:left="6" w:right="87" w:firstLine="482"/>
        <w:rPr>
          <w:rFonts w:ascii="宋体" w:hAnsi="宋体" w:eastAsia="宋体" w:cs="宋体"/>
          <w:sz w:val="24"/>
          <w:szCs w:val="24"/>
        </w:rPr>
      </w:pPr>
      <w:r>
        <w:rPr>
          <w:rFonts w:ascii="宋体" w:hAnsi="宋体" w:eastAsia="宋体" w:cs="宋体"/>
          <w:sz w:val="24"/>
          <w:szCs w:val="24"/>
        </w:rPr>
        <w:t>项目照明，抽水用电、生活用电等，主要为当地电网供应，类比同类型项目，</w:t>
      </w:r>
      <w:r>
        <w:rPr>
          <w:rFonts w:ascii="宋体" w:hAnsi="宋体" w:eastAsia="宋体" w:cs="宋体"/>
          <w:spacing w:val="17"/>
          <w:sz w:val="24"/>
          <w:szCs w:val="24"/>
        </w:rPr>
        <w:t xml:space="preserve"> </w:t>
      </w:r>
      <w:r>
        <w:rPr>
          <w:rFonts w:ascii="宋体" w:hAnsi="宋体" w:eastAsia="宋体" w:cs="宋体"/>
          <w:spacing w:val="2"/>
          <w:sz w:val="24"/>
          <w:szCs w:val="24"/>
        </w:rPr>
        <w:t>本项目总用电量约</w:t>
      </w:r>
      <w:r>
        <w:rPr>
          <w:rFonts w:ascii="Times New Roman" w:hAnsi="Times New Roman" w:eastAsia="Times New Roman" w:cs="Times New Roman"/>
          <w:spacing w:val="2"/>
          <w:sz w:val="24"/>
          <w:szCs w:val="24"/>
        </w:rPr>
        <w:t xml:space="preserve">25 </w:t>
      </w:r>
      <w:r>
        <w:rPr>
          <w:rFonts w:ascii="宋体" w:hAnsi="宋体" w:eastAsia="宋体" w:cs="宋体"/>
          <w:spacing w:val="2"/>
          <w:sz w:val="24"/>
          <w:szCs w:val="24"/>
        </w:rPr>
        <w:t>万</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kw</w:t>
      </w:r>
      <w:r>
        <w:rPr>
          <w:rFonts w:ascii="Times New Roman" w:hAnsi="Times New Roman" w:eastAsia="Times New Roman" w:cs="Times New Roman"/>
          <w:spacing w:val="2"/>
          <w:sz w:val="24"/>
          <w:szCs w:val="24"/>
        </w:rPr>
        <w:t>.h</w:t>
      </w:r>
      <w:r>
        <w:rPr>
          <w:rFonts w:ascii="宋体" w:hAnsi="宋体" w:eastAsia="宋体" w:cs="宋体"/>
          <w:spacing w:val="2"/>
          <w:sz w:val="24"/>
          <w:szCs w:val="24"/>
        </w:rPr>
        <w:t>。</w:t>
      </w:r>
    </w:p>
    <w:p w14:paraId="49E1B972">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3.2.3</w:t>
      </w:r>
      <w:r>
        <w:rPr>
          <w:rFonts w:ascii="宋体" w:hAnsi="宋体" w:eastAsia="宋体" w:cs="宋体"/>
          <w:b/>
          <w:bCs/>
          <w:spacing w:val="-2"/>
          <w:sz w:val="24"/>
          <w:szCs w:val="24"/>
        </w:rPr>
        <w:t>环保工程</w:t>
      </w:r>
    </w:p>
    <w:p w14:paraId="76A34246">
      <w:pPr>
        <w:spacing w:before="200" w:line="220" w:lineRule="auto"/>
        <w:ind w:left="491"/>
        <w:rPr>
          <w:rFonts w:ascii="宋体" w:hAnsi="宋体" w:eastAsia="宋体" w:cs="宋体"/>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rFonts w:ascii="宋体" w:hAnsi="宋体" w:eastAsia="宋体" w:cs="宋体"/>
          <w:b/>
          <w:bCs/>
          <w:spacing w:val="-7"/>
          <w:sz w:val="24"/>
          <w:szCs w:val="24"/>
        </w:rPr>
        <w:t>、废水处理措施</w:t>
      </w:r>
    </w:p>
    <w:p w14:paraId="3288B635">
      <w:pPr>
        <w:spacing w:before="168" w:line="360" w:lineRule="exact"/>
        <w:ind w:left="496"/>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1</w:t>
      </w:r>
      <w:r>
        <w:rPr>
          <w:rFonts w:ascii="宋体" w:hAnsi="宋体" w:eastAsia="宋体" w:cs="宋体"/>
          <w:spacing w:val="-5"/>
          <w:position w:val="2"/>
          <w:sz w:val="24"/>
          <w:szCs w:val="24"/>
        </w:rPr>
        <w:t>）废水</w:t>
      </w:r>
    </w:p>
    <w:p w14:paraId="6CA410E9">
      <w:pPr>
        <w:spacing w:before="164" w:line="376" w:lineRule="auto"/>
        <w:ind w:left="4" w:right="31" w:firstLine="484"/>
        <w:rPr>
          <w:rFonts w:ascii="宋体" w:hAnsi="宋体" w:eastAsia="宋体" w:cs="宋体"/>
          <w:sz w:val="24"/>
          <w:szCs w:val="24"/>
        </w:rPr>
      </w:pPr>
      <w:r>
        <w:rPr>
          <w:rFonts w:ascii="宋体" w:hAnsi="宋体" w:eastAsia="宋体" w:cs="宋体"/>
          <w:spacing w:val="2"/>
          <w:sz w:val="24"/>
          <w:szCs w:val="24"/>
        </w:rPr>
        <w:t>项目猪只尿液、猪舍冲洗水与猪只粪便一起经刮粪机一起送刮出，收集到集污</w:t>
      </w:r>
      <w:r>
        <w:rPr>
          <w:rFonts w:ascii="宋体" w:hAnsi="宋体" w:eastAsia="宋体" w:cs="宋体"/>
          <w:spacing w:val="6"/>
          <w:sz w:val="24"/>
          <w:szCs w:val="24"/>
        </w:rPr>
        <w:t xml:space="preserve"> </w:t>
      </w:r>
      <w:r>
        <w:rPr>
          <w:rFonts w:ascii="宋体" w:hAnsi="宋体" w:eastAsia="宋体" w:cs="宋体"/>
          <w:spacing w:val="2"/>
          <w:sz w:val="24"/>
          <w:szCs w:val="24"/>
        </w:rPr>
        <w:t>切粪池中，待异位发酵床发酵处理成有机肥半成品。生活污水经污水管道送至集污</w:t>
      </w:r>
    </w:p>
    <w:p w14:paraId="1A77A307">
      <w:pPr>
        <w:spacing w:line="219" w:lineRule="auto"/>
        <w:ind w:left="4"/>
        <w:rPr>
          <w:rFonts w:ascii="宋体" w:hAnsi="宋体" w:eastAsia="宋体" w:cs="宋体"/>
          <w:sz w:val="24"/>
          <w:szCs w:val="24"/>
        </w:rPr>
      </w:pPr>
      <w:r>
        <w:rPr>
          <w:rFonts w:ascii="宋体" w:hAnsi="宋体" w:eastAsia="宋体" w:cs="宋体"/>
          <w:spacing w:val="-1"/>
          <w:sz w:val="24"/>
          <w:szCs w:val="24"/>
        </w:rPr>
        <w:t>切粪池，待异位发酵床发酵处理成有机肥半成品。</w:t>
      </w:r>
    </w:p>
    <w:p w14:paraId="3439D5D3">
      <w:pPr>
        <w:spacing w:before="169" w:line="359"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）有机肥发酵工艺流程</w:t>
      </w:r>
    </w:p>
    <w:p w14:paraId="39B58BAE">
      <w:pPr>
        <w:spacing w:before="166" w:line="219" w:lineRule="auto"/>
        <w:ind w:left="486"/>
        <w:rPr>
          <w:rFonts w:ascii="宋体" w:hAnsi="宋体" w:eastAsia="宋体" w:cs="宋体"/>
          <w:sz w:val="24"/>
          <w:szCs w:val="24"/>
        </w:rPr>
      </w:pPr>
      <w:r>
        <w:rPr>
          <w:rFonts w:ascii="宋体" w:hAnsi="宋体" w:eastAsia="宋体" w:cs="宋体"/>
          <w:spacing w:val="-1"/>
          <w:sz w:val="24"/>
          <w:szCs w:val="24"/>
        </w:rPr>
        <w:t>本项目有机肥发酵系统工艺流程图如下图所示。</w:t>
      </w:r>
    </w:p>
    <w:p w14:paraId="0008A7FF">
      <w:pPr>
        <w:spacing w:before="177" w:line="5019" w:lineRule="exact"/>
        <w:ind w:firstLine="24"/>
      </w:pPr>
      <w:r>
        <w:rPr>
          <w:position w:val="-100"/>
        </w:rPr>
        <w:drawing>
          <wp:inline distT="0" distB="0" distL="0" distR="0">
            <wp:extent cx="5544185" cy="31864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14"/>
                    <a:stretch>
                      <a:fillRect/>
                    </a:stretch>
                  </pic:blipFill>
                  <pic:spPr>
                    <a:xfrm>
                      <a:off x="0" y="0"/>
                      <a:ext cx="5544311" cy="3186683"/>
                    </a:xfrm>
                    <a:prstGeom prst="rect">
                      <a:avLst/>
                    </a:prstGeom>
                  </pic:spPr>
                </pic:pic>
              </a:graphicData>
            </a:graphic>
          </wp:inline>
        </w:drawing>
      </w:r>
    </w:p>
    <w:p w14:paraId="138AF2A1">
      <w:pPr>
        <w:spacing w:before="225" w:line="219" w:lineRule="auto"/>
        <w:ind w:left="2553"/>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3"/>
          <w:sz w:val="24"/>
          <w:szCs w:val="24"/>
        </w:rPr>
        <w:t xml:space="preserve">3.2-2    </w:t>
      </w:r>
      <w:r>
        <w:rPr>
          <w:rFonts w:ascii="宋体" w:hAnsi="宋体" w:eastAsia="宋体" w:cs="宋体"/>
          <w:b/>
          <w:bCs/>
          <w:spacing w:val="-3"/>
          <w:sz w:val="24"/>
          <w:szCs w:val="24"/>
        </w:rPr>
        <w:t>项目有机肥发酵工艺流程</w:t>
      </w:r>
    </w:p>
    <w:p w14:paraId="138F6A4B">
      <w:pPr>
        <w:spacing w:before="204" w:line="221" w:lineRule="auto"/>
        <w:ind w:left="481"/>
        <w:rPr>
          <w:rFonts w:ascii="宋体" w:hAnsi="宋体" w:eastAsia="宋体" w:cs="宋体"/>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32"/>
          <w:sz w:val="24"/>
          <w:szCs w:val="24"/>
        </w:rPr>
        <w:t xml:space="preserve"> </w:t>
      </w:r>
      <w:r>
        <w:rPr>
          <w:rFonts w:ascii="宋体" w:hAnsi="宋体" w:eastAsia="宋体" w:cs="宋体"/>
          <w:b/>
          <w:bCs/>
          <w:spacing w:val="-6"/>
          <w:sz w:val="24"/>
          <w:szCs w:val="24"/>
        </w:rPr>
        <w:t>、废气治理措施</w:t>
      </w:r>
    </w:p>
    <w:p w14:paraId="613BD25C">
      <w:pPr>
        <w:spacing w:before="201" w:line="342" w:lineRule="auto"/>
        <w:ind w:left="5" w:right="31" w:firstLine="487"/>
        <w:rPr>
          <w:rFonts w:ascii="宋体" w:hAnsi="宋体" w:eastAsia="宋体" w:cs="宋体"/>
          <w:sz w:val="24"/>
          <w:szCs w:val="24"/>
        </w:rPr>
      </w:pPr>
      <w:r>
        <w:rPr>
          <w:rFonts w:ascii="宋体" w:hAnsi="宋体" w:eastAsia="宋体" w:cs="宋体"/>
          <w:spacing w:val="2"/>
          <w:sz w:val="24"/>
          <w:szCs w:val="24"/>
        </w:rPr>
        <w:t xml:space="preserve">营运期废气污染源主要来自于猪舍、有机肥发酵车间无组织排放的恶臭、饲料 </w:t>
      </w:r>
      <w:r>
        <w:rPr>
          <w:rFonts w:ascii="宋体" w:hAnsi="宋体" w:eastAsia="宋体" w:cs="宋体"/>
          <w:spacing w:val="-1"/>
          <w:sz w:val="24"/>
          <w:szCs w:val="24"/>
        </w:rPr>
        <w:t>加工房产生的粉尘废气、备用发电机尾气。</w:t>
      </w:r>
    </w:p>
    <w:p w14:paraId="2FF9B9AB">
      <w:pPr>
        <w:spacing w:before="4" w:line="342" w:lineRule="auto"/>
        <w:ind w:left="7" w:right="28" w:firstLine="477"/>
        <w:jc w:val="both"/>
        <w:rPr>
          <w:rFonts w:ascii="宋体" w:hAnsi="宋体" w:eastAsia="宋体" w:cs="宋体"/>
          <w:sz w:val="24"/>
          <w:szCs w:val="24"/>
        </w:rPr>
      </w:pPr>
      <w:r>
        <w:rPr>
          <w:rFonts w:ascii="宋体" w:hAnsi="宋体" w:eastAsia="宋体" w:cs="宋体"/>
          <w:sz w:val="24"/>
          <w:szCs w:val="24"/>
        </w:rPr>
        <w:t>对于猪舍等产生的</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0"/>
          <w:w w:val="102"/>
          <w:position w:val="-1"/>
          <w:sz w:val="15"/>
          <w:szCs w:val="15"/>
        </w:rPr>
        <w:t xml:space="preserve"> </w:t>
      </w:r>
      <w:r>
        <w:rPr>
          <w:rFonts w:ascii="宋体" w:hAnsi="宋体" w:eastAsia="宋体" w:cs="宋体"/>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 </w:t>
      </w:r>
      <w:r>
        <w:rPr>
          <w:rFonts w:ascii="宋体" w:hAnsi="宋体" w:eastAsia="宋体" w:cs="宋体"/>
          <w:sz w:val="24"/>
          <w:szCs w:val="24"/>
        </w:rPr>
        <w:t xml:space="preserve">等恶臭气体，要求项目制定严格的管理制度，及 </w:t>
      </w:r>
      <w:r>
        <w:rPr>
          <w:rFonts w:ascii="宋体" w:hAnsi="宋体" w:eastAsia="宋体" w:cs="宋体"/>
          <w:spacing w:val="2"/>
          <w:sz w:val="24"/>
          <w:szCs w:val="24"/>
        </w:rPr>
        <w:t>时清除猪舍粪便，喷洒除臭剂、猪舍周边种植树木，最大限度的减轻恶臭气体的产</w:t>
      </w:r>
      <w:r>
        <w:rPr>
          <w:rFonts w:ascii="宋体" w:hAnsi="宋体" w:eastAsia="宋体" w:cs="宋体"/>
          <w:spacing w:val="4"/>
          <w:sz w:val="24"/>
          <w:szCs w:val="24"/>
        </w:rPr>
        <w:t xml:space="preserve"> </w:t>
      </w:r>
      <w:r>
        <w:rPr>
          <w:rFonts w:ascii="宋体" w:hAnsi="宋体" w:eastAsia="宋体" w:cs="宋体"/>
          <w:spacing w:val="-1"/>
          <w:sz w:val="24"/>
          <w:szCs w:val="24"/>
        </w:rPr>
        <w:t>生和扩散。有机肥发酵车间周围设有绿化带且喷洒除臭剂。</w:t>
      </w:r>
    </w:p>
    <w:p w14:paraId="2F432787">
      <w:pPr>
        <w:spacing w:line="342" w:lineRule="auto"/>
        <w:rPr>
          <w:rFonts w:ascii="宋体" w:hAnsi="宋体" w:eastAsia="宋体" w:cs="宋体"/>
          <w:sz w:val="24"/>
          <w:szCs w:val="24"/>
        </w:rPr>
        <w:sectPr>
          <w:footerReference r:id="rId69" w:type="default"/>
          <w:pgSz w:w="11906" w:h="16839"/>
          <w:pgMar w:top="400" w:right="1557" w:bottom="1485" w:left="1592" w:header="0" w:footer="1249" w:gutter="0"/>
          <w:cols w:space="720" w:num="1"/>
        </w:sectPr>
      </w:pPr>
    </w:p>
    <w:p w14:paraId="0C4FC200">
      <w:pPr>
        <w:pStyle w:val="2"/>
        <w:spacing w:line="242" w:lineRule="auto"/>
      </w:pPr>
    </w:p>
    <w:p w14:paraId="207F6132">
      <w:pPr>
        <w:pStyle w:val="2"/>
        <w:spacing w:line="242" w:lineRule="auto"/>
      </w:pPr>
    </w:p>
    <w:p w14:paraId="4C71549D">
      <w:pPr>
        <w:pStyle w:val="2"/>
        <w:spacing w:line="242" w:lineRule="auto"/>
      </w:pPr>
    </w:p>
    <w:p w14:paraId="424035F1">
      <w:pPr>
        <w:pStyle w:val="2"/>
        <w:spacing w:line="243" w:lineRule="auto"/>
      </w:pPr>
    </w:p>
    <w:p w14:paraId="5C0A2CFE">
      <w:pPr>
        <w:spacing w:before="78" w:line="220" w:lineRule="auto"/>
        <w:ind w:left="484"/>
        <w:rPr>
          <w:rFonts w:ascii="宋体" w:hAnsi="宋体" w:eastAsia="宋体" w:cs="宋体"/>
          <w:sz w:val="24"/>
          <w:szCs w:val="24"/>
        </w:rPr>
      </w:pPr>
      <w:r>
        <w:rPr>
          <w:rFonts w:ascii="宋体" w:hAnsi="宋体" w:eastAsia="宋体" w:cs="宋体"/>
          <w:spacing w:val="-1"/>
          <w:sz w:val="24"/>
          <w:szCs w:val="24"/>
        </w:rPr>
        <w:t>饲料加工设备为密闭设备，产生的粉尘量较少，呈无组织排放。</w:t>
      </w:r>
    </w:p>
    <w:p w14:paraId="6E9AA450">
      <w:pPr>
        <w:spacing w:before="179" w:line="219" w:lineRule="auto"/>
        <w:ind w:left="488"/>
        <w:rPr>
          <w:rFonts w:ascii="宋体" w:hAnsi="宋体" w:eastAsia="宋体" w:cs="宋体"/>
          <w:sz w:val="24"/>
          <w:szCs w:val="24"/>
        </w:rPr>
      </w:pPr>
      <w:r>
        <w:rPr>
          <w:rFonts w:ascii="宋体" w:hAnsi="宋体" w:eastAsia="宋体" w:cs="宋体"/>
          <w:spacing w:val="-1"/>
          <w:sz w:val="24"/>
          <w:szCs w:val="24"/>
        </w:rPr>
        <w:t>备用发电机尾气经专用排气筒高空排放。</w:t>
      </w:r>
    </w:p>
    <w:p w14:paraId="500BE5D9">
      <w:pPr>
        <w:spacing w:before="271" w:line="221" w:lineRule="auto"/>
        <w:ind w:left="480"/>
        <w:rPr>
          <w:rFonts w:ascii="宋体" w:hAnsi="宋体" w:eastAsia="宋体" w:cs="宋体"/>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rFonts w:ascii="宋体" w:hAnsi="宋体" w:eastAsia="宋体" w:cs="宋体"/>
          <w:b/>
          <w:bCs/>
          <w:spacing w:val="-6"/>
          <w:sz w:val="24"/>
          <w:szCs w:val="24"/>
        </w:rPr>
        <w:t>、噪声处理工程</w:t>
      </w:r>
    </w:p>
    <w:p w14:paraId="12D7385D">
      <w:pPr>
        <w:spacing w:before="113" w:line="359" w:lineRule="auto"/>
        <w:ind w:left="9" w:firstLine="480"/>
        <w:rPr>
          <w:rFonts w:ascii="宋体" w:hAnsi="宋体" w:eastAsia="宋体" w:cs="宋体"/>
          <w:sz w:val="24"/>
          <w:szCs w:val="24"/>
        </w:rPr>
      </w:pPr>
      <w:r>
        <w:rPr>
          <w:rFonts w:ascii="宋体" w:hAnsi="宋体" w:eastAsia="宋体" w:cs="宋体"/>
          <w:spacing w:val="-3"/>
          <w:sz w:val="24"/>
          <w:szCs w:val="24"/>
        </w:rPr>
        <w:t>项目噪声源主要来自场区内抽排风机、水泵、饲料加工等机械设备、猪只叫声，</w:t>
      </w:r>
      <w:r>
        <w:rPr>
          <w:rFonts w:ascii="宋体" w:hAnsi="宋体" w:eastAsia="宋体" w:cs="宋体"/>
          <w:spacing w:val="2"/>
          <w:sz w:val="24"/>
          <w:szCs w:val="24"/>
        </w:rPr>
        <w:t xml:space="preserve"> </w:t>
      </w:r>
      <w:r>
        <w:rPr>
          <w:rFonts w:ascii="宋体" w:hAnsi="宋体" w:eastAsia="宋体" w:cs="宋体"/>
          <w:spacing w:val="-1"/>
          <w:sz w:val="24"/>
          <w:szCs w:val="24"/>
        </w:rPr>
        <w:t>项目拟采取的噪声处理措施有：</w:t>
      </w:r>
    </w:p>
    <w:p w14:paraId="3248BC18">
      <w:pPr>
        <w:spacing w:before="1" w:line="217" w:lineRule="auto"/>
        <w:ind w:left="484"/>
        <w:rPr>
          <w:rFonts w:ascii="宋体" w:hAnsi="宋体" w:eastAsia="宋体" w:cs="宋体"/>
          <w:sz w:val="24"/>
          <w:szCs w:val="24"/>
        </w:rPr>
      </w:pPr>
      <w:r>
        <w:rPr>
          <w:rFonts w:ascii="宋体" w:hAnsi="宋体" w:eastAsia="宋体" w:cs="宋体"/>
          <w:spacing w:val="-1"/>
          <w:sz w:val="24"/>
          <w:szCs w:val="24"/>
        </w:rPr>
        <w:t>①水泵房：设在专门的机房，再经减震处理；</w:t>
      </w:r>
    </w:p>
    <w:p w14:paraId="1F975EF4">
      <w:pPr>
        <w:spacing w:before="183" w:line="218" w:lineRule="auto"/>
        <w:ind w:left="483"/>
        <w:rPr>
          <w:rFonts w:ascii="宋体" w:hAnsi="宋体" w:eastAsia="宋体" w:cs="宋体"/>
          <w:sz w:val="24"/>
          <w:szCs w:val="24"/>
        </w:rPr>
      </w:pPr>
      <w:r>
        <w:rPr>
          <w:rFonts w:ascii="宋体" w:hAnsi="宋体" w:eastAsia="宋体" w:cs="宋体"/>
          <w:spacing w:val="-1"/>
          <w:sz w:val="24"/>
          <w:szCs w:val="24"/>
        </w:rPr>
        <w:t>②抽排风机：选用低噪声设备；</w:t>
      </w:r>
    </w:p>
    <w:p w14:paraId="1C8D941B">
      <w:pPr>
        <w:spacing w:before="184" w:line="218" w:lineRule="auto"/>
        <w:ind w:left="483"/>
        <w:rPr>
          <w:rFonts w:ascii="宋体" w:hAnsi="宋体" w:eastAsia="宋体" w:cs="宋体"/>
          <w:sz w:val="24"/>
          <w:szCs w:val="24"/>
        </w:rPr>
      </w:pPr>
      <w:r>
        <w:rPr>
          <w:rFonts w:ascii="宋体" w:hAnsi="宋体" w:eastAsia="宋体" w:cs="宋体"/>
          <w:spacing w:val="-1"/>
          <w:sz w:val="24"/>
          <w:szCs w:val="24"/>
        </w:rPr>
        <w:t>③饲料加工设备：选用低噪声设备，合理安排位置等；</w:t>
      </w:r>
    </w:p>
    <w:p w14:paraId="73E82313">
      <w:pPr>
        <w:spacing w:before="185" w:line="218" w:lineRule="auto"/>
        <w:ind w:left="483"/>
        <w:rPr>
          <w:rFonts w:ascii="宋体" w:hAnsi="宋体" w:eastAsia="宋体" w:cs="宋体"/>
          <w:sz w:val="24"/>
          <w:szCs w:val="24"/>
        </w:rPr>
      </w:pPr>
      <w:r>
        <w:rPr>
          <w:rFonts w:ascii="宋体" w:hAnsi="宋体" w:eastAsia="宋体" w:cs="宋体"/>
          <w:spacing w:val="-1"/>
          <w:sz w:val="24"/>
          <w:szCs w:val="24"/>
        </w:rPr>
        <w:t>④猪只叫声：合理安排猪舍，避免由于拥挤相互挤压。</w:t>
      </w:r>
    </w:p>
    <w:p w14:paraId="2DD22491">
      <w:pPr>
        <w:spacing w:before="271" w:line="220" w:lineRule="auto"/>
        <w:ind w:left="482"/>
        <w:rPr>
          <w:rFonts w:ascii="宋体" w:hAnsi="宋体" w:eastAsia="宋体" w:cs="宋体"/>
          <w:sz w:val="24"/>
          <w:szCs w:val="24"/>
        </w:rPr>
      </w:pP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29"/>
          <w:sz w:val="24"/>
          <w:szCs w:val="24"/>
        </w:rPr>
        <w:t xml:space="preserve"> </w:t>
      </w:r>
      <w:r>
        <w:rPr>
          <w:rFonts w:ascii="宋体" w:hAnsi="宋体" w:eastAsia="宋体" w:cs="宋体"/>
          <w:b/>
          <w:bCs/>
          <w:spacing w:val="-7"/>
          <w:sz w:val="24"/>
          <w:szCs w:val="24"/>
        </w:rPr>
        <w:t>、废弃物处理</w:t>
      </w:r>
    </w:p>
    <w:p w14:paraId="52AB054F">
      <w:pPr>
        <w:spacing w:before="203" w:line="376" w:lineRule="auto"/>
        <w:ind w:left="7" w:right="63" w:firstLine="480"/>
        <w:jc w:val="both"/>
        <w:rPr>
          <w:rFonts w:ascii="宋体" w:hAnsi="宋体" w:eastAsia="宋体" w:cs="宋体"/>
          <w:sz w:val="24"/>
          <w:szCs w:val="24"/>
        </w:rPr>
      </w:pPr>
      <w:r>
        <w:rPr>
          <w:rFonts w:ascii="宋体" w:hAnsi="宋体" w:eastAsia="宋体" w:cs="宋体"/>
          <w:spacing w:val="2"/>
          <w:sz w:val="24"/>
          <w:szCs w:val="24"/>
        </w:rPr>
        <w:t>粪便：养殖场采用干清粪工艺，配有机械化清理设施，粪便、尿液、猪舍冲洗</w:t>
      </w:r>
      <w:r>
        <w:rPr>
          <w:rFonts w:ascii="宋体" w:hAnsi="宋体" w:eastAsia="宋体" w:cs="宋体"/>
          <w:spacing w:val="8"/>
          <w:sz w:val="24"/>
          <w:szCs w:val="24"/>
        </w:rPr>
        <w:t xml:space="preserve"> </w:t>
      </w:r>
      <w:r>
        <w:rPr>
          <w:rFonts w:ascii="宋体" w:hAnsi="宋体" w:eastAsia="宋体" w:cs="宋体"/>
          <w:spacing w:val="2"/>
          <w:sz w:val="24"/>
          <w:szCs w:val="24"/>
        </w:rPr>
        <w:t>水从猪舍漏缝地板漏下，由底下刮板收集，传送到有机肥发酵车间进行处理，加工</w:t>
      </w:r>
      <w:r>
        <w:rPr>
          <w:rFonts w:ascii="宋体" w:hAnsi="宋体" w:eastAsia="宋体" w:cs="宋体"/>
          <w:spacing w:val="4"/>
          <w:sz w:val="24"/>
          <w:szCs w:val="24"/>
        </w:rPr>
        <w:t xml:space="preserve"> </w:t>
      </w:r>
      <w:r>
        <w:rPr>
          <w:rFonts w:ascii="宋体" w:hAnsi="宋体" w:eastAsia="宋体" w:cs="宋体"/>
          <w:spacing w:val="-1"/>
          <w:sz w:val="24"/>
          <w:szCs w:val="24"/>
        </w:rPr>
        <w:t>成有机肥半成品外售给肥料生产企业进一步加工制造有机肥，不外排。</w:t>
      </w:r>
    </w:p>
    <w:p w14:paraId="0AFB6FCE">
      <w:pPr>
        <w:spacing w:before="1" w:line="362" w:lineRule="auto"/>
        <w:ind w:left="7" w:right="63" w:firstLine="480"/>
        <w:rPr>
          <w:rFonts w:ascii="宋体" w:hAnsi="宋体" w:eastAsia="宋体" w:cs="宋体"/>
          <w:sz w:val="24"/>
          <w:szCs w:val="24"/>
        </w:rPr>
      </w:pPr>
      <w:r>
        <w:rPr>
          <w:rFonts w:ascii="宋体" w:hAnsi="宋体" w:eastAsia="宋体" w:cs="宋体"/>
          <w:spacing w:val="2"/>
          <w:sz w:val="24"/>
          <w:szCs w:val="24"/>
        </w:rPr>
        <w:t>为避免粪便堆存过程产生的恶臭污染，本项目日产日清，这样既可保证猪舍卫</w:t>
      </w:r>
      <w:r>
        <w:rPr>
          <w:rFonts w:ascii="宋体" w:hAnsi="宋体" w:eastAsia="宋体" w:cs="宋体"/>
          <w:spacing w:val="7"/>
          <w:sz w:val="24"/>
          <w:szCs w:val="24"/>
        </w:rPr>
        <w:t xml:space="preserve"> </w:t>
      </w:r>
      <w:r>
        <w:rPr>
          <w:rFonts w:ascii="宋体" w:hAnsi="宋体" w:eastAsia="宋体" w:cs="宋体"/>
          <w:spacing w:val="-1"/>
          <w:sz w:val="24"/>
          <w:szCs w:val="24"/>
        </w:rPr>
        <w:t>生，也能及时为处理项目提供原料。</w:t>
      </w:r>
    </w:p>
    <w:p w14:paraId="3F1AD94A">
      <w:pPr>
        <w:spacing w:before="2" w:line="367" w:lineRule="auto"/>
        <w:ind w:left="10" w:right="60" w:firstLine="474"/>
        <w:rPr>
          <w:rFonts w:ascii="宋体" w:hAnsi="宋体" w:eastAsia="宋体" w:cs="宋体"/>
          <w:sz w:val="24"/>
          <w:szCs w:val="24"/>
        </w:rPr>
      </w:pPr>
      <w:r>
        <w:rPr>
          <w:rFonts w:ascii="宋体" w:hAnsi="宋体" w:eastAsia="宋体" w:cs="宋体"/>
          <w:sz w:val="24"/>
          <w:szCs w:val="24"/>
        </w:rPr>
        <w:t>病死猪处理：病死猪按《畜禽养殖业污染防治技术规范》（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）采用</w:t>
      </w:r>
      <w:r>
        <w:rPr>
          <w:rFonts w:ascii="宋体" w:hAnsi="宋体" w:eastAsia="宋体" w:cs="宋体"/>
          <w:spacing w:val="1"/>
          <w:sz w:val="24"/>
          <w:szCs w:val="24"/>
        </w:rPr>
        <w:t xml:space="preserve"> </w:t>
      </w:r>
      <w:r>
        <w:rPr>
          <w:rFonts w:ascii="宋体" w:hAnsi="宋体" w:eastAsia="宋体" w:cs="宋体"/>
          <w:spacing w:val="-1"/>
          <w:sz w:val="24"/>
          <w:szCs w:val="24"/>
        </w:rPr>
        <w:t>安全方法处理。建设单位采用将病死猪埋于安全填埋井的方法进行处理。</w:t>
      </w:r>
    </w:p>
    <w:p w14:paraId="19277349">
      <w:pPr>
        <w:spacing w:before="58" w:line="220" w:lineRule="auto"/>
        <w:ind w:left="500"/>
        <w:rPr>
          <w:rFonts w:ascii="宋体" w:hAnsi="宋体" w:eastAsia="宋体" w:cs="宋体"/>
          <w:sz w:val="24"/>
          <w:szCs w:val="24"/>
        </w:rPr>
      </w:pPr>
      <w:r>
        <w:rPr>
          <w:rFonts w:ascii="宋体" w:hAnsi="宋体" w:eastAsia="宋体" w:cs="宋体"/>
          <w:spacing w:val="-1"/>
          <w:sz w:val="24"/>
          <w:szCs w:val="24"/>
        </w:rPr>
        <w:t>畜牧医疗废物：收集后暂存于医疗废物暂存间，并委托有资质单位定期处理。</w:t>
      </w:r>
    </w:p>
    <w:p w14:paraId="31785A01">
      <w:pPr>
        <w:spacing w:before="204" w:line="379" w:lineRule="auto"/>
        <w:ind w:left="5" w:right="61" w:firstLine="489"/>
        <w:rPr>
          <w:rFonts w:ascii="宋体" w:hAnsi="宋体" w:eastAsia="宋体" w:cs="宋体"/>
          <w:sz w:val="24"/>
          <w:szCs w:val="24"/>
        </w:rPr>
      </w:pPr>
      <w:r>
        <w:rPr>
          <w:rFonts w:ascii="宋体" w:hAnsi="宋体" w:eastAsia="宋体" w:cs="宋体"/>
          <w:spacing w:val="2"/>
          <w:sz w:val="24"/>
          <w:szCs w:val="24"/>
        </w:rPr>
        <w:t>员工生活垃圾：由项目区域内的垃圾桶进行收集，然后统一交由市政环卫部门</w:t>
      </w:r>
      <w:r>
        <w:rPr>
          <w:rFonts w:ascii="宋体" w:hAnsi="宋体" w:eastAsia="宋体" w:cs="宋体"/>
          <w:spacing w:val="3"/>
          <w:sz w:val="24"/>
          <w:szCs w:val="24"/>
        </w:rPr>
        <w:t xml:space="preserve"> </w:t>
      </w:r>
      <w:r>
        <w:rPr>
          <w:rFonts w:ascii="宋体" w:hAnsi="宋体" w:eastAsia="宋体" w:cs="宋体"/>
          <w:spacing w:val="-4"/>
          <w:sz w:val="24"/>
          <w:szCs w:val="24"/>
        </w:rPr>
        <w:t>清运。</w:t>
      </w:r>
    </w:p>
    <w:p w14:paraId="5A79F13C">
      <w:pPr>
        <w:pStyle w:val="2"/>
        <w:spacing w:line="447" w:lineRule="auto"/>
      </w:pPr>
    </w:p>
    <w:p w14:paraId="01EC2AE4">
      <w:pPr>
        <w:spacing w:before="91" w:line="221" w:lineRule="auto"/>
        <w:outlineLvl w:val="1"/>
        <w:rPr>
          <w:rFonts w:ascii="宋体" w:hAnsi="宋体" w:eastAsia="宋体" w:cs="宋体"/>
          <w:sz w:val="28"/>
          <w:szCs w:val="28"/>
        </w:rPr>
      </w:pPr>
      <w:bookmarkStart w:id="22" w:name="bookmark20"/>
      <w:bookmarkEnd w:id="22"/>
      <w:r>
        <w:rPr>
          <w:rFonts w:ascii="Times New Roman" w:hAnsi="Times New Roman" w:eastAsia="Times New Roman" w:cs="Times New Roman"/>
          <w:b/>
          <w:bCs/>
          <w:spacing w:val="-2"/>
          <w:sz w:val="28"/>
          <w:szCs w:val="28"/>
        </w:rPr>
        <w:t>3.3</w:t>
      </w:r>
      <w:r>
        <w:rPr>
          <w:rFonts w:ascii="宋体" w:hAnsi="宋体" w:eastAsia="宋体" w:cs="宋体"/>
          <w:b/>
          <w:bCs/>
          <w:spacing w:val="-2"/>
          <w:sz w:val="28"/>
          <w:szCs w:val="28"/>
        </w:rPr>
        <w:t>项目工艺流程及产污环节</w:t>
      </w:r>
    </w:p>
    <w:p w14:paraId="5DF9964E">
      <w:pPr>
        <w:spacing w:before="25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3.3.1</w:t>
      </w:r>
      <w:r>
        <w:rPr>
          <w:rFonts w:ascii="宋体" w:hAnsi="宋体" w:eastAsia="宋体" w:cs="宋体"/>
          <w:b/>
          <w:bCs/>
          <w:spacing w:val="-2"/>
          <w:sz w:val="24"/>
          <w:szCs w:val="24"/>
        </w:rPr>
        <w:t>项目养殖流程和工艺介绍</w:t>
      </w:r>
    </w:p>
    <w:p w14:paraId="707A3361">
      <w:pPr>
        <w:spacing w:before="167" w:line="359" w:lineRule="exact"/>
        <w:ind w:left="486"/>
        <w:rPr>
          <w:rFonts w:ascii="宋体" w:hAnsi="宋体" w:eastAsia="宋体" w:cs="宋体"/>
          <w:sz w:val="24"/>
          <w:szCs w:val="24"/>
        </w:rPr>
      </w:pPr>
      <w:r>
        <w:rPr>
          <w:rFonts w:ascii="宋体" w:hAnsi="宋体" w:eastAsia="宋体" w:cs="宋体"/>
          <w:spacing w:val="1"/>
          <w:position w:val="2"/>
          <w:sz w:val="24"/>
          <w:szCs w:val="24"/>
        </w:rPr>
        <w:t>本项目为畜禽养殖新建项目，其运营过程中的饲养工艺及产污环节见图</w:t>
      </w:r>
      <w:r>
        <w:rPr>
          <w:rFonts w:ascii="Times New Roman" w:hAnsi="Times New Roman" w:eastAsia="Times New Roman" w:cs="Times New Roman"/>
          <w:spacing w:val="1"/>
          <w:position w:val="2"/>
          <w:sz w:val="24"/>
          <w:szCs w:val="24"/>
        </w:rPr>
        <w:t>3.3-1</w:t>
      </w:r>
      <w:r>
        <w:rPr>
          <w:rFonts w:ascii="宋体" w:hAnsi="宋体" w:eastAsia="宋体" w:cs="宋体"/>
          <w:spacing w:val="1"/>
          <w:position w:val="2"/>
          <w:sz w:val="24"/>
          <w:szCs w:val="24"/>
        </w:rPr>
        <w:t>。</w:t>
      </w:r>
    </w:p>
    <w:p w14:paraId="4466B176">
      <w:pPr>
        <w:spacing w:line="359" w:lineRule="exact"/>
        <w:rPr>
          <w:rFonts w:ascii="宋体" w:hAnsi="宋体" w:eastAsia="宋体" w:cs="宋体"/>
          <w:sz w:val="24"/>
          <w:szCs w:val="24"/>
        </w:rPr>
        <w:sectPr>
          <w:footerReference r:id="rId70" w:type="default"/>
          <w:pgSz w:w="11906" w:h="16839"/>
          <w:pgMar w:top="400" w:right="1525" w:bottom="1485" w:left="1592" w:header="0" w:footer="1249" w:gutter="0"/>
          <w:cols w:space="720" w:num="1"/>
        </w:sectPr>
      </w:pPr>
    </w:p>
    <w:p w14:paraId="38F6D09D">
      <w:pPr>
        <w:pStyle w:val="2"/>
        <w:spacing w:line="276" w:lineRule="auto"/>
      </w:pPr>
    </w:p>
    <w:p w14:paraId="22E8DB64">
      <w:pPr>
        <w:pStyle w:val="2"/>
        <w:spacing w:line="276" w:lineRule="auto"/>
      </w:pPr>
    </w:p>
    <w:p w14:paraId="3A76568E">
      <w:pPr>
        <w:pStyle w:val="2"/>
        <w:spacing w:line="276" w:lineRule="auto"/>
      </w:pPr>
    </w:p>
    <w:p w14:paraId="11E7D97F">
      <w:pPr>
        <w:pStyle w:val="2"/>
        <w:spacing w:line="277" w:lineRule="auto"/>
      </w:pPr>
    </w:p>
    <w:p w14:paraId="2B311644">
      <w:pPr>
        <w:spacing w:line="5056" w:lineRule="exact"/>
        <w:ind w:firstLine="397"/>
      </w:pPr>
      <w:r>
        <w:rPr>
          <w:position w:val="-101"/>
        </w:rPr>
        <w:drawing>
          <wp:inline distT="0" distB="0" distL="0" distR="0">
            <wp:extent cx="5128260" cy="32099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15"/>
                    <a:stretch>
                      <a:fillRect/>
                    </a:stretch>
                  </pic:blipFill>
                  <pic:spPr>
                    <a:xfrm>
                      <a:off x="0" y="0"/>
                      <a:ext cx="5128434" cy="3210450"/>
                    </a:xfrm>
                    <a:prstGeom prst="rect">
                      <a:avLst/>
                    </a:prstGeom>
                  </pic:spPr>
                </pic:pic>
              </a:graphicData>
            </a:graphic>
          </wp:inline>
        </w:drawing>
      </w:r>
    </w:p>
    <w:p w14:paraId="005DA6FB">
      <w:pPr>
        <w:pStyle w:val="2"/>
        <w:spacing w:line="435" w:lineRule="auto"/>
      </w:pPr>
    </w:p>
    <w:p w14:paraId="26DD5F99">
      <w:pPr>
        <w:spacing w:before="78" w:line="220" w:lineRule="auto"/>
        <w:ind w:left="2729"/>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b/>
          <w:bCs/>
          <w:spacing w:val="-4"/>
          <w:sz w:val="24"/>
          <w:szCs w:val="24"/>
        </w:rPr>
        <w:t xml:space="preserve">3.3-1  </w:t>
      </w:r>
      <w:r>
        <w:rPr>
          <w:rFonts w:ascii="宋体" w:hAnsi="宋体" w:eastAsia="宋体" w:cs="宋体"/>
          <w:b/>
          <w:bCs/>
          <w:spacing w:val="-4"/>
          <w:sz w:val="24"/>
          <w:szCs w:val="24"/>
        </w:rPr>
        <w:t>生产流程图及产污环节</w:t>
      </w:r>
    </w:p>
    <w:p w14:paraId="0D0608A3">
      <w:pPr>
        <w:spacing w:before="203" w:line="219" w:lineRule="auto"/>
        <w:ind w:left="483"/>
        <w:rPr>
          <w:rFonts w:ascii="宋体" w:hAnsi="宋体" w:eastAsia="宋体" w:cs="宋体"/>
          <w:sz w:val="24"/>
          <w:szCs w:val="24"/>
        </w:rPr>
      </w:pPr>
      <w:r>
        <w:rPr>
          <w:rFonts w:ascii="宋体" w:hAnsi="宋体" w:eastAsia="宋体" w:cs="宋体"/>
          <w:b/>
          <w:bCs/>
          <w:spacing w:val="-4"/>
          <w:sz w:val="24"/>
          <w:szCs w:val="24"/>
        </w:rPr>
        <w:t>工艺流程简述：</w:t>
      </w:r>
    </w:p>
    <w:p w14:paraId="369042EE">
      <w:pPr>
        <w:spacing w:before="204" w:line="376" w:lineRule="auto"/>
        <w:ind w:right="91" w:firstLine="480"/>
        <w:rPr>
          <w:rFonts w:ascii="宋体" w:hAnsi="宋体" w:eastAsia="宋体" w:cs="宋体"/>
          <w:sz w:val="24"/>
          <w:szCs w:val="24"/>
        </w:rPr>
      </w:pPr>
      <w:r>
        <w:rPr>
          <w:rFonts w:ascii="宋体" w:hAnsi="宋体" w:eastAsia="宋体" w:cs="宋体"/>
          <w:sz w:val="24"/>
          <w:szCs w:val="24"/>
        </w:rPr>
        <w:t>集约化养殖的目的是要摆脱分散的、传统的季节性的</w:t>
      </w:r>
      <w:r>
        <w:rPr>
          <w:rFonts w:ascii="宋体" w:hAnsi="宋体" w:eastAsia="宋体" w:cs="宋体"/>
          <w:spacing w:val="-1"/>
          <w:sz w:val="24"/>
          <w:szCs w:val="24"/>
        </w:rPr>
        <w:t>生产方式，建立工厂化、</w:t>
      </w:r>
      <w:r>
        <w:rPr>
          <w:rFonts w:ascii="宋体" w:hAnsi="宋体" w:eastAsia="宋体" w:cs="宋体"/>
          <w:sz w:val="24"/>
          <w:szCs w:val="24"/>
        </w:rPr>
        <w:t xml:space="preserve"> 程序化、常年均衡的养殖生产体系，从而达到生产的高水平</w:t>
      </w:r>
      <w:r>
        <w:rPr>
          <w:rFonts w:ascii="宋体" w:hAnsi="宋体" w:eastAsia="宋体" w:cs="宋体"/>
          <w:spacing w:val="-1"/>
          <w:sz w:val="24"/>
          <w:szCs w:val="24"/>
        </w:rPr>
        <w:t>和经营的高效益，项目</w:t>
      </w:r>
      <w:r>
        <w:rPr>
          <w:rFonts w:ascii="宋体" w:hAnsi="宋体" w:eastAsia="宋体" w:cs="宋体"/>
          <w:sz w:val="24"/>
          <w:szCs w:val="24"/>
        </w:rPr>
        <w:t xml:space="preserve"> </w:t>
      </w:r>
      <w:r>
        <w:rPr>
          <w:rFonts w:ascii="宋体" w:hAnsi="宋体" w:eastAsia="宋体" w:cs="宋体"/>
          <w:spacing w:val="-1"/>
          <w:sz w:val="24"/>
          <w:szCs w:val="24"/>
        </w:rPr>
        <w:t>饲养工艺说明如下：</w:t>
      </w:r>
    </w:p>
    <w:p w14:paraId="0A00B020">
      <w:pPr>
        <w:spacing w:before="1" w:line="376" w:lineRule="auto"/>
        <w:ind w:left="1" w:right="91" w:firstLine="488"/>
        <w:rPr>
          <w:rFonts w:ascii="宋体" w:hAnsi="宋体" w:eastAsia="宋体" w:cs="宋体"/>
          <w:sz w:val="24"/>
          <w:szCs w:val="24"/>
        </w:rPr>
      </w:pPr>
      <w:r>
        <w:rPr>
          <w:rFonts w:ascii="宋体" w:hAnsi="宋体" w:eastAsia="宋体" w:cs="宋体"/>
          <w:spacing w:val="-1"/>
          <w:sz w:val="24"/>
          <w:szCs w:val="24"/>
        </w:rPr>
        <w:t>育肥：本项目外购育肥猪放置于生长舍中进行育肥，按育肥的饲养管理要求饲</w:t>
      </w:r>
      <w:r>
        <w:rPr>
          <w:rFonts w:ascii="宋体" w:hAnsi="宋体" w:eastAsia="宋体" w:cs="宋体"/>
          <w:spacing w:val="14"/>
          <w:sz w:val="24"/>
          <w:szCs w:val="24"/>
        </w:rPr>
        <w:t xml:space="preserve"> </w:t>
      </w:r>
      <w:r>
        <w:rPr>
          <w:rFonts w:ascii="宋体" w:hAnsi="宋体" w:eastAsia="宋体" w:cs="宋体"/>
          <w:spacing w:val="-3"/>
          <w:sz w:val="24"/>
          <w:szCs w:val="24"/>
        </w:rPr>
        <w:t>养，饲养至体重达标时（</w:t>
      </w:r>
      <w:r>
        <w:rPr>
          <w:rFonts w:ascii="Times New Roman" w:hAnsi="Times New Roman" w:eastAsia="Times New Roman" w:cs="Times New Roman"/>
          <w:spacing w:val="-3"/>
          <w:sz w:val="24"/>
          <w:szCs w:val="24"/>
        </w:rPr>
        <w:t>230</w:t>
      </w:r>
      <w:r>
        <w:rPr>
          <w:rFonts w:ascii="Times New Roman" w:hAnsi="Times New Roman" w:eastAsia="Times New Roman" w:cs="Times New Roman"/>
          <w:spacing w:val="18"/>
          <w:w w:val="101"/>
          <w:sz w:val="24"/>
          <w:szCs w:val="24"/>
        </w:rPr>
        <w:t xml:space="preserve"> </w:t>
      </w:r>
      <w:r>
        <w:rPr>
          <w:rFonts w:ascii="宋体" w:hAnsi="宋体" w:eastAsia="宋体" w:cs="宋体"/>
          <w:spacing w:val="-3"/>
          <w:sz w:val="24"/>
          <w:szCs w:val="24"/>
        </w:rPr>
        <w:t>斤</w:t>
      </w:r>
      <w:r>
        <w:rPr>
          <w:rFonts w:ascii="宋体" w:hAnsi="宋体" w:eastAsia="宋体" w:cs="宋体"/>
          <w:spacing w:val="18"/>
          <w:sz w:val="24"/>
          <w:szCs w:val="24"/>
        </w:rPr>
        <w:t>），</w:t>
      </w:r>
      <w:r>
        <w:rPr>
          <w:rFonts w:ascii="宋体" w:hAnsi="宋体" w:eastAsia="宋体" w:cs="宋体"/>
          <w:spacing w:val="-3"/>
          <w:sz w:val="24"/>
          <w:szCs w:val="24"/>
        </w:rPr>
        <w:t>即可上市出售。</w:t>
      </w:r>
    </w:p>
    <w:p w14:paraId="7DA5F0DF">
      <w:pPr>
        <w:spacing w:before="1" w:line="376" w:lineRule="auto"/>
        <w:ind w:firstLine="467"/>
        <w:jc w:val="both"/>
        <w:rPr>
          <w:rFonts w:ascii="宋体" w:hAnsi="宋体" w:eastAsia="宋体" w:cs="宋体"/>
          <w:sz w:val="24"/>
          <w:szCs w:val="24"/>
        </w:rPr>
      </w:pPr>
      <w:r>
        <w:rPr>
          <w:rFonts w:ascii="宋体" w:hAnsi="宋体" w:eastAsia="宋体" w:cs="宋体"/>
          <w:spacing w:val="2"/>
          <w:sz w:val="24"/>
          <w:szCs w:val="24"/>
        </w:rPr>
        <w:t>“干清粪</w:t>
      </w:r>
      <w:r>
        <w:rPr>
          <w:rFonts w:ascii="宋体" w:hAnsi="宋体" w:eastAsia="宋体" w:cs="宋体"/>
          <w:spacing w:val="-84"/>
          <w:sz w:val="24"/>
          <w:szCs w:val="24"/>
        </w:rPr>
        <w:t xml:space="preserve"> </w:t>
      </w:r>
      <w:r>
        <w:rPr>
          <w:rFonts w:ascii="宋体" w:hAnsi="宋体" w:eastAsia="宋体" w:cs="宋体"/>
          <w:spacing w:val="2"/>
          <w:sz w:val="24"/>
          <w:szCs w:val="24"/>
        </w:rPr>
        <w:t>”工艺简介：干清粪工艺的主要方法是</w:t>
      </w:r>
      <w:r>
        <w:rPr>
          <w:rFonts w:ascii="宋体" w:hAnsi="宋体" w:eastAsia="宋体" w:cs="宋体"/>
          <w:spacing w:val="1"/>
          <w:sz w:val="24"/>
          <w:szCs w:val="24"/>
        </w:rPr>
        <w:t>粪便一经产生便分流，干粪由</w:t>
      </w:r>
      <w:r>
        <w:rPr>
          <w:rFonts w:ascii="宋体" w:hAnsi="宋体" w:eastAsia="宋体" w:cs="宋体"/>
          <w:sz w:val="24"/>
          <w:szCs w:val="24"/>
        </w:rPr>
        <w:t xml:space="preserve"> </w:t>
      </w:r>
      <w:r>
        <w:rPr>
          <w:rFonts w:ascii="宋体" w:hAnsi="宋体" w:eastAsia="宋体" w:cs="宋体"/>
          <w:spacing w:val="2"/>
          <w:sz w:val="24"/>
          <w:szCs w:val="24"/>
        </w:rPr>
        <w:t>机械或人工收集、清扫、运走。干清粪工艺分为人工清粪和机械清粪两种。本项目</w:t>
      </w:r>
      <w:r>
        <w:rPr>
          <w:rFonts w:ascii="宋体" w:hAnsi="宋体" w:eastAsia="宋体" w:cs="宋体"/>
          <w:spacing w:val="7"/>
          <w:sz w:val="24"/>
          <w:szCs w:val="24"/>
        </w:rPr>
        <w:t xml:space="preserve"> </w:t>
      </w:r>
      <w:r>
        <w:rPr>
          <w:rFonts w:ascii="宋体" w:hAnsi="宋体" w:eastAsia="宋体" w:cs="宋体"/>
          <w:spacing w:val="-2"/>
          <w:sz w:val="24"/>
          <w:szCs w:val="24"/>
        </w:rPr>
        <w:t>采用“漏粪地板</w:t>
      </w:r>
      <w:r>
        <w:rPr>
          <w:rFonts w:ascii="Times New Roman" w:hAnsi="Times New Roman" w:eastAsia="Times New Roman" w:cs="Times New Roman"/>
          <w:spacing w:val="-2"/>
          <w:sz w:val="24"/>
          <w:szCs w:val="24"/>
        </w:rPr>
        <w:t>+</w:t>
      </w:r>
      <w:r>
        <w:rPr>
          <w:rFonts w:ascii="宋体" w:hAnsi="宋体" w:eastAsia="宋体" w:cs="宋体"/>
          <w:spacing w:val="-2"/>
          <w:sz w:val="24"/>
          <w:szCs w:val="24"/>
        </w:rPr>
        <w:t>机械刮粪板</w:t>
      </w:r>
      <w:r>
        <w:rPr>
          <w:rFonts w:ascii="宋体" w:hAnsi="宋体" w:eastAsia="宋体" w:cs="宋体"/>
          <w:spacing w:val="-86"/>
          <w:sz w:val="24"/>
          <w:szCs w:val="24"/>
        </w:rPr>
        <w:t xml:space="preserve"> </w:t>
      </w:r>
      <w:r>
        <w:rPr>
          <w:rFonts w:ascii="宋体" w:hAnsi="宋体" w:eastAsia="宋体" w:cs="宋体"/>
          <w:spacing w:val="-2"/>
          <w:sz w:val="24"/>
          <w:szCs w:val="24"/>
        </w:rPr>
        <w:t>”，将猪舍产生的粪尿</w:t>
      </w:r>
      <w:r>
        <w:rPr>
          <w:rFonts w:ascii="宋体" w:hAnsi="宋体" w:eastAsia="宋体" w:cs="宋体"/>
          <w:spacing w:val="-3"/>
          <w:sz w:val="24"/>
          <w:szCs w:val="24"/>
        </w:rPr>
        <w:t>一起刮入集污切粪池，项目猪舍</w:t>
      </w:r>
      <w:r>
        <w:rPr>
          <w:rFonts w:ascii="宋体" w:hAnsi="宋体" w:eastAsia="宋体" w:cs="宋体"/>
          <w:sz w:val="24"/>
          <w:szCs w:val="24"/>
        </w:rPr>
        <w:t xml:space="preserve"> </w:t>
      </w:r>
      <w:r>
        <w:rPr>
          <w:rFonts w:ascii="宋体" w:hAnsi="宋体" w:eastAsia="宋体" w:cs="宋体"/>
          <w:spacing w:val="1"/>
          <w:sz w:val="24"/>
          <w:szCs w:val="24"/>
        </w:rPr>
        <w:t>分为上下两层，上层养猪，配备自动投料、</w:t>
      </w:r>
      <w:r>
        <w:rPr>
          <w:rFonts w:ascii="宋体" w:hAnsi="宋体" w:eastAsia="宋体" w:cs="宋体"/>
          <w:spacing w:val="-69"/>
          <w:sz w:val="24"/>
          <w:szCs w:val="24"/>
        </w:rPr>
        <w:t xml:space="preserve"> </w:t>
      </w:r>
      <w:r>
        <w:rPr>
          <w:rFonts w:ascii="宋体" w:hAnsi="宋体" w:eastAsia="宋体" w:cs="宋体"/>
          <w:spacing w:val="1"/>
          <w:sz w:val="24"/>
          <w:szCs w:val="24"/>
        </w:rPr>
        <w:t>自动饮水设备。猪舍采用</w:t>
      </w:r>
      <w:r>
        <w:rPr>
          <w:rFonts w:ascii="宋体" w:hAnsi="宋体" w:eastAsia="宋体" w:cs="宋体"/>
          <w:sz w:val="24"/>
          <w:szCs w:val="24"/>
        </w:rPr>
        <w:t xml:space="preserve">全漏粪地板， </w:t>
      </w:r>
      <w:r>
        <w:rPr>
          <w:rFonts w:ascii="宋体" w:hAnsi="宋体" w:eastAsia="宋体" w:cs="宋体"/>
          <w:spacing w:val="2"/>
          <w:sz w:val="24"/>
          <w:szCs w:val="24"/>
        </w:rPr>
        <w:t>下层为集粪池并安装相应设备。猪生活在漏粪板地板上，猪排泄的粪尿落入漏粪地</w:t>
      </w:r>
      <w:r>
        <w:rPr>
          <w:rFonts w:ascii="宋体" w:hAnsi="宋体" w:eastAsia="宋体" w:cs="宋体"/>
          <w:spacing w:val="7"/>
          <w:sz w:val="24"/>
          <w:szCs w:val="24"/>
        </w:rPr>
        <w:t xml:space="preserve"> </w:t>
      </w:r>
      <w:r>
        <w:rPr>
          <w:rFonts w:ascii="宋体" w:hAnsi="宋体" w:eastAsia="宋体" w:cs="宋体"/>
          <w:spacing w:val="2"/>
          <w:sz w:val="24"/>
          <w:szCs w:val="24"/>
        </w:rPr>
        <w:t>板下部，通过平板刮粪由粪渠进入集污切粪池，然后喷洒在发酵垫料上进行高温好</w:t>
      </w:r>
      <w:r>
        <w:rPr>
          <w:rFonts w:ascii="宋体" w:hAnsi="宋体" w:eastAsia="宋体" w:cs="宋体"/>
          <w:spacing w:val="7"/>
          <w:sz w:val="24"/>
          <w:szCs w:val="24"/>
        </w:rPr>
        <w:t xml:space="preserve"> </w:t>
      </w:r>
      <w:r>
        <w:rPr>
          <w:rFonts w:ascii="宋体" w:hAnsi="宋体" w:eastAsia="宋体" w:cs="宋体"/>
          <w:spacing w:val="-1"/>
          <w:sz w:val="24"/>
          <w:szCs w:val="24"/>
        </w:rPr>
        <w:t>氧发酵，成为有机肥半成品外售，不外排。</w:t>
      </w:r>
    </w:p>
    <w:p w14:paraId="22B7022C">
      <w:pPr>
        <w:spacing w:line="362" w:lineRule="auto"/>
        <w:ind w:right="2" w:firstLine="483"/>
        <w:jc w:val="both"/>
        <w:rPr>
          <w:rFonts w:ascii="宋体" w:hAnsi="宋体" w:eastAsia="宋体" w:cs="宋体"/>
          <w:sz w:val="24"/>
          <w:szCs w:val="24"/>
        </w:rPr>
      </w:pPr>
      <w:r>
        <w:rPr>
          <w:rFonts w:ascii="宋体" w:hAnsi="宋体" w:eastAsia="宋体" w:cs="宋体"/>
          <w:spacing w:val="2"/>
          <w:sz w:val="24"/>
          <w:szCs w:val="24"/>
        </w:rPr>
        <w:t>项目猪舍采用全漏粪地板，该地板由若干地板条组成，猪生活在漏粪地板上，</w:t>
      </w:r>
      <w:r>
        <w:rPr>
          <w:rFonts w:ascii="宋体" w:hAnsi="宋体" w:eastAsia="宋体" w:cs="宋体"/>
          <w:spacing w:val="6"/>
          <w:sz w:val="24"/>
          <w:szCs w:val="24"/>
        </w:rPr>
        <w:t xml:space="preserve"> </w:t>
      </w:r>
      <w:r>
        <w:rPr>
          <w:rFonts w:ascii="宋体" w:hAnsi="宋体" w:eastAsia="宋体" w:cs="宋体"/>
          <w:spacing w:val="2"/>
          <w:sz w:val="24"/>
          <w:szCs w:val="24"/>
        </w:rPr>
        <w:t>排泄的粪便由脚踩踏，直接落入猪舍底部。地板条之间设置合理的间隙，在满足粪</w:t>
      </w:r>
      <w:r>
        <w:rPr>
          <w:rFonts w:ascii="宋体" w:hAnsi="宋体" w:eastAsia="宋体" w:cs="宋体"/>
          <w:spacing w:val="6"/>
          <w:sz w:val="24"/>
          <w:szCs w:val="24"/>
        </w:rPr>
        <w:t xml:space="preserve"> </w:t>
      </w:r>
      <w:r>
        <w:rPr>
          <w:rFonts w:ascii="宋体" w:hAnsi="宋体" w:eastAsia="宋体" w:cs="宋体"/>
          <w:spacing w:val="2"/>
          <w:sz w:val="24"/>
          <w:szCs w:val="24"/>
        </w:rPr>
        <w:t>便下落的同时，不会出现卡猪蹄的情况。新鲜猪粪非常松散，刮起来比较容易，</w:t>
      </w:r>
    </w:p>
    <w:p w14:paraId="6E76A7BF">
      <w:pPr>
        <w:spacing w:line="362" w:lineRule="auto"/>
        <w:rPr>
          <w:rFonts w:ascii="宋体" w:hAnsi="宋体" w:eastAsia="宋体" w:cs="宋体"/>
          <w:sz w:val="24"/>
          <w:szCs w:val="24"/>
        </w:rPr>
        <w:sectPr>
          <w:footerReference r:id="rId71" w:type="default"/>
          <w:pgSz w:w="11906" w:h="16839"/>
          <w:pgMar w:top="400" w:right="1585" w:bottom="1485" w:left="1597" w:header="0" w:footer="1249" w:gutter="0"/>
          <w:cols w:space="720" w:num="1"/>
        </w:sectPr>
      </w:pPr>
    </w:p>
    <w:p w14:paraId="6FD08D94">
      <w:pPr>
        <w:pStyle w:val="2"/>
        <w:spacing w:line="255" w:lineRule="auto"/>
      </w:pPr>
    </w:p>
    <w:p w14:paraId="28DE7ABA">
      <w:pPr>
        <w:pStyle w:val="2"/>
        <w:spacing w:line="255" w:lineRule="auto"/>
      </w:pPr>
    </w:p>
    <w:p w14:paraId="75C5323B">
      <w:pPr>
        <w:pStyle w:val="2"/>
        <w:spacing w:line="255" w:lineRule="auto"/>
      </w:pPr>
    </w:p>
    <w:p w14:paraId="05647701">
      <w:pPr>
        <w:pStyle w:val="2"/>
        <w:spacing w:line="256" w:lineRule="auto"/>
      </w:pPr>
    </w:p>
    <w:p w14:paraId="6CF7388C">
      <w:pPr>
        <w:spacing w:before="78" w:line="374" w:lineRule="auto"/>
        <w:ind w:left="7" w:firstLine="1"/>
        <w:rPr>
          <w:rFonts w:ascii="宋体" w:hAnsi="宋体" w:eastAsia="宋体" w:cs="宋体"/>
          <w:sz w:val="24"/>
          <w:szCs w:val="24"/>
        </w:rPr>
      </w:pPr>
      <w:r>
        <w:rPr>
          <w:rFonts w:ascii="宋体" w:hAnsi="宋体" w:eastAsia="宋体" w:cs="宋体"/>
          <w:spacing w:val="1"/>
          <w:sz w:val="24"/>
          <w:szCs w:val="24"/>
        </w:rPr>
        <w:t>设置刮粪板每四小时刮一次粪。刮出的新鲜粪便含水量比较大，在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60%</w:t>
      </w:r>
      <w:r>
        <w:rPr>
          <w:rFonts w:ascii="宋体" w:hAnsi="宋体" w:eastAsia="宋体" w:cs="宋体"/>
          <w:spacing w:val="1"/>
          <w:sz w:val="24"/>
          <w:szCs w:val="24"/>
        </w:rPr>
        <w:t>左右，再加</w:t>
      </w:r>
      <w:r>
        <w:rPr>
          <w:rFonts w:ascii="宋体" w:hAnsi="宋体" w:eastAsia="宋体" w:cs="宋体"/>
          <w:sz w:val="24"/>
          <w:szCs w:val="24"/>
        </w:rPr>
        <w:t xml:space="preserve"> </w:t>
      </w:r>
      <w:r>
        <w:rPr>
          <w:rFonts w:ascii="宋体" w:hAnsi="宋体" w:eastAsia="宋体" w:cs="宋体"/>
          <w:spacing w:val="-1"/>
          <w:sz w:val="24"/>
          <w:szCs w:val="24"/>
        </w:rPr>
        <w:t>上刮粪板自身含有相当的重量，每次刮粪率在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90%</w:t>
      </w:r>
      <w:r>
        <w:rPr>
          <w:rFonts w:ascii="宋体" w:hAnsi="宋体" w:eastAsia="宋体" w:cs="宋体"/>
          <w:spacing w:val="-1"/>
          <w:sz w:val="24"/>
          <w:szCs w:val="24"/>
        </w:rPr>
        <w:t>以上，残留粪便非常少。</w:t>
      </w:r>
    </w:p>
    <w:p w14:paraId="0EE757DE">
      <w:pPr>
        <w:spacing w:before="43"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3.3.2</w:t>
      </w:r>
      <w:r>
        <w:rPr>
          <w:rFonts w:ascii="宋体" w:hAnsi="宋体" w:eastAsia="宋体" w:cs="宋体"/>
          <w:b/>
          <w:bCs/>
          <w:spacing w:val="-2"/>
          <w:sz w:val="24"/>
          <w:szCs w:val="24"/>
        </w:rPr>
        <w:t>项目产污节点</w:t>
      </w:r>
    </w:p>
    <w:p w14:paraId="03A2E87C">
      <w:pPr>
        <w:spacing w:before="203" w:line="219" w:lineRule="auto"/>
        <w:ind w:left="486"/>
        <w:rPr>
          <w:rFonts w:ascii="宋体" w:hAnsi="宋体" w:eastAsia="宋体" w:cs="宋体"/>
          <w:sz w:val="24"/>
          <w:szCs w:val="24"/>
        </w:rPr>
      </w:pPr>
      <w:r>
        <w:rPr>
          <w:rFonts w:ascii="宋体" w:hAnsi="宋体" w:eastAsia="宋体" w:cs="宋体"/>
          <w:spacing w:val="-1"/>
          <w:sz w:val="24"/>
          <w:szCs w:val="24"/>
        </w:rPr>
        <w:t>本项目产生的污染物主要有废水、废气、噪声及固体废物。</w:t>
      </w:r>
    </w:p>
    <w:p w14:paraId="037D4B84">
      <w:pPr>
        <w:spacing w:before="201" w:line="377" w:lineRule="auto"/>
        <w:ind w:left="13" w:firstLine="470"/>
        <w:rPr>
          <w:rFonts w:ascii="宋体" w:hAnsi="宋体" w:eastAsia="宋体" w:cs="宋体"/>
          <w:sz w:val="24"/>
          <w:szCs w:val="24"/>
        </w:rPr>
      </w:pPr>
      <w:r>
        <w:rPr>
          <w:rFonts w:ascii="宋体" w:hAnsi="宋体" w:eastAsia="宋体" w:cs="宋体"/>
          <w:spacing w:val="2"/>
          <w:sz w:val="24"/>
          <w:szCs w:val="24"/>
        </w:rPr>
        <w:t>废水主要为员工生活办公污水。项目猪只尿液、猪舍冲洗废水与猪只粪便一起</w:t>
      </w:r>
      <w:r>
        <w:rPr>
          <w:rFonts w:ascii="宋体" w:hAnsi="宋体" w:eastAsia="宋体" w:cs="宋体"/>
          <w:spacing w:val="11"/>
          <w:sz w:val="24"/>
          <w:szCs w:val="24"/>
        </w:rPr>
        <w:t xml:space="preserve"> </w:t>
      </w:r>
      <w:r>
        <w:rPr>
          <w:rFonts w:ascii="宋体" w:hAnsi="宋体" w:eastAsia="宋体" w:cs="宋体"/>
          <w:spacing w:val="-2"/>
          <w:sz w:val="24"/>
          <w:szCs w:val="24"/>
        </w:rPr>
        <w:t>收集，不单独收集。</w:t>
      </w:r>
    </w:p>
    <w:p w14:paraId="0FBC1717">
      <w:pPr>
        <w:spacing w:before="1" w:line="375" w:lineRule="auto"/>
        <w:ind w:left="6" w:firstLine="478"/>
        <w:rPr>
          <w:rFonts w:ascii="宋体" w:hAnsi="宋体" w:eastAsia="宋体" w:cs="宋体"/>
          <w:sz w:val="24"/>
          <w:szCs w:val="24"/>
        </w:rPr>
      </w:pPr>
      <w:r>
        <w:rPr>
          <w:rFonts w:ascii="宋体" w:hAnsi="宋体" w:eastAsia="宋体" w:cs="宋体"/>
          <w:spacing w:val="2"/>
          <w:sz w:val="24"/>
          <w:szCs w:val="24"/>
        </w:rPr>
        <w:t>废气包括养殖区、有机肥发酵车间产生的恶臭、饲料加工粉尘、备用发电机尾</w:t>
      </w:r>
      <w:r>
        <w:rPr>
          <w:rFonts w:ascii="宋体" w:hAnsi="宋体" w:eastAsia="宋体" w:cs="宋体"/>
          <w:spacing w:val="11"/>
          <w:sz w:val="24"/>
          <w:szCs w:val="24"/>
        </w:rPr>
        <w:t xml:space="preserve"> </w:t>
      </w:r>
      <w:r>
        <w:rPr>
          <w:rFonts w:ascii="宋体" w:hAnsi="宋体" w:eastAsia="宋体" w:cs="宋体"/>
          <w:spacing w:val="-6"/>
          <w:sz w:val="24"/>
          <w:szCs w:val="24"/>
        </w:rPr>
        <w:t>气。</w:t>
      </w:r>
    </w:p>
    <w:p w14:paraId="4EF3CDB3">
      <w:pPr>
        <w:spacing w:line="219" w:lineRule="auto"/>
        <w:ind w:left="496"/>
        <w:rPr>
          <w:rFonts w:ascii="宋体" w:hAnsi="宋体" w:eastAsia="宋体" w:cs="宋体"/>
          <w:sz w:val="24"/>
          <w:szCs w:val="24"/>
        </w:rPr>
      </w:pPr>
      <w:r>
        <w:rPr>
          <w:rFonts w:ascii="宋体" w:hAnsi="宋体" w:eastAsia="宋体" w:cs="宋体"/>
          <w:spacing w:val="-1"/>
          <w:sz w:val="24"/>
          <w:szCs w:val="24"/>
        </w:rPr>
        <w:t>噪声主要是猪只叫声噪声及辅助设备产生的机械噪声。</w:t>
      </w:r>
    </w:p>
    <w:p w14:paraId="1A670E89">
      <w:pPr>
        <w:spacing w:before="206" w:line="378" w:lineRule="auto"/>
        <w:ind w:left="19" w:firstLine="486"/>
        <w:rPr>
          <w:rFonts w:ascii="宋体" w:hAnsi="宋体" w:eastAsia="宋体" w:cs="宋体"/>
          <w:sz w:val="24"/>
          <w:szCs w:val="24"/>
        </w:rPr>
      </w:pPr>
      <w:r>
        <w:rPr>
          <w:rFonts w:ascii="宋体" w:hAnsi="宋体" w:eastAsia="宋体" w:cs="宋体"/>
          <w:spacing w:val="2"/>
          <w:sz w:val="24"/>
          <w:szCs w:val="24"/>
        </w:rPr>
        <w:t>固体废物包括粪便、病死猪尸体、废包装物及员工办</w:t>
      </w:r>
      <w:r>
        <w:rPr>
          <w:rFonts w:ascii="宋体" w:hAnsi="宋体" w:eastAsia="宋体" w:cs="宋体"/>
          <w:spacing w:val="1"/>
          <w:sz w:val="24"/>
          <w:szCs w:val="24"/>
        </w:rPr>
        <w:t>公生活垃圾等。此外，猪</w:t>
      </w:r>
      <w:r>
        <w:rPr>
          <w:rFonts w:ascii="宋体" w:hAnsi="宋体" w:eastAsia="宋体" w:cs="宋体"/>
          <w:sz w:val="24"/>
          <w:szCs w:val="24"/>
        </w:rPr>
        <w:t xml:space="preserve"> </w:t>
      </w:r>
      <w:r>
        <w:rPr>
          <w:rFonts w:ascii="宋体" w:hAnsi="宋体" w:eastAsia="宋体" w:cs="宋体"/>
          <w:spacing w:val="-1"/>
          <w:sz w:val="24"/>
          <w:szCs w:val="24"/>
        </w:rPr>
        <w:t>只检疫、生病时使用医疗设备会产生少量的医疗废物，属于危险废物。</w:t>
      </w:r>
    </w:p>
    <w:p w14:paraId="53FDB692">
      <w:pPr>
        <w:spacing w:before="56" w:line="221" w:lineRule="auto"/>
        <w:outlineLvl w:val="1"/>
        <w:rPr>
          <w:rFonts w:ascii="宋体" w:hAnsi="宋体" w:eastAsia="宋体" w:cs="宋体"/>
          <w:sz w:val="28"/>
          <w:szCs w:val="28"/>
        </w:rPr>
      </w:pPr>
      <w:bookmarkStart w:id="23" w:name="bookmark21"/>
      <w:bookmarkEnd w:id="23"/>
      <w:r>
        <w:rPr>
          <w:rFonts w:ascii="Times New Roman" w:hAnsi="Times New Roman" w:eastAsia="Times New Roman" w:cs="Times New Roman"/>
          <w:b/>
          <w:bCs/>
          <w:spacing w:val="-2"/>
          <w:sz w:val="28"/>
          <w:szCs w:val="28"/>
        </w:rPr>
        <w:t>3.4</w:t>
      </w:r>
      <w:r>
        <w:rPr>
          <w:rFonts w:ascii="宋体" w:hAnsi="宋体" w:eastAsia="宋体" w:cs="宋体"/>
          <w:b/>
          <w:bCs/>
          <w:spacing w:val="-2"/>
          <w:sz w:val="28"/>
          <w:szCs w:val="28"/>
        </w:rPr>
        <w:t>施工期污染因素分析</w:t>
      </w:r>
    </w:p>
    <w:p w14:paraId="39C43D4F">
      <w:pPr>
        <w:spacing w:before="256" w:line="376" w:lineRule="auto"/>
        <w:ind w:left="4" w:firstLine="481"/>
        <w:rPr>
          <w:rFonts w:ascii="宋体" w:hAnsi="宋体" w:eastAsia="宋体" w:cs="宋体"/>
          <w:sz w:val="24"/>
          <w:szCs w:val="24"/>
        </w:rPr>
      </w:pPr>
      <w:r>
        <w:rPr>
          <w:rFonts w:ascii="宋体" w:hAnsi="宋体" w:eastAsia="宋体" w:cs="宋体"/>
          <w:spacing w:val="2"/>
          <w:sz w:val="24"/>
          <w:szCs w:val="24"/>
        </w:rPr>
        <w:t>本项目工程施工期主要包括地基开挖、主体施工，装饰工程，设备安装等，其</w:t>
      </w:r>
      <w:r>
        <w:rPr>
          <w:rFonts w:ascii="宋体" w:hAnsi="宋体" w:eastAsia="宋体" w:cs="宋体"/>
          <w:spacing w:val="9"/>
          <w:sz w:val="24"/>
          <w:szCs w:val="24"/>
        </w:rPr>
        <w:t xml:space="preserve"> </w:t>
      </w:r>
      <w:r>
        <w:rPr>
          <w:rFonts w:ascii="宋体" w:hAnsi="宋体" w:eastAsia="宋体" w:cs="宋体"/>
          <w:spacing w:val="2"/>
          <w:sz w:val="24"/>
          <w:szCs w:val="24"/>
        </w:rPr>
        <w:t>过程中产生的主要污染物为施工扬尘、机械设备废气、装修有机废气；施工废水、</w:t>
      </w:r>
      <w:r>
        <w:rPr>
          <w:rFonts w:ascii="宋体" w:hAnsi="宋体" w:eastAsia="宋体" w:cs="宋体"/>
          <w:spacing w:val="7"/>
          <w:sz w:val="24"/>
          <w:szCs w:val="24"/>
        </w:rPr>
        <w:t xml:space="preserve"> </w:t>
      </w:r>
      <w:r>
        <w:rPr>
          <w:rFonts w:ascii="宋体" w:hAnsi="宋体" w:eastAsia="宋体" w:cs="宋体"/>
          <w:spacing w:val="2"/>
          <w:sz w:val="24"/>
          <w:szCs w:val="24"/>
        </w:rPr>
        <w:t>设备清洗废水、施工人员生活污水；施工机械噪声；建筑垃圾及施工人员生活垃圾</w:t>
      </w:r>
      <w:r>
        <w:rPr>
          <w:rFonts w:ascii="宋体" w:hAnsi="宋体" w:eastAsia="宋体" w:cs="宋体"/>
          <w:spacing w:val="7"/>
          <w:sz w:val="24"/>
          <w:szCs w:val="24"/>
        </w:rPr>
        <w:t xml:space="preserve"> </w:t>
      </w:r>
      <w:r>
        <w:rPr>
          <w:rFonts w:ascii="宋体" w:hAnsi="宋体" w:eastAsia="宋体" w:cs="宋体"/>
          <w:spacing w:val="2"/>
          <w:sz w:val="24"/>
          <w:szCs w:val="24"/>
        </w:rPr>
        <w:t>等。施工期间的污染源强与施工队的人数、施工土方工程规模、机械设备、施工水</w:t>
      </w:r>
      <w:r>
        <w:rPr>
          <w:rFonts w:ascii="宋体" w:hAnsi="宋体" w:eastAsia="宋体" w:cs="宋体"/>
          <w:spacing w:val="7"/>
          <w:sz w:val="24"/>
          <w:szCs w:val="24"/>
        </w:rPr>
        <w:t xml:space="preserve"> </w:t>
      </w:r>
      <w:r>
        <w:rPr>
          <w:rFonts w:ascii="宋体" w:hAnsi="宋体" w:eastAsia="宋体" w:cs="宋体"/>
          <w:spacing w:val="-1"/>
          <w:sz w:val="24"/>
          <w:szCs w:val="24"/>
        </w:rPr>
        <w:t>平、施工期限等密切相关。</w:t>
      </w:r>
    </w:p>
    <w:p w14:paraId="75CD4DC4">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3.4.1</w:t>
      </w:r>
      <w:r>
        <w:rPr>
          <w:rFonts w:ascii="宋体" w:hAnsi="宋体" w:eastAsia="宋体" w:cs="宋体"/>
          <w:b/>
          <w:bCs/>
          <w:spacing w:val="-2"/>
          <w:sz w:val="24"/>
          <w:szCs w:val="24"/>
        </w:rPr>
        <w:t>施工期废气</w:t>
      </w:r>
    </w:p>
    <w:p w14:paraId="0D43BCBE">
      <w:pPr>
        <w:spacing w:before="203" w:line="362" w:lineRule="auto"/>
        <w:ind w:left="16" w:firstLine="467"/>
        <w:rPr>
          <w:rFonts w:ascii="宋体" w:hAnsi="宋体" w:eastAsia="宋体" w:cs="宋体"/>
          <w:sz w:val="24"/>
          <w:szCs w:val="24"/>
        </w:rPr>
      </w:pPr>
      <w:r>
        <w:rPr>
          <w:rFonts w:ascii="宋体" w:hAnsi="宋体" w:eastAsia="宋体" w:cs="宋体"/>
          <w:spacing w:val="2"/>
          <w:sz w:val="24"/>
          <w:szCs w:val="24"/>
        </w:rPr>
        <w:t>施工期大气污染物主要来源于施工扬尘，其次有施工车辆、挖土机等燃油燃烧</w:t>
      </w:r>
      <w:r>
        <w:rPr>
          <w:rFonts w:ascii="宋体" w:hAnsi="宋体" w:eastAsia="宋体" w:cs="宋体"/>
          <w:spacing w:val="11"/>
          <w:sz w:val="24"/>
          <w:szCs w:val="24"/>
        </w:rPr>
        <w:t xml:space="preserve"> </w:t>
      </w:r>
      <w:r>
        <w:rPr>
          <w:rFonts w:ascii="宋体" w:hAnsi="宋体" w:eastAsia="宋体" w:cs="宋体"/>
          <w:spacing w:val="-2"/>
          <w:sz w:val="24"/>
          <w:szCs w:val="24"/>
        </w:rPr>
        <w:t>时排放的</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、烃类等污染物等，最为</w:t>
      </w:r>
      <w:r>
        <w:rPr>
          <w:rFonts w:ascii="宋体" w:hAnsi="宋体" w:eastAsia="宋体" w:cs="宋体"/>
          <w:spacing w:val="-3"/>
          <w:sz w:val="24"/>
          <w:szCs w:val="24"/>
        </w:rPr>
        <w:t>突出的是施工扬尘。</w:t>
      </w:r>
    </w:p>
    <w:p w14:paraId="74117D1B">
      <w:pPr>
        <w:spacing w:line="363" w:lineRule="exact"/>
        <w:ind w:left="496"/>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1</w:t>
      </w:r>
      <w:r>
        <w:rPr>
          <w:rFonts w:ascii="宋体" w:hAnsi="宋体" w:eastAsia="宋体" w:cs="宋体"/>
          <w:spacing w:val="-5"/>
          <w:position w:val="2"/>
          <w:sz w:val="24"/>
          <w:szCs w:val="24"/>
        </w:rPr>
        <w:t>）扬尘</w:t>
      </w:r>
    </w:p>
    <w:p w14:paraId="6DAA8CCF">
      <w:pPr>
        <w:spacing w:before="161" w:line="376" w:lineRule="auto"/>
        <w:ind w:left="8" w:firstLine="478"/>
        <w:rPr>
          <w:rFonts w:ascii="宋体" w:hAnsi="宋体" w:eastAsia="宋体" w:cs="宋体"/>
          <w:sz w:val="24"/>
          <w:szCs w:val="24"/>
        </w:rPr>
      </w:pPr>
      <w:r>
        <w:rPr>
          <w:rFonts w:ascii="宋体" w:hAnsi="宋体" w:eastAsia="宋体" w:cs="宋体"/>
          <w:spacing w:val="2"/>
          <w:sz w:val="24"/>
          <w:szCs w:val="24"/>
        </w:rPr>
        <w:t>本项目所在地属亚热带海洋性季风气候，在风力的作用下施工产生的扬尘将成</w:t>
      </w:r>
      <w:r>
        <w:rPr>
          <w:rFonts w:ascii="宋体" w:hAnsi="宋体" w:eastAsia="宋体" w:cs="宋体"/>
          <w:spacing w:val="9"/>
          <w:sz w:val="24"/>
          <w:szCs w:val="24"/>
        </w:rPr>
        <w:t xml:space="preserve"> </w:t>
      </w:r>
      <w:r>
        <w:rPr>
          <w:rFonts w:ascii="宋体" w:hAnsi="宋体" w:eastAsia="宋体" w:cs="宋体"/>
          <w:spacing w:val="-2"/>
          <w:sz w:val="24"/>
          <w:szCs w:val="24"/>
        </w:rPr>
        <w:t>为主要的空气污染物。</w:t>
      </w:r>
    </w:p>
    <w:p w14:paraId="007737FE">
      <w:pPr>
        <w:spacing w:before="6" w:line="367" w:lineRule="auto"/>
        <w:ind w:left="4" w:firstLine="480"/>
        <w:rPr>
          <w:rFonts w:ascii="宋体" w:hAnsi="宋体" w:eastAsia="宋体" w:cs="宋体"/>
          <w:sz w:val="24"/>
          <w:szCs w:val="24"/>
        </w:rPr>
      </w:pPr>
      <w:r>
        <w:rPr>
          <w:rFonts w:ascii="宋体" w:hAnsi="宋体" w:eastAsia="宋体" w:cs="宋体"/>
          <w:spacing w:val="2"/>
          <w:sz w:val="24"/>
          <w:szCs w:val="24"/>
        </w:rPr>
        <w:t>施工期间产生的扬尘主要集中在土建施工阶段，按扬尘产生的原因可分为风力</w:t>
      </w:r>
      <w:r>
        <w:rPr>
          <w:rFonts w:ascii="宋体" w:hAnsi="宋体" w:eastAsia="宋体" w:cs="宋体"/>
          <w:spacing w:val="11"/>
          <w:sz w:val="24"/>
          <w:szCs w:val="24"/>
        </w:rPr>
        <w:t xml:space="preserve"> </w:t>
      </w:r>
      <w:r>
        <w:rPr>
          <w:rFonts w:ascii="宋体" w:hAnsi="宋体" w:eastAsia="宋体" w:cs="宋体"/>
          <w:spacing w:val="2"/>
          <w:sz w:val="24"/>
          <w:szCs w:val="24"/>
        </w:rPr>
        <w:t>扬尘和动力扬尘。风力扬尘主要是建筑材料、土方、施工垃圾露天堆放而产生的尘</w:t>
      </w:r>
      <w:r>
        <w:rPr>
          <w:rFonts w:ascii="宋体" w:hAnsi="宋体" w:eastAsia="宋体" w:cs="宋体"/>
          <w:spacing w:val="7"/>
          <w:sz w:val="24"/>
          <w:szCs w:val="24"/>
        </w:rPr>
        <w:t xml:space="preserve"> </w:t>
      </w:r>
      <w:r>
        <w:rPr>
          <w:rFonts w:ascii="宋体" w:hAnsi="宋体" w:eastAsia="宋体" w:cs="宋体"/>
          <w:spacing w:val="2"/>
          <w:sz w:val="24"/>
          <w:szCs w:val="24"/>
        </w:rPr>
        <w:t>粒；而动力扬尘主要是在建材的装卸、搅拌、土方的挖掘过程中产生及人来车往所</w:t>
      </w:r>
      <w:r>
        <w:rPr>
          <w:rFonts w:ascii="宋体" w:hAnsi="宋体" w:eastAsia="宋体" w:cs="宋体"/>
          <w:spacing w:val="7"/>
          <w:sz w:val="24"/>
          <w:szCs w:val="24"/>
        </w:rPr>
        <w:t xml:space="preserve"> </w:t>
      </w:r>
      <w:r>
        <w:rPr>
          <w:rFonts w:ascii="宋体" w:hAnsi="宋体" w:eastAsia="宋体" w:cs="宋体"/>
          <w:spacing w:val="2"/>
          <w:sz w:val="24"/>
          <w:szCs w:val="24"/>
        </w:rPr>
        <w:t>造成的现场道路扬尘，由于外力作用产生的尘粒悬浮，其中施工（如平地、打桩、</w:t>
      </w:r>
      <w:r>
        <w:rPr>
          <w:rFonts w:ascii="宋体" w:hAnsi="宋体" w:eastAsia="宋体" w:cs="宋体"/>
          <w:spacing w:val="7"/>
          <w:sz w:val="24"/>
          <w:szCs w:val="24"/>
        </w:rPr>
        <w:t xml:space="preserve"> </w:t>
      </w:r>
      <w:r>
        <w:rPr>
          <w:rFonts w:ascii="宋体" w:hAnsi="宋体" w:eastAsia="宋体" w:cs="宋体"/>
          <w:spacing w:val="2"/>
          <w:sz w:val="24"/>
          <w:szCs w:val="24"/>
        </w:rPr>
        <w:t>挖掘、道路浇灌）及装卸、搅拌造成的扬尘最为严重。如遇到干旱无雨季节，加上</w:t>
      </w:r>
    </w:p>
    <w:p w14:paraId="19CC6D97">
      <w:pPr>
        <w:spacing w:line="367" w:lineRule="auto"/>
        <w:rPr>
          <w:rFonts w:ascii="宋体" w:hAnsi="宋体" w:eastAsia="宋体" w:cs="宋体"/>
          <w:sz w:val="24"/>
          <w:szCs w:val="24"/>
        </w:rPr>
        <w:sectPr>
          <w:footerReference r:id="rId72" w:type="default"/>
          <w:pgSz w:w="11906" w:h="16839"/>
          <w:pgMar w:top="400" w:right="1588" w:bottom="1485" w:left="1592" w:header="0" w:footer="1249" w:gutter="0"/>
          <w:cols w:space="720" w:num="1"/>
        </w:sectPr>
      </w:pPr>
    </w:p>
    <w:p w14:paraId="5F49574D">
      <w:pPr>
        <w:pStyle w:val="2"/>
        <w:spacing w:line="264" w:lineRule="auto"/>
      </w:pPr>
    </w:p>
    <w:p w14:paraId="3B7C1368">
      <w:pPr>
        <w:pStyle w:val="2"/>
        <w:spacing w:line="264" w:lineRule="auto"/>
      </w:pPr>
    </w:p>
    <w:p w14:paraId="5F80816C">
      <w:pPr>
        <w:pStyle w:val="2"/>
        <w:spacing w:line="264" w:lineRule="auto"/>
      </w:pPr>
    </w:p>
    <w:p w14:paraId="7EE6FC04">
      <w:pPr>
        <w:pStyle w:val="2"/>
        <w:spacing w:line="265" w:lineRule="auto"/>
      </w:pPr>
    </w:p>
    <w:p w14:paraId="310C00AF">
      <w:pPr>
        <w:spacing w:before="78" w:line="220" w:lineRule="auto"/>
        <w:ind w:left="125"/>
        <w:rPr>
          <w:rFonts w:ascii="宋体" w:hAnsi="宋体" w:eastAsia="宋体" w:cs="宋体"/>
          <w:sz w:val="24"/>
          <w:szCs w:val="24"/>
        </w:rPr>
      </w:pPr>
      <w:r>
        <w:rPr>
          <w:rFonts w:ascii="宋体" w:hAnsi="宋体" w:eastAsia="宋体" w:cs="宋体"/>
          <w:spacing w:val="-2"/>
          <w:sz w:val="24"/>
          <w:szCs w:val="24"/>
        </w:rPr>
        <w:t>大风，扬尘将更为严重。</w:t>
      </w:r>
    </w:p>
    <w:p w14:paraId="4122C175">
      <w:pPr>
        <w:spacing w:before="206" w:line="365" w:lineRule="auto"/>
        <w:ind w:left="122" w:right="103" w:firstLine="480"/>
        <w:jc w:val="both"/>
        <w:rPr>
          <w:rFonts w:ascii="宋体" w:hAnsi="宋体" w:eastAsia="宋体" w:cs="宋体"/>
          <w:sz w:val="24"/>
          <w:szCs w:val="24"/>
        </w:rPr>
      </w:pPr>
      <w:r>
        <w:rPr>
          <w:rFonts w:ascii="宋体" w:hAnsi="宋体" w:eastAsia="宋体" w:cs="宋体"/>
          <w:spacing w:val="2"/>
          <w:sz w:val="24"/>
          <w:szCs w:val="24"/>
        </w:rPr>
        <w:t>根据有关实测数据，参考其他同类型工程现场的扬尘实地监测</w:t>
      </w:r>
      <w:r>
        <w:rPr>
          <w:rFonts w:ascii="宋体" w:hAnsi="宋体" w:eastAsia="宋体" w:cs="宋体"/>
          <w:spacing w:val="1"/>
          <w:sz w:val="24"/>
          <w:szCs w:val="24"/>
        </w:rPr>
        <w:t>结果，</w:t>
      </w:r>
      <w:r>
        <w:rPr>
          <w:rFonts w:ascii="Times New Roman" w:hAnsi="Times New Roman" w:eastAsia="Times New Roman" w:cs="Times New Roman"/>
          <w:sz w:val="24"/>
          <w:szCs w:val="24"/>
        </w:rPr>
        <w:t>PM</w:t>
      </w:r>
      <w:r>
        <w:rPr>
          <w:rFonts w:ascii="Times New Roman" w:hAnsi="Times New Roman" w:eastAsia="Times New Roman" w:cs="Times New Roman"/>
          <w:spacing w:val="1"/>
          <w:position w:val="-1"/>
          <w:sz w:val="15"/>
          <w:szCs w:val="15"/>
        </w:rPr>
        <w:t>10</w:t>
      </w:r>
      <w:r>
        <w:rPr>
          <w:rFonts w:ascii="宋体" w:hAnsi="宋体" w:eastAsia="宋体" w:cs="宋体"/>
          <w:spacing w:val="1"/>
          <w:sz w:val="24"/>
          <w:szCs w:val="24"/>
        </w:rPr>
        <w:t>产生</w:t>
      </w:r>
      <w:r>
        <w:rPr>
          <w:rFonts w:ascii="宋体" w:hAnsi="宋体" w:eastAsia="宋体" w:cs="宋体"/>
          <w:sz w:val="24"/>
          <w:szCs w:val="24"/>
        </w:rPr>
        <w:t xml:space="preserve"> </w:t>
      </w:r>
      <w:r>
        <w:rPr>
          <w:rFonts w:ascii="宋体" w:hAnsi="宋体" w:eastAsia="宋体" w:cs="宋体"/>
          <w:spacing w:val="-2"/>
          <w:sz w:val="24"/>
          <w:szCs w:val="24"/>
        </w:rPr>
        <w:t>系数为</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0.025</w:t>
      </w:r>
      <w:r>
        <w:rPr>
          <w:rFonts w:ascii="宋体" w:hAnsi="宋体" w:eastAsia="宋体" w:cs="宋体"/>
          <w:spacing w:val="-2"/>
          <w:sz w:val="24"/>
          <w:szCs w:val="24"/>
        </w:rPr>
        <w:t>～</w:t>
      </w:r>
      <w:r>
        <w:rPr>
          <w:rFonts w:ascii="Times New Roman" w:hAnsi="Times New Roman" w:eastAsia="Times New Roman" w:cs="Times New Roman"/>
          <w:spacing w:val="-2"/>
          <w:sz w:val="24"/>
          <w:szCs w:val="24"/>
        </w:rPr>
        <w:t>0.107mg/m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。考虑本项目区域的土质特点，取</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0.05mg/m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r>
        <w:rPr>
          <w:rFonts w:ascii="Times New Roman" w:hAnsi="Times New Roman" w:eastAsia="Times New Roman" w:cs="Times New Roman"/>
          <w:spacing w:val="-2"/>
          <w:sz w:val="24"/>
          <w:szCs w:val="24"/>
        </w:rPr>
        <w:t>PM</w:t>
      </w:r>
      <w:r>
        <w:rPr>
          <w:rFonts w:ascii="Times New Roman" w:hAnsi="Times New Roman" w:eastAsia="Times New Roman" w:cs="Times New Roman"/>
          <w:spacing w:val="-2"/>
          <w:position w:val="-2"/>
          <w:sz w:val="15"/>
          <w:szCs w:val="15"/>
        </w:rPr>
        <w:t>10</w:t>
      </w:r>
      <w:r>
        <w:rPr>
          <w:rFonts w:ascii="Times New Roman" w:hAnsi="Times New Roman" w:eastAsia="Times New Roman" w:cs="Times New Roman"/>
          <w:spacing w:val="31"/>
          <w:w w:val="101"/>
          <w:position w:val="-2"/>
          <w:sz w:val="15"/>
          <w:szCs w:val="15"/>
        </w:rPr>
        <w:t xml:space="preserve"> </w:t>
      </w:r>
      <w:r>
        <w:rPr>
          <w:rFonts w:ascii="宋体" w:hAnsi="宋体" w:eastAsia="宋体" w:cs="宋体"/>
          <w:spacing w:val="-2"/>
          <w:sz w:val="24"/>
          <w:szCs w:val="24"/>
        </w:rPr>
        <w:t>的</w:t>
      </w:r>
      <w:r>
        <w:rPr>
          <w:rFonts w:ascii="宋体" w:hAnsi="宋体" w:eastAsia="宋体" w:cs="宋体"/>
          <w:sz w:val="24"/>
          <w:szCs w:val="24"/>
        </w:rPr>
        <w:t xml:space="preserve"> </w:t>
      </w:r>
      <w:r>
        <w:rPr>
          <w:rFonts w:ascii="宋体" w:hAnsi="宋体" w:eastAsia="宋体" w:cs="宋体"/>
          <w:spacing w:val="-1"/>
          <w:sz w:val="24"/>
          <w:szCs w:val="24"/>
        </w:rPr>
        <w:t>产生还与同时裸露的施工面积密切相关，按夜间不施工来计算源强，昼间施工按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小时计算，项目拟建建筑占地面积约为</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8000m</w:t>
      </w:r>
      <w:r>
        <w:rPr>
          <w:rFonts w:ascii="Times New Roman" w:hAnsi="Times New Roman" w:eastAsia="Times New Roman" w:cs="Times New Roman"/>
          <w:spacing w:val="-4"/>
          <w:position w:val="7"/>
          <w:sz w:val="15"/>
          <w:szCs w:val="15"/>
        </w:rPr>
        <w:t>2</w:t>
      </w:r>
      <w:r>
        <w:rPr>
          <w:rFonts w:ascii="宋体" w:hAnsi="宋体" w:eastAsia="宋体" w:cs="宋体"/>
          <w:spacing w:val="-4"/>
          <w:sz w:val="24"/>
          <w:szCs w:val="24"/>
        </w:rPr>
        <w:t>。则估算本项目施工现场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28"/>
          <w:w w:val="101"/>
          <w:position w:val="-1"/>
          <w:sz w:val="15"/>
          <w:szCs w:val="15"/>
        </w:rPr>
        <w:t xml:space="preserve"> </w:t>
      </w:r>
      <w:r>
        <w:rPr>
          <w:rFonts w:ascii="宋体" w:hAnsi="宋体" w:eastAsia="宋体" w:cs="宋体"/>
          <w:spacing w:val="-4"/>
          <w:sz w:val="24"/>
          <w:szCs w:val="24"/>
        </w:rPr>
        <w:t>的产生</w:t>
      </w:r>
      <w:r>
        <w:rPr>
          <w:rFonts w:ascii="宋体" w:hAnsi="宋体" w:eastAsia="宋体" w:cs="宋体"/>
          <w:sz w:val="24"/>
          <w:szCs w:val="24"/>
        </w:rPr>
        <w:t xml:space="preserve"> </w:t>
      </w:r>
      <w:r>
        <w:rPr>
          <w:rFonts w:ascii="宋体" w:hAnsi="宋体" w:eastAsia="宋体" w:cs="宋体"/>
          <w:spacing w:val="-4"/>
          <w:sz w:val="24"/>
          <w:szCs w:val="24"/>
        </w:rPr>
        <w:t>源强为</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14.4kg/d</w:t>
      </w:r>
      <w:r>
        <w:rPr>
          <w:rFonts w:ascii="宋体" w:hAnsi="宋体" w:eastAsia="宋体" w:cs="宋体"/>
          <w:spacing w:val="-4"/>
          <w:sz w:val="24"/>
          <w:szCs w:val="24"/>
        </w:rPr>
        <w:t>。</w:t>
      </w:r>
    </w:p>
    <w:p w14:paraId="46FDEE7E">
      <w:pPr>
        <w:spacing w:before="33" w:line="375" w:lineRule="auto"/>
        <w:ind w:left="122" w:right="104" w:firstLine="480"/>
        <w:jc w:val="both"/>
        <w:rPr>
          <w:rFonts w:ascii="宋体" w:hAnsi="宋体" w:eastAsia="宋体" w:cs="宋体"/>
          <w:sz w:val="24"/>
          <w:szCs w:val="24"/>
        </w:rPr>
      </w:pPr>
      <w:r>
        <w:rPr>
          <w:rFonts w:ascii="宋体" w:hAnsi="宋体" w:eastAsia="宋体" w:cs="宋体"/>
          <w:spacing w:val="3"/>
          <w:sz w:val="24"/>
          <w:szCs w:val="24"/>
        </w:rPr>
        <w:t>根据北京市环境科学研究院等单位在市政施工现场实测资料（铲车</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台、翻斗</w:t>
      </w:r>
      <w:r>
        <w:rPr>
          <w:rFonts w:ascii="宋体" w:hAnsi="宋体" w:eastAsia="宋体" w:cs="宋体"/>
          <w:sz w:val="24"/>
          <w:szCs w:val="24"/>
        </w:rPr>
        <w:t xml:space="preserve"> </w:t>
      </w:r>
      <w:r>
        <w:rPr>
          <w:rFonts w:ascii="宋体" w:hAnsi="宋体" w:eastAsia="宋体" w:cs="宋体"/>
          <w:spacing w:val="-3"/>
          <w:sz w:val="24"/>
          <w:szCs w:val="24"/>
        </w:rPr>
        <w:t>自卸汽车</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台</w:t>
      </w:r>
      <w:r>
        <w:rPr>
          <w:rFonts w:ascii="Times New Roman" w:hAnsi="Times New Roman" w:eastAsia="Times New Roman" w:cs="Times New Roman"/>
          <w:spacing w:val="-3"/>
          <w:sz w:val="24"/>
          <w:szCs w:val="24"/>
        </w:rPr>
        <w:t>/h</w:t>
      </w:r>
      <w:r>
        <w:rPr>
          <w:rFonts w:ascii="宋体" w:hAnsi="宋体" w:eastAsia="宋体" w:cs="宋体"/>
          <w:spacing w:val="-53"/>
          <w:sz w:val="24"/>
          <w:szCs w:val="24"/>
        </w:rPr>
        <w:t>），</w:t>
      </w:r>
      <w:r>
        <w:rPr>
          <w:rFonts w:ascii="宋体" w:hAnsi="宋体" w:eastAsia="宋体" w:cs="宋体"/>
          <w:spacing w:val="-3"/>
          <w:sz w:val="24"/>
          <w:szCs w:val="24"/>
        </w:rPr>
        <w:t>在一般气象、平均风速</w:t>
      </w:r>
      <w:r>
        <w:rPr>
          <w:rFonts w:ascii="Times New Roman" w:hAnsi="Times New Roman" w:eastAsia="Times New Roman" w:cs="Times New Roman"/>
          <w:spacing w:val="-3"/>
          <w:sz w:val="24"/>
          <w:szCs w:val="24"/>
        </w:rPr>
        <w:t>2.5m/s</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的情况下，建筑工地</w:t>
      </w:r>
      <w:r>
        <w:rPr>
          <w:rFonts w:ascii="宋体" w:hAnsi="宋体" w:eastAsia="宋体" w:cs="宋体"/>
          <w:spacing w:val="-4"/>
          <w:sz w:val="24"/>
          <w:szCs w:val="24"/>
        </w:rPr>
        <w:t>内扬尘处</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position w:val="-1"/>
          <w:sz w:val="15"/>
          <w:szCs w:val="15"/>
        </w:rPr>
        <w:t xml:space="preserve"> </w:t>
      </w:r>
      <w:r>
        <w:rPr>
          <w:rFonts w:ascii="宋体" w:hAnsi="宋体" w:eastAsia="宋体" w:cs="宋体"/>
          <w:spacing w:val="-2"/>
          <w:sz w:val="24"/>
          <w:szCs w:val="24"/>
        </w:rPr>
        <w:t>浓度为上风向对照点的</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2.0-2.5 </w:t>
      </w:r>
      <w:r>
        <w:rPr>
          <w:rFonts w:ascii="宋体" w:hAnsi="宋体" w:eastAsia="宋体" w:cs="宋体"/>
          <w:spacing w:val="-2"/>
          <w:sz w:val="24"/>
          <w:szCs w:val="24"/>
        </w:rPr>
        <w:t>倍，建筑施工扬尘的影响范围其下风向侧为</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。施</w:t>
      </w:r>
      <w:r>
        <w:rPr>
          <w:rFonts w:ascii="宋体" w:hAnsi="宋体" w:eastAsia="宋体" w:cs="宋体"/>
          <w:sz w:val="24"/>
          <w:szCs w:val="24"/>
        </w:rPr>
        <w:t xml:space="preserve"> </w:t>
      </w:r>
      <w:r>
        <w:rPr>
          <w:rFonts w:ascii="宋体" w:hAnsi="宋体" w:eastAsia="宋体" w:cs="宋体"/>
          <w:spacing w:val="2"/>
          <w:sz w:val="24"/>
          <w:szCs w:val="24"/>
        </w:rPr>
        <w:t>工扬尘影响强度和范围见表</w:t>
      </w:r>
      <w:r>
        <w:rPr>
          <w:rFonts w:ascii="Times New Roman" w:hAnsi="Times New Roman" w:eastAsia="Times New Roman" w:cs="Times New Roman"/>
          <w:spacing w:val="2"/>
          <w:sz w:val="24"/>
          <w:szCs w:val="24"/>
        </w:rPr>
        <w:t>3.4-1</w:t>
      </w:r>
      <w:r>
        <w:rPr>
          <w:rFonts w:ascii="宋体" w:hAnsi="宋体" w:eastAsia="宋体" w:cs="宋体"/>
          <w:spacing w:val="2"/>
          <w:sz w:val="24"/>
          <w:szCs w:val="24"/>
        </w:rPr>
        <w:t>。</w:t>
      </w:r>
    </w:p>
    <w:p w14:paraId="78DC6678">
      <w:pPr>
        <w:spacing w:before="57" w:line="229" w:lineRule="auto"/>
        <w:ind w:left="2403"/>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b/>
          <w:bCs/>
          <w:spacing w:val="7"/>
          <w:sz w:val="20"/>
          <w:szCs w:val="20"/>
        </w:rPr>
        <w:t xml:space="preserve">3.4-1  </w:t>
      </w:r>
      <w:r>
        <w:rPr>
          <w:rFonts w:ascii="宋体" w:hAnsi="宋体" w:eastAsia="宋体" w:cs="宋体"/>
          <w:b/>
          <w:bCs/>
          <w:spacing w:val="7"/>
          <w:sz w:val="20"/>
          <w:szCs w:val="20"/>
        </w:rPr>
        <w:t>施工扬尘浓度变化及影响</w:t>
      </w:r>
      <w:r>
        <w:rPr>
          <w:rFonts w:ascii="宋体" w:hAnsi="宋体" w:eastAsia="宋体" w:cs="宋体"/>
          <w:b/>
          <w:bCs/>
          <w:spacing w:val="6"/>
          <w:sz w:val="20"/>
          <w:szCs w:val="20"/>
        </w:rPr>
        <w:t>范围距现场距离</w:t>
      </w:r>
    </w:p>
    <w:p w14:paraId="0D2BEC89">
      <w:pPr>
        <w:spacing w:line="100"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1141"/>
        <w:gridCol w:w="1141"/>
        <w:gridCol w:w="1141"/>
        <w:gridCol w:w="1141"/>
        <w:gridCol w:w="1142"/>
        <w:gridCol w:w="1146"/>
      </w:tblGrid>
      <w:tr w14:paraId="3FA92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098" w:type="dxa"/>
            <w:vAlign w:val="top"/>
          </w:tcPr>
          <w:p w14:paraId="034AC91D">
            <w:pPr>
              <w:pStyle w:val="6"/>
              <w:spacing w:before="63" w:line="229" w:lineRule="auto"/>
              <w:ind w:left="235"/>
            </w:pPr>
            <w:r>
              <w:rPr>
                <w:spacing w:val="7"/>
              </w:rPr>
              <w:t>距现场距离（</w:t>
            </w:r>
            <w:r>
              <w:rPr>
                <w:rFonts w:ascii="Times New Roman" w:hAnsi="Times New Roman" w:eastAsia="Times New Roman" w:cs="Times New Roman"/>
                <w:spacing w:val="7"/>
              </w:rPr>
              <w:t>m</w:t>
            </w:r>
            <w:r>
              <w:rPr>
                <w:spacing w:val="7"/>
              </w:rPr>
              <w:t>）</w:t>
            </w:r>
          </w:p>
        </w:tc>
        <w:tc>
          <w:tcPr>
            <w:tcW w:w="1141" w:type="dxa"/>
            <w:vAlign w:val="top"/>
          </w:tcPr>
          <w:p w14:paraId="3D121DFA">
            <w:pPr>
              <w:pStyle w:val="6"/>
              <w:spacing w:before="63" w:line="228" w:lineRule="auto"/>
              <w:ind w:left="263"/>
            </w:pPr>
            <w:r>
              <w:rPr>
                <w:spacing w:val="5"/>
              </w:rPr>
              <w:t>背景值</w:t>
            </w:r>
          </w:p>
        </w:tc>
        <w:tc>
          <w:tcPr>
            <w:tcW w:w="1141" w:type="dxa"/>
            <w:vAlign w:val="top"/>
          </w:tcPr>
          <w:p w14:paraId="7A8F9706">
            <w:pPr>
              <w:spacing w:before="32"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141" w:type="dxa"/>
            <w:vAlign w:val="top"/>
          </w:tcPr>
          <w:p w14:paraId="7683F80B">
            <w:pPr>
              <w:spacing w:before="32" w:line="274" w:lineRule="exact"/>
              <w:ind w:left="4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141" w:type="dxa"/>
            <w:vAlign w:val="top"/>
          </w:tcPr>
          <w:p w14:paraId="49ABC3B4">
            <w:pPr>
              <w:spacing w:before="32" w:line="274" w:lineRule="exact"/>
              <w:ind w:left="4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142" w:type="dxa"/>
            <w:vAlign w:val="top"/>
          </w:tcPr>
          <w:p w14:paraId="15AA0A9E">
            <w:pPr>
              <w:spacing w:before="32"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146" w:type="dxa"/>
            <w:vAlign w:val="top"/>
          </w:tcPr>
          <w:p w14:paraId="3325F36C">
            <w:pPr>
              <w:spacing w:before="32"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10108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2098" w:type="dxa"/>
            <w:vAlign w:val="top"/>
          </w:tcPr>
          <w:p w14:paraId="51D3A7B0">
            <w:pPr>
              <w:pStyle w:val="6"/>
              <w:spacing w:before="112" w:line="274" w:lineRule="exact"/>
              <w:ind w:left="114"/>
            </w:pPr>
            <w:r>
              <w:rPr>
                <w:rFonts w:ascii="Times New Roman" w:hAnsi="Times New Roman" w:eastAsia="Times New Roman" w:cs="Times New Roman"/>
                <w:position w:val="2"/>
              </w:rPr>
              <w:t>PM</w:t>
            </w:r>
            <w:r>
              <w:rPr>
                <w:rFonts w:ascii="Times New Roman" w:hAnsi="Times New Roman" w:eastAsia="Times New Roman" w:cs="Times New Roman"/>
                <w:spacing w:val="11"/>
                <w:position w:val="1"/>
                <w:sz w:val="13"/>
                <w:szCs w:val="13"/>
              </w:rPr>
              <w:t>10</w:t>
            </w:r>
            <w:r>
              <w:rPr>
                <w:spacing w:val="11"/>
                <w:position w:val="2"/>
              </w:rPr>
              <w:t>浓度（</w:t>
            </w:r>
            <w:r>
              <w:rPr>
                <w:rFonts w:ascii="Times New Roman" w:hAnsi="Times New Roman" w:eastAsia="Times New Roman" w:cs="Times New Roman"/>
                <w:position w:val="2"/>
              </w:rPr>
              <w:t>mg</w:t>
            </w:r>
            <w:r>
              <w:rPr>
                <w:rFonts w:ascii="Times New Roman" w:hAnsi="Times New Roman" w:eastAsia="Times New Roman" w:cs="Times New Roman"/>
                <w:spacing w:val="11"/>
                <w:position w:val="2"/>
              </w:rPr>
              <w:t>/m</w:t>
            </w:r>
            <w:r>
              <w:rPr>
                <w:rFonts w:ascii="Times New Roman" w:hAnsi="Times New Roman" w:eastAsia="Times New Roman" w:cs="Times New Roman"/>
                <w:spacing w:val="11"/>
                <w:position w:val="8"/>
                <w:sz w:val="13"/>
                <w:szCs w:val="13"/>
              </w:rPr>
              <w:t>3</w:t>
            </w:r>
            <w:r>
              <w:rPr>
                <w:spacing w:val="11"/>
                <w:position w:val="2"/>
              </w:rPr>
              <w:t>）</w:t>
            </w:r>
          </w:p>
        </w:tc>
        <w:tc>
          <w:tcPr>
            <w:tcW w:w="1141" w:type="dxa"/>
            <w:vAlign w:val="top"/>
          </w:tcPr>
          <w:p w14:paraId="69F16067">
            <w:pPr>
              <w:spacing w:before="112" w:line="274"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0.541</w:t>
            </w:r>
          </w:p>
        </w:tc>
        <w:tc>
          <w:tcPr>
            <w:tcW w:w="1141" w:type="dxa"/>
            <w:vAlign w:val="top"/>
          </w:tcPr>
          <w:p w14:paraId="735BD704">
            <w:pPr>
              <w:spacing w:before="112"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1.843</w:t>
            </w:r>
          </w:p>
        </w:tc>
        <w:tc>
          <w:tcPr>
            <w:tcW w:w="1141" w:type="dxa"/>
            <w:vAlign w:val="top"/>
          </w:tcPr>
          <w:p w14:paraId="763AAB29">
            <w:pPr>
              <w:spacing w:before="112" w:line="274"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0.987</w:t>
            </w:r>
          </w:p>
        </w:tc>
        <w:tc>
          <w:tcPr>
            <w:tcW w:w="1141" w:type="dxa"/>
            <w:vAlign w:val="top"/>
          </w:tcPr>
          <w:p w14:paraId="3C41E515">
            <w:pPr>
              <w:spacing w:before="112" w:line="274"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0.542</w:t>
            </w:r>
          </w:p>
        </w:tc>
        <w:tc>
          <w:tcPr>
            <w:tcW w:w="1142" w:type="dxa"/>
            <w:vAlign w:val="top"/>
          </w:tcPr>
          <w:p w14:paraId="4899F9D6">
            <w:pPr>
              <w:spacing w:before="112"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0.398</w:t>
            </w:r>
          </w:p>
        </w:tc>
        <w:tc>
          <w:tcPr>
            <w:tcW w:w="1146" w:type="dxa"/>
            <w:vAlign w:val="top"/>
          </w:tcPr>
          <w:p w14:paraId="4E5CC545">
            <w:pPr>
              <w:spacing w:before="112"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0.372</w:t>
            </w:r>
          </w:p>
        </w:tc>
      </w:tr>
    </w:tbl>
    <w:p w14:paraId="3714FEB1">
      <w:pPr>
        <w:spacing w:before="88" w:line="367" w:lineRule="auto"/>
        <w:ind w:left="122" w:right="110" w:firstLine="509"/>
        <w:rPr>
          <w:rFonts w:ascii="宋体" w:hAnsi="宋体" w:eastAsia="宋体" w:cs="宋体"/>
          <w:sz w:val="24"/>
          <w:szCs w:val="24"/>
        </w:rPr>
      </w:pPr>
      <w:r>
        <w:rPr>
          <w:rFonts w:ascii="宋体" w:hAnsi="宋体" w:eastAsia="宋体" w:cs="宋体"/>
          <w:spacing w:val="1"/>
          <w:sz w:val="24"/>
          <w:szCs w:val="24"/>
        </w:rPr>
        <w:t>由表</w:t>
      </w:r>
      <w:r>
        <w:rPr>
          <w:rFonts w:ascii="Times New Roman" w:hAnsi="Times New Roman" w:eastAsia="Times New Roman" w:cs="Times New Roman"/>
          <w:spacing w:val="1"/>
          <w:sz w:val="24"/>
          <w:szCs w:val="24"/>
        </w:rPr>
        <w:t>3.4-1</w:t>
      </w:r>
      <w:r>
        <w:rPr>
          <w:rFonts w:ascii="宋体" w:hAnsi="宋体" w:eastAsia="宋体" w:cs="宋体"/>
          <w:spacing w:val="1"/>
          <w:sz w:val="24"/>
          <w:szCs w:val="24"/>
        </w:rPr>
        <w:t>可见，施工现场局部扬尘浓度较高，但衰</w:t>
      </w:r>
      <w:r>
        <w:rPr>
          <w:rFonts w:ascii="宋体" w:hAnsi="宋体" w:eastAsia="宋体" w:cs="宋体"/>
          <w:sz w:val="24"/>
          <w:szCs w:val="24"/>
        </w:rPr>
        <w:t>减较快，</w:t>
      </w:r>
      <w:r>
        <w:rPr>
          <w:rFonts w:ascii="Times New Roman" w:hAnsi="Times New Roman" w:eastAsia="Times New Roman" w:cs="Times New Roman"/>
          <w:sz w:val="24"/>
          <w:szCs w:val="24"/>
        </w:rPr>
        <w:t xml:space="preserve">50m </w:t>
      </w:r>
      <w:r>
        <w:rPr>
          <w:rFonts w:ascii="宋体" w:hAnsi="宋体" w:eastAsia="宋体" w:cs="宋体"/>
          <w:sz w:val="24"/>
          <w:szCs w:val="24"/>
        </w:rPr>
        <w:t xml:space="preserve">处已接近背景 </w:t>
      </w:r>
      <w:r>
        <w:rPr>
          <w:rFonts w:ascii="宋体" w:hAnsi="宋体" w:eastAsia="宋体" w:cs="宋体"/>
          <w:spacing w:val="-5"/>
          <w:sz w:val="24"/>
          <w:szCs w:val="24"/>
        </w:rPr>
        <w:t>值。</w:t>
      </w:r>
    </w:p>
    <w:p w14:paraId="616C13B7">
      <w:pPr>
        <w:spacing w:before="62" w:line="219" w:lineRule="auto"/>
        <w:ind w:left="614"/>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）施工机械及运输车辆排放尾气污染物</w:t>
      </w:r>
    </w:p>
    <w:p w14:paraId="5A73E7F6">
      <w:pPr>
        <w:spacing w:before="205" w:line="374" w:lineRule="auto"/>
        <w:ind w:left="122" w:right="47" w:firstLine="480"/>
        <w:jc w:val="both"/>
        <w:rPr>
          <w:rFonts w:ascii="宋体" w:hAnsi="宋体" w:eastAsia="宋体" w:cs="宋体"/>
          <w:sz w:val="24"/>
          <w:szCs w:val="24"/>
        </w:rPr>
      </w:pPr>
      <w:r>
        <w:rPr>
          <w:rFonts w:ascii="宋体" w:hAnsi="宋体" w:eastAsia="宋体" w:cs="宋体"/>
          <w:sz w:val="24"/>
          <w:szCs w:val="24"/>
        </w:rPr>
        <w:t>在工程施工期间，机动车污染源主要为</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position w:val="-1"/>
          <w:sz w:val="15"/>
          <w:szCs w:val="15"/>
        </w:rPr>
        <w:t>2</w:t>
      </w:r>
      <w:r>
        <w:rPr>
          <w:rFonts w:ascii="Times New Roman" w:hAnsi="Times New Roman" w:eastAsia="Times New Roman" w:cs="Times New Roman"/>
          <w:spacing w:val="29"/>
          <w:position w:val="-1"/>
          <w:sz w:val="15"/>
          <w:szCs w:val="15"/>
        </w:rPr>
        <w:t xml:space="preserve"> </w:t>
      </w:r>
      <w:r>
        <w:rPr>
          <w:rFonts w:ascii="宋体" w:hAnsi="宋体" w:eastAsia="宋体" w:cs="宋体"/>
          <w:sz w:val="24"/>
          <w:szCs w:val="24"/>
        </w:rPr>
        <w:t xml:space="preserve">的排放。根据《车用压燃式、气体 </w:t>
      </w:r>
      <w:r>
        <w:rPr>
          <w:rFonts w:ascii="宋体" w:hAnsi="宋体" w:eastAsia="宋体" w:cs="宋体"/>
          <w:spacing w:val="-9"/>
          <w:sz w:val="24"/>
          <w:szCs w:val="24"/>
        </w:rPr>
        <w:t>燃料点燃式发动机与汽车排气污染物排放限值及测量方法（中国Ⅲ、Ⅳ、Ⅴ阶段）》，</w:t>
      </w:r>
      <w:r>
        <w:rPr>
          <w:rFonts w:ascii="宋体" w:hAnsi="宋体" w:eastAsia="宋体" w:cs="宋体"/>
          <w:spacing w:val="7"/>
          <w:sz w:val="24"/>
          <w:szCs w:val="24"/>
        </w:rPr>
        <w:t xml:space="preserve"> </w:t>
      </w:r>
      <w:r>
        <w:rPr>
          <w:rFonts w:ascii="宋体" w:hAnsi="宋体" w:eastAsia="宋体" w:cs="宋体"/>
          <w:spacing w:val="-1"/>
          <w:sz w:val="24"/>
          <w:szCs w:val="24"/>
        </w:rPr>
        <w:t>机动车正常行驶时的</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1"/>
          <w:w w:val="101"/>
          <w:position w:val="-1"/>
          <w:sz w:val="15"/>
          <w:szCs w:val="15"/>
        </w:rPr>
        <w:t xml:space="preserve"> </w:t>
      </w:r>
      <w:r>
        <w:rPr>
          <w:rFonts w:ascii="宋体" w:hAnsi="宋体" w:eastAsia="宋体" w:cs="宋体"/>
          <w:spacing w:val="-1"/>
          <w:sz w:val="24"/>
          <w:szCs w:val="24"/>
        </w:rPr>
        <w:t>排污系数为：小型车</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0.08g/</w:t>
      </w:r>
      <w:r>
        <w:rPr>
          <w:rFonts w:ascii="宋体" w:hAnsi="宋体" w:eastAsia="宋体" w:cs="宋体"/>
          <w:spacing w:val="-1"/>
          <w:sz w:val="24"/>
          <w:szCs w:val="24"/>
        </w:rPr>
        <w:t>辆</w:t>
      </w:r>
      <w:r>
        <w:rPr>
          <w:rFonts w:ascii="Times New Roman" w:hAnsi="Times New Roman" w:eastAsia="Times New Roman" w:cs="Times New Roman"/>
          <w:spacing w:val="-1"/>
          <w:sz w:val="24"/>
          <w:szCs w:val="24"/>
        </w:rPr>
        <w:t>.km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，大、中型车为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0.11g/</w:t>
      </w:r>
      <w:r>
        <w:rPr>
          <w:rFonts w:ascii="宋体" w:hAnsi="宋体" w:eastAsia="宋体" w:cs="宋体"/>
          <w:spacing w:val="-1"/>
          <w:sz w:val="24"/>
          <w:szCs w:val="24"/>
        </w:rPr>
        <w:t>辆</w:t>
      </w:r>
      <w:r>
        <w:rPr>
          <w:rFonts w:ascii="宋体" w:hAnsi="宋体" w:eastAsia="宋体" w:cs="宋体"/>
          <w:sz w:val="24"/>
          <w:szCs w:val="24"/>
        </w:rPr>
        <w:t xml:space="preserve"> </w:t>
      </w:r>
      <w:r>
        <w:rPr>
          <w:rFonts w:ascii="Times New Roman" w:hAnsi="Times New Roman" w:eastAsia="Times New Roman" w:cs="Times New Roman"/>
          <w:spacing w:val="-1"/>
          <w:sz w:val="24"/>
          <w:szCs w:val="24"/>
        </w:rPr>
        <w:t>.km</w:t>
      </w:r>
      <w:r>
        <w:rPr>
          <w:rFonts w:ascii="Times New Roman" w:hAnsi="Times New Roman" w:eastAsia="Times New Roman" w:cs="Times New Roman"/>
          <w:spacing w:val="-11"/>
          <w:sz w:val="24"/>
          <w:szCs w:val="24"/>
        </w:rPr>
        <w:t xml:space="preserve"> </w:t>
      </w:r>
      <w:r>
        <w:rPr>
          <w:rFonts w:ascii="宋体" w:hAnsi="宋体" w:eastAsia="宋体" w:cs="宋体"/>
          <w:spacing w:val="-1"/>
          <w:sz w:val="24"/>
          <w:szCs w:val="24"/>
        </w:rPr>
        <w:t>。施工机动车以大、中型车为主。按进出车辆</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辆</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计，每辆车在项目区行驶距</w:t>
      </w:r>
      <w:r>
        <w:rPr>
          <w:rFonts w:ascii="宋体" w:hAnsi="宋体" w:eastAsia="宋体" w:cs="宋体"/>
          <w:sz w:val="24"/>
          <w:szCs w:val="24"/>
        </w:rPr>
        <w:t xml:space="preserve"> </w:t>
      </w:r>
      <w:r>
        <w:rPr>
          <w:rFonts w:ascii="宋体" w:hAnsi="宋体" w:eastAsia="宋体" w:cs="宋体"/>
          <w:spacing w:val="-3"/>
          <w:sz w:val="24"/>
          <w:szCs w:val="24"/>
        </w:rPr>
        <w:t>离按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100m</w:t>
      </w:r>
      <w:r>
        <w:rPr>
          <w:rFonts w:ascii="宋体" w:hAnsi="宋体" w:eastAsia="宋体" w:cs="宋体"/>
          <w:spacing w:val="-3"/>
          <w:sz w:val="24"/>
          <w:szCs w:val="24"/>
        </w:rPr>
        <w:t>（含怠速期）计，</w:t>
      </w:r>
      <w:r>
        <w:rPr>
          <w:rFonts w:ascii="Times New Roman" w:hAnsi="Times New Roman" w:eastAsia="Times New Roman" w:cs="Times New Roman"/>
          <w:spacing w:val="-3"/>
          <w:sz w:val="24"/>
          <w:szCs w:val="24"/>
        </w:rPr>
        <w:t xml:space="preserve">NOx </w:t>
      </w:r>
      <w:r>
        <w:rPr>
          <w:rFonts w:ascii="宋体" w:hAnsi="宋体" w:eastAsia="宋体" w:cs="宋体"/>
          <w:spacing w:val="-3"/>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0.3g/d</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，折合</w:t>
      </w:r>
      <w:r>
        <w:rPr>
          <w:rFonts w:ascii="宋体" w:hAnsi="宋体" w:eastAsia="宋体" w:cs="宋体"/>
          <w:spacing w:val="-63"/>
          <w:sz w:val="24"/>
          <w:szCs w:val="24"/>
        </w:rPr>
        <w:t xml:space="preserve"> </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4"/>
          <w:sz w:val="24"/>
          <w:szCs w:val="24"/>
        </w:rPr>
        <w:t>排放量为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0.24g/d</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position w:val="-1"/>
          <w:sz w:val="15"/>
          <w:szCs w:val="15"/>
        </w:rPr>
        <w:t xml:space="preserve">   </w:t>
      </w:r>
      <w:r>
        <w:rPr>
          <w:rFonts w:ascii="宋体" w:hAnsi="宋体" w:eastAsia="宋体" w:cs="宋体"/>
          <w:spacing w:val="-4"/>
          <w:sz w:val="24"/>
          <w:szCs w:val="24"/>
        </w:rPr>
        <w:t>取</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30"/>
          <w:position w:val="-1"/>
          <w:sz w:val="15"/>
          <w:szCs w:val="15"/>
        </w:rPr>
        <w:t xml:space="preserve"> </w:t>
      </w:r>
      <w:r>
        <w:rPr>
          <w:rFonts w:ascii="宋体" w:hAnsi="宋体" w:eastAsia="宋体" w:cs="宋体"/>
          <w:spacing w:val="-4"/>
          <w:sz w:val="24"/>
          <w:szCs w:val="24"/>
        </w:rPr>
        <w:t>的</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0.8 </w:t>
      </w:r>
      <w:r>
        <w:rPr>
          <w:rFonts w:ascii="宋体" w:hAnsi="宋体" w:eastAsia="宋体" w:cs="宋体"/>
          <w:spacing w:val="-4"/>
          <w:sz w:val="24"/>
          <w:szCs w:val="24"/>
        </w:rPr>
        <w:t>倍）。</w:t>
      </w:r>
    </w:p>
    <w:p w14:paraId="355217D8">
      <w:pPr>
        <w:spacing w:before="313"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3.4.2</w:t>
      </w:r>
      <w:r>
        <w:rPr>
          <w:rFonts w:ascii="宋体" w:hAnsi="宋体" w:eastAsia="宋体" w:cs="宋体"/>
          <w:b/>
          <w:bCs/>
          <w:spacing w:val="-2"/>
          <w:sz w:val="24"/>
          <w:szCs w:val="24"/>
        </w:rPr>
        <w:t>施工期废水</w:t>
      </w:r>
    </w:p>
    <w:p w14:paraId="414738D3">
      <w:pPr>
        <w:pStyle w:val="2"/>
        <w:spacing w:line="279" w:lineRule="auto"/>
      </w:pPr>
    </w:p>
    <w:p w14:paraId="2B58CBAE">
      <w:pPr>
        <w:spacing w:before="79" w:line="220" w:lineRule="auto"/>
        <w:ind w:left="602"/>
        <w:rPr>
          <w:rFonts w:ascii="宋体" w:hAnsi="宋体" w:eastAsia="宋体" w:cs="宋体"/>
          <w:sz w:val="24"/>
          <w:szCs w:val="24"/>
        </w:rPr>
      </w:pPr>
      <w:r>
        <w:rPr>
          <w:rFonts w:ascii="宋体" w:hAnsi="宋体" w:eastAsia="宋体" w:cs="宋体"/>
          <w:sz w:val="24"/>
          <w:szCs w:val="24"/>
        </w:rPr>
        <w:t>施工期废水主要来自施工过程中的生产废水和</w:t>
      </w:r>
      <w:r>
        <w:rPr>
          <w:rFonts w:ascii="宋体" w:hAnsi="宋体" w:eastAsia="宋体" w:cs="宋体"/>
          <w:spacing w:val="-1"/>
          <w:sz w:val="24"/>
          <w:szCs w:val="24"/>
        </w:rPr>
        <w:t>施工人员的生活污水。</w:t>
      </w:r>
    </w:p>
    <w:p w14:paraId="1CE08DA2">
      <w:pPr>
        <w:spacing w:before="203" w:line="220" w:lineRule="auto"/>
        <w:ind w:left="609"/>
        <w:rPr>
          <w:rFonts w:ascii="宋体" w:hAnsi="宋体" w:eastAsia="宋体" w:cs="宋体"/>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1"/>
          <w:sz w:val="24"/>
          <w:szCs w:val="24"/>
        </w:rPr>
        <w:t xml:space="preserve"> </w:t>
      </w:r>
      <w:r>
        <w:rPr>
          <w:rFonts w:ascii="宋体" w:hAnsi="宋体" w:eastAsia="宋体" w:cs="宋体"/>
          <w:b/>
          <w:bCs/>
          <w:spacing w:val="-9"/>
          <w:sz w:val="24"/>
          <w:szCs w:val="24"/>
        </w:rPr>
        <w:t>、生产废水</w:t>
      </w:r>
    </w:p>
    <w:p w14:paraId="5874B2C4">
      <w:pPr>
        <w:spacing w:before="166"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）施工废水</w:t>
      </w:r>
    </w:p>
    <w:p w14:paraId="0469B59E">
      <w:pPr>
        <w:spacing w:before="164" w:line="294" w:lineRule="auto"/>
        <w:ind w:left="125" w:right="113" w:firstLine="480"/>
        <w:rPr>
          <w:rFonts w:ascii="宋体" w:hAnsi="宋体" w:eastAsia="宋体" w:cs="宋体"/>
          <w:sz w:val="24"/>
          <w:szCs w:val="24"/>
        </w:rPr>
      </w:pPr>
      <w:r>
        <w:rPr>
          <w:rFonts w:ascii="宋体" w:hAnsi="宋体" w:eastAsia="宋体" w:cs="宋体"/>
          <w:spacing w:val="2"/>
          <w:sz w:val="24"/>
          <w:szCs w:val="24"/>
        </w:rPr>
        <w:t>项目土方挖掘施工和桩基础施工时，会产生少量泥浆，由于其产生量较少且大</w:t>
      </w:r>
      <w:r>
        <w:rPr>
          <w:rFonts w:ascii="宋体" w:hAnsi="宋体" w:eastAsia="宋体" w:cs="宋体"/>
          <w:spacing w:val="6"/>
          <w:sz w:val="24"/>
          <w:szCs w:val="24"/>
        </w:rPr>
        <w:t xml:space="preserve"> </w:t>
      </w:r>
      <w:r>
        <w:rPr>
          <w:rFonts w:ascii="宋体" w:hAnsi="宋体" w:eastAsia="宋体" w:cs="宋体"/>
          <w:spacing w:val="2"/>
          <w:sz w:val="24"/>
          <w:szCs w:val="24"/>
        </w:rPr>
        <w:t>部分循环利用，施工单位一般会将剩余泥浆集中收集，晾晒后处理或由专用罐车运</w:t>
      </w:r>
    </w:p>
    <w:p w14:paraId="3A8796B3">
      <w:pPr>
        <w:spacing w:line="294" w:lineRule="auto"/>
        <w:rPr>
          <w:rFonts w:ascii="宋体" w:hAnsi="宋体" w:eastAsia="宋体" w:cs="宋体"/>
          <w:sz w:val="24"/>
          <w:szCs w:val="24"/>
        </w:rPr>
        <w:sectPr>
          <w:footerReference r:id="rId73" w:type="default"/>
          <w:pgSz w:w="11906" w:h="16839"/>
          <w:pgMar w:top="400" w:right="1475" w:bottom="1485" w:left="1475" w:header="0" w:footer="1249" w:gutter="0"/>
          <w:cols w:space="720" w:num="1"/>
        </w:sectPr>
      </w:pPr>
    </w:p>
    <w:p w14:paraId="65B10D78">
      <w:pPr>
        <w:pStyle w:val="2"/>
        <w:spacing w:line="264" w:lineRule="auto"/>
      </w:pPr>
    </w:p>
    <w:p w14:paraId="2D51BFD9">
      <w:pPr>
        <w:pStyle w:val="2"/>
        <w:spacing w:line="264" w:lineRule="auto"/>
      </w:pPr>
    </w:p>
    <w:p w14:paraId="0DF668D4">
      <w:pPr>
        <w:pStyle w:val="2"/>
        <w:spacing w:line="264" w:lineRule="auto"/>
      </w:pPr>
    </w:p>
    <w:p w14:paraId="2019EF1B">
      <w:pPr>
        <w:pStyle w:val="2"/>
        <w:spacing w:line="264" w:lineRule="auto"/>
      </w:pPr>
    </w:p>
    <w:p w14:paraId="111A84C8">
      <w:pPr>
        <w:spacing w:before="78" w:line="377" w:lineRule="auto"/>
        <w:ind w:left="123" w:right="108" w:hanging="1"/>
        <w:jc w:val="both"/>
        <w:rPr>
          <w:rFonts w:ascii="宋体" w:hAnsi="宋体" w:eastAsia="宋体" w:cs="宋体"/>
          <w:sz w:val="24"/>
          <w:szCs w:val="24"/>
        </w:rPr>
      </w:pPr>
      <w:r>
        <w:rPr>
          <w:rFonts w:ascii="宋体" w:hAnsi="宋体" w:eastAsia="宋体" w:cs="宋体"/>
          <w:spacing w:val="2"/>
          <w:sz w:val="24"/>
          <w:szCs w:val="24"/>
        </w:rPr>
        <w:t>输至建筑垃圾指定地点排放，所以基础工程产生的泥浆不会对受纳水体产生明显影</w:t>
      </w:r>
      <w:r>
        <w:rPr>
          <w:rFonts w:ascii="宋体" w:hAnsi="宋体" w:eastAsia="宋体" w:cs="宋体"/>
          <w:spacing w:val="7"/>
          <w:sz w:val="24"/>
          <w:szCs w:val="24"/>
        </w:rPr>
        <w:t xml:space="preserve"> </w:t>
      </w:r>
      <w:r>
        <w:rPr>
          <w:rFonts w:ascii="宋体" w:hAnsi="宋体" w:eastAsia="宋体" w:cs="宋体"/>
          <w:spacing w:val="-1"/>
          <w:sz w:val="24"/>
          <w:szCs w:val="24"/>
        </w:rPr>
        <w:t>响。工程施工过程中机械设备和车辆冲洗会产生一定量的废水，其主要污染物为</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SS</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和石油类。类比同类型工程，废水产生量约为</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1.46m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SS </w:t>
      </w:r>
      <w:r>
        <w:rPr>
          <w:rFonts w:ascii="宋体" w:hAnsi="宋体" w:eastAsia="宋体" w:cs="宋体"/>
          <w:spacing w:val="-1"/>
          <w:sz w:val="24"/>
          <w:szCs w:val="24"/>
        </w:rPr>
        <w:t>浓度约为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350~620mg/L</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（取</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600mg/L</w:t>
      </w:r>
      <w:r>
        <w:rPr>
          <w:rFonts w:ascii="宋体" w:hAnsi="宋体" w:eastAsia="宋体" w:cs="宋体"/>
          <w:spacing w:val="9"/>
          <w:sz w:val="24"/>
          <w:szCs w:val="24"/>
        </w:rPr>
        <w:t>），</w:t>
      </w:r>
      <w:r>
        <w:rPr>
          <w:rFonts w:ascii="宋体" w:hAnsi="宋体" w:eastAsia="宋体" w:cs="宋体"/>
          <w:spacing w:val="-1"/>
          <w:sz w:val="24"/>
          <w:szCs w:val="24"/>
        </w:rPr>
        <w:t>石油类浓度约为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12~25mg/L</w:t>
      </w:r>
      <w:r>
        <w:rPr>
          <w:rFonts w:ascii="宋体" w:hAnsi="宋体" w:eastAsia="宋体" w:cs="宋体"/>
          <w:spacing w:val="-1"/>
          <w:sz w:val="24"/>
          <w:szCs w:val="24"/>
        </w:rPr>
        <w:t>（取</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20mg/L</w:t>
      </w:r>
      <w:r>
        <w:rPr>
          <w:rFonts w:ascii="宋体" w:hAnsi="宋体" w:eastAsia="宋体" w:cs="宋体"/>
          <w:spacing w:val="-1"/>
          <w:sz w:val="24"/>
          <w:szCs w:val="24"/>
        </w:rPr>
        <w:t>）。本项目施</w:t>
      </w:r>
      <w:r>
        <w:rPr>
          <w:rFonts w:ascii="宋体" w:hAnsi="宋体" w:eastAsia="宋体" w:cs="宋体"/>
          <w:spacing w:val="-2"/>
          <w:sz w:val="24"/>
          <w:szCs w:val="24"/>
        </w:rPr>
        <w:t>工期生产废</w:t>
      </w:r>
      <w:r>
        <w:rPr>
          <w:rFonts w:ascii="宋体" w:hAnsi="宋体" w:eastAsia="宋体" w:cs="宋体"/>
          <w:sz w:val="24"/>
          <w:szCs w:val="24"/>
        </w:rPr>
        <w:t xml:space="preserve"> </w:t>
      </w:r>
      <w:r>
        <w:rPr>
          <w:rFonts w:ascii="宋体" w:hAnsi="宋体" w:eastAsia="宋体" w:cs="宋体"/>
          <w:spacing w:val="-2"/>
          <w:sz w:val="24"/>
          <w:szCs w:val="24"/>
        </w:rPr>
        <w:t>水的产排污情况见表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3.4-2</w:t>
      </w:r>
      <w:r>
        <w:rPr>
          <w:rFonts w:ascii="宋体" w:hAnsi="宋体" w:eastAsia="宋体" w:cs="宋体"/>
          <w:spacing w:val="-2"/>
          <w:sz w:val="24"/>
          <w:szCs w:val="24"/>
        </w:rPr>
        <w:t>。</w:t>
      </w:r>
    </w:p>
    <w:p w14:paraId="4415BBF2">
      <w:pPr>
        <w:spacing w:before="10" w:line="228" w:lineRule="auto"/>
        <w:ind w:left="313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3.4-2  </w:t>
      </w:r>
      <w:r>
        <w:rPr>
          <w:rFonts w:ascii="宋体" w:hAnsi="宋体" w:eastAsia="宋体" w:cs="宋体"/>
          <w:b/>
          <w:bCs/>
          <w:spacing w:val="6"/>
          <w:sz w:val="20"/>
          <w:szCs w:val="20"/>
        </w:rPr>
        <w:t>施工期生产废水排放情况</w:t>
      </w:r>
    </w:p>
    <w:p w14:paraId="6A46C069">
      <w:pPr>
        <w:spacing w:line="102" w:lineRule="exact"/>
      </w:pPr>
    </w:p>
    <w:tbl>
      <w:tblPr>
        <w:tblStyle w:val="5"/>
        <w:tblW w:w="872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6"/>
        <w:gridCol w:w="2094"/>
        <w:gridCol w:w="2236"/>
        <w:gridCol w:w="2122"/>
      </w:tblGrid>
      <w:tr w14:paraId="566E5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276" w:type="dxa"/>
            <w:vAlign w:val="top"/>
          </w:tcPr>
          <w:p w14:paraId="14F3D39A">
            <w:pPr>
              <w:pStyle w:val="6"/>
              <w:spacing w:before="36" w:line="216" w:lineRule="auto"/>
              <w:ind w:left="722"/>
            </w:pPr>
            <w:r>
              <w:rPr>
                <w:spacing w:val="7"/>
              </w:rPr>
              <w:t>废水名称</w:t>
            </w:r>
          </w:p>
        </w:tc>
        <w:tc>
          <w:tcPr>
            <w:tcW w:w="2094" w:type="dxa"/>
            <w:vAlign w:val="top"/>
          </w:tcPr>
          <w:p w14:paraId="3B44BD74">
            <w:pPr>
              <w:pStyle w:val="6"/>
              <w:spacing w:before="36" w:line="216" w:lineRule="auto"/>
              <w:ind w:left="844"/>
            </w:pPr>
            <w:r>
              <w:rPr>
                <w:spacing w:val="3"/>
              </w:rPr>
              <w:t>成分</w:t>
            </w:r>
          </w:p>
        </w:tc>
        <w:tc>
          <w:tcPr>
            <w:tcW w:w="2236" w:type="dxa"/>
            <w:vAlign w:val="top"/>
          </w:tcPr>
          <w:p w14:paraId="5C287A3B">
            <w:pPr>
              <w:pStyle w:val="6"/>
              <w:spacing w:before="5" w:line="265" w:lineRule="exact"/>
              <w:ind w:left="476"/>
            </w:pPr>
            <w:r>
              <w:rPr>
                <w:spacing w:val="6"/>
                <w:position w:val="2"/>
              </w:rPr>
              <w:t>浓度（</w:t>
            </w:r>
            <w:r>
              <w:rPr>
                <w:rFonts w:ascii="Times New Roman" w:hAnsi="Times New Roman" w:eastAsia="Times New Roman" w:cs="Times New Roman"/>
                <w:position w:val="2"/>
              </w:rPr>
              <w:t>mg</w:t>
            </w:r>
            <w:r>
              <w:rPr>
                <w:rFonts w:ascii="Times New Roman" w:hAnsi="Times New Roman" w:eastAsia="Times New Roman" w:cs="Times New Roman"/>
                <w:spacing w:val="6"/>
                <w:position w:val="2"/>
              </w:rPr>
              <w:t>/L</w:t>
            </w:r>
            <w:r>
              <w:rPr>
                <w:spacing w:val="6"/>
                <w:position w:val="2"/>
              </w:rPr>
              <w:t>）</w:t>
            </w:r>
          </w:p>
        </w:tc>
        <w:tc>
          <w:tcPr>
            <w:tcW w:w="2122" w:type="dxa"/>
            <w:vAlign w:val="top"/>
          </w:tcPr>
          <w:p w14:paraId="410E51CA">
            <w:pPr>
              <w:pStyle w:val="6"/>
              <w:spacing w:before="5" w:line="265" w:lineRule="exact"/>
              <w:ind w:left="354"/>
            </w:pPr>
            <w:r>
              <w:rPr>
                <w:spacing w:val="6"/>
                <w:position w:val="2"/>
              </w:rPr>
              <w:t>产生量（</w:t>
            </w:r>
            <w:r>
              <w:rPr>
                <w:rFonts w:ascii="Times New Roman" w:hAnsi="Times New Roman" w:eastAsia="Times New Roman" w:cs="Times New Roman"/>
                <w:position w:val="2"/>
              </w:rPr>
              <w:t>kg</w:t>
            </w:r>
            <w:r>
              <w:rPr>
                <w:rFonts w:ascii="Times New Roman" w:hAnsi="Times New Roman" w:eastAsia="Times New Roman" w:cs="Times New Roman"/>
                <w:spacing w:val="6"/>
                <w:position w:val="2"/>
              </w:rPr>
              <w:t>/d</w:t>
            </w:r>
            <w:r>
              <w:rPr>
                <w:spacing w:val="6"/>
                <w:position w:val="2"/>
              </w:rPr>
              <w:t>）</w:t>
            </w:r>
          </w:p>
        </w:tc>
      </w:tr>
      <w:tr w14:paraId="5DE8A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276" w:type="dxa"/>
            <w:vMerge w:val="restart"/>
            <w:tcBorders>
              <w:bottom w:val="nil"/>
            </w:tcBorders>
            <w:vAlign w:val="top"/>
          </w:tcPr>
          <w:p w14:paraId="6888C092">
            <w:pPr>
              <w:pStyle w:val="6"/>
              <w:spacing w:before="108" w:line="228" w:lineRule="auto"/>
              <w:ind w:left="199"/>
            </w:pPr>
            <w:r>
              <w:rPr>
                <w:spacing w:val="9"/>
              </w:rPr>
              <w:t>机械设备冲洗含油废</w:t>
            </w:r>
          </w:p>
          <w:p w14:paraId="4A031BEB">
            <w:pPr>
              <w:pStyle w:val="6"/>
              <w:spacing w:before="24" w:line="228" w:lineRule="auto"/>
              <w:ind w:left="1042"/>
            </w:pPr>
            <w:r>
              <w:t>水</w:t>
            </w:r>
          </w:p>
        </w:tc>
        <w:tc>
          <w:tcPr>
            <w:tcW w:w="2094" w:type="dxa"/>
            <w:vAlign w:val="top"/>
          </w:tcPr>
          <w:p w14:paraId="223A83CB">
            <w:pPr>
              <w:spacing w:before="137" w:line="195" w:lineRule="auto"/>
              <w:ind w:left="9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236" w:type="dxa"/>
            <w:vAlign w:val="top"/>
          </w:tcPr>
          <w:p w14:paraId="61FD2AF9">
            <w:pPr>
              <w:spacing w:before="71" w:line="274" w:lineRule="exact"/>
              <w:ind w:left="9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600</w:t>
            </w:r>
          </w:p>
        </w:tc>
        <w:tc>
          <w:tcPr>
            <w:tcW w:w="2122" w:type="dxa"/>
            <w:vAlign w:val="top"/>
          </w:tcPr>
          <w:p w14:paraId="7715F2C9">
            <w:pPr>
              <w:spacing w:before="71" w:line="274" w:lineRule="exact"/>
              <w:ind w:left="8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0.876</w:t>
            </w:r>
          </w:p>
        </w:tc>
      </w:tr>
      <w:tr w14:paraId="61BCD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276" w:type="dxa"/>
            <w:vMerge w:val="continue"/>
            <w:tcBorders>
              <w:top w:val="nil"/>
            </w:tcBorders>
            <w:vAlign w:val="top"/>
          </w:tcPr>
          <w:p w14:paraId="1B15F104">
            <w:pPr>
              <w:rPr>
                <w:rFonts w:ascii="Arial"/>
                <w:sz w:val="21"/>
              </w:rPr>
            </w:pPr>
          </w:p>
        </w:tc>
        <w:tc>
          <w:tcPr>
            <w:tcW w:w="2094" w:type="dxa"/>
            <w:vAlign w:val="top"/>
          </w:tcPr>
          <w:p w14:paraId="412E5E5D">
            <w:pPr>
              <w:pStyle w:val="6"/>
              <w:spacing w:before="36" w:line="221" w:lineRule="auto"/>
              <w:ind w:left="737"/>
            </w:pPr>
            <w:r>
              <w:rPr>
                <w:spacing w:val="6"/>
              </w:rPr>
              <w:t>石油类</w:t>
            </w:r>
          </w:p>
        </w:tc>
        <w:tc>
          <w:tcPr>
            <w:tcW w:w="2236" w:type="dxa"/>
            <w:vAlign w:val="top"/>
          </w:tcPr>
          <w:p w14:paraId="440CC74F">
            <w:pPr>
              <w:spacing w:line="262" w:lineRule="exact"/>
              <w:ind w:left="10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tc>
        <w:tc>
          <w:tcPr>
            <w:tcW w:w="2122" w:type="dxa"/>
            <w:vAlign w:val="top"/>
          </w:tcPr>
          <w:p w14:paraId="0E3BA625">
            <w:pPr>
              <w:spacing w:line="262" w:lineRule="exact"/>
              <w:ind w:left="77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0.0292</w:t>
            </w:r>
          </w:p>
        </w:tc>
      </w:tr>
    </w:tbl>
    <w:p w14:paraId="0691EB86">
      <w:pPr>
        <w:spacing w:before="251" w:line="360" w:lineRule="exact"/>
        <w:ind w:left="598"/>
        <w:rPr>
          <w:rFonts w:ascii="宋体" w:hAnsi="宋体" w:eastAsia="宋体" w:cs="宋体"/>
          <w:sz w:val="24"/>
          <w:szCs w:val="24"/>
        </w:rPr>
      </w:pP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）地表径流水</w:t>
      </w:r>
    </w:p>
    <w:p w14:paraId="26DC965D">
      <w:pPr>
        <w:spacing w:before="163" w:line="377" w:lineRule="auto"/>
        <w:ind w:left="122" w:right="113" w:firstLine="480"/>
        <w:rPr>
          <w:rFonts w:ascii="宋体" w:hAnsi="宋体" w:eastAsia="宋体" w:cs="宋体"/>
          <w:sz w:val="24"/>
          <w:szCs w:val="24"/>
        </w:rPr>
      </w:pPr>
      <w:r>
        <w:rPr>
          <w:rFonts w:ascii="宋体" w:hAnsi="宋体" w:eastAsia="宋体" w:cs="宋体"/>
          <w:spacing w:val="2"/>
          <w:sz w:val="24"/>
          <w:szCs w:val="24"/>
        </w:rPr>
        <w:t>海丰县属亚热带季风气候，降雨量充沛，特别是夏季暴雨易对施工场地的浮土</w:t>
      </w:r>
      <w:r>
        <w:rPr>
          <w:rFonts w:ascii="宋体" w:hAnsi="宋体" w:eastAsia="宋体" w:cs="宋体"/>
          <w:spacing w:val="11"/>
          <w:sz w:val="24"/>
          <w:szCs w:val="24"/>
        </w:rPr>
        <w:t xml:space="preserve"> </w:t>
      </w:r>
      <w:r>
        <w:rPr>
          <w:rFonts w:ascii="宋体" w:hAnsi="宋体" w:eastAsia="宋体" w:cs="宋体"/>
          <w:spacing w:val="2"/>
          <w:sz w:val="24"/>
          <w:szCs w:val="24"/>
        </w:rPr>
        <w:t>造成的冲刷，造成含有大量悬浮物的地表径流水污染周围环境，严重时可导致堵塞</w:t>
      </w:r>
      <w:r>
        <w:rPr>
          <w:rFonts w:ascii="宋体" w:hAnsi="宋体" w:eastAsia="宋体" w:cs="宋体"/>
          <w:spacing w:val="7"/>
          <w:sz w:val="24"/>
          <w:szCs w:val="24"/>
        </w:rPr>
        <w:t xml:space="preserve"> </w:t>
      </w:r>
      <w:r>
        <w:rPr>
          <w:rFonts w:ascii="宋体" w:hAnsi="宋体" w:eastAsia="宋体" w:cs="宋体"/>
          <w:spacing w:val="-2"/>
          <w:sz w:val="24"/>
          <w:szCs w:val="24"/>
        </w:rPr>
        <w:t>市政排水系统。</w:t>
      </w:r>
    </w:p>
    <w:p w14:paraId="1D227045">
      <w:pPr>
        <w:spacing w:before="1" w:line="220" w:lineRule="auto"/>
        <w:ind w:left="599"/>
        <w:rPr>
          <w:rFonts w:ascii="宋体" w:hAnsi="宋体" w:eastAsia="宋体" w:cs="宋体"/>
          <w:sz w:val="24"/>
          <w:szCs w:val="24"/>
        </w:rPr>
      </w:pPr>
      <w:r>
        <w:rPr>
          <w:rFonts w:ascii="Times New Roman" w:hAnsi="Times New Roman" w:eastAsia="Times New Roman" w:cs="Times New Roman"/>
          <w:b/>
          <w:bCs/>
          <w:spacing w:val="-7"/>
          <w:sz w:val="24"/>
          <w:szCs w:val="24"/>
        </w:rPr>
        <w:t>2</w:t>
      </w:r>
      <w:r>
        <w:rPr>
          <w:rFonts w:ascii="Times New Roman" w:hAnsi="Times New Roman" w:eastAsia="Times New Roman" w:cs="Times New Roman"/>
          <w:b/>
          <w:bCs/>
          <w:spacing w:val="-33"/>
          <w:sz w:val="24"/>
          <w:szCs w:val="24"/>
        </w:rPr>
        <w:t xml:space="preserve"> </w:t>
      </w:r>
      <w:r>
        <w:rPr>
          <w:rFonts w:ascii="宋体" w:hAnsi="宋体" w:eastAsia="宋体" w:cs="宋体"/>
          <w:b/>
          <w:bCs/>
          <w:spacing w:val="-7"/>
          <w:sz w:val="24"/>
          <w:szCs w:val="24"/>
        </w:rPr>
        <w:t>、生活污水</w:t>
      </w:r>
    </w:p>
    <w:p w14:paraId="09D05C59">
      <w:pPr>
        <w:spacing w:before="203" w:line="375" w:lineRule="auto"/>
        <w:ind w:left="122" w:right="96" w:firstLine="480"/>
        <w:rPr>
          <w:rFonts w:ascii="宋体" w:hAnsi="宋体" w:eastAsia="宋体" w:cs="宋体"/>
          <w:sz w:val="24"/>
          <w:szCs w:val="24"/>
        </w:rPr>
      </w:pPr>
      <w:r>
        <w:rPr>
          <w:rFonts w:ascii="宋体" w:hAnsi="宋体" w:eastAsia="宋体" w:cs="宋体"/>
          <w:spacing w:val="2"/>
          <w:sz w:val="24"/>
          <w:szCs w:val="24"/>
        </w:rPr>
        <w:t>根据项目施工实际情况，本项目不设置施工营地、食堂。由于施工方案、施工</w:t>
      </w:r>
      <w:r>
        <w:rPr>
          <w:rFonts w:ascii="宋体" w:hAnsi="宋体" w:eastAsia="宋体" w:cs="宋体"/>
          <w:spacing w:val="10"/>
          <w:sz w:val="24"/>
          <w:szCs w:val="24"/>
        </w:rPr>
        <w:t xml:space="preserve"> </w:t>
      </w:r>
      <w:r>
        <w:rPr>
          <w:rFonts w:ascii="宋体" w:hAnsi="宋体" w:eastAsia="宋体" w:cs="宋体"/>
          <w:spacing w:val="-1"/>
          <w:sz w:val="24"/>
          <w:szCs w:val="24"/>
        </w:rPr>
        <w:t>阶段的不同，施工人员数量也不同。根据类比调查，本工程施工平均人数为</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w:t>
      </w:r>
      <w:r>
        <w:rPr>
          <w:rFonts w:ascii="宋体" w:hAnsi="宋体" w:eastAsia="宋体" w:cs="宋体"/>
          <w:sz w:val="24"/>
          <w:szCs w:val="24"/>
        </w:rPr>
        <w:t xml:space="preserve"> </w:t>
      </w:r>
      <w:r>
        <w:rPr>
          <w:rFonts w:ascii="宋体" w:hAnsi="宋体" w:eastAsia="宋体" w:cs="宋体"/>
          <w:spacing w:val="3"/>
          <w:sz w:val="24"/>
          <w:szCs w:val="24"/>
        </w:rPr>
        <w:t>高峰期人数为</w:t>
      </w:r>
      <w:r>
        <w:rPr>
          <w:rFonts w:ascii="Times New Roman" w:hAnsi="Times New Roman" w:eastAsia="Times New Roman" w:cs="Times New Roman"/>
          <w:spacing w:val="3"/>
          <w:sz w:val="24"/>
          <w:szCs w:val="24"/>
        </w:rPr>
        <w:t xml:space="preserve">45 </w:t>
      </w:r>
      <w:r>
        <w:rPr>
          <w:rFonts w:ascii="宋体" w:hAnsi="宋体" w:eastAsia="宋体" w:cs="宋体"/>
          <w:spacing w:val="3"/>
          <w:sz w:val="24"/>
          <w:szCs w:val="24"/>
        </w:rPr>
        <w:t>人，每天生活用水按</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40L/</w:t>
      </w:r>
      <w:r>
        <w:rPr>
          <w:rFonts w:ascii="宋体" w:hAnsi="宋体" w:eastAsia="宋体" w:cs="宋体"/>
          <w:spacing w:val="3"/>
          <w:sz w:val="24"/>
          <w:szCs w:val="24"/>
        </w:rPr>
        <w:t>人</w:t>
      </w:r>
      <w:r>
        <w:rPr>
          <w:rFonts w:ascii="Times New Roman" w:hAnsi="Times New Roman" w:eastAsia="Times New Roman" w:cs="Times New Roman"/>
          <w:spacing w:val="3"/>
          <w:sz w:val="24"/>
          <w:szCs w:val="24"/>
        </w:rPr>
        <w:t xml:space="preserve">∙d </w:t>
      </w:r>
      <w:r>
        <w:rPr>
          <w:rFonts w:ascii="宋体" w:hAnsi="宋体" w:eastAsia="宋体" w:cs="宋体"/>
          <w:spacing w:val="3"/>
          <w:sz w:val="24"/>
          <w:szCs w:val="24"/>
        </w:rPr>
        <w:t>计，排放系数取</w:t>
      </w:r>
      <w:r>
        <w:rPr>
          <w:rFonts w:ascii="Times New Roman" w:hAnsi="Times New Roman" w:eastAsia="Times New Roman" w:cs="Times New Roman"/>
          <w:spacing w:val="3"/>
          <w:sz w:val="24"/>
          <w:szCs w:val="24"/>
        </w:rPr>
        <w:t>0.9</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，则施工期施工</w:t>
      </w:r>
      <w:r>
        <w:rPr>
          <w:rFonts w:ascii="宋体" w:hAnsi="宋体" w:eastAsia="宋体" w:cs="宋体"/>
          <w:sz w:val="24"/>
          <w:szCs w:val="24"/>
        </w:rPr>
        <w:t xml:space="preserve"> </w:t>
      </w:r>
      <w:r>
        <w:rPr>
          <w:rFonts w:ascii="宋体" w:hAnsi="宋体" w:eastAsia="宋体" w:cs="宋体"/>
          <w:spacing w:val="2"/>
          <w:sz w:val="24"/>
          <w:szCs w:val="24"/>
        </w:rPr>
        <w:t>人员生活用水最大用水量为</w:t>
      </w:r>
      <w:r>
        <w:rPr>
          <w:rFonts w:ascii="Times New Roman" w:hAnsi="Times New Roman" w:eastAsia="Times New Roman" w:cs="Times New Roman"/>
          <w:spacing w:val="2"/>
          <w:sz w:val="24"/>
          <w:szCs w:val="24"/>
        </w:rPr>
        <w:t>270t</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，产污系数取</w:t>
      </w:r>
      <w:r>
        <w:rPr>
          <w:rFonts w:ascii="Times New Roman" w:hAnsi="Times New Roman" w:eastAsia="Times New Roman" w:cs="Times New Roman"/>
          <w:spacing w:val="2"/>
          <w:sz w:val="24"/>
          <w:szCs w:val="24"/>
        </w:rPr>
        <w:t>0.9</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，则生活污水最大排放量为</w:t>
      </w:r>
      <w:r>
        <w:rPr>
          <w:rFonts w:ascii="Times New Roman" w:hAnsi="Times New Roman" w:eastAsia="Times New Roman" w:cs="Times New Roman"/>
          <w:spacing w:val="2"/>
          <w:sz w:val="24"/>
          <w:szCs w:val="24"/>
        </w:rPr>
        <w:t>243t</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4"/>
          <w:sz w:val="24"/>
          <w:szCs w:val="24"/>
        </w:rPr>
        <w:t>参考一般生活污水水质，本项</w:t>
      </w:r>
      <w:r>
        <w:rPr>
          <w:rFonts w:ascii="宋体" w:hAnsi="宋体" w:eastAsia="宋体" w:cs="宋体"/>
          <w:spacing w:val="-46"/>
          <w:sz w:val="24"/>
          <w:szCs w:val="24"/>
        </w:rPr>
        <w:t xml:space="preserve"> </w:t>
      </w:r>
      <w:r>
        <w:rPr>
          <w:rFonts w:ascii="宋体" w:hAnsi="宋体" w:eastAsia="宋体" w:cs="宋体"/>
          <w:spacing w:val="14"/>
          <w:sz w:val="24"/>
          <w:szCs w:val="24"/>
        </w:rPr>
        <w:t>目施工期生活污水中主要污染</w:t>
      </w:r>
      <w:r>
        <w:rPr>
          <w:rFonts w:ascii="宋体" w:hAnsi="宋体" w:eastAsia="宋体" w:cs="宋体"/>
          <w:spacing w:val="13"/>
          <w:sz w:val="24"/>
          <w:szCs w:val="24"/>
        </w:rPr>
        <w:t>指标浓度选取为：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sz w:val="15"/>
          <w:szCs w:val="15"/>
        </w:rPr>
        <w:t>Cr</w:t>
      </w:r>
      <w:r>
        <w:rPr>
          <w:rFonts w:ascii="Times New Roman" w:hAnsi="Times New Roman" w:eastAsia="Times New Roman" w:cs="Times New Roman"/>
          <w:spacing w:val="-2"/>
          <w:sz w:val="24"/>
          <w:szCs w:val="24"/>
        </w:rPr>
        <w:t>300mg/L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2"/>
          <w:sz w:val="24"/>
          <w:szCs w:val="24"/>
        </w:rPr>
        <w:t>150mg/L</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SS200mg/L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–N35mg/L</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，生活</w:t>
      </w:r>
      <w:r>
        <w:rPr>
          <w:rFonts w:ascii="宋体" w:hAnsi="宋体" w:eastAsia="宋体" w:cs="宋体"/>
          <w:spacing w:val="-3"/>
          <w:sz w:val="24"/>
          <w:szCs w:val="24"/>
        </w:rPr>
        <w:t>污水水质及其污</w:t>
      </w:r>
      <w:r>
        <w:rPr>
          <w:rFonts w:ascii="宋体" w:hAnsi="宋体" w:eastAsia="宋体" w:cs="宋体"/>
          <w:sz w:val="24"/>
          <w:szCs w:val="24"/>
        </w:rPr>
        <w:t xml:space="preserve"> </w:t>
      </w:r>
      <w:r>
        <w:rPr>
          <w:rFonts w:ascii="宋体" w:hAnsi="宋体" w:eastAsia="宋体" w:cs="宋体"/>
          <w:spacing w:val="1"/>
          <w:sz w:val="24"/>
          <w:szCs w:val="24"/>
        </w:rPr>
        <w:t>染物产生量见表</w:t>
      </w:r>
      <w:r>
        <w:rPr>
          <w:rFonts w:ascii="Times New Roman" w:hAnsi="Times New Roman" w:eastAsia="Times New Roman" w:cs="Times New Roman"/>
          <w:spacing w:val="1"/>
          <w:sz w:val="24"/>
          <w:szCs w:val="24"/>
        </w:rPr>
        <w:t>3.4-3</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，不设临时食堂，依托现有洗手间及三级化粪池</w:t>
      </w:r>
      <w:r>
        <w:rPr>
          <w:rFonts w:ascii="宋体" w:hAnsi="宋体" w:eastAsia="宋体" w:cs="宋体"/>
          <w:sz w:val="24"/>
          <w:szCs w:val="24"/>
        </w:rPr>
        <w:t xml:space="preserve">，生活污水经 </w:t>
      </w:r>
      <w:r>
        <w:rPr>
          <w:rFonts w:ascii="宋体" w:hAnsi="宋体" w:eastAsia="宋体" w:cs="宋体"/>
          <w:spacing w:val="2"/>
          <w:sz w:val="24"/>
          <w:szCs w:val="24"/>
        </w:rPr>
        <w:t>三级化粪池处理后排入市政污水管网，纳入海丰县城污水处理厂处理。三级化粪池</w:t>
      </w:r>
      <w:r>
        <w:rPr>
          <w:rFonts w:ascii="宋体" w:hAnsi="宋体" w:eastAsia="宋体" w:cs="宋体"/>
          <w:spacing w:val="7"/>
          <w:sz w:val="24"/>
          <w:szCs w:val="24"/>
        </w:rPr>
        <w:t xml:space="preserve"> </w:t>
      </w:r>
      <w:r>
        <w:rPr>
          <w:rFonts w:ascii="宋体" w:hAnsi="宋体" w:eastAsia="宋体" w:cs="宋体"/>
          <w:spacing w:val="-4"/>
          <w:sz w:val="24"/>
          <w:szCs w:val="24"/>
        </w:rPr>
        <w:t>对</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4"/>
          <w:position w:val="-1"/>
          <w:sz w:val="15"/>
          <w:szCs w:val="15"/>
        </w:rPr>
        <w:t>Cr</w:t>
      </w:r>
      <w:r>
        <w:rPr>
          <w:rFonts w:ascii="Times New Roman" w:hAnsi="Times New Roman" w:eastAsia="Times New Roman" w:cs="Times New Roman"/>
          <w:spacing w:val="-11"/>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SS </w:t>
      </w:r>
      <w:r>
        <w:rPr>
          <w:rFonts w:ascii="宋体" w:hAnsi="宋体" w:eastAsia="宋体" w:cs="宋体"/>
          <w:spacing w:val="-4"/>
          <w:sz w:val="24"/>
          <w:szCs w:val="24"/>
        </w:rPr>
        <w:t>及氨氮的处理效率分别为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w:t>
      </w:r>
    </w:p>
    <w:p w14:paraId="2AB183AB">
      <w:pPr>
        <w:spacing w:before="27" w:line="228" w:lineRule="auto"/>
        <w:ind w:left="313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3.4-3  </w:t>
      </w:r>
      <w:r>
        <w:rPr>
          <w:rFonts w:ascii="宋体" w:hAnsi="宋体" w:eastAsia="宋体" w:cs="宋体"/>
          <w:b/>
          <w:bCs/>
          <w:spacing w:val="6"/>
          <w:sz w:val="20"/>
          <w:szCs w:val="20"/>
        </w:rPr>
        <w:t>施工期生活污水排放情况</w:t>
      </w:r>
    </w:p>
    <w:p w14:paraId="79FECA4A">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2"/>
        <w:gridCol w:w="1201"/>
        <w:gridCol w:w="1788"/>
        <w:gridCol w:w="1788"/>
        <w:gridCol w:w="1791"/>
      </w:tblGrid>
      <w:tr w14:paraId="44CF7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382" w:type="dxa"/>
            <w:vAlign w:val="top"/>
          </w:tcPr>
          <w:p w14:paraId="4195F9C0">
            <w:pPr>
              <w:pStyle w:val="6"/>
              <w:spacing w:before="62" w:line="229" w:lineRule="auto"/>
              <w:ind w:left="884"/>
            </w:pPr>
            <w:r>
              <w:rPr>
                <w:b/>
                <w:bCs/>
                <w:spacing w:val="5"/>
              </w:rPr>
              <w:t>污染物</w:t>
            </w:r>
          </w:p>
        </w:tc>
        <w:tc>
          <w:tcPr>
            <w:tcW w:w="1201" w:type="dxa"/>
            <w:vAlign w:val="top"/>
          </w:tcPr>
          <w:p w14:paraId="52B77850">
            <w:pPr>
              <w:spacing w:before="98" w:line="202" w:lineRule="auto"/>
              <w:ind w:left="293"/>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1788" w:type="dxa"/>
            <w:vAlign w:val="top"/>
          </w:tcPr>
          <w:p w14:paraId="4C3AAF0F">
            <w:pPr>
              <w:spacing w:before="98" w:line="202" w:lineRule="auto"/>
              <w:ind w:left="633"/>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788" w:type="dxa"/>
            <w:vAlign w:val="top"/>
          </w:tcPr>
          <w:p w14:paraId="0481F60D">
            <w:pPr>
              <w:spacing w:before="98" w:line="195" w:lineRule="auto"/>
              <w:ind w:left="78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791" w:type="dxa"/>
            <w:vAlign w:val="top"/>
          </w:tcPr>
          <w:p w14:paraId="11188F35">
            <w:pPr>
              <w:spacing w:before="101" w:line="199" w:lineRule="auto"/>
              <w:ind w:left="57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position w:val="-1"/>
                <w:sz w:val="13"/>
                <w:szCs w:val="13"/>
              </w:rPr>
              <w:t>3</w:t>
            </w:r>
            <w:r>
              <w:rPr>
                <w:rFonts w:ascii="Times New Roman" w:hAnsi="Times New Roman" w:eastAsia="Times New Roman" w:cs="Times New Roman"/>
                <w:b/>
                <w:bCs/>
                <w:spacing w:val="8"/>
                <w:sz w:val="20"/>
                <w:szCs w:val="20"/>
              </w:rPr>
              <w:t>–N</w:t>
            </w:r>
          </w:p>
        </w:tc>
      </w:tr>
      <w:tr w14:paraId="069DD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04646E7F">
            <w:pPr>
              <w:pStyle w:val="6"/>
              <w:spacing w:before="28" w:line="274" w:lineRule="exact"/>
              <w:ind w:left="548"/>
            </w:pPr>
            <w:r>
              <w:rPr>
                <w:spacing w:val="7"/>
                <w:position w:val="2"/>
              </w:rPr>
              <w:t>浓度（</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/L</w:t>
            </w:r>
            <w:r>
              <w:rPr>
                <w:spacing w:val="7"/>
                <w:position w:val="2"/>
              </w:rPr>
              <w:t>）</w:t>
            </w:r>
          </w:p>
        </w:tc>
        <w:tc>
          <w:tcPr>
            <w:tcW w:w="1201" w:type="dxa"/>
            <w:vAlign w:val="top"/>
          </w:tcPr>
          <w:p w14:paraId="1D684A4B">
            <w:pPr>
              <w:spacing w:before="28" w:line="274"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1788" w:type="dxa"/>
            <w:vAlign w:val="top"/>
          </w:tcPr>
          <w:p w14:paraId="677AE240">
            <w:pPr>
              <w:spacing w:before="28"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788" w:type="dxa"/>
            <w:vAlign w:val="top"/>
          </w:tcPr>
          <w:p w14:paraId="395499C4">
            <w:pPr>
              <w:spacing w:before="28"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791" w:type="dxa"/>
            <w:vAlign w:val="top"/>
          </w:tcPr>
          <w:p w14:paraId="732FAC7A">
            <w:pPr>
              <w:spacing w:before="28" w:line="274"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r>
      <w:tr w14:paraId="1F74B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2B2466CD">
            <w:pPr>
              <w:pStyle w:val="6"/>
              <w:spacing w:before="29" w:line="274" w:lineRule="exact"/>
              <w:ind w:left="567"/>
            </w:pPr>
            <w:r>
              <w:rPr>
                <w:spacing w:val="4"/>
                <w:position w:val="1"/>
              </w:rPr>
              <w:t>产生量（</w:t>
            </w:r>
            <w:r>
              <w:rPr>
                <w:rFonts w:ascii="Times New Roman" w:hAnsi="Times New Roman" w:eastAsia="Times New Roman" w:cs="Times New Roman"/>
                <w:spacing w:val="4"/>
                <w:position w:val="1"/>
              </w:rPr>
              <w:t>t/a</w:t>
            </w:r>
            <w:r>
              <w:rPr>
                <w:spacing w:val="4"/>
                <w:position w:val="1"/>
              </w:rPr>
              <w:t>）</w:t>
            </w:r>
          </w:p>
        </w:tc>
        <w:tc>
          <w:tcPr>
            <w:tcW w:w="1201" w:type="dxa"/>
            <w:vAlign w:val="top"/>
          </w:tcPr>
          <w:p w14:paraId="33CF126A">
            <w:pPr>
              <w:spacing w:before="29"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0.081</w:t>
            </w:r>
          </w:p>
        </w:tc>
        <w:tc>
          <w:tcPr>
            <w:tcW w:w="1788" w:type="dxa"/>
            <w:vAlign w:val="top"/>
          </w:tcPr>
          <w:p w14:paraId="0FB7A6DC">
            <w:pPr>
              <w:spacing w:before="29"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0.041</w:t>
            </w:r>
          </w:p>
        </w:tc>
        <w:tc>
          <w:tcPr>
            <w:tcW w:w="1788" w:type="dxa"/>
            <w:vAlign w:val="top"/>
          </w:tcPr>
          <w:p w14:paraId="3FA5F3A3">
            <w:pPr>
              <w:spacing w:before="29"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0.054</w:t>
            </w:r>
          </w:p>
        </w:tc>
        <w:tc>
          <w:tcPr>
            <w:tcW w:w="1791" w:type="dxa"/>
            <w:vAlign w:val="top"/>
          </w:tcPr>
          <w:p w14:paraId="36A5FE0E">
            <w:pPr>
              <w:spacing w:before="29"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r>
      <w:tr w14:paraId="5A611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24575642">
            <w:pPr>
              <w:pStyle w:val="6"/>
              <w:spacing w:before="30" w:line="274" w:lineRule="exact"/>
              <w:ind w:left="483"/>
            </w:pPr>
            <w:r>
              <w:rPr>
                <w:spacing w:val="6"/>
                <w:position w:val="1"/>
              </w:rPr>
              <w:t>处理效率（</w:t>
            </w:r>
            <w:r>
              <w:rPr>
                <w:rFonts w:ascii="Times New Roman" w:hAnsi="Times New Roman" w:eastAsia="Times New Roman" w:cs="Times New Roman"/>
                <w:spacing w:val="6"/>
                <w:position w:val="1"/>
              </w:rPr>
              <w:t>%</w:t>
            </w:r>
            <w:r>
              <w:rPr>
                <w:spacing w:val="6"/>
                <w:position w:val="1"/>
              </w:rPr>
              <w:t>）</w:t>
            </w:r>
          </w:p>
        </w:tc>
        <w:tc>
          <w:tcPr>
            <w:tcW w:w="1201" w:type="dxa"/>
            <w:vAlign w:val="top"/>
          </w:tcPr>
          <w:p w14:paraId="21593D3F">
            <w:pPr>
              <w:spacing w:before="30"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3DA00B70">
            <w:pPr>
              <w:spacing w:before="30" w:line="274" w:lineRule="exact"/>
              <w:ind w:left="81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4162091B">
            <w:pPr>
              <w:spacing w:before="30" w:line="274"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791" w:type="dxa"/>
            <w:vAlign w:val="top"/>
          </w:tcPr>
          <w:p w14:paraId="3C96631F">
            <w:pPr>
              <w:spacing w:before="30" w:line="274" w:lineRule="exact"/>
              <w:ind w:left="8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1F0EB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4F16CBE9">
            <w:pPr>
              <w:pStyle w:val="6"/>
              <w:spacing w:before="31" w:line="274" w:lineRule="exact"/>
              <w:ind w:left="238"/>
            </w:pPr>
            <w:r>
              <w:rPr>
                <w:spacing w:val="7"/>
                <w:position w:val="2"/>
              </w:rPr>
              <w:t>处理后浓度（</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/L</w:t>
            </w:r>
            <w:r>
              <w:rPr>
                <w:spacing w:val="7"/>
                <w:position w:val="2"/>
              </w:rPr>
              <w:t>）</w:t>
            </w:r>
          </w:p>
        </w:tc>
        <w:tc>
          <w:tcPr>
            <w:tcW w:w="1201" w:type="dxa"/>
            <w:vAlign w:val="top"/>
          </w:tcPr>
          <w:p w14:paraId="7721B97A">
            <w:pPr>
              <w:spacing w:before="31"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255</w:t>
            </w:r>
          </w:p>
        </w:tc>
        <w:tc>
          <w:tcPr>
            <w:tcW w:w="1788" w:type="dxa"/>
            <w:vAlign w:val="top"/>
          </w:tcPr>
          <w:p w14:paraId="1C616DBD">
            <w:pPr>
              <w:spacing w:before="31" w:line="274" w:lineRule="exact"/>
              <w:ind w:left="6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127.5</w:t>
            </w:r>
          </w:p>
        </w:tc>
        <w:tc>
          <w:tcPr>
            <w:tcW w:w="1788" w:type="dxa"/>
            <w:vAlign w:val="top"/>
          </w:tcPr>
          <w:p w14:paraId="5EEE8FF4">
            <w:pPr>
              <w:spacing w:before="31" w:line="274"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791" w:type="dxa"/>
            <w:vAlign w:val="top"/>
          </w:tcPr>
          <w:p w14:paraId="5A881360">
            <w:pPr>
              <w:spacing w:before="31" w:line="274" w:lineRule="exact"/>
              <w:ind w:left="6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33.95</w:t>
            </w:r>
          </w:p>
        </w:tc>
      </w:tr>
      <w:tr w14:paraId="1C506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382" w:type="dxa"/>
            <w:vAlign w:val="top"/>
          </w:tcPr>
          <w:p w14:paraId="083DB948">
            <w:pPr>
              <w:pStyle w:val="6"/>
              <w:spacing w:before="32" w:line="274" w:lineRule="exact"/>
              <w:ind w:left="567"/>
            </w:pPr>
            <w:r>
              <w:rPr>
                <w:spacing w:val="4"/>
                <w:position w:val="1"/>
              </w:rPr>
              <w:t>排放量（</w:t>
            </w:r>
            <w:r>
              <w:rPr>
                <w:rFonts w:ascii="Times New Roman" w:hAnsi="Times New Roman" w:eastAsia="Times New Roman" w:cs="Times New Roman"/>
                <w:spacing w:val="4"/>
                <w:position w:val="1"/>
              </w:rPr>
              <w:t>t/a</w:t>
            </w:r>
            <w:r>
              <w:rPr>
                <w:spacing w:val="4"/>
                <w:position w:val="1"/>
              </w:rPr>
              <w:t>）</w:t>
            </w:r>
          </w:p>
        </w:tc>
        <w:tc>
          <w:tcPr>
            <w:tcW w:w="1201" w:type="dxa"/>
            <w:vAlign w:val="top"/>
          </w:tcPr>
          <w:p w14:paraId="4846A9BF">
            <w:pPr>
              <w:spacing w:before="32"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0.069</w:t>
            </w:r>
          </w:p>
        </w:tc>
        <w:tc>
          <w:tcPr>
            <w:tcW w:w="1788" w:type="dxa"/>
            <w:vAlign w:val="top"/>
          </w:tcPr>
          <w:p w14:paraId="33775761">
            <w:pPr>
              <w:spacing w:before="32"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0.034</w:t>
            </w:r>
          </w:p>
        </w:tc>
        <w:tc>
          <w:tcPr>
            <w:tcW w:w="1788" w:type="dxa"/>
            <w:vAlign w:val="top"/>
          </w:tcPr>
          <w:p w14:paraId="211556BD">
            <w:pPr>
              <w:spacing w:before="32"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0.022</w:t>
            </w:r>
          </w:p>
        </w:tc>
        <w:tc>
          <w:tcPr>
            <w:tcW w:w="1791" w:type="dxa"/>
            <w:vAlign w:val="top"/>
          </w:tcPr>
          <w:p w14:paraId="20D435E4">
            <w:pPr>
              <w:spacing w:before="32"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r>
    </w:tbl>
    <w:p w14:paraId="4A205C36">
      <w:pPr>
        <w:pStyle w:val="2"/>
      </w:pPr>
    </w:p>
    <w:p w14:paraId="670B3C48">
      <w:pPr>
        <w:sectPr>
          <w:footerReference r:id="rId74" w:type="default"/>
          <w:pgSz w:w="11906" w:h="16839"/>
          <w:pgMar w:top="400" w:right="1475" w:bottom="1485" w:left="1475" w:header="0" w:footer="1249" w:gutter="0"/>
          <w:cols w:space="720" w:num="1"/>
        </w:sectPr>
      </w:pPr>
    </w:p>
    <w:p w14:paraId="737D1131">
      <w:pPr>
        <w:pStyle w:val="2"/>
        <w:spacing w:line="273" w:lineRule="auto"/>
      </w:pPr>
    </w:p>
    <w:p w14:paraId="3F10578B">
      <w:pPr>
        <w:pStyle w:val="2"/>
        <w:spacing w:line="274" w:lineRule="auto"/>
      </w:pPr>
    </w:p>
    <w:p w14:paraId="74776C81">
      <w:pPr>
        <w:pStyle w:val="2"/>
        <w:spacing w:line="274" w:lineRule="auto"/>
      </w:pPr>
    </w:p>
    <w:p w14:paraId="66A3304B">
      <w:pPr>
        <w:pStyle w:val="2"/>
        <w:spacing w:line="274" w:lineRule="auto"/>
      </w:pPr>
    </w:p>
    <w:p w14:paraId="36354CB6">
      <w:pPr>
        <w:spacing w:before="78"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3.4.3</w:t>
      </w:r>
      <w:r>
        <w:rPr>
          <w:rFonts w:ascii="宋体" w:hAnsi="宋体" w:eastAsia="宋体" w:cs="宋体"/>
          <w:b/>
          <w:bCs/>
          <w:spacing w:val="-2"/>
          <w:sz w:val="24"/>
          <w:szCs w:val="24"/>
        </w:rPr>
        <w:t>施工期噪声</w:t>
      </w:r>
    </w:p>
    <w:p w14:paraId="0B145C3B">
      <w:pPr>
        <w:pStyle w:val="2"/>
        <w:spacing w:line="280" w:lineRule="auto"/>
      </w:pPr>
    </w:p>
    <w:p w14:paraId="4C047426">
      <w:pPr>
        <w:spacing w:before="78" w:line="372" w:lineRule="auto"/>
        <w:ind w:left="122" w:right="110" w:firstLine="480"/>
        <w:jc w:val="both"/>
        <w:rPr>
          <w:rFonts w:ascii="宋体" w:hAnsi="宋体" w:eastAsia="宋体" w:cs="宋体"/>
          <w:sz w:val="24"/>
          <w:szCs w:val="24"/>
        </w:rPr>
      </w:pPr>
      <w:r>
        <w:rPr>
          <w:rFonts w:ascii="宋体" w:hAnsi="宋体" w:eastAsia="宋体" w:cs="宋体"/>
          <w:spacing w:val="2"/>
          <w:sz w:val="24"/>
          <w:szCs w:val="24"/>
        </w:rPr>
        <w:t>本项目施工期噪声源主要为施工机械产生的噪声和车辆运输产生的噪声。施工</w:t>
      </w:r>
      <w:r>
        <w:rPr>
          <w:rFonts w:ascii="宋体" w:hAnsi="宋体" w:eastAsia="宋体" w:cs="宋体"/>
          <w:spacing w:val="9"/>
          <w:sz w:val="24"/>
          <w:szCs w:val="24"/>
        </w:rPr>
        <w:t xml:space="preserve"> </w:t>
      </w:r>
      <w:r>
        <w:rPr>
          <w:rFonts w:ascii="宋体" w:hAnsi="宋体" w:eastAsia="宋体" w:cs="宋体"/>
          <w:spacing w:val="2"/>
          <w:sz w:val="24"/>
          <w:szCs w:val="24"/>
        </w:rPr>
        <w:t>过程中将动用挖掘机、空压机、钻孔机、风镐等施工机械，这些施工机械在进行施</w:t>
      </w:r>
      <w:r>
        <w:rPr>
          <w:rFonts w:ascii="宋体" w:hAnsi="宋体" w:eastAsia="宋体" w:cs="宋体"/>
          <w:spacing w:val="6"/>
          <w:sz w:val="24"/>
          <w:szCs w:val="24"/>
        </w:rPr>
        <w:t xml:space="preserve"> </w:t>
      </w:r>
      <w:r>
        <w:rPr>
          <w:rFonts w:ascii="宋体" w:hAnsi="宋体" w:eastAsia="宋体" w:cs="宋体"/>
          <w:spacing w:val="2"/>
          <w:sz w:val="24"/>
          <w:szCs w:val="24"/>
        </w:rPr>
        <w:t>工作业时产生噪声，是对周边声环境有较大影响的噪声源。此外，一些施工作业如</w:t>
      </w:r>
      <w:r>
        <w:rPr>
          <w:rFonts w:ascii="宋体" w:hAnsi="宋体" w:eastAsia="宋体" w:cs="宋体"/>
          <w:spacing w:val="6"/>
          <w:sz w:val="24"/>
          <w:szCs w:val="24"/>
        </w:rPr>
        <w:t xml:space="preserve"> </w:t>
      </w:r>
      <w:r>
        <w:rPr>
          <w:rFonts w:ascii="宋体" w:hAnsi="宋体" w:eastAsia="宋体" w:cs="宋体"/>
          <w:spacing w:val="-6"/>
          <w:sz w:val="24"/>
          <w:szCs w:val="24"/>
        </w:rPr>
        <w:t>搬卸、安装、拆除等也产生噪声。各类施工机械及运输车辆产生</w:t>
      </w:r>
      <w:r>
        <w:rPr>
          <w:rFonts w:ascii="宋体" w:hAnsi="宋体" w:eastAsia="宋体" w:cs="宋体"/>
          <w:spacing w:val="-7"/>
          <w:sz w:val="24"/>
          <w:szCs w:val="24"/>
        </w:rPr>
        <w:t>的噪声源强见表</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3.4-4</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所示。</w:t>
      </w:r>
    </w:p>
    <w:p w14:paraId="5473520D">
      <w:pPr>
        <w:spacing w:before="40" w:line="228" w:lineRule="auto"/>
        <w:ind w:left="254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7"/>
          <w:sz w:val="20"/>
          <w:szCs w:val="20"/>
        </w:rPr>
        <w:t xml:space="preserve">3.4-4 </w:t>
      </w:r>
      <w:r>
        <w:rPr>
          <w:rFonts w:ascii="宋体" w:hAnsi="宋体" w:eastAsia="宋体" w:cs="宋体"/>
          <w:b/>
          <w:bCs/>
          <w:spacing w:val="7"/>
          <w:sz w:val="20"/>
          <w:szCs w:val="20"/>
        </w:rPr>
        <w:t>各种施工机械的噪声值单位</w:t>
      </w:r>
      <w:r>
        <w:rPr>
          <w:rFonts w:ascii="宋体" w:hAnsi="宋体" w:eastAsia="宋体" w:cs="宋体"/>
          <w:b/>
          <w:bCs/>
          <w:spacing w:val="6"/>
          <w:sz w:val="20"/>
          <w:szCs w:val="20"/>
        </w:rPr>
        <w:t>：</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7079652C">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2309"/>
        <w:gridCol w:w="1489"/>
        <w:gridCol w:w="876"/>
        <w:gridCol w:w="2103"/>
        <w:gridCol w:w="1493"/>
      </w:tblGrid>
      <w:tr w14:paraId="0E4BA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0F929D1A">
            <w:pPr>
              <w:pStyle w:val="6"/>
              <w:spacing w:before="62" w:line="230" w:lineRule="auto"/>
              <w:ind w:left="135"/>
            </w:pPr>
            <w:r>
              <w:rPr>
                <w:b/>
                <w:bCs/>
                <w:spacing w:val="4"/>
              </w:rPr>
              <w:t>序号</w:t>
            </w:r>
          </w:p>
        </w:tc>
        <w:tc>
          <w:tcPr>
            <w:tcW w:w="2309" w:type="dxa"/>
            <w:vAlign w:val="top"/>
          </w:tcPr>
          <w:p w14:paraId="03BACCB6">
            <w:pPr>
              <w:pStyle w:val="6"/>
              <w:spacing w:before="62" w:line="230" w:lineRule="auto"/>
              <w:ind w:left="527"/>
            </w:pPr>
            <w:r>
              <w:rPr>
                <w:b/>
                <w:bCs/>
                <w:spacing w:val="7"/>
              </w:rPr>
              <w:t>施工设备名称</w:t>
            </w:r>
          </w:p>
        </w:tc>
        <w:tc>
          <w:tcPr>
            <w:tcW w:w="1489" w:type="dxa"/>
            <w:vAlign w:val="top"/>
          </w:tcPr>
          <w:p w14:paraId="55C68F5F">
            <w:pPr>
              <w:pStyle w:val="6"/>
              <w:spacing w:before="62" w:line="229" w:lineRule="auto"/>
              <w:ind w:left="268"/>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c>
          <w:tcPr>
            <w:tcW w:w="876" w:type="dxa"/>
            <w:vAlign w:val="top"/>
          </w:tcPr>
          <w:p w14:paraId="36DD91AF">
            <w:pPr>
              <w:pStyle w:val="6"/>
              <w:spacing w:before="62" w:line="230" w:lineRule="auto"/>
              <w:ind w:left="233"/>
            </w:pPr>
            <w:r>
              <w:rPr>
                <w:b/>
                <w:bCs/>
                <w:spacing w:val="4"/>
              </w:rPr>
              <w:t>序号</w:t>
            </w:r>
          </w:p>
        </w:tc>
        <w:tc>
          <w:tcPr>
            <w:tcW w:w="2103" w:type="dxa"/>
            <w:vAlign w:val="top"/>
          </w:tcPr>
          <w:p w14:paraId="0D2B5F45">
            <w:pPr>
              <w:pStyle w:val="6"/>
              <w:spacing w:before="62" w:line="230" w:lineRule="auto"/>
              <w:ind w:left="428"/>
            </w:pPr>
            <w:r>
              <w:rPr>
                <w:b/>
                <w:bCs/>
                <w:spacing w:val="7"/>
              </w:rPr>
              <w:t>施工设备名称</w:t>
            </w:r>
          </w:p>
        </w:tc>
        <w:tc>
          <w:tcPr>
            <w:tcW w:w="1493" w:type="dxa"/>
            <w:vAlign w:val="top"/>
          </w:tcPr>
          <w:p w14:paraId="45947451">
            <w:pPr>
              <w:pStyle w:val="6"/>
              <w:spacing w:before="62" w:line="229" w:lineRule="auto"/>
              <w:ind w:left="269"/>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r>
      <w:tr w14:paraId="565EF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431E2E4B">
            <w:pPr>
              <w:spacing w:before="2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309" w:type="dxa"/>
            <w:vAlign w:val="top"/>
          </w:tcPr>
          <w:p w14:paraId="45700FCC">
            <w:pPr>
              <w:pStyle w:val="6"/>
              <w:spacing w:before="58" w:line="228" w:lineRule="auto"/>
              <w:ind w:left="842"/>
            </w:pPr>
            <w:r>
              <w:rPr>
                <w:spacing w:val="7"/>
              </w:rPr>
              <w:t>挖掘机</w:t>
            </w:r>
          </w:p>
        </w:tc>
        <w:tc>
          <w:tcPr>
            <w:tcW w:w="1489" w:type="dxa"/>
            <w:vAlign w:val="top"/>
          </w:tcPr>
          <w:p w14:paraId="48B203D8">
            <w:pPr>
              <w:spacing w:before="28"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82~90</w:t>
            </w:r>
          </w:p>
        </w:tc>
        <w:tc>
          <w:tcPr>
            <w:tcW w:w="876" w:type="dxa"/>
            <w:vAlign w:val="top"/>
          </w:tcPr>
          <w:p w14:paraId="3B4BCF17">
            <w:pPr>
              <w:spacing w:before="28" w:line="274" w:lineRule="exact"/>
              <w:ind w:left="3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03" w:type="dxa"/>
            <w:vAlign w:val="top"/>
          </w:tcPr>
          <w:p w14:paraId="08F814A8">
            <w:pPr>
              <w:pStyle w:val="6"/>
              <w:spacing w:before="58" w:line="228" w:lineRule="auto"/>
              <w:ind w:left="746"/>
            </w:pPr>
            <w:r>
              <w:rPr>
                <w:spacing w:val="5"/>
              </w:rPr>
              <w:t>打桩机</w:t>
            </w:r>
          </w:p>
        </w:tc>
        <w:tc>
          <w:tcPr>
            <w:tcW w:w="1493" w:type="dxa"/>
            <w:vAlign w:val="top"/>
          </w:tcPr>
          <w:p w14:paraId="7DC905FC">
            <w:pPr>
              <w:spacing w:before="28"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r>
      <w:tr w14:paraId="0C26E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774D0CE5">
            <w:pPr>
              <w:spacing w:before="28"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309" w:type="dxa"/>
            <w:vAlign w:val="top"/>
          </w:tcPr>
          <w:p w14:paraId="458C005D">
            <w:pPr>
              <w:pStyle w:val="6"/>
              <w:spacing w:before="58" w:line="228" w:lineRule="auto"/>
              <w:ind w:left="843"/>
            </w:pPr>
            <w:r>
              <w:rPr>
                <w:spacing w:val="6"/>
              </w:rPr>
              <w:t>装载机</w:t>
            </w:r>
          </w:p>
        </w:tc>
        <w:tc>
          <w:tcPr>
            <w:tcW w:w="1489" w:type="dxa"/>
            <w:vAlign w:val="top"/>
          </w:tcPr>
          <w:p w14:paraId="6C82394F">
            <w:pPr>
              <w:spacing w:before="28"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90~95</w:t>
            </w:r>
          </w:p>
        </w:tc>
        <w:tc>
          <w:tcPr>
            <w:tcW w:w="876" w:type="dxa"/>
            <w:vAlign w:val="top"/>
          </w:tcPr>
          <w:p w14:paraId="73867901">
            <w:pPr>
              <w:spacing w:before="28"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03" w:type="dxa"/>
            <w:vAlign w:val="top"/>
          </w:tcPr>
          <w:p w14:paraId="5DA96529">
            <w:pPr>
              <w:pStyle w:val="6"/>
              <w:spacing w:before="58" w:line="228" w:lineRule="auto"/>
              <w:ind w:left="744"/>
            </w:pPr>
            <w:r>
              <w:rPr>
                <w:spacing w:val="6"/>
              </w:rPr>
              <w:t>压桩机</w:t>
            </w:r>
          </w:p>
        </w:tc>
        <w:tc>
          <w:tcPr>
            <w:tcW w:w="1493" w:type="dxa"/>
            <w:vAlign w:val="top"/>
          </w:tcPr>
          <w:p w14:paraId="45178FEF">
            <w:pPr>
              <w:spacing w:before="28" w:line="274" w:lineRule="exact"/>
              <w:ind w:left="4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70~75</w:t>
            </w:r>
          </w:p>
        </w:tc>
      </w:tr>
      <w:tr w14:paraId="4CE1D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5CD0D101">
            <w:pPr>
              <w:spacing w:before="29"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309" w:type="dxa"/>
            <w:vAlign w:val="top"/>
          </w:tcPr>
          <w:p w14:paraId="17FE26D5">
            <w:pPr>
              <w:pStyle w:val="6"/>
              <w:spacing w:before="59" w:line="228" w:lineRule="auto"/>
              <w:ind w:left="843"/>
            </w:pPr>
            <w:r>
              <w:rPr>
                <w:spacing w:val="6"/>
              </w:rPr>
              <w:t>推土机</w:t>
            </w:r>
          </w:p>
        </w:tc>
        <w:tc>
          <w:tcPr>
            <w:tcW w:w="1489" w:type="dxa"/>
            <w:vAlign w:val="top"/>
          </w:tcPr>
          <w:p w14:paraId="4C5E3D71">
            <w:pPr>
              <w:spacing w:before="29"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83~88</w:t>
            </w:r>
          </w:p>
        </w:tc>
        <w:tc>
          <w:tcPr>
            <w:tcW w:w="876" w:type="dxa"/>
            <w:vAlign w:val="top"/>
          </w:tcPr>
          <w:p w14:paraId="7D4B1713">
            <w:pPr>
              <w:spacing w:before="29"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103" w:type="dxa"/>
            <w:vAlign w:val="top"/>
          </w:tcPr>
          <w:p w14:paraId="3C050518">
            <w:pPr>
              <w:pStyle w:val="6"/>
              <w:spacing w:before="59" w:line="229" w:lineRule="auto"/>
              <w:ind w:left="849"/>
            </w:pPr>
            <w:r>
              <w:rPr>
                <w:spacing w:val="4"/>
              </w:rPr>
              <w:t>风镐</w:t>
            </w:r>
          </w:p>
        </w:tc>
        <w:tc>
          <w:tcPr>
            <w:tcW w:w="1493" w:type="dxa"/>
            <w:vAlign w:val="top"/>
          </w:tcPr>
          <w:p w14:paraId="1A499F72">
            <w:pPr>
              <w:spacing w:before="29"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r w14:paraId="17108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585E3B52">
            <w:pPr>
              <w:spacing w:before="30"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309" w:type="dxa"/>
            <w:vAlign w:val="top"/>
          </w:tcPr>
          <w:p w14:paraId="73082B23">
            <w:pPr>
              <w:pStyle w:val="6"/>
              <w:spacing w:before="60" w:line="228" w:lineRule="auto"/>
              <w:ind w:left="529"/>
            </w:pPr>
            <w:r>
              <w:rPr>
                <w:spacing w:val="8"/>
              </w:rPr>
              <w:t>移动式发电机</w:t>
            </w:r>
          </w:p>
        </w:tc>
        <w:tc>
          <w:tcPr>
            <w:tcW w:w="1489" w:type="dxa"/>
            <w:vAlign w:val="top"/>
          </w:tcPr>
          <w:p w14:paraId="4032CF33">
            <w:pPr>
              <w:spacing w:before="30"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95~</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102</w:t>
            </w:r>
          </w:p>
        </w:tc>
        <w:tc>
          <w:tcPr>
            <w:tcW w:w="876" w:type="dxa"/>
            <w:vAlign w:val="top"/>
          </w:tcPr>
          <w:p w14:paraId="059A663C">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103" w:type="dxa"/>
            <w:vAlign w:val="top"/>
          </w:tcPr>
          <w:p w14:paraId="6A96D4E8">
            <w:pPr>
              <w:pStyle w:val="6"/>
              <w:spacing w:before="61" w:line="228" w:lineRule="auto"/>
              <w:ind w:left="431"/>
            </w:pPr>
            <w:r>
              <w:rPr>
                <w:spacing w:val="7"/>
              </w:rPr>
              <w:t>混凝土运输泵</w:t>
            </w:r>
          </w:p>
        </w:tc>
        <w:tc>
          <w:tcPr>
            <w:tcW w:w="1493" w:type="dxa"/>
            <w:vAlign w:val="top"/>
          </w:tcPr>
          <w:p w14:paraId="0564EFC8">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88~95</w:t>
            </w:r>
          </w:p>
        </w:tc>
      </w:tr>
      <w:tr w14:paraId="28BB6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3E3CD3DB">
            <w:pPr>
              <w:spacing w:before="99"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09" w:type="dxa"/>
            <w:vAlign w:val="top"/>
          </w:tcPr>
          <w:p w14:paraId="027C715A">
            <w:pPr>
              <w:pStyle w:val="6"/>
              <w:spacing w:before="60" w:line="229" w:lineRule="auto"/>
              <w:ind w:left="740"/>
            </w:pPr>
            <w:r>
              <w:rPr>
                <w:spacing w:val="7"/>
              </w:rPr>
              <w:t>木工电锯</w:t>
            </w:r>
          </w:p>
        </w:tc>
        <w:tc>
          <w:tcPr>
            <w:tcW w:w="1489" w:type="dxa"/>
            <w:vAlign w:val="top"/>
          </w:tcPr>
          <w:p w14:paraId="08E71357">
            <w:pPr>
              <w:spacing w:before="30"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95~99</w:t>
            </w:r>
          </w:p>
        </w:tc>
        <w:tc>
          <w:tcPr>
            <w:tcW w:w="876" w:type="dxa"/>
            <w:vAlign w:val="top"/>
          </w:tcPr>
          <w:p w14:paraId="7DF7703E">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103" w:type="dxa"/>
            <w:vAlign w:val="top"/>
          </w:tcPr>
          <w:p w14:paraId="25598F80">
            <w:pPr>
              <w:pStyle w:val="6"/>
              <w:spacing w:before="60" w:line="228" w:lineRule="auto"/>
              <w:ind w:left="742"/>
            </w:pPr>
            <w:r>
              <w:rPr>
                <w:spacing w:val="7"/>
              </w:rPr>
              <w:t>搅拌机</w:t>
            </w:r>
          </w:p>
        </w:tc>
        <w:tc>
          <w:tcPr>
            <w:tcW w:w="1493" w:type="dxa"/>
            <w:vAlign w:val="top"/>
          </w:tcPr>
          <w:p w14:paraId="126F30CE">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85~90</w:t>
            </w:r>
          </w:p>
        </w:tc>
      </w:tr>
      <w:tr w14:paraId="7E824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3EB75379">
            <w:pPr>
              <w:spacing w:before="31"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309" w:type="dxa"/>
            <w:vAlign w:val="top"/>
          </w:tcPr>
          <w:p w14:paraId="327EAC22">
            <w:pPr>
              <w:pStyle w:val="6"/>
              <w:spacing w:before="62" w:line="228" w:lineRule="auto"/>
              <w:ind w:left="531"/>
            </w:pPr>
            <w:r>
              <w:rPr>
                <w:spacing w:val="7"/>
              </w:rPr>
              <w:t>各类型压路车</w:t>
            </w:r>
          </w:p>
        </w:tc>
        <w:tc>
          <w:tcPr>
            <w:tcW w:w="1489" w:type="dxa"/>
            <w:vAlign w:val="top"/>
          </w:tcPr>
          <w:p w14:paraId="5384A460">
            <w:pPr>
              <w:spacing w:before="31"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80~90</w:t>
            </w:r>
          </w:p>
        </w:tc>
        <w:tc>
          <w:tcPr>
            <w:tcW w:w="876" w:type="dxa"/>
            <w:vAlign w:val="top"/>
          </w:tcPr>
          <w:p w14:paraId="695BD9F9">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2103" w:type="dxa"/>
            <w:vAlign w:val="top"/>
          </w:tcPr>
          <w:p w14:paraId="7ACAEE44">
            <w:pPr>
              <w:pStyle w:val="6"/>
              <w:spacing w:before="62" w:line="228" w:lineRule="auto"/>
              <w:ind w:left="431"/>
            </w:pPr>
            <w:r>
              <w:rPr>
                <w:spacing w:val="7"/>
              </w:rPr>
              <w:t>混凝土振捣器</w:t>
            </w:r>
          </w:p>
        </w:tc>
        <w:tc>
          <w:tcPr>
            <w:tcW w:w="1493" w:type="dxa"/>
            <w:vAlign w:val="top"/>
          </w:tcPr>
          <w:p w14:paraId="37C1A913">
            <w:pPr>
              <w:spacing w:before="31"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80~88</w:t>
            </w:r>
          </w:p>
        </w:tc>
      </w:tr>
      <w:tr w14:paraId="1BE55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589EB420">
            <w:pPr>
              <w:spacing w:before="100"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09" w:type="dxa"/>
            <w:vAlign w:val="top"/>
          </w:tcPr>
          <w:p w14:paraId="4105362D">
            <w:pPr>
              <w:pStyle w:val="6"/>
              <w:spacing w:before="62" w:line="234" w:lineRule="auto"/>
              <w:ind w:left="973"/>
            </w:pPr>
            <w:r>
              <w:rPr>
                <w:spacing w:val="-8"/>
              </w:rPr>
              <w:t>电锤</w:t>
            </w:r>
          </w:p>
        </w:tc>
        <w:tc>
          <w:tcPr>
            <w:tcW w:w="1489" w:type="dxa"/>
            <w:vAlign w:val="top"/>
          </w:tcPr>
          <w:p w14:paraId="1CD7553A">
            <w:pPr>
              <w:spacing w:before="31" w:line="274"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c>
          <w:tcPr>
            <w:tcW w:w="876" w:type="dxa"/>
            <w:vAlign w:val="top"/>
          </w:tcPr>
          <w:p w14:paraId="41D7A20B">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103" w:type="dxa"/>
            <w:vAlign w:val="top"/>
          </w:tcPr>
          <w:p w14:paraId="0CE356A0">
            <w:pPr>
              <w:pStyle w:val="6"/>
              <w:spacing w:before="61" w:line="228" w:lineRule="auto"/>
              <w:ind w:left="329"/>
            </w:pPr>
            <w:r>
              <w:rPr>
                <w:spacing w:val="7"/>
              </w:rPr>
              <w:t>云石机、角磨机</w:t>
            </w:r>
          </w:p>
        </w:tc>
        <w:tc>
          <w:tcPr>
            <w:tcW w:w="1493" w:type="dxa"/>
            <w:vAlign w:val="top"/>
          </w:tcPr>
          <w:p w14:paraId="3B0E575A">
            <w:pPr>
              <w:spacing w:before="31"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90~96</w:t>
            </w:r>
          </w:p>
        </w:tc>
      </w:tr>
      <w:tr w14:paraId="1413A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1B23DBEF">
            <w:pPr>
              <w:spacing w:before="32"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309" w:type="dxa"/>
            <w:vAlign w:val="top"/>
          </w:tcPr>
          <w:p w14:paraId="6B2530C1">
            <w:pPr>
              <w:pStyle w:val="6"/>
              <w:spacing w:before="62" w:line="229" w:lineRule="auto"/>
              <w:ind w:left="949"/>
            </w:pPr>
            <w:r>
              <w:rPr>
                <w:spacing w:val="4"/>
              </w:rPr>
              <w:t>夯锤</w:t>
            </w:r>
          </w:p>
        </w:tc>
        <w:tc>
          <w:tcPr>
            <w:tcW w:w="1489" w:type="dxa"/>
            <w:vAlign w:val="top"/>
          </w:tcPr>
          <w:p w14:paraId="158D5442">
            <w:pPr>
              <w:spacing w:before="32"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90~</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100</w:t>
            </w:r>
          </w:p>
        </w:tc>
        <w:tc>
          <w:tcPr>
            <w:tcW w:w="876" w:type="dxa"/>
            <w:vAlign w:val="top"/>
          </w:tcPr>
          <w:p w14:paraId="513CDBBC">
            <w:pPr>
              <w:spacing w:before="32"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2103" w:type="dxa"/>
            <w:vAlign w:val="top"/>
          </w:tcPr>
          <w:p w14:paraId="6700FF25">
            <w:pPr>
              <w:pStyle w:val="6"/>
              <w:spacing w:before="62" w:line="228" w:lineRule="auto"/>
              <w:ind w:left="750"/>
            </w:pPr>
            <w:r>
              <w:rPr>
                <w:spacing w:val="4"/>
              </w:rPr>
              <w:t>空压机</w:t>
            </w:r>
          </w:p>
        </w:tc>
        <w:tc>
          <w:tcPr>
            <w:tcW w:w="1493" w:type="dxa"/>
            <w:vAlign w:val="top"/>
          </w:tcPr>
          <w:p w14:paraId="0414740B">
            <w:pPr>
              <w:spacing w:before="32"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bl>
    <w:p w14:paraId="5C6EC088">
      <w:pPr>
        <w:pStyle w:val="2"/>
        <w:spacing w:line="366" w:lineRule="auto"/>
      </w:pPr>
    </w:p>
    <w:p w14:paraId="3BF4827C">
      <w:pPr>
        <w:spacing w:before="78" w:line="374" w:lineRule="auto"/>
        <w:ind w:left="122" w:right="110" w:firstLine="479"/>
        <w:jc w:val="both"/>
        <w:rPr>
          <w:rFonts w:ascii="宋体" w:hAnsi="宋体" w:eastAsia="宋体" w:cs="宋体"/>
          <w:sz w:val="24"/>
          <w:szCs w:val="24"/>
        </w:rPr>
      </w:pPr>
      <w:r>
        <w:rPr>
          <w:rFonts w:ascii="宋体" w:hAnsi="宋体" w:eastAsia="宋体" w:cs="宋体"/>
          <w:spacing w:val="2"/>
          <w:sz w:val="24"/>
          <w:szCs w:val="24"/>
        </w:rPr>
        <w:t>施工期随着工程的展开，投入的施工设备也在变化。在施工初期，所选用的设</w:t>
      </w:r>
      <w:r>
        <w:rPr>
          <w:rFonts w:ascii="宋体" w:hAnsi="宋体" w:eastAsia="宋体" w:cs="宋体"/>
          <w:spacing w:val="11"/>
          <w:sz w:val="24"/>
          <w:szCs w:val="24"/>
        </w:rPr>
        <w:t xml:space="preserve"> </w:t>
      </w:r>
      <w:r>
        <w:rPr>
          <w:rFonts w:ascii="宋体" w:hAnsi="宋体" w:eastAsia="宋体" w:cs="宋体"/>
          <w:spacing w:val="2"/>
          <w:sz w:val="24"/>
          <w:szCs w:val="24"/>
        </w:rPr>
        <w:t>备以推土机、挖掘机和运输设备为主，之后使用较多的是压路机和运输设备等，后</w:t>
      </w:r>
      <w:r>
        <w:rPr>
          <w:rFonts w:ascii="宋体" w:hAnsi="宋体" w:eastAsia="宋体" w:cs="宋体"/>
          <w:spacing w:val="6"/>
          <w:sz w:val="24"/>
          <w:szCs w:val="24"/>
        </w:rPr>
        <w:t xml:space="preserve"> </w:t>
      </w:r>
      <w:r>
        <w:rPr>
          <w:rFonts w:ascii="宋体" w:hAnsi="宋体" w:eastAsia="宋体" w:cs="宋体"/>
          <w:spacing w:val="2"/>
          <w:sz w:val="24"/>
          <w:szCs w:val="24"/>
        </w:rPr>
        <w:t>期使用的产噪设备主要为切割机、电焊机、电锯、电刨等。固定声源一般功率大，</w:t>
      </w:r>
      <w:r>
        <w:rPr>
          <w:rFonts w:ascii="宋体" w:hAnsi="宋体" w:eastAsia="宋体" w:cs="宋体"/>
          <w:spacing w:val="8"/>
          <w:sz w:val="24"/>
          <w:szCs w:val="24"/>
        </w:rPr>
        <w:t xml:space="preserve"> </w:t>
      </w:r>
      <w:r>
        <w:rPr>
          <w:rFonts w:ascii="宋体" w:hAnsi="宋体" w:eastAsia="宋体" w:cs="宋体"/>
          <w:spacing w:val="2"/>
          <w:sz w:val="24"/>
          <w:szCs w:val="24"/>
        </w:rPr>
        <w:t>运行时间较长，对周围敏感目标的影响较大，影响程度主要取决于施工点与敏感目</w:t>
      </w:r>
      <w:r>
        <w:rPr>
          <w:rFonts w:ascii="宋体" w:hAnsi="宋体" w:eastAsia="宋体" w:cs="宋体"/>
          <w:spacing w:val="6"/>
          <w:sz w:val="24"/>
          <w:szCs w:val="24"/>
        </w:rPr>
        <w:t xml:space="preserve"> </w:t>
      </w:r>
      <w:r>
        <w:rPr>
          <w:rFonts w:ascii="宋体" w:hAnsi="宋体" w:eastAsia="宋体" w:cs="宋体"/>
          <w:spacing w:val="-3"/>
          <w:sz w:val="24"/>
          <w:szCs w:val="24"/>
        </w:rPr>
        <w:t>标的距离。由于本项目的所在地</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200m</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范围内没有居民</w:t>
      </w:r>
      <w:r>
        <w:rPr>
          <w:rFonts w:ascii="宋体" w:hAnsi="宋体" w:eastAsia="宋体" w:cs="宋体"/>
          <w:spacing w:val="-4"/>
          <w:sz w:val="24"/>
          <w:szCs w:val="24"/>
        </w:rPr>
        <w:t>、学校、医院、机关单位等环</w:t>
      </w:r>
      <w:r>
        <w:rPr>
          <w:rFonts w:ascii="宋体" w:hAnsi="宋体" w:eastAsia="宋体" w:cs="宋体"/>
          <w:sz w:val="24"/>
          <w:szCs w:val="24"/>
        </w:rPr>
        <w:t xml:space="preserve"> 境敏感点。因此施工期间，噪声经过距离衰减后</w:t>
      </w:r>
      <w:r>
        <w:rPr>
          <w:rFonts w:ascii="宋体" w:hAnsi="宋体" w:eastAsia="宋体" w:cs="宋体"/>
          <w:spacing w:val="-1"/>
          <w:sz w:val="24"/>
          <w:szCs w:val="24"/>
        </w:rPr>
        <w:t>，对周围环境影响较小。</w:t>
      </w:r>
    </w:p>
    <w:p w14:paraId="3D78C372">
      <w:pPr>
        <w:spacing w:before="317"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3.4.4</w:t>
      </w:r>
      <w:r>
        <w:rPr>
          <w:rFonts w:ascii="宋体" w:hAnsi="宋体" w:eastAsia="宋体" w:cs="宋体"/>
          <w:b/>
          <w:bCs/>
          <w:spacing w:val="-2"/>
          <w:sz w:val="24"/>
          <w:szCs w:val="24"/>
        </w:rPr>
        <w:t>施工期固废</w:t>
      </w:r>
    </w:p>
    <w:p w14:paraId="369AF2CB">
      <w:pPr>
        <w:pStyle w:val="2"/>
        <w:spacing w:line="279" w:lineRule="auto"/>
      </w:pPr>
    </w:p>
    <w:p w14:paraId="70E2E69F">
      <w:pPr>
        <w:spacing w:before="78" w:line="219" w:lineRule="auto"/>
        <w:ind w:left="603"/>
        <w:rPr>
          <w:rFonts w:ascii="宋体" w:hAnsi="宋体" w:eastAsia="宋体" w:cs="宋体"/>
          <w:sz w:val="24"/>
          <w:szCs w:val="24"/>
        </w:rPr>
      </w:pPr>
      <w:r>
        <w:rPr>
          <w:rFonts w:ascii="宋体" w:hAnsi="宋体" w:eastAsia="宋体" w:cs="宋体"/>
          <w:spacing w:val="-1"/>
          <w:sz w:val="24"/>
          <w:szCs w:val="24"/>
        </w:rPr>
        <w:t>本项目施工期固体废物来源主要是建筑垃圾和施工人员生活垃圾。</w:t>
      </w:r>
    </w:p>
    <w:p w14:paraId="79AC095F">
      <w:pPr>
        <w:spacing w:before="168" w:line="377" w:lineRule="auto"/>
        <w:ind w:left="124" w:right="113" w:firstLine="479"/>
        <w:rPr>
          <w:rFonts w:ascii="宋体" w:hAnsi="宋体" w:eastAsia="宋体" w:cs="宋体"/>
          <w:sz w:val="24"/>
          <w:szCs w:val="24"/>
        </w:rPr>
      </w:pPr>
      <w:r>
        <w:rPr>
          <w:rFonts w:ascii="宋体" w:hAnsi="宋体" w:eastAsia="宋体" w:cs="宋体"/>
          <w:spacing w:val="-1"/>
          <w:sz w:val="24"/>
          <w:szCs w:val="24"/>
        </w:rPr>
        <w:t>本项目建筑面积为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8346m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1"/>
          <w:sz w:val="24"/>
          <w:szCs w:val="24"/>
        </w:rPr>
        <w:t>，经过与企业施工期固废排放情况类比，</w:t>
      </w:r>
      <w:r>
        <w:rPr>
          <w:rFonts w:ascii="宋体" w:hAnsi="宋体" w:eastAsia="宋体" w:cs="宋体"/>
          <w:spacing w:val="-2"/>
          <w:sz w:val="24"/>
          <w:szCs w:val="24"/>
        </w:rPr>
        <w:t>每平方米建</w:t>
      </w:r>
      <w:r>
        <w:rPr>
          <w:rFonts w:ascii="宋体" w:hAnsi="宋体" w:eastAsia="宋体" w:cs="宋体"/>
          <w:sz w:val="24"/>
          <w:szCs w:val="24"/>
        </w:rPr>
        <w:t xml:space="preserve"> 筑面积产生建筑垃圾约</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4.4kg</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。故本项目施工期将产生约</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36.7t </w:t>
      </w:r>
      <w:r>
        <w:rPr>
          <w:rFonts w:ascii="宋体" w:hAnsi="宋体" w:eastAsia="宋体" w:cs="宋体"/>
          <w:sz w:val="24"/>
          <w:szCs w:val="24"/>
        </w:rPr>
        <w:t xml:space="preserve">建筑垃圾，其主要成 </w:t>
      </w:r>
      <w:r>
        <w:rPr>
          <w:rFonts w:ascii="宋体" w:hAnsi="宋体" w:eastAsia="宋体" w:cs="宋体"/>
          <w:spacing w:val="2"/>
          <w:sz w:val="24"/>
          <w:szCs w:val="24"/>
        </w:rPr>
        <w:t>分是：废弃的沙土石、水泥、木屑、碎木快、弃砖、水泥袋、纤维、塑料泡沫、碎</w:t>
      </w:r>
      <w:r>
        <w:rPr>
          <w:rFonts w:ascii="宋体" w:hAnsi="宋体" w:eastAsia="宋体" w:cs="宋体"/>
          <w:spacing w:val="4"/>
          <w:sz w:val="24"/>
          <w:szCs w:val="24"/>
        </w:rPr>
        <w:t xml:space="preserve"> </w:t>
      </w:r>
      <w:r>
        <w:rPr>
          <w:rFonts w:ascii="宋体" w:hAnsi="宋体" w:eastAsia="宋体" w:cs="宋体"/>
          <w:spacing w:val="2"/>
          <w:sz w:val="24"/>
          <w:szCs w:val="24"/>
        </w:rPr>
        <w:t>玻璃、废瓷砖等。产生的建筑垃圾可以回收的收集后外售给废品收购站，不能回收</w:t>
      </w:r>
      <w:r>
        <w:rPr>
          <w:rFonts w:ascii="宋体" w:hAnsi="宋体" w:eastAsia="宋体" w:cs="宋体"/>
          <w:spacing w:val="4"/>
          <w:sz w:val="24"/>
          <w:szCs w:val="24"/>
        </w:rPr>
        <w:t xml:space="preserve"> </w:t>
      </w:r>
      <w:r>
        <w:rPr>
          <w:rFonts w:ascii="宋体" w:hAnsi="宋体" w:eastAsia="宋体" w:cs="宋体"/>
          <w:spacing w:val="-1"/>
          <w:sz w:val="24"/>
          <w:szCs w:val="24"/>
        </w:rPr>
        <w:t>的外运至相关收纳场处理。</w:t>
      </w:r>
    </w:p>
    <w:p w14:paraId="7F615148">
      <w:pPr>
        <w:spacing w:line="377" w:lineRule="auto"/>
        <w:rPr>
          <w:rFonts w:ascii="宋体" w:hAnsi="宋体" w:eastAsia="宋体" w:cs="宋体"/>
          <w:sz w:val="24"/>
          <w:szCs w:val="24"/>
        </w:rPr>
        <w:sectPr>
          <w:footerReference r:id="rId75" w:type="default"/>
          <w:pgSz w:w="11906" w:h="16839"/>
          <w:pgMar w:top="400" w:right="1475" w:bottom="1485" w:left="1475" w:header="0" w:footer="1249" w:gutter="0"/>
          <w:cols w:space="720" w:num="1"/>
        </w:sectPr>
      </w:pPr>
    </w:p>
    <w:p w14:paraId="3561F2E7">
      <w:pPr>
        <w:pStyle w:val="2"/>
        <w:spacing w:line="255" w:lineRule="auto"/>
      </w:pPr>
    </w:p>
    <w:p w14:paraId="6AB571EC">
      <w:pPr>
        <w:pStyle w:val="2"/>
        <w:spacing w:line="255" w:lineRule="auto"/>
      </w:pPr>
    </w:p>
    <w:p w14:paraId="3F38AE40">
      <w:pPr>
        <w:pStyle w:val="2"/>
        <w:spacing w:line="255" w:lineRule="auto"/>
      </w:pPr>
    </w:p>
    <w:p w14:paraId="728EDF62">
      <w:pPr>
        <w:pStyle w:val="2"/>
        <w:spacing w:line="256" w:lineRule="auto"/>
      </w:pPr>
    </w:p>
    <w:p w14:paraId="21C517B6">
      <w:pPr>
        <w:spacing w:before="78" w:line="367" w:lineRule="auto"/>
        <w:ind w:left="122" w:right="113" w:firstLine="479"/>
        <w:jc w:val="both"/>
        <w:rPr>
          <w:rFonts w:ascii="宋体" w:hAnsi="宋体" w:eastAsia="宋体" w:cs="宋体"/>
          <w:sz w:val="24"/>
          <w:szCs w:val="24"/>
        </w:rPr>
      </w:pPr>
      <w:r>
        <w:rPr>
          <w:rFonts w:ascii="宋体" w:hAnsi="宋体" w:eastAsia="宋体" w:cs="宋体"/>
          <w:spacing w:val="-1"/>
          <w:sz w:val="24"/>
          <w:szCs w:val="24"/>
        </w:rPr>
        <w:t>施工人员每天产生的生活垃圾数量因在场人员数</w:t>
      </w:r>
      <w:r>
        <w:rPr>
          <w:rFonts w:ascii="宋体" w:hAnsi="宋体" w:eastAsia="宋体" w:cs="宋体"/>
          <w:spacing w:val="-2"/>
          <w:sz w:val="24"/>
          <w:szCs w:val="24"/>
        </w:rPr>
        <w:t>量而异，按进场施工人数</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人</w:t>
      </w:r>
      <w:r>
        <w:rPr>
          <w:rFonts w:ascii="宋体" w:hAnsi="宋体" w:eastAsia="宋体" w:cs="宋体"/>
          <w:sz w:val="24"/>
          <w:szCs w:val="24"/>
        </w:rPr>
        <w:t xml:space="preserve"> </w:t>
      </w:r>
      <w:r>
        <w:rPr>
          <w:rFonts w:ascii="宋体" w:hAnsi="宋体" w:eastAsia="宋体" w:cs="宋体"/>
          <w:spacing w:val="1"/>
          <w:sz w:val="24"/>
          <w:szCs w:val="24"/>
        </w:rPr>
        <w:t>计，生活垃圾产生系数取</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0.5</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w:t>
      </w:r>
      <w:r>
        <w:rPr>
          <w:rFonts w:ascii="宋体" w:hAnsi="宋体" w:eastAsia="宋体" w:cs="宋体"/>
          <w:spacing w:val="1"/>
          <w:sz w:val="24"/>
          <w:szCs w:val="24"/>
        </w:rPr>
        <w:t>人</w:t>
      </w:r>
      <w:r>
        <w:rPr>
          <w:rFonts w:ascii="Times New Roman" w:hAnsi="Times New Roman" w:eastAsia="Times New Roman" w:cs="Times New Roman"/>
          <w:spacing w:val="1"/>
          <w:sz w:val="24"/>
          <w:szCs w:val="24"/>
        </w:rPr>
        <w:t>∙</w:t>
      </w:r>
      <w:r>
        <w:rPr>
          <w:rFonts w:ascii="宋体" w:hAnsi="宋体" w:eastAsia="宋体" w:cs="宋体"/>
          <w:spacing w:val="1"/>
          <w:sz w:val="24"/>
          <w:szCs w:val="24"/>
        </w:rPr>
        <w:t>天，施工期</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个月，则项目施工人员的生活垃圾</w:t>
      </w:r>
      <w:r>
        <w:rPr>
          <w:rFonts w:ascii="宋体" w:hAnsi="宋体" w:eastAsia="宋体" w:cs="宋体"/>
          <w:sz w:val="24"/>
          <w:szCs w:val="24"/>
        </w:rPr>
        <w:t xml:space="preserve"> </w:t>
      </w:r>
      <w:r>
        <w:rPr>
          <w:rFonts w:ascii="宋体" w:hAnsi="宋体" w:eastAsia="宋体" w:cs="宋体"/>
          <w:spacing w:val="-3"/>
          <w:sz w:val="24"/>
          <w:szCs w:val="24"/>
        </w:rPr>
        <w:t>产生量为</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15kg/d</w:t>
      </w:r>
      <w:r>
        <w:rPr>
          <w:rFonts w:ascii="宋体" w:hAnsi="宋体" w:eastAsia="宋体" w:cs="宋体"/>
          <w:spacing w:val="-3"/>
          <w:sz w:val="24"/>
          <w:szCs w:val="24"/>
        </w:rPr>
        <w:t>（</w:t>
      </w:r>
      <w:r>
        <w:rPr>
          <w:rFonts w:ascii="Times New Roman" w:hAnsi="Times New Roman" w:eastAsia="Times New Roman" w:cs="Times New Roman"/>
          <w:spacing w:val="-3"/>
          <w:sz w:val="24"/>
          <w:szCs w:val="24"/>
        </w:rPr>
        <w:t>2.25t</w:t>
      </w:r>
      <w:r>
        <w:rPr>
          <w:rFonts w:ascii="宋体" w:hAnsi="宋体" w:eastAsia="宋体" w:cs="宋体"/>
          <w:spacing w:val="-3"/>
          <w:sz w:val="24"/>
          <w:szCs w:val="24"/>
        </w:rPr>
        <w:t>）。</w:t>
      </w:r>
    </w:p>
    <w:p w14:paraId="146C05C7">
      <w:pPr>
        <w:spacing w:before="88" w:line="228" w:lineRule="auto"/>
        <w:ind w:left="30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3.4-5  </w:t>
      </w:r>
      <w:r>
        <w:rPr>
          <w:rFonts w:ascii="宋体" w:hAnsi="宋体" w:eastAsia="宋体" w:cs="宋体"/>
          <w:b/>
          <w:bCs/>
          <w:spacing w:val="6"/>
          <w:sz w:val="20"/>
          <w:szCs w:val="20"/>
        </w:rPr>
        <w:t>施工期固废产生情况一览表</w:t>
      </w:r>
    </w:p>
    <w:p w14:paraId="5D87D4D4">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5"/>
        <w:gridCol w:w="4475"/>
      </w:tblGrid>
      <w:tr w14:paraId="4189A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475" w:type="dxa"/>
            <w:vAlign w:val="top"/>
          </w:tcPr>
          <w:p w14:paraId="3D46508A">
            <w:pPr>
              <w:pStyle w:val="6"/>
              <w:spacing w:before="64" w:line="229" w:lineRule="auto"/>
              <w:ind w:left="1841"/>
            </w:pPr>
            <w:r>
              <w:rPr>
                <w:b/>
                <w:bCs/>
                <w:spacing w:val="2"/>
              </w:rPr>
              <w:t>固废名称</w:t>
            </w:r>
          </w:p>
        </w:tc>
        <w:tc>
          <w:tcPr>
            <w:tcW w:w="4475" w:type="dxa"/>
            <w:vAlign w:val="top"/>
          </w:tcPr>
          <w:p w14:paraId="50A0C036">
            <w:pPr>
              <w:pStyle w:val="6"/>
              <w:spacing w:before="64" w:line="228" w:lineRule="auto"/>
              <w:ind w:left="1927"/>
            </w:pPr>
            <w:r>
              <w:rPr>
                <w:b/>
                <w:bCs/>
                <w:spacing w:val="5"/>
              </w:rPr>
              <w:t>产生量</w:t>
            </w:r>
          </w:p>
        </w:tc>
      </w:tr>
      <w:tr w14:paraId="35A79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475" w:type="dxa"/>
            <w:vAlign w:val="top"/>
          </w:tcPr>
          <w:p w14:paraId="3DCE1E3F">
            <w:pPr>
              <w:pStyle w:val="6"/>
              <w:spacing w:before="61" w:line="229" w:lineRule="auto"/>
              <w:ind w:left="1825"/>
            </w:pPr>
            <w:r>
              <w:rPr>
                <w:spacing w:val="6"/>
              </w:rPr>
              <w:t>建筑垃圾</w:t>
            </w:r>
          </w:p>
        </w:tc>
        <w:tc>
          <w:tcPr>
            <w:tcW w:w="4475" w:type="dxa"/>
            <w:vAlign w:val="top"/>
          </w:tcPr>
          <w:p w14:paraId="18EBE9DA">
            <w:pPr>
              <w:spacing w:before="30" w:line="274" w:lineRule="exact"/>
              <w:ind w:left="20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36.7t</w:t>
            </w:r>
          </w:p>
        </w:tc>
      </w:tr>
      <w:tr w14:paraId="4B0E1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475" w:type="dxa"/>
            <w:vAlign w:val="top"/>
          </w:tcPr>
          <w:p w14:paraId="0B8A029D">
            <w:pPr>
              <w:pStyle w:val="6"/>
              <w:spacing w:before="63" w:line="229" w:lineRule="auto"/>
              <w:ind w:left="1824"/>
            </w:pPr>
            <w:r>
              <w:rPr>
                <w:spacing w:val="6"/>
              </w:rPr>
              <w:t>生活垃圾</w:t>
            </w:r>
          </w:p>
        </w:tc>
        <w:tc>
          <w:tcPr>
            <w:tcW w:w="4475" w:type="dxa"/>
            <w:vAlign w:val="top"/>
          </w:tcPr>
          <w:p w14:paraId="539210EB">
            <w:pPr>
              <w:spacing w:before="32" w:line="274" w:lineRule="exact"/>
              <w:ind w:left="20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2.25t</w:t>
            </w:r>
          </w:p>
        </w:tc>
      </w:tr>
    </w:tbl>
    <w:p w14:paraId="4321A308">
      <w:pPr>
        <w:pStyle w:val="2"/>
        <w:spacing w:line="344" w:lineRule="auto"/>
      </w:pPr>
    </w:p>
    <w:p w14:paraId="1E613071">
      <w:pPr>
        <w:spacing w:before="78"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3.4.5</w:t>
      </w:r>
      <w:r>
        <w:rPr>
          <w:rFonts w:ascii="宋体" w:hAnsi="宋体" w:eastAsia="宋体" w:cs="宋体"/>
          <w:b/>
          <w:bCs/>
          <w:spacing w:val="-2"/>
          <w:sz w:val="24"/>
          <w:szCs w:val="24"/>
        </w:rPr>
        <w:t>水土流失分析</w:t>
      </w:r>
    </w:p>
    <w:p w14:paraId="14AA0A84">
      <w:pPr>
        <w:pStyle w:val="2"/>
        <w:spacing w:line="273" w:lineRule="auto"/>
      </w:pPr>
    </w:p>
    <w:p w14:paraId="72146B5B">
      <w:pPr>
        <w:spacing w:before="78" w:line="374" w:lineRule="auto"/>
        <w:ind w:left="121" w:right="110" w:firstLine="480"/>
        <w:jc w:val="both"/>
        <w:rPr>
          <w:rFonts w:ascii="宋体" w:hAnsi="宋体" w:eastAsia="宋体" w:cs="宋体"/>
          <w:sz w:val="24"/>
          <w:szCs w:val="24"/>
        </w:rPr>
      </w:pPr>
      <w:r>
        <w:rPr>
          <w:rFonts w:ascii="宋体" w:hAnsi="宋体" w:eastAsia="宋体" w:cs="宋体"/>
          <w:spacing w:val="2"/>
          <w:sz w:val="24"/>
          <w:szCs w:val="24"/>
        </w:rPr>
        <w:t>施工期导致水土流失的主要原因是地表开挖、弃土堆放及暴雨。项目土建施工</w:t>
      </w:r>
      <w:r>
        <w:rPr>
          <w:rFonts w:ascii="宋体" w:hAnsi="宋体" w:eastAsia="宋体" w:cs="宋体"/>
          <w:spacing w:val="11"/>
          <w:sz w:val="24"/>
          <w:szCs w:val="24"/>
        </w:rPr>
        <w:t xml:space="preserve"> </w:t>
      </w:r>
      <w:r>
        <w:rPr>
          <w:rFonts w:ascii="宋体" w:hAnsi="宋体" w:eastAsia="宋体" w:cs="宋体"/>
          <w:spacing w:val="2"/>
          <w:sz w:val="24"/>
          <w:szCs w:val="24"/>
        </w:rPr>
        <w:t>是引起水土流失的工程因素，在施工过程中，土壤暴露在雨、风和其它干扰之下，</w:t>
      </w:r>
      <w:r>
        <w:rPr>
          <w:rFonts w:ascii="宋体" w:hAnsi="宋体" w:eastAsia="宋体" w:cs="宋体"/>
          <w:spacing w:val="10"/>
          <w:sz w:val="24"/>
          <w:szCs w:val="24"/>
        </w:rPr>
        <w:t xml:space="preserve"> </w:t>
      </w:r>
      <w:r>
        <w:rPr>
          <w:rFonts w:ascii="宋体" w:hAnsi="宋体" w:eastAsia="宋体" w:cs="宋体"/>
          <w:spacing w:val="2"/>
          <w:sz w:val="24"/>
          <w:szCs w:val="24"/>
        </w:rPr>
        <w:t>另外，大量的土方填挖，陡坡、边坡的形成和整理、弃土的堆放等，会使土壤暴露</w:t>
      </w:r>
      <w:r>
        <w:rPr>
          <w:rFonts w:ascii="宋体" w:hAnsi="宋体" w:eastAsia="宋体" w:cs="宋体"/>
          <w:spacing w:val="8"/>
          <w:sz w:val="24"/>
          <w:szCs w:val="24"/>
        </w:rPr>
        <w:t xml:space="preserve"> </w:t>
      </w:r>
      <w:r>
        <w:rPr>
          <w:rFonts w:ascii="宋体" w:hAnsi="宋体" w:eastAsia="宋体" w:cs="宋体"/>
          <w:spacing w:val="2"/>
          <w:sz w:val="24"/>
          <w:szCs w:val="24"/>
        </w:rPr>
        <w:t>情况加剧，土壤结构会受到破坏，土壤抵抗侵蚀的能力将会大大减弱，项目所在地</w:t>
      </w:r>
      <w:r>
        <w:rPr>
          <w:rFonts w:ascii="宋体" w:hAnsi="宋体" w:eastAsia="宋体" w:cs="宋体"/>
          <w:spacing w:val="8"/>
          <w:sz w:val="24"/>
          <w:szCs w:val="24"/>
        </w:rPr>
        <w:t xml:space="preserve"> </w:t>
      </w:r>
      <w:r>
        <w:rPr>
          <w:rFonts w:ascii="宋体" w:hAnsi="宋体" w:eastAsia="宋体" w:cs="宋体"/>
          <w:spacing w:val="-2"/>
          <w:sz w:val="24"/>
          <w:szCs w:val="24"/>
        </w:rPr>
        <w:t>年均降雨量</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 xml:space="preserve">1700 </w:t>
      </w:r>
      <w:r>
        <w:rPr>
          <w:rFonts w:ascii="宋体" w:hAnsi="宋体" w:eastAsia="宋体" w:cs="宋体"/>
          <w:spacing w:val="-2"/>
          <w:sz w:val="24"/>
          <w:szCs w:val="24"/>
        </w:rPr>
        <w:t>毫米以上，夏季暴雨较集中，降雨大，降雨时间长，在暴雨中由降</w:t>
      </w:r>
      <w:r>
        <w:rPr>
          <w:rFonts w:ascii="宋体" w:hAnsi="宋体" w:eastAsia="宋体" w:cs="宋体"/>
          <w:sz w:val="24"/>
          <w:szCs w:val="24"/>
        </w:rPr>
        <w:t xml:space="preserve"> 雨所产生的土壤侵蚀，将会造成项目建设施工</w:t>
      </w:r>
      <w:r>
        <w:rPr>
          <w:rFonts w:ascii="宋体" w:hAnsi="宋体" w:eastAsia="宋体" w:cs="宋体"/>
          <w:spacing w:val="-1"/>
          <w:sz w:val="24"/>
          <w:szCs w:val="24"/>
        </w:rPr>
        <w:t>过程中的水土流失。</w:t>
      </w:r>
    </w:p>
    <w:p w14:paraId="446E4A89">
      <w:pPr>
        <w:spacing w:before="21" w:line="377" w:lineRule="auto"/>
        <w:ind w:left="125" w:right="113" w:firstLine="476"/>
        <w:jc w:val="both"/>
        <w:rPr>
          <w:rFonts w:ascii="宋体" w:hAnsi="宋体" w:eastAsia="宋体" w:cs="宋体"/>
          <w:sz w:val="24"/>
          <w:szCs w:val="24"/>
        </w:rPr>
      </w:pPr>
      <w:r>
        <w:rPr>
          <w:rFonts w:ascii="宋体" w:hAnsi="宋体" w:eastAsia="宋体" w:cs="宋体"/>
          <w:spacing w:val="2"/>
          <w:sz w:val="24"/>
          <w:szCs w:val="24"/>
        </w:rPr>
        <w:t>施工过程中的水土流失，不但会影响工程进度和工程质量，而且还产生泥沙作</w:t>
      </w:r>
      <w:r>
        <w:rPr>
          <w:rFonts w:ascii="宋体" w:hAnsi="宋体" w:eastAsia="宋体" w:cs="宋体"/>
          <w:spacing w:val="11"/>
          <w:sz w:val="24"/>
          <w:szCs w:val="24"/>
        </w:rPr>
        <w:t xml:space="preserve"> </w:t>
      </w:r>
      <w:r>
        <w:rPr>
          <w:rFonts w:ascii="宋体" w:hAnsi="宋体" w:eastAsia="宋体" w:cs="宋体"/>
          <w:spacing w:val="2"/>
          <w:sz w:val="24"/>
          <w:szCs w:val="24"/>
        </w:rPr>
        <w:t>为一种废物或污染物往外排放，对周围环境产生较为严重的影响：在施工场地上，</w:t>
      </w:r>
      <w:r>
        <w:rPr>
          <w:rFonts w:ascii="宋体" w:hAnsi="宋体" w:eastAsia="宋体" w:cs="宋体"/>
          <w:spacing w:val="3"/>
          <w:sz w:val="24"/>
          <w:szCs w:val="24"/>
        </w:rPr>
        <w:t xml:space="preserve"> 雨水径流将以</w:t>
      </w:r>
      <w:r>
        <w:rPr>
          <w:rFonts w:ascii="Times New Roman" w:hAnsi="Times New Roman" w:eastAsia="Times New Roman" w:cs="Times New Roman"/>
          <w:spacing w:val="3"/>
          <w:sz w:val="24"/>
          <w:szCs w:val="24"/>
        </w:rPr>
        <w:t>“</w:t>
      </w:r>
      <w:r>
        <w:rPr>
          <w:rFonts w:ascii="宋体" w:hAnsi="宋体" w:eastAsia="宋体" w:cs="宋体"/>
          <w:spacing w:val="3"/>
          <w:sz w:val="24"/>
          <w:szCs w:val="24"/>
        </w:rPr>
        <w:t>黄泥水</w:t>
      </w:r>
      <w:r>
        <w:rPr>
          <w:rFonts w:ascii="Times New Roman" w:hAnsi="Times New Roman" w:eastAsia="Times New Roman" w:cs="Times New Roman"/>
          <w:spacing w:val="3"/>
          <w:sz w:val="24"/>
          <w:szCs w:val="24"/>
        </w:rPr>
        <w:t>”</w:t>
      </w:r>
      <w:r>
        <w:rPr>
          <w:rFonts w:ascii="宋体" w:hAnsi="宋体" w:eastAsia="宋体" w:cs="宋体"/>
          <w:spacing w:val="3"/>
          <w:sz w:val="24"/>
          <w:szCs w:val="24"/>
        </w:rPr>
        <w:t>的形式排入水体，对水环境造成影响；</w:t>
      </w:r>
      <w:r>
        <w:rPr>
          <w:rFonts w:ascii="宋体" w:hAnsi="宋体" w:eastAsia="宋体" w:cs="宋体"/>
          <w:spacing w:val="2"/>
          <w:sz w:val="24"/>
          <w:szCs w:val="24"/>
        </w:rPr>
        <w:t>同时，泥浆水还会夹</w:t>
      </w:r>
      <w:r>
        <w:rPr>
          <w:rFonts w:ascii="宋体" w:hAnsi="宋体" w:eastAsia="宋体" w:cs="宋体"/>
          <w:sz w:val="24"/>
          <w:szCs w:val="24"/>
        </w:rPr>
        <w:t xml:space="preserve"> </w:t>
      </w:r>
      <w:r>
        <w:rPr>
          <w:rFonts w:ascii="宋体" w:hAnsi="宋体" w:eastAsia="宋体" w:cs="宋体"/>
          <w:spacing w:val="-1"/>
          <w:sz w:val="24"/>
          <w:szCs w:val="24"/>
        </w:rPr>
        <w:t>带施工场地上的水泥等污染物进入水体，造成下游水体污染。</w:t>
      </w:r>
    </w:p>
    <w:p w14:paraId="7CE21006">
      <w:pPr>
        <w:spacing w:before="298" w:line="225" w:lineRule="auto"/>
        <w:ind w:left="118"/>
        <w:outlineLvl w:val="1"/>
        <w:rPr>
          <w:rFonts w:ascii="宋体" w:hAnsi="宋体" w:eastAsia="宋体" w:cs="宋体"/>
          <w:sz w:val="31"/>
          <w:szCs w:val="31"/>
        </w:rPr>
      </w:pPr>
      <w:bookmarkStart w:id="24" w:name="bookmark22"/>
      <w:bookmarkEnd w:id="24"/>
      <w:r>
        <w:rPr>
          <w:rFonts w:ascii="Times New Roman" w:hAnsi="Times New Roman" w:eastAsia="Times New Roman" w:cs="Times New Roman"/>
          <w:b/>
          <w:bCs/>
          <w:spacing w:val="6"/>
          <w:sz w:val="31"/>
          <w:szCs w:val="31"/>
        </w:rPr>
        <w:t>3.5</w:t>
      </w:r>
      <w:r>
        <w:rPr>
          <w:rFonts w:ascii="宋体" w:hAnsi="宋体" w:eastAsia="宋体" w:cs="宋体"/>
          <w:b/>
          <w:bCs/>
          <w:spacing w:val="6"/>
          <w:sz w:val="31"/>
          <w:szCs w:val="31"/>
        </w:rPr>
        <w:t>运营期污染因素分析</w:t>
      </w:r>
    </w:p>
    <w:p w14:paraId="75EB79F3">
      <w:pPr>
        <w:pStyle w:val="2"/>
        <w:spacing w:line="410" w:lineRule="auto"/>
      </w:pPr>
    </w:p>
    <w:p w14:paraId="67782B5F">
      <w:pPr>
        <w:spacing w:before="79"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3.5.1</w:t>
      </w:r>
      <w:r>
        <w:rPr>
          <w:rFonts w:ascii="宋体" w:hAnsi="宋体" w:eastAsia="宋体" w:cs="宋体"/>
          <w:b/>
          <w:bCs/>
          <w:spacing w:val="-2"/>
          <w:sz w:val="24"/>
          <w:szCs w:val="24"/>
        </w:rPr>
        <w:t>水污染源</w:t>
      </w:r>
    </w:p>
    <w:p w14:paraId="24B22638">
      <w:pPr>
        <w:spacing w:before="203" w:line="220" w:lineRule="auto"/>
        <w:ind w:left="609"/>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rFonts w:ascii="宋体" w:hAnsi="宋体" w:eastAsia="宋体" w:cs="宋体"/>
          <w:b/>
          <w:bCs/>
          <w:spacing w:val="-6"/>
          <w:sz w:val="24"/>
          <w:szCs w:val="24"/>
        </w:rPr>
        <w:t>、项目污水来源、种类</w:t>
      </w:r>
    </w:p>
    <w:p w14:paraId="22F34B49">
      <w:pPr>
        <w:spacing w:before="204" w:line="369" w:lineRule="auto"/>
        <w:ind w:left="122" w:right="113" w:firstLine="481"/>
        <w:rPr>
          <w:rFonts w:ascii="宋体" w:hAnsi="宋体" w:eastAsia="宋体" w:cs="宋体"/>
          <w:sz w:val="24"/>
          <w:szCs w:val="24"/>
        </w:rPr>
      </w:pPr>
      <w:r>
        <w:rPr>
          <w:rFonts w:ascii="宋体" w:hAnsi="宋体" w:eastAsia="宋体" w:cs="宋体"/>
          <w:spacing w:val="2"/>
          <w:sz w:val="24"/>
          <w:szCs w:val="24"/>
        </w:rPr>
        <w:t>本项目废水主要是猪只养殖废水、员工办公生活污水。养殖废水包括猪只尿液</w:t>
      </w:r>
      <w:r>
        <w:rPr>
          <w:rFonts w:ascii="宋体" w:hAnsi="宋体" w:eastAsia="宋体" w:cs="宋体"/>
          <w:spacing w:val="9"/>
          <w:sz w:val="24"/>
          <w:szCs w:val="24"/>
        </w:rPr>
        <w:t xml:space="preserve"> </w:t>
      </w:r>
      <w:r>
        <w:rPr>
          <w:rFonts w:ascii="宋体" w:hAnsi="宋体" w:eastAsia="宋体" w:cs="宋体"/>
          <w:spacing w:val="2"/>
          <w:sz w:val="24"/>
          <w:szCs w:val="24"/>
        </w:rPr>
        <w:t>及猪舍冲洗废水；员工办公生活污水主要是办公生活区职工排出的办公生活污水。</w:t>
      </w:r>
      <w:r>
        <w:rPr>
          <w:rFonts w:ascii="宋体" w:hAnsi="宋体" w:eastAsia="宋体" w:cs="宋体"/>
          <w:spacing w:val="7"/>
          <w:sz w:val="24"/>
          <w:szCs w:val="24"/>
        </w:rPr>
        <w:t xml:space="preserve"> </w:t>
      </w:r>
      <w:r>
        <w:rPr>
          <w:rFonts w:ascii="宋体" w:hAnsi="宋体" w:eastAsia="宋体" w:cs="宋体"/>
          <w:spacing w:val="2"/>
          <w:sz w:val="24"/>
          <w:szCs w:val="24"/>
        </w:rPr>
        <w:t>由于本项目猪舍和有机肥发酵车间均采用防雨、防渗设计，沿途不会洒落粪便尿液</w:t>
      </w:r>
      <w:r>
        <w:rPr>
          <w:rFonts w:ascii="宋体" w:hAnsi="宋体" w:eastAsia="宋体" w:cs="宋体"/>
          <w:spacing w:val="7"/>
          <w:sz w:val="24"/>
          <w:szCs w:val="24"/>
        </w:rPr>
        <w:t xml:space="preserve"> </w:t>
      </w:r>
      <w:r>
        <w:rPr>
          <w:rFonts w:ascii="宋体" w:hAnsi="宋体" w:eastAsia="宋体" w:cs="宋体"/>
          <w:sz w:val="24"/>
          <w:szCs w:val="24"/>
        </w:rPr>
        <w:t>等污染物，故初期雨水直接通过沿途雨水沟排入附</w:t>
      </w:r>
      <w:r>
        <w:rPr>
          <w:rFonts w:ascii="宋体" w:hAnsi="宋体" w:eastAsia="宋体" w:cs="宋体"/>
          <w:spacing w:val="-1"/>
          <w:sz w:val="24"/>
          <w:szCs w:val="24"/>
        </w:rPr>
        <w:t>近小河，不收集处理。</w:t>
      </w:r>
    </w:p>
    <w:p w14:paraId="3F677FFA">
      <w:pPr>
        <w:spacing w:line="355" w:lineRule="auto"/>
        <w:ind w:left="125" w:right="110" w:firstLine="482"/>
        <w:rPr>
          <w:rFonts w:ascii="宋体" w:hAnsi="宋体" w:eastAsia="宋体" w:cs="宋体"/>
          <w:sz w:val="24"/>
          <w:szCs w:val="24"/>
        </w:rPr>
      </w:pPr>
      <w:r>
        <w:rPr>
          <w:rFonts w:ascii="宋体" w:hAnsi="宋体" w:eastAsia="宋体" w:cs="宋体"/>
          <w:spacing w:val="2"/>
          <w:sz w:val="24"/>
          <w:szCs w:val="24"/>
        </w:rPr>
        <w:t>结合《畜禽养殖业污染治理工程技术规范》（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497-2009</w:t>
      </w:r>
      <w:r>
        <w:rPr>
          <w:rFonts w:ascii="宋体" w:hAnsi="宋体" w:eastAsia="宋体" w:cs="宋体"/>
          <w:spacing w:val="2"/>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A.1 </w:t>
      </w:r>
      <w:r>
        <w:rPr>
          <w:rFonts w:ascii="宋体" w:hAnsi="宋体" w:eastAsia="宋体" w:cs="宋体"/>
          <w:spacing w:val="2"/>
          <w:sz w:val="24"/>
          <w:szCs w:val="24"/>
        </w:rPr>
        <w:t>得出本项目</w:t>
      </w:r>
      <w:r>
        <w:rPr>
          <w:rFonts w:ascii="宋体" w:hAnsi="宋体" w:eastAsia="宋体" w:cs="宋体"/>
          <w:sz w:val="24"/>
          <w:szCs w:val="24"/>
        </w:rPr>
        <w:t xml:space="preserve"> </w:t>
      </w:r>
      <w:r>
        <w:rPr>
          <w:rFonts w:ascii="宋体" w:hAnsi="宋体" w:eastAsia="宋体" w:cs="宋体"/>
          <w:spacing w:val="2"/>
          <w:sz w:val="24"/>
          <w:szCs w:val="24"/>
        </w:rPr>
        <w:t>建成后运营期项目污水的主要污染物类别，</w:t>
      </w:r>
      <w:r>
        <w:rPr>
          <w:rFonts w:ascii="宋体" w:hAnsi="宋体" w:eastAsia="宋体" w:cs="宋体"/>
          <w:spacing w:val="1"/>
          <w:sz w:val="24"/>
          <w:szCs w:val="24"/>
        </w:rPr>
        <w:t>见表</w:t>
      </w:r>
      <w:r>
        <w:rPr>
          <w:rFonts w:ascii="Times New Roman" w:hAnsi="Times New Roman" w:eastAsia="Times New Roman" w:cs="Times New Roman"/>
          <w:spacing w:val="1"/>
          <w:sz w:val="24"/>
          <w:szCs w:val="24"/>
        </w:rPr>
        <w:t>3.5-1</w:t>
      </w:r>
      <w:r>
        <w:rPr>
          <w:rFonts w:ascii="宋体" w:hAnsi="宋体" w:eastAsia="宋体" w:cs="宋体"/>
          <w:spacing w:val="1"/>
          <w:sz w:val="24"/>
          <w:szCs w:val="24"/>
        </w:rPr>
        <w:t>。</w:t>
      </w:r>
    </w:p>
    <w:p w14:paraId="0E29C8A8">
      <w:pPr>
        <w:spacing w:line="355" w:lineRule="auto"/>
        <w:rPr>
          <w:rFonts w:ascii="宋体" w:hAnsi="宋体" w:eastAsia="宋体" w:cs="宋体"/>
          <w:sz w:val="24"/>
          <w:szCs w:val="24"/>
        </w:rPr>
        <w:sectPr>
          <w:footerReference r:id="rId76" w:type="default"/>
          <w:pgSz w:w="11906" w:h="16839"/>
          <w:pgMar w:top="400" w:right="1475" w:bottom="1485" w:left="1475" w:header="0" w:footer="1249" w:gutter="0"/>
          <w:cols w:space="720" w:num="1"/>
        </w:sectPr>
      </w:pPr>
    </w:p>
    <w:p w14:paraId="57D04654">
      <w:pPr>
        <w:pStyle w:val="2"/>
        <w:spacing w:line="271" w:lineRule="auto"/>
      </w:pPr>
    </w:p>
    <w:p w14:paraId="2C4F5822">
      <w:pPr>
        <w:pStyle w:val="2"/>
        <w:spacing w:line="271" w:lineRule="auto"/>
      </w:pPr>
    </w:p>
    <w:p w14:paraId="711E68BE">
      <w:pPr>
        <w:pStyle w:val="2"/>
        <w:spacing w:line="271" w:lineRule="auto"/>
      </w:pPr>
    </w:p>
    <w:p w14:paraId="37B0B465">
      <w:pPr>
        <w:pStyle w:val="2"/>
        <w:spacing w:line="272" w:lineRule="auto"/>
      </w:pPr>
    </w:p>
    <w:p w14:paraId="68CCB0DA">
      <w:pPr>
        <w:spacing w:before="65" w:line="228" w:lineRule="auto"/>
        <w:ind w:left="255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3.5-1    </w:t>
      </w:r>
      <w:r>
        <w:rPr>
          <w:rFonts w:ascii="宋体" w:hAnsi="宋体" w:eastAsia="宋体" w:cs="宋体"/>
          <w:b/>
          <w:bCs/>
          <w:spacing w:val="6"/>
          <w:sz w:val="20"/>
          <w:szCs w:val="20"/>
        </w:rPr>
        <w:t>运营期项目污水主要污染物类别</w:t>
      </w:r>
    </w:p>
    <w:p w14:paraId="77891C5F">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2268"/>
        <w:gridCol w:w="1701"/>
        <w:gridCol w:w="3877"/>
      </w:tblGrid>
      <w:tr w14:paraId="335BA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104" w:type="dxa"/>
            <w:vAlign w:val="top"/>
          </w:tcPr>
          <w:p w14:paraId="72CD748B">
            <w:pPr>
              <w:pStyle w:val="6"/>
              <w:spacing w:before="62" w:line="228" w:lineRule="auto"/>
              <w:ind w:left="140"/>
            </w:pPr>
            <w:r>
              <w:rPr>
                <w:spacing w:val="6"/>
              </w:rPr>
              <w:t>污水类别</w:t>
            </w:r>
          </w:p>
        </w:tc>
        <w:tc>
          <w:tcPr>
            <w:tcW w:w="2268" w:type="dxa"/>
            <w:vAlign w:val="top"/>
          </w:tcPr>
          <w:p w14:paraId="3B23BA79">
            <w:pPr>
              <w:pStyle w:val="6"/>
              <w:spacing w:before="62" w:line="228" w:lineRule="auto"/>
              <w:ind w:left="718"/>
            </w:pPr>
            <w:r>
              <w:rPr>
                <w:spacing w:val="6"/>
              </w:rPr>
              <w:t>污水来源</w:t>
            </w:r>
          </w:p>
        </w:tc>
        <w:tc>
          <w:tcPr>
            <w:tcW w:w="1701" w:type="dxa"/>
            <w:vAlign w:val="top"/>
          </w:tcPr>
          <w:p w14:paraId="00370620">
            <w:pPr>
              <w:pStyle w:val="6"/>
              <w:spacing w:before="62" w:line="228" w:lineRule="auto"/>
              <w:ind w:left="437"/>
            </w:pPr>
            <w:r>
              <w:rPr>
                <w:spacing w:val="6"/>
              </w:rPr>
              <w:t>污水性质</w:t>
            </w:r>
          </w:p>
        </w:tc>
        <w:tc>
          <w:tcPr>
            <w:tcW w:w="3877" w:type="dxa"/>
            <w:vAlign w:val="top"/>
          </w:tcPr>
          <w:p w14:paraId="1DC6A53C">
            <w:pPr>
              <w:pStyle w:val="6"/>
              <w:spacing w:before="62" w:line="229" w:lineRule="auto"/>
              <w:ind w:left="1314"/>
            </w:pPr>
            <w:r>
              <w:rPr>
                <w:spacing w:val="7"/>
              </w:rPr>
              <w:t>主要污染因子</w:t>
            </w:r>
          </w:p>
        </w:tc>
      </w:tr>
      <w:tr w14:paraId="3BA78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04" w:type="dxa"/>
            <w:vAlign w:val="top"/>
          </w:tcPr>
          <w:p w14:paraId="4CB44CC1">
            <w:pPr>
              <w:pStyle w:val="6"/>
              <w:spacing w:before="222" w:line="228" w:lineRule="auto"/>
              <w:ind w:left="139"/>
            </w:pPr>
            <w:r>
              <w:rPr>
                <w:spacing w:val="7"/>
              </w:rPr>
              <w:t>养殖废水</w:t>
            </w:r>
          </w:p>
        </w:tc>
        <w:tc>
          <w:tcPr>
            <w:tcW w:w="2268" w:type="dxa"/>
            <w:vAlign w:val="top"/>
          </w:tcPr>
          <w:p w14:paraId="34C55E25">
            <w:pPr>
              <w:pStyle w:val="6"/>
              <w:spacing w:before="59" w:line="229" w:lineRule="auto"/>
              <w:ind w:left="613"/>
            </w:pPr>
            <w:r>
              <w:rPr>
                <w:spacing w:val="5"/>
              </w:rPr>
              <w:t>猪只尿液、</w:t>
            </w:r>
          </w:p>
          <w:p w14:paraId="522EF109">
            <w:pPr>
              <w:pStyle w:val="6"/>
              <w:spacing w:before="78" w:line="228" w:lineRule="auto"/>
              <w:ind w:left="507"/>
            </w:pPr>
            <w:r>
              <w:rPr>
                <w:spacing w:val="8"/>
              </w:rPr>
              <w:t>猪舍冲洗废水</w:t>
            </w:r>
          </w:p>
        </w:tc>
        <w:tc>
          <w:tcPr>
            <w:tcW w:w="1701" w:type="dxa"/>
            <w:vAlign w:val="top"/>
          </w:tcPr>
          <w:p w14:paraId="5514BBE7">
            <w:pPr>
              <w:pStyle w:val="6"/>
              <w:spacing w:before="222" w:line="228" w:lineRule="auto"/>
              <w:ind w:left="542"/>
            </w:pPr>
            <w:r>
              <w:rPr>
                <w:spacing w:val="6"/>
              </w:rPr>
              <w:t>养殖区</w:t>
            </w:r>
          </w:p>
        </w:tc>
        <w:tc>
          <w:tcPr>
            <w:tcW w:w="3877" w:type="dxa"/>
            <w:vAlign w:val="top"/>
          </w:tcPr>
          <w:p w14:paraId="3447CAFC">
            <w:pPr>
              <w:pStyle w:val="6"/>
              <w:spacing w:before="258" w:line="229" w:lineRule="auto"/>
              <w:ind w:left="416"/>
              <w:rPr>
                <w:rFonts w:ascii="Times New Roman" w:hAnsi="Times New Roman" w:eastAsia="Times New Roman" w:cs="Times New Roman"/>
              </w:rPr>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7"/>
                <w:position w:val="-1"/>
                <w:sz w:val="13"/>
                <w:szCs w:val="13"/>
              </w:rPr>
              <w:t xml:space="preserve"> </w:t>
            </w:r>
            <w:r>
              <w:rPr>
                <w:spacing w:val="8"/>
              </w:rPr>
              <w:t>、</w:t>
            </w:r>
            <w:r>
              <w:rPr>
                <w:rFonts w:ascii="Times New Roman" w:hAnsi="Times New Roman" w:eastAsia="Times New Roman" w:cs="Times New Roman"/>
              </w:rPr>
              <w:t>BOD</w:t>
            </w:r>
            <w:r>
              <w:rPr>
                <w:rFonts w:ascii="Times New Roman" w:hAnsi="Times New Roman" w:eastAsia="Times New Roman" w:cs="Times New Roman"/>
                <w:spacing w:val="8"/>
                <w:position w:val="-1"/>
                <w:sz w:val="13"/>
                <w:szCs w:val="13"/>
              </w:rPr>
              <w:t xml:space="preserve">5 </w:t>
            </w:r>
            <w:r>
              <w:rPr>
                <w:spacing w:val="8"/>
              </w:rPr>
              <w:t>、</w:t>
            </w:r>
            <w:r>
              <w:rPr>
                <w:rFonts w:ascii="Times New Roman" w:hAnsi="Times New Roman" w:eastAsia="Times New Roman" w:cs="Times New Roman"/>
              </w:rPr>
              <w:t>SS</w:t>
            </w:r>
            <w:r>
              <w:rPr>
                <w:rFonts w:ascii="Times New Roman" w:hAnsi="Times New Roman" w:eastAsia="Times New Roman" w:cs="Times New Roman"/>
                <w:spacing w:val="-14"/>
              </w:rPr>
              <w:t xml:space="preserve"> </w:t>
            </w:r>
            <w:r>
              <w:rPr>
                <w:spacing w:val="8"/>
              </w:rPr>
              <w:t>、</w:t>
            </w:r>
            <w:r>
              <w:rPr>
                <w:rFonts w:ascii="Times New Roman" w:hAnsi="Times New Roman" w:eastAsia="Times New Roman" w:cs="Times New Roman"/>
              </w:rPr>
              <w:t>NH</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8"/>
              </w:rPr>
              <w:t>-N</w:t>
            </w:r>
            <w:r>
              <w:rPr>
                <w:rFonts w:ascii="Times New Roman" w:hAnsi="Times New Roman" w:eastAsia="Times New Roman" w:cs="Times New Roman"/>
                <w:spacing w:val="-24"/>
              </w:rPr>
              <w:t xml:space="preserve"> </w:t>
            </w:r>
            <w:r>
              <w:rPr>
                <w:spacing w:val="8"/>
              </w:rPr>
              <w:t>、</w:t>
            </w:r>
            <w:r>
              <w:rPr>
                <w:rFonts w:ascii="Times New Roman" w:hAnsi="Times New Roman" w:eastAsia="Times New Roman" w:cs="Times New Roman"/>
              </w:rPr>
              <w:t>TP</w:t>
            </w:r>
          </w:p>
        </w:tc>
      </w:tr>
      <w:tr w14:paraId="46CB8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04" w:type="dxa"/>
            <w:vAlign w:val="top"/>
          </w:tcPr>
          <w:p w14:paraId="07CB0765">
            <w:pPr>
              <w:pStyle w:val="6"/>
              <w:spacing w:before="62" w:line="271" w:lineRule="auto"/>
              <w:ind w:left="348" w:right="131" w:hanging="206"/>
            </w:pPr>
            <w:r>
              <w:rPr>
                <w:spacing w:val="6"/>
              </w:rPr>
              <w:t>办公生活</w:t>
            </w:r>
            <w:r>
              <w:t xml:space="preserve"> </w:t>
            </w:r>
            <w:r>
              <w:rPr>
                <w:spacing w:val="3"/>
              </w:rPr>
              <w:t>污水</w:t>
            </w:r>
          </w:p>
        </w:tc>
        <w:tc>
          <w:tcPr>
            <w:tcW w:w="2268" w:type="dxa"/>
            <w:vAlign w:val="top"/>
          </w:tcPr>
          <w:p w14:paraId="0F8AD66F">
            <w:pPr>
              <w:pStyle w:val="6"/>
              <w:spacing w:before="226" w:line="228" w:lineRule="auto"/>
              <w:ind w:left="508"/>
            </w:pPr>
            <w:r>
              <w:rPr>
                <w:spacing w:val="8"/>
              </w:rPr>
              <w:t>职工办公生活</w:t>
            </w:r>
          </w:p>
        </w:tc>
        <w:tc>
          <w:tcPr>
            <w:tcW w:w="1701" w:type="dxa"/>
            <w:vAlign w:val="top"/>
          </w:tcPr>
          <w:p w14:paraId="2F60BED8">
            <w:pPr>
              <w:pStyle w:val="6"/>
              <w:spacing w:before="226" w:line="228" w:lineRule="auto"/>
              <w:ind w:left="125"/>
            </w:pPr>
            <w:r>
              <w:rPr>
                <w:spacing w:val="8"/>
              </w:rPr>
              <w:t>办公室、宿舍楼</w:t>
            </w:r>
          </w:p>
        </w:tc>
        <w:tc>
          <w:tcPr>
            <w:tcW w:w="3877" w:type="dxa"/>
            <w:vAlign w:val="top"/>
          </w:tcPr>
          <w:p w14:paraId="0008FFF7">
            <w:pPr>
              <w:pStyle w:val="6"/>
              <w:spacing w:before="262" w:line="229" w:lineRule="auto"/>
              <w:ind w:left="642"/>
              <w:rPr>
                <w:rFonts w:ascii="Times New Roman" w:hAnsi="Times New Roman" w:eastAsia="Times New Roman" w:cs="Times New Roman"/>
              </w:rPr>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5"/>
                <w:position w:val="-1"/>
                <w:sz w:val="13"/>
                <w:szCs w:val="13"/>
              </w:rPr>
              <w:t xml:space="preserve"> </w:t>
            </w:r>
            <w:r>
              <w:rPr>
                <w:spacing w:val="9"/>
              </w:rPr>
              <w:t>、</w:t>
            </w:r>
            <w:r>
              <w:rPr>
                <w:rFonts w:ascii="Times New Roman" w:hAnsi="Times New Roman" w:eastAsia="Times New Roman" w:cs="Times New Roman"/>
              </w:rPr>
              <w:t>BOD</w:t>
            </w:r>
            <w:r>
              <w:rPr>
                <w:rFonts w:ascii="Times New Roman" w:hAnsi="Times New Roman" w:eastAsia="Times New Roman" w:cs="Times New Roman"/>
                <w:spacing w:val="9"/>
                <w:position w:val="-1"/>
                <w:sz w:val="13"/>
                <w:szCs w:val="13"/>
              </w:rPr>
              <w:t xml:space="preserve">5 </w:t>
            </w:r>
            <w:r>
              <w:rPr>
                <w:spacing w:val="9"/>
              </w:rPr>
              <w:t>、</w:t>
            </w:r>
            <w:r>
              <w:rPr>
                <w:rFonts w:ascii="Times New Roman" w:hAnsi="Times New Roman" w:eastAsia="Times New Roman" w:cs="Times New Roman"/>
              </w:rPr>
              <w:t>SS</w:t>
            </w:r>
            <w:r>
              <w:rPr>
                <w:rFonts w:ascii="Times New Roman" w:hAnsi="Times New Roman" w:eastAsia="Times New Roman" w:cs="Times New Roman"/>
                <w:spacing w:val="-12"/>
              </w:rPr>
              <w:t xml:space="preserve"> </w:t>
            </w:r>
            <w:r>
              <w:rPr>
                <w:spacing w:val="9"/>
              </w:rPr>
              <w:t>、</w:t>
            </w:r>
            <w:r>
              <w:rPr>
                <w:rFonts w:ascii="Times New Roman" w:hAnsi="Times New Roman" w:eastAsia="Times New Roman" w:cs="Times New Roman"/>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rPr>
              <w:t>-N</w:t>
            </w:r>
          </w:p>
        </w:tc>
      </w:tr>
    </w:tbl>
    <w:p w14:paraId="2A50B141">
      <w:pPr>
        <w:pStyle w:val="2"/>
        <w:spacing w:line="371" w:lineRule="auto"/>
      </w:pPr>
    </w:p>
    <w:p w14:paraId="00D522DF">
      <w:pPr>
        <w:spacing w:before="78" w:line="219" w:lineRule="auto"/>
        <w:ind w:left="599"/>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3"/>
          <w:sz w:val="24"/>
          <w:szCs w:val="24"/>
        </w:rPr>
        <w:t xml:space="preserve"> </w:t>
      </w:r>
      <w:r>
        <w:rPr>
          <w:rFonts w:ascii="宋体" w:hAnsi="宋体" w:eastAsia="宋体" w:cs="宋体"/>
          <w:b/>
          <w:bCs/>
          <w:spacing w:val="-5"/>
          <w:sz w:val="24"/>
          <w:szCs w:val="24"/>
        </w:rPr>
        <w:t>、本项目建成后废水产生量</w:t>
      </w:r>
    </w:p>
    <w:p w14:paraId="441EC804">
      <w:pPr>
        <w:spacing w:before="165" w:line="375" w:lineRule="auto"/>
        <w:ind w:left="122" w:right="108" w:firstLine="509"/>
        <w:jc w:val="both"/>
        <w:rPr>
          <w:rFonts w:ascii="宋体" w:hAnsi="宋体" w:eastAsia="宋体" w:cs="宋体"/>
          <w:sz w:val="24"/>
          <w:szCs w:val="24"/>
        </w:rPr>
      </w:pPr>
      <w:r>
        <w:rPr>
          <w:rFonts w:ascii="宋体" w:hAnsi="宋体" w:eastAsia="宋体" w:cs="宋体"/>
          <w:spacing w:val="6"/>
          <w:sz w:val="24"/>
          <w:szCs w:val="24"/>
        </w:rPr>
        <w:t>由“</w:t>
      </w:r>
      <w:r>
        <w:rPr>
          <w:rFonts w:ascii="Times New Roman" w:hAnsi="Times New Roman" w:eastAsia="Times New Roman" w:cs="Times New Roman"/>
          <w:spacing w:val="6"/>
          <w:sz w:val="24"/>
          <w:szCs w:val="24"/>
        </w:rPr>
        <w:t>3.2.1</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给排水工程</w:t>
      </w:r>
      <w:r>
        <w:rPr>
          <w:rFonts w:ascii="宋体" w:hAnsi="宋体" w:eastAsia="宋体" w:cs="宋体"/>
          <w:spacing w:val="-74"/>
          <w:sz w:val="24"/>
          <w:szCs w:val="24"/>
        </w:rPr>
        <w:t xml:space="preserve"> </w:t>
      </w:r>
      <w:r>
        <w:rPr>
          <w:rFonts w:ascii="宋体" w:hAnsi="宋体" w:eastAsia="宋体" w:cs="宋体"/>
          <w:spacing w:val="6"/>
          <w:sz w:val="24"/>
          <w:szCs w:val="24"/>
        </w:rPr>
        <w:t>”分析可知，本项目运营期猪只尿液产生量为</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23.63t/d</w:t>
      </w:r>
      <w:r>
        <w:rPr>
          <w:rFonts w:ascii="Times New Roman" w:hAnsi="Times New Roman" w:eastAsia="Times New Roman" w:cs="Times New Roman"/>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8617.02t/a</w:t>
      </w:r>
      <w:r>
        <w:rPr>
          <w:rFonts w:ascii="宋体" w:hAnsi="宋体" w:eastAsia="宋体" w:cs="宋体"/>
          <w:spacing w:val="17"/>
          <w:sz w:val="24"/>
          <w:szCs w:val="24"/>
        </w:rPr>
        <w:t>），</w:t>
      </w:r>
      <w:r>
        <w:rPr>
          <w:rFonts w:ascii="宋体" w:hAnsi="宋体" w:eastAsia="宋体" w:cs="宋体"/>
          <w:spacing w:val="1"/>
          <w:sz w:val="24"/>
          <w:szCs w:val="24"/>
        </w:rPr>
        <w:t>猪舍冲洗废水产生量为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6.75t/</w:t>
      </w:r>
      <w:r>
        <w:rPr>
          <w:rFonts w:ascii="宋体" w:hAnsi="宋体" w:eastAsia="宋体" w:cs="宋体"/>
          <w:spacing w:val="1"/>
          <w:sz w:val="24"/>
          <w:szCs w:val="24"/>
        </w:rPr>
        <w:t>次（</w:t>
      </w:r>
      <w:r>
        <w:rPr>
          <w:rFonts w:ascii="Times New Roman" w:hAnsi="Times New Roman" w:eastAsia="Times New Roman" w:cs="Times New Roman"/>
          <w:spacing w:val="1"/>
          <w:sz w:val="24"/>
          <w:szCs w:val="24"/>
        </w:rPr>
        <w:t>81t/a</w:t>
      </w:r>
      <w:r>
        <w:rPr>
          <w:rFonts w:ascii="宋体" w:hAnsi="宋体" w:eastAsia="宋体" w:cs="宋体"/>
          <w:spacing w:val="17"/>
          <w:sz w:val="24"/>
          <w:szCs w:val="24"/>
        </w:rPr>
        <w:t>），</w:t>
      </w:r>
      <w:r>
        <w:rPr>
          <w:rFonts w:ascii="宋体" w:hAnsi="宋体" w:eastAsia="宋体" w:cs="宋体"/>
          <w:spacing w:val="1"/>
          <w:sz w:val="24"/>
          <w:szCs w:val="24"/>
        </w:rPr>
        <w:t>办公生活污水产生量为</w:t>
      </w:r>
      <w:r>
        <w:rPr>
          <w:rFonts w:ascii="宋体" w:hAnsi="宋体" w:eastAsia="宋体" w:cs="宋体"/>
          <w:sz w:val="24"/>
          <w:szCs w:val="24"/>
        </w:rPr>
        <w:t xml:space="preserve"> </w:t>
      </w:r>
      <w:r>
        <w:rPr>
          <w:rFonts w:ascii="Times New Roman" w:hAnsi="Times New Roman" w:eastAsia="Times New Roman" w:cs="Times New Roman"/>
          <w:sz w:val="24"/>
          <w:szCs w:val="24"/>
        </w:rPr>
        <w:t>0.58t/d</w:t>
      </w:r>
      <w:r>
        <w:rPr>
          <w:rFonts w:ascii="宋体" w:hAnsi="宋体" w:eastAsia="宋体" w:cs="宋体"/>
          <w:sz w:val="24"/>
          <w:szCs w:val="24"/>
        </w:rPr>
        <w:t>（</w:t>
      </w:r>
      <w:r>
        <w:rPr>
          <w:rFonts w:ascii="Times New Roman" w:hAnsi="Times New Roman" w:eastAsia="Times New Roman" w:cs="Times New Roman"/>
          <w:sz w:val="24"/>
          <w:szCs w:val="24"/>
        </w:rPr>
        <w:t>210.24t/a</w:t>
      </w:r>
      <w:r>
        <w:rPr>
          <w:rFonts w:ascii="宋体" w:hAnsi="宋体" w:eastAsia="宋体" w:cs="宋体"/>
          <w:sz w:val="24"/>
          <w:szCs w:val="24"/>
        </w:rPr>
        <w:t>）。则本项目废水最大产生总量为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30.96t/d</w:t>
      </w:r>
      <w:r>
        <w:rPr>
          <w:rFonts w:ascii="宋体" w:hAnsi="宋体" w:eastAsia="宋体" w:cs="宋体"/>
          <w:spacing w:val="-1"/>
          <w:sz w:val="24"/>
          <w:szCs w:val="24"/>
        </w:rPr>
        <w:t>（</w:t>
      </w:r>
      <w:r>
        <w:rPr>
          <w:rFonts w:ascii="Times New Roman" w:hAnsi="Times New Roman" w:eastAsia="Times New Roman" w:cs="Times New Roman"/>
          <w:spacing w:val="-1"/>
          <w:sz w:val="24"/>
          <w:szCs w:val="24"/>
        </w:rPr>
        <w:t>8908.26 t/a</w:t>
      </w:r>
      <w:r>
        <w:rPr>
          <w:rFonts w:ascii="宋体" w:hAnsi="宋体" w:eastAsia="宋体" w:cs="宋体"/>
          <w:spacing w:val="-1"/>
          <w:sz w:val="24"/>
          <w:szCs w:val="24"/>
        </w:rPr>
        <w:t>）。</w:t>
      </w:r>
    </w:p>
    <w:p w14:paraId="1EE47157">
      <w:pPr>
        <w:spacing w:before="43" w:line="220" w:lineRule="auto"/>
        <w:ind w:left="597"/>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2"/>
          <w:sz w:val="24"/>
          <w:szCs w:val="24"/>
        </w:rPr>
        <w:t xml:space="preserve"> </w:t>
      </w:r>
      <w:r>
        <w:rPr>
          <w:rFonts w:ascii="宋体" w:hAnsi="宋体" w:eastAsia="宋体" w:cs="宋体"/>
          <w:b/>
          <w:bCs/>
          <w:spacing w:val="-4"/>
          <w:sz w:val="24"/>
          <w:szCs w:val="24"/>
        </w:rPr>
        <w:t>、项目建成的废水处理方式与排放去向</w:t>
      </w:r>
    </w:p>
    <w:p w14:paraId="010FBAAC">
      <w:pPr>
        <w:spacing w:before="201" w:line="378" w:lineRule="auto"/>
        <w:ind w:left="122" w:right="113" w:firstLine="480"/>
        <w:jc w:val="both"/>
        <w:rPr>
          <w:rFonts w:ascii="宋体" w:hAnsi="宋体" w:eastAsia="宋体" w:cs="宋体"/>
          <w:sz w:val="24"/>
          <w:szCs w:val="24"/>
        </w:rPr>
      </w:pPr>
      <w:r>
        <w:rPr>
          <w:rFonts w:ascii="宋体" w:hAnsi="宋体" w:eastAsia="宋体" w:cs="宋体"/>
          <w:spacing w:val="2"/>
          <w:sz w:val="24"/>
          <w:szCs w:val="24"/>
        </w:rPr>
        <w:t>本项目猪只养殖区产生的尿液、猪舍冲洗废水与猪只粪便一起收集，不单独收</w:t>
      </w:r>
      <w:r>
        <w:rPr>
          <w:rFonts w:ascii="宋体" w:hAnsi="宋体" w:eastAsia="宋体" w:cs="宋体"/>
          <w:spacing w:val="9"/>
          <w:sz w:val="24"/>
          <w:szCs w:val="24"/>
        </w:rPr>
        <w:t xml:space="preserve"> </w:t>
      </w:r>
      <w:r>
        <w:rPr>
          <w:rFonts w:ascii="宋体" w:hAnsi="宋体" w:eastAsia="宋体" w:cs="宋体"/>
          <w:spacing w:val="2"/>
          <w:sz w:val="24"/>
          <w:szCs w:val="24"/>
        </w:rPr>
        <w:t>集，收集的粪污传至有机肥发酵处理系统进行好氧发酵成为有机肥半成品外售，不</w:t>
      </w:r>
      <w:r>
        <w:rPr>
          <w:rFonts w:ascii="宋体" w:hAnsi="宋体" w:eastAsia="宋体" w:cs="宋体"/>
          <w:spacing w:val="6"/>
          <w:sz w:val="24"/>
          <w:szCs w:val="24"/>
        </w:rPr>
        <w:t xml:space="preserve"> </w:t>
      </w:r>
      <w:r>
        <w:rPr>
          <w:rFonts w:ascii="宋体" w:hAnsi="宋体" w:eastAsia="宋体" w:cs="宋体"/>
          <w:spacing w:val="2"/>
          <w:sz w:val="24"/>
          <w:szCs w:val="24"/>
        </w:rPr>
        <w:t>外排。生活污水经有机肥发酵处理系统进行好氧发酵成为有机肥半成品外售，不外</w:t>
      </w:r>
      <w:r>
        <w:rPr>
          <w:rFonts w:ascii="宋体" w:hAnsi="宋体" w:eastAsia="宋体" w:cs="宋体"/>
          <w:spacing w:val="6"/>
          <w:sz w:val="24"/>
          <w:szCs w:val="24"/>
        </w:rPr>
        <w:t xml:space="preserve"> </w:t>
      </w:r>
      <w:r>
        <w:rPr>
          <w:rFonts w:ascii="宋体" w:hAnsi="宋体" w:eastAsia="宋体" w:cs="宋体"/>
          <w:spacing w:val="-5"/>
          <w:sz w:val="24"/>
          <w:szCs w:val="24"/>
        </w:rPr>
        <w:t>排。</w:t>
      </w:r>
    </w:p>
    <w:p w14:paraId="38B9A827">
      <w:pPr>
        <w:spacing w:line="378" w:lineRule="auto"/>
        <w:rPr>
          <w:rFonts w:ascii="宋体" w:hAnsi="宋体" w:eastAsia="宋体" w:cs="宋体"/>
          <w:sz w:val="24"/>
          <w:szCs w:val="24"/>
        </w:rPr>
        <w:sectPr>
          <w:footerReference r:id="rId77" w:type="default"/>
          <w:pgSz w:w="11906" w:h="16839"/>
          <w:pgMar w:top="400" w:right="1475" w:bottom="1485" w:left="1475" w:header="0" w:footer="1249" w:gutter="0"/>
          <w:cols w:space="720" w:num="1"/>
        </w:sectPr>
      </w:pPr>
    </w:p>
    <w:p w14:paraId="24926DD5">
      <w:pPr>
        <w:pStyle w:val="2"/>
        <w:spacing w:line="264" w:lineRule="auto"/>
      </w:pPr>
    </w:p>
    <w:p w14:paraId="401F18D6">
      <w:pPr>
        <w:pStyle w:val="2"/>
        <w:spacing w:line="264" w:lineRule="auto"/>
      </w:pPr>
    </w:p>
    <w:p w14:paraId="32C0314F">
      <w:pPr>
        <w:pStyle w:val="2"/>
        <w:spacing w:line="264" w:lineRule="auto"/>
      </w:pPr>
    </w:p>
    <w:p w14:paraId="0AA6E16D">
      <w:pPr>
        <w:pStyle w:val="2"/>
        <w:spacing w:line="265" w:lineRule="auto"/>
      </w:pPr>
    </w:p>
    <w:p w14:paraId="55E367F1">
      <w:pPr>
        <w:spacing w:before="78"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3.5.2</w:t>
      </w:r>
      <w:r>
        <w:rPr>
          <w:rFonts w:ascii="宋体" w:hAnsi="宋体" w:eastAsia="宋体" w:cs="宋体"/>
          <w:b/>
          <w:bCs/>
          <w:spacing w:val="-2"/>
          <w:sz w:val="24"/>
          <w:szCs w:val="24"/>
        </w:rPr>
        <w:t>大气污染源</w:t>
      </w:r>
    </w:p>
    <w:p w14:paraId="231DE14F">
      <w:pPr>
        <w:spacing w:before="202" w:line="362" w:lineRule="auto"/>
        <w:ind w:left="122" w:right="113" w:firstLine="484"/>
        <w:rPr>
          <w:rFonts w:ascii="宋体" w:hAnsi="宋体" w:eastAsia="宋体" w:cs="宋体"/>
          <w:sz w:val="24"/>
          <w:szCs w:val="24"/>
        </w:rPr>
      </w:pPr>
      <w:r>
        <w:rPr>
          <w:rFonts w:ascii="宋体" w:hAnsi="宋体" w:eastAsia="宋体" w:cs="宋体"/>
          <w:spacing w:val="2"/>
          <w:sz w:val="24"/>
          <w:szCs w:val="24"/>
        </w:rPr>
        <w:t>项目运营期产生的废气主要包括猪舍恶臭、有机肥发酵车间恶臭、饲料加工房</w:t>
      </w:r>
      <w:r>
        <w:rPr>
          <w:rFonts w:ascii="宋体" w:hAnsi="宋体" w:eastAsia="宋体" w:cs="宋体"/>
          <w:spacing w:val="6"/>
          <w:sz w:val="24"/>
          <w:szCs w:val="24"/>
        </w:rPr>
        <w:t xml:space="preserve"> </w:t>
      </w:r>
      <w:r>
        <w:rPr>
          <w:rFonts w:ascii="宋体" w:hAnsi="宋体" w:eastAsia="宋体" w:cs="宋体"/>
          <w:spacing w:val="-1"/>
          <w:sz w:val="24"/>
          <w:szCs w:val="24"/>
        </w:rPr>
        <w:t>粉尘及备用发电机尾气等。</w:t>
      </w:r>
    </w:p>
    <w:p w14:paraId="1EF02B94">
      <w:pPr>
        <w:spacing w:line="359" w:lineRule="exact"/>
        <w:ind w:left="621"/>
        <w:rPr>
          <w:rFonts w:ascii="宋体" w:hAnsi="宋体" w:eastAsia="宋体" w:cs="宋体"/>
          <w:sz w:val="24"/>
          <w:szCs w:val="24"/>
        </w:rPr>
      </w:pPr>
      <w:r>
        <w:rPr>
          <w:rFonts w:ascii="Times New Roman" w:hAnsi="Times New Roman" w:eastAsia="Times New Roman" w:cs="Times New Roman"/>
          <w:spacing w:val="-3"/>
          <w:position w:val="2"/>
          <w:sz w:val="24"/>
          <w:szCs w:val="24"/>
        </w:rPr>
        <w:t>1</w:t>
      </w:r>
      <w:r>
        <w:rPr>
          <w:rFonts w:ascii="Times New Roman" w:hAnsi="Times New Roman" w:eastAsia="Times New Roman" w:cs="Times New Roman"/>
          <w:spacing w:val="-21"/>
          <w:position w:val="2"/>
          <w:sz w:val="24"/>
          <w:szCs w:val="24"/>
        </w:rPr>
        <w:t xml:space="preserve"> </w:t>
      </w:r>
      <w:r>
        <w:rPr>
          <w:rFonts w:ascii="宋体" w:hAnsi="宋体" w:eastAsia="宋体" w:cs="宋体"/>
          <w:spacing w:val="-3"/>
          <w:position w:val="2"/>
          <w:sz w:val="24"/>
          <w:szCs w:val="24"/>
        </w:rPr>
        <w:t>、养殖场恶臭主要来源于猪舍、有机肥发酵车间。</w:t>
      </w:r>
    </w:p>
    <w:p w14:paraId="1D048053">
      <w:pPr>
        <w:spacing w:before="165" w:line="362" w:lineRule="auto"/>
        <w:ind w:left="122" w:right="113" w:firstLine="480"/>
        <w:rPr>
          <w:rFonts w:ascii="宋体" w:hAnsi="宋体" w:eastAsia="宋体" w:cs="宋体"/>
          <w:sz w:val="24"/>
          <w:szCs w:val="24"/>
        </w:rPr>
      </w:pPr>
      <w:r>
        <w:rPr>
          <w:rFonts w:ascii="宋体" w:hAnsi="宋体" w:eastAsia="宋体" w:cs="宋体"/>
          <w:spacing w:val="2"/>
          <w:sz w:val="24"/>
          <w:szCs w:val="24"/>
        </w:rPr>
        <w:t>猪舍废气主要是恶臭和温室气体，主要来源为有机物腐败时所产生的氨气、动</w:t>
      </w:r>
      <w:r>
        <w:rPr>
          <w:rFonts w:ascii="宋体" w:hAnsi="宋体" w:eastAsia="宋体" w:cs="宋体"/>
          <w:spacing w:val="10"/>
          <w:sz w:val="24"/>
          <w:szCs w:val="24"/>
        </w:rPr>
        <w:t xml:space="preserve"> </w:t>
      </w:r>
      <w:r>
        <w:rPr>
          <w:rFonts w:ascii="宋体" w:hAnsi="宋体" w:eastAsia="宋体" w:cs="宋体"/>
          <w:sz w:val="24"/>
          <w:szCs w:val="24"/>
        </w:rPr>
        <w:t>物有机体中蛋白质腐败时产生的硫化氢及饲料中纤维</w:t>
      </w:r>
      <w:r>
        <w:rPr>
          <w:rFonts w:ascii="宋体" w:hAnsi="宋体" w:eastAsia="宋体" w:cs="宋体"/>
          <w:spacing w:val="-1"/>
          <w:sz w:val="24"/>
          <w:szCs w:val="24"/>
        </w:rPr>
        <w:t>分解时所产生的甲烷等。</w:t>
      </w:r>
    </w:p>
    <w:p w14:paraId="720C416B">
      <w:pPr>
        <w:spacing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）猪舍恶臭</w:t>
      </w:r>
    </w:p>
    <w:p w14:paraId="3855E6DB">
      <w:pPr>
        <w:spacing w:before="166" w:line="376" w:lineRule="auto"/>
        <w:ind w:left="122" w:right="113" w:firstLine="480"/>
        <w:rPr>
          <w:rFonts w:ascii="宋体" w:hAnsi="宋体" w:eastAsia="宋体" w:cs="宋体"/>
          <w:sz w:val="24"/>
          <w:szCs w:val="24"/>
        </w:rPr>
      </w:pPr>
      <w:r>
        <w:rPr>
          <w:rFonts w:ascii="宋体" w:hAnsi="宋体" w:eastAsia="宋体" w:cs="宋体"/>
          <w:spacing w:val="2"/>
          <w:sz w:val="24"/>
          <w:szCs w:val="24"/>
        </w:rPr>
        <w:t>猪舍废气主要是恶臭和温室气体，主要来源为有机物腐败时所产生的氨气、动</w:t>
      </w:r>
      <w:r>
        <w:rPr>
          <w:rFonts w:ascii="宋体" w:hAnsi="宋体" w:eastAsia="宋体" w:cs="宋体"/>
          <w:spacing w:val="10"/>
          <w:sz w:val="24"/>
          <w:szCs w:val="24"/>
        </w:rPr>
        <w:t xml:space="preserve"> </w:t>
      </w:r>
      <w:r>
        <w:rPr>
          <w:rFonts w:ascii="宋体" w:hAnsi="宋体" w:eastAsia="宋体" w:cs="宋体"/>
          <w:sz w:val="24"/>
          <w:szCs w:val="24"/>
        </w:rPr>
        <w:t>物有机体中蛋白质腐败时产生的硫化氢及饲料中纤维</w:t>
      </w:r>
      <w:r>
        <w:rPr>
          <w:rFonts w:ascii="宋体" w:hAnsi="宋体" w:eastAsia="宋体" w:cs="宋体"/>
          <w:spacing w:val="-1"/>
          <w:sz w:val="24"/>
          <w:szCs w:val="24"/>
        </w:rPr>
        <w:t>分解时所产生的甲烷等。</w:t>
      </w:r>
    </w:p>
    <w:p w14:paraId="372F5D40">
      <w:pPr>
        <w:spacing w:before="1" w:line="363" w:lineRule="auto"/>
        <w:ind w:left="123" w:right="36" w:firstLine="482"/>
        <w:jc w:val="both"/>
        <w:rPr>
          <w:rFonts w:ascii="宋体" w:hAnsi="宋体" w:eastAsia="宋体" w:cs="宋体"/>
          <w:sz w:val="24"/>
          <w:szCs w:val="24"/>
        </w:rPr>
      </w:pPr>
      <w:r>
        <w:rPr>
          <w:rFonts w:ascii="宋体" w:hAnsi="宋体" w:eastAsia="宋体" w:cs="宋体"/>
          <w:spacing w:val="2"/>
          <w:sz w:val="24"/>
          <w:szCs w:val="24"/>
        </w:rPr>
        <w:t>项目大气污染物主要是来自猪舍和猪粪贮存场所挥发的氨等恶臭物质，属于无</w:t>
      </w:r>
      <w:r>
        <w:rPr>
          <w:rFonts w:ascii="宋体" w:hAnsi="宋体" w:eastAsia="宋体" w:cs="宋体"/>
          <w:spacing w:val="6"/>
          <w:sz w:val="24"/>
          <w:szCs w:val="24"/>
        </w:rPr>
        <w:t xml:space="preserve"> </w:t>
      </w:r>
      <w:r>
        <w:rPr>
          <w:rFonts w:ascii="宋体" w:hAnsi="宋体" w:eastAsia="宋体" w:cs="宋体"/>
          <w:spacing w:val="1"/>
          <w:sz w:val="24"/>
          <w:szCs w:val="24"/>
        </w:rPr>
        <w:t>组织排放。类比参照《蒲城惠达石坡塄</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15000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头育肥猪场项目环境</w:t>
      </w:r>
      <w:r>
        <w:rPr>
          <w:rFonts w:ascii="宋体" w:hAnsi="宋体" w:eastAsia="宋体" w:cs="宋体"/>
          <w:sz w:val="24"/>
          <w:szCs w:val="24"/>
        </w:rPr>
        <w:t xml:space="preserve">影响报告书》中 </w:t>
      </w:r>
      <w:r>
        <w:rPr>
          <w:rFonts w:ascii="宋体" w:hAnsi="宋体" w:eastAsia="宋体" w:cs="宋体"/>
          <w:spacing w:val="-6"/>
          <w:sz w:val="24"/>
          <w:szCs w:val="24"/>
        </w:rPr>
        <w:t>的数据，育肥猪</w:t>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6"/>
          <w:sz w:val="24"/>
          <w:szCs w:val="24"/>
        </w:rPr>
        <w:t>产生源强为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0.2g/</w:t>
      </w:r>
      <w:r>
        <w:rPr>
          <w:rFonts w:ascii="宋体" w:hAnsi="宋体" w:eastAsia="宋体" w:cs="宋体"/>
          <w:spacing w:val="-6"/>
          <w:sz w:val="24"/>
          <w:szCs w:val="24"/>
        </w:rPr>
        <w:t>头</w:t>
      </w:r>
      <w:r>
        <w:rPr>
          <w:rFonts w:ascii="宋体" w:hAnsi="宋体" w:eastAsia="宋体" w:cs="宋体"/>
          <w:spacing w:val="-28"/>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，育肥猪</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6"/>
          <w:sz w:val="24"/>
          <w:szCs w:val="24"/>
        </w:rPr>
        <w:t>S</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产生源强为</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0.012g/</w:t>
      </w:r>
      <w:r>
        <w:rPr>
          <w:rFonts w:ascii="宋体" w:hAnsi="宋体" w:eastAsia="宋体" w:cs="宋体"/>
          <w:spacing w:val="-7"/>
          <w:sz w:val="24"/>
          <w:szCs w:val="24"/>
        </w:rPr>
        <w:t>头</w:t>
      </w:r>
      <w:r>
        <w:rPr>
          <w:rFonts w:ascii="宋体" w:hAnsi="宋体" w:eastAsia="宋体" w:cs="宋体"/>
          <w:spacing w:val="-28"/>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d</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蒲城惠达石坡塄</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15000 </w:t>
      </w:r>
      <w:r>
        <w:rPr>
          <w:rFonts w:ascii="宋体" w:hAnsi="宋体" w:eastAsia="宋体" w:cs="宋体"/>
          <w:spacing w:val="1"/>
          <w:sz w:val="24"/>
          <w:szCs w:val="24"/>
        </w:rPr>
        <w:t>头育肥猪场项目猪舍采用全漏缝地板，采用干清粪工艺，与</w:t>
      </w:r>
      <w:r>
        <w:rPr>
          <w:rFonts w:ascii="宋体" w:hAnsi="宋体" w:eastAsia="宋体" w:cs="宋体"/>
          <w:sz w:val="24"/>
          <w:szCs w:val="24"/>
        </w:rPr>
        <w:t xml:space="preserve"> 本项目类似，因此具有类比性。养猪场猪舍恶臭气</w:t>
      </w:r>
      <w:r>
        <w:rPr>
          <w:rFonts w:ascii="宋体" w:hAnsi="宋体" w:eastAsia="宋体" w:cs="宋体"/>
          <w:spacing w:val="-1"/>
          <w:sz w:val="24"/>
          <w:szCs w:val="24"/>
        </w:rPr>
        <w:t>体的排放源强如下表所示：</w:t>
      </w:r>
    </w:p>
    <w:p w14:paraId="4FB70FA3">
      <w:pPr>
        <w:spacing w:before="100" w:line="228" w:lineRule="auto"/>
        <w:ind w:left="264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 xml:space="preserve">3.5-2 </w:t>
      </w:r>
      <w:r>
        <w:rPr>
          <w:rFonts w:ascii="宋体" w:hAnsi="宋体" w:eastAsia="宋体" w:cs="宋体"/>
          <w:b/>
          <w:bCs/>
          <w:spacing w:val="5"/>
          <w:sz w:val="20"/>
          <w:szCs w:val="20"/>
        </w:rPr>
        <w:t>猪舍</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H</w:t>
      </w:r>
      <w:r>
        <w:rPr>
          <w:rFonts w:ascii="Times New Roman" w:hAnsi="Times New Roman" w:eastAsia="Times New Roman" w:cs="Times New Roman"/>
          <w:b/>
          <w:bCs/>
          <w:spacing w:val="5"/>
          <w:position w:val="-1"/>
          <w:sz w:val="13"/>
          <w:szCs w:val="13"/>
        </w:rPr>
        <w:t>2</w:t>
      </w:r>
      <w:r>
        <w:rPr>
          <w:rFonts w:ascii="Times New Roman" w:hAnsi="Times New Roman" w:eastAsia="Times New Roman" w:cs="Times New Roman"/>
          <w:b/>
          <w:bCs/>
          <w:spacing w:val="5"/>
          <w:sz w:val="20"/>
          <w:szCs w:val="20"/>
        </w:rPr>
        <w:t xml:space="preserve">S </w:t>
      </w:r>
      <w:r>
        <w:rPr>
          <w:rFonts w:ascii="宋体" w:hAnsi="宋体" w:eastAsia="宋体" w:cs="宋体"/>
          <w:b/>
          <w:bCs/>
          <w:spacing w:val="5"/>
          <w:sz w:val="20"/>
          <w:szCs w:val="20"/>
        </w:rPr>
        <w:t>排放源强系数表</w:t>
      </w:r>
    </w:p>
    <w:p w14:paraId="305E280C">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1"/>
        <w:gridCol w:w="1394"/>
        <w:gridCol w:w="2980"/>
        <w:gridCol w:w="2985"/>
      </w:tblGrid>
      <w:tr w14:paraId="35BC3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985" w:type="dxa"/>
            <w:gridSpan w:val="2"/>
            <w:vAlign w:val="top"/>
          </w:tcPr>
          <w:p w14:paraId="34D35FEA">
            <w:pPr>
              <w:pStyle w:val="6"/>
              <w:spacing w:before="63" w:line="229" w:lineRule="auto"/>
              <w:ind w:left="1287"/>
            </w:pPr>
            <w:r>
              <w:rPr>
                <w:spacing w:val="4"/>
              </w:rPr>
              <w:t>猪舍</w:t>
            </w:r>
          </w:p>
        </w:tc>
        <w:tc>
          <w:tcPr>
            <w:tcW w:w="2980" w:type="dxa"/>
            <w:vAlign w:val="top"/>
          </w:tcPr>
          <w:p w14:paraId="5BB822FD">
            <w:pPr>
              <w:pStyle w:val="6"/>
              <w:spacing w:before="32" w:line="274" w:lineRule="exact"/>
              <w:ind w:left="351"/>
            </w:pPr>
            <w:r>
              <w:rPr>
                <w:rFonts w:ascii="Times New Roman" w:hAnsi="Times New Roman" w:eastAsia="Times New Roman" w:cs="Times New Roman"/>
                <w:position w:val="2"/>
              </w:rPr>
              <w:t>NH</w:t>
            </w:r>
            <w:r>
              <w:rPr>
                <w:rFonts w:ascii="Times New Roman" w:hAnsi="Times New Roman" w:eastAsia="Times New Roman" w:cs="Times New Roman"/>
                <w:spacing w:val="8"/>
                <w:position w:val="1"/>
                <w:sz w:val="13"/>
                <w:szCs w:val="13"/>
              </w:rPr>
              <w:t>3</w:t>
            </w:r>
            <w:r>
              <w:rPr>
                <w:spacing w:val="8"/>
                <w:position w:val="2"/>
              </w:rPr>
              <w:t>排放强度（</w:t>
            </w:r>
            <w:r>
              <w:rPr>
                <w:rFonts w:ascii="Times New Roman" w:hAnsi="Times New Roman" w:eastAsia="Times New Roman" w:cs="Times New Roman"/>
                <w:spacing w:val="8"/>
                <w:position w:val="2"/>
              </w:rPr>
              <w:t>g/</w:t>
            </w:r>
            <w:r>
              <w:rPr>
                <w:spacing w:val="8"/>
                <w:position w:val="2"/>
              </w:rPr>
              <w:t>头</w:t>
            </w:r>
            <w:r>
              <w:rPr>
                <w:rFonts w:ascii="Times New Roman" w:hAnsi="Times New Roman" w:eastAsia="Times New Roman" w:cs="Times New Roman"/>
                <w:spacing w:val="8"/>
                <w:position w:val="2"/>
              </w:rPr>
              <w:t>.</w:t>
            </w:r>
            <w:r>
              <w:rPr>
                <w:spacing w:val="8"/>
                <w:position w:val="2"/>
              </w:rPr>
              <w:t>天）</w:t>
            </w:r>
          </w:p>
        </w:tc>
        <w:tc>
          <w:tcPr>
            <w:tcW w:w="2985" w:type="dxa"/>
            <w:vAlign w:val="top"/>
          </w:tcPr>
          <w:p w14:paraId="2906AC5E">
            <w:pPr>
              <w:pStyle w:val="6"/>
              <w:spacing w:before="32" w:line="274" w:lineRule="exact"/>
              <w:ind w:left="377"/>
            </w:pPr>
            <w:r>
              <w:rPr>
                <w:rFonts w:ascii="Times New Roman" w:hAnsi="Times New Roman" w:eastAsia="Times New Roman" w:cs="Times New Roman"/>
                <w:spacing w:val="6"/>
                <w:position w:val="2"/>
              </w:rPr>
              <w:t>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position w:val="2"/>
              </w:rPr>
              <w:t>S</w:t>
            </w:r>
            <w:r>
              <w:rPr>
                <w:spacing w:val="6"/>
                <w:position w:val="2"/>
              </w:rPr>
              <w:t>排放强度（</w:t>
            </w:r>
            <w:r>
              <w:rPr>
                <w:rFonts w:ascii="Times New Roman" w:hAnsi="Times New Roman" w:eastAsia="Times New Roman" w:cs="Times New Roman"/>
                <w:spacing w:val="6"/>
                <w:position w:val="2"/>
              </w:rPr>
              <w:t>g/</w:t>
            </w:r>
            <w:r>
              <w:rPr>
                <w:spacing w:val="6"/>
                <w:position w:val="2"/>
              </w:rPr>
              <w:t>头</w:t>
            </w:r>
            <w:r>
              <w:rPr>
                <w:rFonts w:ascii="Times New Roman" w:hAnsi="Times New Roman" w:eastAsia="Times New Roman" w:cs="Times New Roman"/>
                <w:spacing w:val="6"/>
                <w:position w:val="2"/>
              </w:rPr>
              <w:t>.</w:t>
            </w:r>
            <w:r>
              <w:rPr>
                <w:spacing w:val="6"/>
                <w:position w:val="2"/>
              </w:rPr>
              <w:t>天）</w:t>
            </w:r>
          </w:p>
        </w:tc>
      </w:tr>
      <w:tr w14:paraId="4FCA4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591" w:type="dxa"/>
            <w:vAlign w:val="top"/>
          </w:tcPr>
          <w:p w14:paraId="7ABB1AAA">
            <w:pPr>
              <w:pStyle w:val="6"/>
              <w:spacing w:before="61" w:line="229" w:lineRule="auto"/>
              <w:ind w:left="591"/>
            </w:pPr>
            <w:r>
              <w:rPr>
                <w:spacing w:val="4"/>
              </w:rPr>
              <w:t>猪舍</w:t>
            </w:r>
          </w:p>
        </w:tc>
        <w:tc>
          <w:tcPr>
            <w:tcW w:w="1394" w:type="dxa"/>
            <w:vAlign w:val="top"/>
          </w:tcPr>
          <w:p w14:paraId="6E35AADF">
            <w:pPr>
              <w:pStyle w:val="6"/>
              <w:spacing w:before="60" w:line="228" w:lineRule="auto"/>
              <w:ind w:left="393"/>
            </w:pPr>
            <w:r>
              <w:rPr>
                <w:spacing w:val="4"/>
              </w:rPr>
              <w:t>育肥猪</w:t>
            </w:r>
          </w:p>
        </w:tc>
        <w:tc>
          <w:tcPr>
            <w:tcW w:w="2980" w:type="dxa"/>
            <w:vAlign w:val="top"/>
          </w:tcPr>
          <w:p w14:paraId="437DB1E2">
            <w:pPr>
              <w:spacing w:before="30" w:line="274" w:lineRule="exact"/>
              <w:ind w:left="13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2985" w:type="dxa"/>
            <w:vAlign w:val="top"/>
          </w:tcPr>
          <w:p w14:paraId="48914C45">
            <w:pPr>
              <w:spacing w:before="30" w:line="274" w:lineRule="exact"/>
              <w:ind w:left="12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0.012</w:t>
            </w:r>
          </w:p>
        </w:tc>
      </w:tr>
    </w:tbl>
    <w:p w14:paraId="46258FCC">
      <w:pPr>
        <w:spacing w:before="251" w:line="363" w:lineRule="auto"/>
        <w:ind w:left="142" w:right="109" w:firstLine="464"/>
        <w:rPr>
          <w:rFonts w:ascii="宋体" w:hAnsi="宋体" w:eastAsia="宋体" w:cs="宋体"/>
          <w:sz w:val="24"/>
          <w:szCs w:val="24"/>
        </w:rPr>
      </w:pPr>
      <w:r>
        <w:rPr>
          <w:rFonts w:ascii="宋体" w:hAnsi="宋体" w:eastAsia="宋体" w:cs="宋体"/>
          <w:spacing w:val="-5"/>
          <w:sz w:val="24"/>
          <w:szCs w:val="24"/>
        </w:rPr>
        <w:t>项目年存栏猪</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 xml:space="preserve">7000 </w:t>
      </w:r>
      <w:r>
        <w:rPr>
          <w:rFonts w:ascii="宋体" w:hAnsi="宋体" w:eastAsia="宋体" w:cs="宋体"/>
          <w:spacing w:val="-5"/>
          <w:sz w:val="24"/>
          <w:szCs w:val="24"/>
        </w:rPr>
        <w:t>头。根据排放源强系数及各类猪的存栏量计算猪舍</w:t>
      </w:r>
      <w:r>
        <w:rPr>
          <w:rFonts w:ascii="宋体" w:hAnsi="宋体" w:eastAsia="宋体" w:cs="宋体"/>
          <w:spacing w:val="-62"/>
          <w:sz w:val="24"/>
          <w:szCs w:val="24"/>
        </w:rPr>
        <w:t xml:space="preserve"> </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position w:val="-1"/>
          <w:sz w:val="15"/>
          <w:szCs w:val="15"/>
        </w:rPr>
        <w:t>3</w:t>
      </w:r>
      <w:r>
        <w:rPr>
          <w:rFonts w:ascii="宋体" w:hAnsi="宋体" w:eastAsia="宋体" w:cs="宋体"/>
          <w:spacing w:val="-5"/>
          <w:position w:val="-1"/>
          <w:sz w:val="24"/>
          <w:szCs w:val="24"/>
        </w:rPr>
        <w:t>、</w:t>
      </w:r>
      <w:r>
        <w:rPr>
          <w:rFonts w:ascii="Times New Roman" w:hAnsi="Times New Roman" w:eastAsia="Times New Roman" w:cs="Times New Roman"/>
          <w:spacing w:val="-5"/>
          <w:sz w:val="24"/>
          <w:szCs w:val="24"/>
        </w:rPr>
        <w:t>H</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5"/>
          <w:sz w:val="24"/>
          <w:szCs w:val="24"/>
        </w:rPr>
        <w:t>S</w:t>
      </w:r>
      <w:r>
        <w:rPr>
          <w:rFonts w:ascii="Times New Roman" w:hAnsi="Times New Roman" w:eastAsia="Times New Roman" w:cs="Times New Roman"/>
          <w:sz w:val="24"/>
          <w:szCs w:val="24"/>
        </w:rPr>
        <w:t xml:space="preserve"> </w:t>
      </w:r>
      <w:r>
        <w:rPr>
          <w:rFonts w:ascii="宋体" w:hAnsi="宋体" w:eastAsia="宋体" w:cs="宋体"/>
          <w:spacing w:val="-4"/>
          <w:sz w:val="24"/>
          <w:szCs w:val="24"/>
        </w:rPr>
        <w:t>的产生量如下表：</w:t>
      </w:r>
    </w:p>
    <w:p w14:paraId="39D1C3FC">
      <w:pPr>
        <w:spacing w:before="76" w:line="228" w:lineRule="auto"/>
        <w:ind w:left="288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 xml:space="preserve">3.5-3 </w:t>
      </w:r>
      <w:r>
        <w:rPr>
          <w:rFonts w:ascii="宋体" w:hAnsi="宋体" w:eastAsia="宋体" w:cs="宋体"/>
          <w:b/>
          <w:bCs/>
          <w:spacing w:val="5"/>
          <w:sz w:val="20"/>
          <w:szCs w:val="20"/>
        </w:rPr>
        <w:t>猪舍</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H</w:t>
      </w:r>
      <w:r>
        <w:rPr>
          <w:rFonts w:ascii="Times New Roman" w:hAnsi="Times New Roman" w:eastAsia="Times New Roman" w:cs="Times New Roman"/>
          <w:b/>
          <w:bCs/>
          <w:spacing w:val="5"/>
          <w:position w:val="-1"/>
          <w:sz w:val="13"/>
          <w:szCs w:val="13"/>
        </w:rPr>
        <w:t>2</w:t>
      </w:r>
      <w:r>
        <w:rPr>
          <w:rFonts w:ascii="Times New Roman" w:hAnsi="Times New Roman" w:eastAsia="Times New Roman" w:cs="Times New Roman"/>
          <w:b/>
          <w:bCs/>
          <w:spacing w:val="5"/>
          <w:sz w:val="20"/>
          <w:szCs w:val="20"/>
        </w:rPr>
        <w:t xml:space="preserve">S </w:t>
      </w:r>
      <w:r>
        <w:rPr>
          <w:rFonts w:ascii="宋体" w:hAnsi="宋体" w:eastAsia="宋体" w:cs="宋体"/>
          <w:b/>
          <w:bCs/>
          <w:spacing w:val="5"/>
          <w:sz w:val="20"/>
          <w:szCs w:val="20"/>
        </w:rPr>
        <w:t>产生源强统计表</w:t>
      </w:r>
    </w:p>
    <w:p w14:paraId="635939E7">
      <w:pPr>
        <w:spacing w:line="103" w:lineRule="exact"/>
      </w:pPr>
    </w:p>
    <w:tbl>
      <w:tblPr>
        <w:tblStyle w:val="5"/>
        <w:tblW w:w="89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1791"/>
        <w:gridCol w:w="1787"/>
        <w:gridCol w:w="1787"/>
        <w:gridCol w:w="1792"/>
      </w:tblGrid>
      <w:tr w14:paraId="4FB15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792" w:type="dxa"/>
            <w:vAlign w:val="top"/>
          </w:tcPr>
          <w:p w14:paraId="7F57DC21">
            <w:pPr>
              <w:pStyle w:val="6"/>
              <w:spacing w:before="62" w:line="229" w:lineRule="auto"/>
              <w:ind w:left="708"/>
            </w:pPr>
            <w:r>
              <w:rPr>
                <w:spacing w:val="-3"/>
              </w:rPr>
              <w:t>区域</w:t>
            </w:r>
          </w:p>
        </w:tc>
        <w:tc>
          <w:tcPr>
            <w:tcW w:w="1791" w:type="dxa"/>
            <w:vAlign w:val="top"/>
          </w:tcPr>
          <w:p w14:paraId="1885670C">
            <w:pPr>
              <w:pStyle w:val="6"/>
              <w:spacing w:before="62" w:line="228" w:lineRule="auto"/>
              <w:ind w:left="691"/>
            </w:pPr>
            <w:r>
              <w:rPr>
                <w:spacing w:val="4"/>
              </w:rPr>
              <w:t>类别</w:t>
            </w:r>
          </w:p>
        </w:tc>
        <w:tc>
          <w:tcPr>
            <w:tcW w:w="1787" w:type="dxa"/>
            <w:vAlign w:val="top"/>
          </w:tcPr>
          <w:p w14:paraId="3C186AA6">
            <w:pPr>
              <w:pStyle w:val="6"/>
              <w:spacing w:before="62" w:line="228" w:lineRule="auto"/>
              <w:ind w:left="375"/>
            </w:pPr>
            <w:r>
              <w:rPr>
                <w:spacing w:val="5"/>
              </w:rPr>
              <w:t>数量（头）</w:t>
            </w:r>
          </w:p>
        </w:tc>
        <w:tc>
          <w:tcPr>
            <w:tcW w:w="1787" w:type="dxa"/>
            <w:vAlign w:val="top"/>
          </w:tcPr>
          <w:p w14:paraId="1CF6A552">
            <w:pPr>
              <w:spacing w:before="101" w:line="231" w:lineRule="auto"/>
              <w:ind w:left="704"/>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792" w:type="dxa"/>
            <w:vAlign w:val="top"/>
          </w:tcPr>
          <w:p w14:paraId="1CD625B6">
            <w:pPr>
              <w:spacing w:before="98" w:line="234" w:lineRule="auto"/>
              <w:ind w:left="7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r>
      <w:tr w14:paraId="2B57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792" w:type="dxa"/>
            <w:vAlign w:val="top"/>
          </w:tcPr>
          <w:p w14:paraId="66600CC8">
            <w:pPr>
              <w:pStyle w:val="6"/>
              <w:spacing w:before="60" w:line="228" w:lineRule="auto"/>
              <w:ind w:left="375"/>
            </w:pPr>
            <w:r>
              <w:rPr>
                <w:spacing w:val="8"/>
              </w:rPr>
              <w:t>猪养殖区域</w:t>
            </w:r>
          </w:p>
        </w:tc>
        <w:tc>
          <w:tcPr>
            <w:tcW w:w="1791" w:type="dxa"/>
            <w:vAlign w:val="top"/>
          </w:tcPr>
          <w:p w14:paraId="172352FB">
            <w:pPr>
              <w:pStyle w:val="6"/>
              <w:spacing w:before="60" w:line="228" w:lineRule="auto"/>
              <w:ind w:left="593"/>
            </w:pPr>
            <w:r>
              <w:rPr>
                <w:spacing w:val="4"/>
              </w:rPr>
              <w:t>育肥猪</w:t>
            </w:r>
          </w:p>
        </w:tc>
        <w:tc>
          <w:tcPr>
            <w:tcW w:w="1787" w:type="dxa"/>
            <w:vAlign w:val="top"/>
          </w:tcPr>
          <w:p w14:paraId="338F0292">
            <w:pPr>
              <w:spacing w:before="29"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7000</w:t>
            </w:r>
          </w:p>
        </w:tc>
        <w:tc>
          <w:tcPr>
            <w:tcW w:w="1787" w:type="dxa"/>
            <w:vAlign w:val="top"/>
          </w:tcPr>
          <w:p w14:paraId="031815D6">
            <w:pPr>
              <w:spacing w:before="29" w:line="274" w:lineRule="exact"/>
              <w:ind w:left="59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1.4kg/d</w:t>
            </w:r>
          </w:p>
        </w:tc>
        <w:tc>
          <w:tcPr>
            <w:tcW w:w="1792" w:type="dxa"/>
            <w:vAlign w:val="top"/>
          </w:tcPr>
          <w:p w14:paraId="5C40928D">
            <w:pPr>
              <w:spacing w:before="29" w:line="274" w:lineRule="exact"/>
              <w:ind w:left="478"/>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0.084</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/d</w:t>
            </w:r>
          </w:p>
        </w:tc>
      </w:tr>
    </w:tbl>
    <w:p w14:paraId="3928BD89">
      <w:pPr>
        <w:spacing w:before="254" w:line="361" w:lineRule="auto"/>
        <w:ind w:left="122" w:right="167" w:firstLine="480"/>
        <w:rPr>
          <w:rFonts w:ascii="宋体" w:hAnsi="宋体" w:eastAsia="宋体" w:cs="宋体"/>
          <w:sz w:val="24"/>
          <w:szCs w:val="24"/>
        </w:rPr>
      </w:pPr>
      <w:r>
        <w:rPr>
          <w:rFonts w:ascii="宋体" w:hAnsi="宋体" w:eastAsia="宋体" w:cs="宋体"/>
          <w:spacing w:val="4"/>
          <w:sz w:val="24"/>
          <w:szCs w:val="24"/>
        </w:rPr>
        <w:t>根据上表计算可知，项目猪养殖区域恶臭</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4"/>
          <w:position w:val="-1"/>
          <w:sz w:val="15"/>
          <w:szCs w:val="15"/>
        </w:rPr>
        <w:t xml:space="preserve">3 </w:t>
      </w:r>
      <w:r>
        <w:rPr>
          <w:rFonts w:ascii="宋体" w:hAnsi="宋体" w:eastAsia="宋体" w:cs="宋体"/>
          <w:spacing w:val="4"/>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面源源强为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0.058</w:t>
      </w:r>
      <w:r>
        <w:rPr>
          <w:rFonts w:ascii="Times New Roman" w:hAnsi="Times New Roman" w:eastAsia="Times New Roman" w:cs="Times New Roman"/>
          <w:sz w:val="24"/>
          <w:szCs w:val="24"/>
        </w:rPr>
        <w:t>kg</w:t>
      </w:r>
      <w:r>
        <w:rPr>
          <w:rFonts w:ascii="Times New Roman" w:hAnsi="Times New Roman" w:eastAsia="Times New Roman" w:cs="Times New Roman"/>
          <w:spacing w:val="3"/>
          <w:sz w:val="24"/>
          <w:szCs w:val="24"/>
        </w:rPr>
        <w:t>/h</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0.0035kg/h</w:t>
      </w:r>
      <w:r>
        <w:rPr>
          <w:rFonts w:ascii="宋体" w:hAnsi="宋体" w:eastAsia="宋体" w:cs="宋体"/>
          <w:spacing w:val="-1"/>
          <w:sz w:val="24"/>
          <w:szCs w:val="24"/>
        </w:rPr>
        <w:t>。</w:t>
      </w:r>
    </w:p>
    <w:p w14:paraId="2FA5904A">
      <w:pPr>
        <w:spacing w:before="75" w:line="379" w:lineRule="auto"/>
        <w:ind w:left="118" w:right="49" w:firstLine="488"/>
        <w:jc w:val="both"/>
        <w:rPr>
          <w:rFonts w:ascii="宋体" w:hAnsi="宋体" w:eastAsia="宋体" w:cs="宋体"/>
          <w:sz w:val="24"/>
          <w:szCs w:val="24"/>
        </w:rPr>
      </w:pPr>
      <w:r>
        <w:rPr>
          <w:rFonts w:ascii="宋体" w:hAnsi="宋体" w:eastAsia="宋体" w:cs="宋体"/>
          <w:spacing w:val="-3"/>
          <w:sz w:val="24"/>
          <w:szCs w:val="24"/>
        </w:rPr>
        <w:t>项目拟在猪舍及周围产生恶臭地方喷洒除臭剂，根据《自然科学》现代化农业，</w:t>
      </w:r>
      <w:r>
        <w:rPr>
          <w:rFonts w:ascii="宋体" w:hAnsi="宋体" w:eastAsia="宋体" w:cs="宋体"/>
          <w:spacing w:val="2"/>
          <w:sz w:val="24"/>
          <w:szCs w:val="24"/>
        </w:rPr>
        <w:t xml:space="preserve"> </w:t>
      </w:r>
      <w:r>
        <w:rPr>
          <w:rFonts w:ascii="Times New Roman" w:hAnsi="Times New Roman" w:eastAsia="Times New Roman" w:cs="Times New Roman"/>
          <w:sz w:val="24"/>
          <w:szCs w:val="24"/>
        </w:rPr>
        <w:t xml:space="preserve">2011 </w:t>
      </w:r>
      <w:r>
        <w:rPr>
          <w:rFonts w:ascii="宋体" w:hAnsi="宋体" w:eastAsia="宋体" w:cs="宋体"/>
          <w:sz w:val="24"/>
          <w:szCs w:val="24"/>
        </w:rPr>
        <w:t>年第</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6 </w:t>
      </w:r>
      <w:r>
        <w:rPr>
          <w:rFonts w:ascii="宋体" w:hAnsi="宋体" w:eastAsia="宋体" w:cs="宋体"/>
          <w:sz w:val="24"/>
          <w:szCs w:val="24"/>
        </w:rPr>
        <w:t>期（总第</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383 </w:t>
      </w:r>
      <w:r>
        <w:rPr>
          <w:rFonts w:ascii="宋体" w:hAnsi="宋体" w:eastAsia="宋体" w:cs="宋体"/>
          <w:sz w:val="24"/>
          <w:szCs w:val="24"/>
        </w:rPr>
        <w:t xml:space="preserve">期）《微生物除臭剂研究进展》（赵晓锋，隋文志）的资 </w:t>
      </w:r>
      <w:r>
        <w:rPr>
          <w:rFonts w:ascii="宋体" w:hAnsi="宋体" w:eastAsia="宋体" w:cs="宋体"/>
          <w:spacing w:val="1"/>
          <w:sz w:val="24"/>
          <w:szCs w:val="24"/>
        </w:rPr>
        <w:t>料，经国家环境分析测试中心和陕西环境监测中心测试，</w:t>
      </w:r>
      <w:r>
        <w:rPr>
          <w:rFonts w:ascii="宋体" w:hAnsi="宋体" w:eastAsia="宋体" w:cs="宋体"/>
          <w:spacing w:val="-64"/>
          <w:sz w:val="24"/>
          <w:szCs w:val="24"/>
        </w:rPr>
        <w:t xml:space="preserve"> </w:t>
      </w:r>
      <w:r>
        <w:rPr>
          <w:rFonts w:ascii="宋体" w:hAnsi="宋体" w:eastAsia="宋体" w:cs="宋体"/>
          <w:spacing w:val="1"/>
          <w:sz w:val="24"/>
          <w:szCs w:val="24"/>
        </w:rPr>
        <w:t>目</w:t>
      </w:r>
      <w:r>
        <w:rPr>
          <w:rFonts w:ascii="宋体" w:hAnsi="宋体" w:eastAsia="宋体" w:cs="宋体"/>
          <w:sz w:val="24"/>
          <w:szCs w:val="24"/>
        </w:rPr>
        <w:t xml:space="preserve">前市场上微生物除臭剂 </w:t>
      </w:r>
      <w:r>
        <w:rPr>
          <w:rFonts w:ascii="宋体" w:hAnsi="宋体" w:eastAsia="宋体" w:cs="宋体"/>
          <w:spacing w:val="-3"/>
          <w:sz w:val="24"/>
          <w:szCs w:val="24"/>
        </w:rPr>
        <w:t>对</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0"/>
          <w:w w:val="101"/>
          <w:position w:val="-1"/>
          <w:sz w:val="15"/>
          <w:szCs w:val="15"/>
        </w:rPr>
        <w:t xml:space="preserve"> </w:t>
      </w:r>
      <w:r>
        <w:rPr>
          <w:rFonts w:ascii="宋体" w:hAnsi="宋体" w:eastAsia="宋体" w:cs="宋体"/>
          <w:spacing w:val="-3"/>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的去除效率能达</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92.6%</w:t>
      </w:r>
      <w:r>
        <w:rPr>
          <w:rFonts w:ascii="宋体" w:hAnsi="宋体" w:eastAsia="宋体" w:cs="宋体"/>
          <w:spacing w:val="-3"/>
          <w:sz w:val="24"/>
          <w:szCs w:val="24"/>
        </w:rPr>
        <w:t>和</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89%</w:t>
      </w:r>
      <w:r>
        <w:rPr>
          <w:rFonts w:ascii="宋体" w:hAnsi="宋体" w:eastAsia="宋体" w:cs="宋体"/>
          <w:spacing w:val="-3"/>
          <w:sz w:val="24"/>
          <w:szCs w:val="24"/>
        </w:rPr>
        <w:t>以上。</w:t>
      </w:r>
    </w:p>
    <w:p w14:paraId="44693FDD">
      <w:pPr>
        <w:spacing w:line="379" w:lineRule="auto"/>
        <w:rPr>
          <w:rFonts w:ascii="宋体" w:hAnsi="宋体" w:eastAsia="宋体" w:cs="宋体"/>
          <w:sz w:val="24"/>
          <w:szCs w:val="24"/>
        </w:rPr>
        <w:sectPr>
          <w:footerReference r:id="rId78" w:type="default"/>
          <w:pgSz w:w="11906" w:h="16839"/>
          <w:pgMar w:top="400" w:right="1475" w:bottom="1485" w:left="1475" w:header="0" w:footer="1249" w:gutter="0"/>
          <w:cols w:space="720" w:num="1"/>
        </w:sectPr>
      </w:pPr>
    </w:p>
    <w:p w14:paraId="25E36291">
      <w:pPr>
        <w:pStyle w:val="2"/>
        <w:spacing w:line="264" w:lineRule="auto"/>
      </w:pPr>
    </w:p>
    <w:p w14:paraId="4CF92281">
      <w:pPr>
        <w:pStyle w:val="2"/>
        <w:spacing w:line="264" w:lineRule="auto"/>
      </w:pPr>
    </w:p>
    <w:p w14:paraId="2D0833BC">
      <w:pPr>
        <w:pStyle w:val="2"/>
        <w:spacing w:line="265" w:lineRule="auto"/>
      </w:pPr>
    </w:p>
    <w:p w14:paraId="1D999DF4">
      <w:pPr>
        <w:pStyle w:val="2"/>
        <w:spacing w:line="265" w:lineRule="auto"/>
      </w:pPr>
    </w:p>
    <w:p w14:paraId="2B28A4A2">
      <w:pPr>
        <w:spacing w:before="78" w:line="242" w:lineRule="auto"/>
        <w:ind w:left="602"/>
        <w:rPr>
          <w:rFonts w:ascii="宋体" w:hAnsi="宋体" w:eastAsia="宋体" w:cs="宋体"/>
          <w:sz w:val="24"/>
          <w:szCs w:val="24"/>
        </w:rPr>
      </w:pPr>
      <w:r>
        <w:rPr>
          <w:rFonts w:ascii="宋体" w:hAnsi="宋体" w:eastAsia="宋体" w:cs="宋体"/>
          <w:spacing w:val="-1"/>
          <w:sz w:val="24"/>
          <w:szCs w:val="24"/>
        </w:rPr>
        <w:t>根据《集约化猪场</w:t>
      </w:r>
      <w:r>
        <w:rPr>
          <w:rFonts w:ascii="宋体" w:hAnsi="宋体" w:eastAsia="宋体" w:cs="宋体"/>
          <w:spacing w:val="-63"/>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28"/>
          <w:w w:val="101"/>
          <w:position w:val="-1"/>
          <w:sz w:val="15"/>
          <w:szCs w:val="15"/>
        </w:rPr>
        <w:t xml:space="preserve"> </w:t>
      </w:r>
      <w:r>
        <w:rPr>
          <w:rFonts w:ascii="宋体" w:hAnsi="宋体" w:eastAsia="宋体" w:cs="宋体"/>
          <w:spacing w:val="-1"/>
          <w:sz w:val="24"/>
          <w:szCs w:val="24"/>
        </w:rPr>
        <w:t>的排放系数研究》（代小蓉，浙江大学硕士学位论文</w:t>
      </w:r>
    </w:p>
    <w:p w14:paraId="5A369FD8">
      <w:pPr>
        <w:spacing w:before="140" w:line="370" w:lineRule="auto"/>
        <w:ind w:left="117" w:right="49"/>
        <w:rPr>
          <w:rFonts w:ascii="宋体" w:hAnsi="宋体" w:eastAsia="宋体" w:cs="宋体"/>
          <w:sz w:val="24"/>
          <w:szCs w:val="24"/>
        </w:rPr>
      </w:pPr>
      <w:r>
        <w:rPr>
          <w:rFonts w:ascii="Times New Roman" w:hAnsi="Times New Roman" w:eastAsia="Times New Roman" w:cs="Times New Roman"/>
          <w:spacing w:val="-4"/>
          <w:sz w:val="24"/>
          <w:szCs w:val="24"/>
        </w:rPr>
        <w:t xml:space="preserve">2010 </w:t>
      </w:r>
      <w:r>
        <w:rPr>
          <w:rFonts w:ascii="宋体" w:hAnsi="宋体" w:eastAsia="宋体" w:cs="宋体"/>
          <w:spacing w:val="-4"/>
          <w:sz w:val="24"/>
          <w:szCs w:val="24"/>
        </w:rPr>
        <w:t>年）、《集约化猪场的恶臭排放与扩散研究》（魏波，浙江大学硕士学位论文，</w:t>
      </w:r>
      <w:r>
        <w:rPr>
          <w:rFonts w:ascii="宋体" w:hAnsi="宋体" w:eastAsia="宋体" w:cs="宋体"/>
          <w:spacing w:val="6"/>
          <w:sz w:val="24"/>
          <w:szCs w:val="24"/>
        </w:rPr>
        <w:t xml:space="preserve"> </w:t>
      </w:r>
      <w:r>
        <w:rPr>
          <w:rFonts w:ascii="Times New Roman" w:hAnsi="Times New Roman" w:eastAsia="Times New Roman" w:cs="Times New Roman"/>
          <w:spacing w:val="1"/>
          <w:sz w:val="24"/>
          <w:szCs w:val="24"/>
        </w:rPr>
        <w:t>2011</w:t>
      </w:r>
      <w:r>
        <w:rPr>
          <w:rFonts w:ascii="宋体" w:hAnsi="宋体" w:eastAsia="宋体" w:cs="宋体"/>
          <w:spacing w:val="1"/>
          <w:sz w:val="24"/>
          <w:szCs w:val="24"/>
        </w:rPr>
        <w:t>年）等研究成果表明：①猪舍结构对</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28"/>
          <w:w w:val="102"/>
          <w:position w:val="-1"/>
          <w:sz w:val="15"/>
          <w:szCs w:val="15"/>
        </w:rPr>
        <w:t xml:space="preserve"> </w:t>
      </w:r>
      <w:r>
        <w:rPr>
          <w:rFonts w:ascii="宋体" w:hAnsi="宋体" w:eastAsia="宋体" w:cs="宋体"/>
          <w:sz w:val="24"/>
          <w:szCs w:val="24"/>
        </w:rPr>
        <w:t xml:space="preserve">的转化和损失有很大的影响，猪舍内 </w:t>
      </w:r>
      <w:r>
        <w:rPr>
          <w:rFonts w:ascii="宋体" w:hAnsi="宋体" w:eastAsia="宋体" w:cs="宋体"/>
          <w:spacing w:val="1"/>
          <w:sz w:val="24"/>
          <w:szCs w:val="24"/>
        </w:rPr>
        <w:t>减少漏缝面积和储粪坑挥发表面积可以减少</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1"/>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的挥发，如将地</w:t>
      </w:r>
      <w:r>
        <w:rPr>
          <w:rFonts w:ascii="宋体" w:hAnsi="宋体" w:eastAsia="宋体" w:cs="宋体"/>
          <w:sz w:val="24"/>
          <w:szCs w:val="24"/>
        </w:rPr>
        <w:t>面</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50%</w:t>
      </w:r>
      <w:r>
        <w:rPr>
          <w:rFonts w:ascii="宋体" w:hAnsi="宋体" w:eastAsia="宋体" w:cs="宋体"/>
          <w:sz w:val="24"/>
          <w:szCs w:val="24"/>
        </w:rPr>
        <w:t>漏缝 面积降到</w:t>
      </w:r>
      <w:r>
        <w:rPr>
          <w:rFonts w:ascii="Times New Roman" w:hAnsi="Times New Roman" w:eastAsia="Times New Roman" w:cs="Times New Roman"/>
          <w:sz w:val="24"/>
          <w:szCs w:val="24"/>
        </w:rPr>
        <w:t>25%</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0"/>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 </w:t>
      </w:r>
      <w:r>
        <w:rPr>
          <w:rFonts w:ascii="宋体" w:hAnsi="宋体" w:eastAsia="宋体" w:cs="宋体"/>
          <w:sz w:val="24"/>
          <w:szCs w:val="24"/>
        </w:rPr>
        <w:t>排放量可下降</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20%</w:t>
      </w:r>
      <w:r>
        <w:rPr>
          <w:rFonts w:ascii="宋体" w:hAnsi="宋体" w:eastAsia="宋体" w:cs="宋体"/>
          <w:sz w:val="24"/>
          <w:szCs w:val="24"/>
        </w:rPr>
        <w:t>；②及时清粪可以减少</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1"/>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S60%  </w:t>
      </w:r>
      <w:r>
        <w:rPr>
          <w:rFonts w:ascii="宋体" w:hAnsi="宋体" w:eastAsia="宋体" w:cs="宋体"/>
          <w:spacing w:val="3"/>
          <w:sz w:val="24"/>
          <w:szCs w:val="24"/>
        </w:rPr>
        <w:t>以上的排放量；③机械通风方式下平均通风速率较自然通风速率高</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2~4 </w:t>
      </w:r>
      <w:r>
        <w:rPr>
          <w:rFonts w:ascii="宋体" w:hAnsi="宋体" w:eastAsia="宋体" w:cs="宋体"/>
          <w:spacing w:val="3"/>
          <w:sz w:val="24"/>
          <w:szCs w:val="24"/>
        </w:rPr>
        <w:t>倍，</w:t>
      </w:r>
      <w:r>
        <w:rPr>
          <w:rFonts w:ascii="Times New Roman" w:hAnsi="Times New Roman" w:eastAsia="Times New Roman" w:cs="Times New Roman"/>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8"/>
          <w:position w:val="-1"/>
          <w:sz w:val="15"/>
          <w:szCs w:val="15"/>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 xml:space="preserve">S </w:t>
      </w:r>
      <w:r>
        <w:rPr>
          <w:rFonts w:ascii="宋体" w:hAnsi="宋体" w:eastAsia="宋体" w:cs="宋体"/>
          <w:spacing w:val="-1"/>
          <w:sz w:val="24"/>
          <w:szCs w:val="24"/>
        </w:rPr>
        <w:t>浓度降低</w:t>
      </w:r>
      <w:r>
        <w:rPr>
          <w:rFonts w:ascii="Times New Roman" w:hAnsi="Times New Roman" w:eastAsia="Times New Roman" w:cs="Times New Roman"/>
          <w:spacing w:val="-1"/>
          <w:sz w:val="24"/>
          <w:szCs w:val="24"/>
        </w:rPr>
        <w:t>33%~88%</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，降低猪舍环境温度可以减少猪粪中</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33%~88%NH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的</w:t>
      </w:r>
      <w:r>
        <w:rPr>
          <w:rFonts w:ascii="宋体" w:hAnsi="宋体" w:eastAsia="宋体" w:cs="宋体"/>
          <w:sz w:val="24"/>
          <w:szCs w:val="24"/>
        </w:rPr>
        <w:t xml:space="preserve"> </w:t>
      </w:r>
      <w:r>
        <w:rPr>
          <w:rFonts w:ascii="宋体" w:hAnsi="宋体" w:eastAsia="宋体" w:cs="宋体"/>
          <w:spacing w:val="-2"/>
          <w:sz w:val="24"/>
          <w:szCs w:val="24"/>
        </w:rPr>
        <w:t>产生量。</w:t>
      </w:r>
    </w:p>
    <w:p w14:paraId="694B9E96">
      <w:pPr>
        <w:spacing w:before="95" w:line="373" w:lineRule="auto"/>
        <w:ind w:left="121" w:right="107" w:firstLine="484"/>
        <w:rPr>
          <w:rFonts w:ascii="宋体" w:hAnsi="宋体" w:eastAsia="宋体" w:cs="宋体"/>
          <w:sz w:val="24"/>
          <w:szCs w:val="24"/>
        </w:rPr>
      </w:pPr>
      <w:r>
        <w:rPr>
          <w:rFonts w:ascii="宋体" w:hAnsi="宋体" w:eastAsia="宋体" w:cs="宋体"/>
          <w:spacing w:val="2"/>
          <w:sz w:val="24"/>
          <w:szCs w:val="24"/>
        </w:rPr>
        <w:t>综合所述，项目减少漏缝面积的畜舍结构、采用干清粪工艺清理粪便，通过加</w:t>
      </w:r>
      <w:r>
        <w:rPr>
          <w:rFonts w:ascii="宋体" w:hAnsi="宋体" w:eastAsia="宋体" w:cs="宋体"/>
          <w:spacing w:val="7"/>
          <w:sz w:val="24"/>
          <w:szCs w:val="24"/>
        </w:rPr>
        <w:t xml:space="preserve"> </w:t>
      </w:r>
      <w:r>
        <w:rPr>
          <w:rFonts w:ascii="宋体" w:hAnsi="宋体" w:eastAsia="宋体" w:cs="宋体"/>
          <w:spacing w:val="2"/>
          <w:sz w:val="24"/>
          <w:szCs w:val="24"/>
        </w:rPr>
        <w:t>强猪舍清洁卫生管理、及时清理粪便等方式，保持猪舍清洁；同时在猪舍内安装喷</w:t>
      </w:r>
      <w:r>
        <w:rPr>
          <w:rFonts w:ascii="宋体" w:hAnsi="宋体" w:eastAsia="宋体" w:cs="宋体"/>
          <w:spacing w:val="8"/>
          <w:sz w:val="24"/>
          <w:szCs w:val="24"/>
        </w:rPr>
        <w:t xml:space="preserve"> </w:t>
      </w:r>
      <w:r>
        <w:rPr>
          <w:rFonts w:ascii="宋体" w:hAnsi="宋体" w:eastAsia="宋体" w:cs="宋体"/>
          <w:spacing w:val="2"/>
          <w:sz w:val="24"/>
          <w:szCs w:val="24"/>
        </w:rPr>
        <w:t>雾装置，喷洒生物除臭剂对猪舍进行除臭；对猪舍采取空调、水帘等相结合的方式</w:t>
      </w:r>
      <w:r>
        <w:rPr>
          <w:rFonts w:ascii="宋体" w:hAnsi="宋体" w:eastAsia="宋体" w:cs="宋体"/>
          <w:spacing w:val="8"/>
          <w:sz w:val="24"/>
          <w:szCs w:val="24"/>
        </w:rPr>
        <w:t xml:space="preserve"> </w:t>
      </w:r>
      <w:r>
        <w:rPr>
          <w:rFonts w:ascii="宋体" w:hAnsi="宋体" w:eastAsia="宋体" w:cs="宋体"/>
          <w:spacing w:val="2"/>
          <w:sz w:val="24"/>
          <w:szCs w:val="24"/>
        </w:rPr>
        <w:t>进行猪舍降温；加强机械通风，加速粪便的干燥，减少臭气的排放；在畜舍周围种</w:t>
      </w:r>
      <w:r>
        <w:rPr>
          <w:rFonts w:ascii="宋体" w:hAnsi="宋体" w:eastAsia="宋体" w:cs="宋体"/>
          <w:spacing w:val="8"/>
          <w:sz w:val="24"/>
          <w:szCs w:val="24"/>
        </w:rPr>
        <w:t xml:space="preserve"> </w:t>
      </w:r>
      <w:r>
        <w:rPr>
          <w:rFonts w:ascii="宋体" w:hAnsi="宋体" w:eastAsia="宋体" w:cs="宋体"/>
          <w:spacing w:val="2"/>
          <w:sz w:val="24"/>
          <w:szCs w:val="24"/>
        </w:rPr>
        <w:t>植树木、草皮，植物可吸收恶臭气味，降低恶臭气味的浓度。采取以上措施，可去</w:t>
      </w:r>
      <w:r>
        <w:rPr>
          <w:rFonts w:ascii="宋体" w:hAnsi="宋体" w:eastAsia="宋体" w:cs="宋体"/>
          <w:spacing w:val="8"/>
          <w:sz w:val="24"/>
          <w:szCs w:val="24"/>
        </w:rPr>
        <w:t xml:space="preserve"> </w:t>
      </w:r>
      <w:r>
        <w:rPr>
          <w:rFonts w:ascii="宋体" w:hAnsi="宋体" w:eastAsia="宋体" w:cs="宋体"/>
          <w:spacing w:val="-1"/>
          <w:sz w:val="24"/>
          <w:szCs w:val="24"/>
        </w:rPr>
        <w:t>除</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50%</w:t>
      </w:r>
      <w:r>
        <w:rPr>
          <w:rFonts w:ascii="宋体" w:hAnsi="宋体" w:eastAsia="宋体" w:cs="宋体"/>
          <w:spacing w:val="-1"/>
          <w:sz w:val="24"/>
          <w:szCs w:val="24"/>
        </w:rPr>
        <w:t>的</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 xml:space="preserve">3   </w:t>
      </w:r>
      <w:r>
        <w:rPr>
          <w:rFonts w:ascii="宋体" w:hAnsi="宋体" w:eastAsia="宋体" w:cs="宋体"/>
          <w:spacing w:val="-1"/>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。综合以上管理措施，本项</w:t>
      </w:r>
      <w:r>
        <w:rPr>
          <w:rFonts w:ascii="宋体" w:hAnsi="宋体" w:eastAsia="宋体" w:cs="宋体"/>
          <w:spacing w:val="-2"/>
          <w:sz w:val="24"/>
          <w:szCs w:val="24"/>
        </w:rPr>
        <w:t>目猪舍产生的恶臭通过优化饲料、</w:t>
      </w:r>
      <w:r>
        <w:rPr>
          <w:rFonts w:ascii="宋体" w:hAnsi="宋体" w:eastAsia="宋体" w:cs="宋体"/>
          <w:sz w:val="24"/>
          <w:szCs w:val="24"/>
        </w:rPr>
        <w:t xml:space="preserve"> </w:t>
      </w:r>
      <w:r>
        <w:rPr>
          <w:rFonts w:ascii="宋体" w:hAnsi="宋体" w:eastAsia="宋体" w:cs="宋体"/>
          <w:spacing w:val="2"/>
          <w:sz w:val="24"/>
          <w:szCs w:val="24"/>
        </w:rPr>
        <w:t>喷洒除臭剂、加强绿化、合理布局、加强通风、及时清粪等措施进行处理后无组织</w:t>
      </w:r>
      <w:r>
        <w:rPr>
          <w:rFonts w:ascii="宋体" w:hAnsi="宋体" w:eastAsia="宋体" w:cs="宋体"/>
          <w:spacing w:val="8"/>
          <w:sz w:val="24"/>
          <w:szCs w:val="24"/>
        </w:rPr>
        <w:t xml:space="preserve"> </w:t>
      </w:r>
      <w:r>
        <w:rPr>
          <w:rFonts w:ascii="宋体" w:hAnsi="宋体" w:eastAsia="宋体" w:cs="宋体"/>
          <w:spacing w:val="-5"/>
          <w:sz w:val="24"/>
          <w:szCs w:val="24"/>
        </w:rPr>
        <w:t>排放，以上措施对猪舍</w:t>
      </w:r>
      <w:r>
        <w:rPr>
          <w:rFonts w:ascii="宋体" w:hAnsi="宋体" w:eastAsia="宋体" w:cs="宋体"/>
          <w:spacing w:val="-60"/>
          <w:sz w:val="24"/>
          <w:szCs w:val="24"/>
        </w:rPr>
        <w:t xml:space="preserve"> </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spacing w:val="31"/>
          <w:w w:val="101"/>
          <w:position w:val="-1"/>
          <w:sz w:val="15"/>
          <w:szCs w:val="15"/>
        </w:rPr>
        <w:t xml:space="preserve"> </w:t>
      </w:r>
      <w:r>
        <w:rPr>
          <w:rFonts w:ascii="宋体" w:hAnsi="宋体" w:eastAsia="宋体" w:cs="宋体"/>
          <w:spacing w:val="-5"/>
          <w:sz w:val="24"/>
          <w:szCs w:val="24"/>
        </w:rPr>
        <w:t>的综合处理效率按</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6"/>
          <w:sz w:val="24"/>
          <w:szCs w:val="24"/>
        </w:rPr>
        <w:t>6.3%</w:t>
      </w:r>
      <w:r>
        <w:rPr>
          <w:rFonts w:ascii="宋体" w:hAnsi="宋体" w:eastAsia="宋体" w:cs="宋体"/>
          <w:spacing w:val="-6"/>
          <w:sz w:val="24"/>
          <w:szCs w:val="24"/>
        </w:rPr>
        <w:t>计，对</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6"/>
          <w:sz w:val="24"/>
          <w:szCs w:val="24"/>
        </w:rPr>
        <w:t>S</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的处理效率按</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94.5%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计。则猪只养殖区域</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HN</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34"/>
          <w:position w:val="-1"/>
          <w:sz w:val="15"/>
          <w:szCs w:val="15"/>
        </w:rPr>
        <w:t xml:space="preserve"> </w:t>
      </w:r>
      <w:r>
        <w:rPr>
          <w:rFonts w:ascii="宋体" w:hAnsi="宋体" w:eastAsia="宋体" w:cs="宋体"/>
          <w:spacing w:val="-2"/>
          <w:sz w:val="24"/>
          <w:szCs w:val="24"/>
        </w:rPr>
        <w:t>的排放速率为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0.002kg/h</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的排放速率为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0.0002kg/h</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项目恶臭废气产排情况如下表：</w:t>
      </w:r>
    </w:p>
    <w:p w14:paraId="7B551880">
      <w:pPr>
        <w:spacing w:before="214" w:line="228" w:lineRule="auto"/>
        <w:ind w:left="3060"/>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3.5-4 </w:t>
      </w:r>
      <w:r>
        <w:rPr>
          <w:rFonts w:ascii="宋体" w:hAnsi="宋体" w:eastAsia="宋体" w:cs="宋体"/>
          <w:b/>
          <w:bCs/>
          <w:spacing w:val="4"/>
          <w:sz w:val="20"/>
          <w:szCs w:val="20"/>
        </w:rPr>
        <w:t>猪舍</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4"/>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4"/>
          <w:sz w:val="20"/>
          <w:szCs w:val="20"/>
        </w:rPr>
        <w:t>、</w:t>
      </w:r>
      <w:r>
        <w:rPr>
          <w:rFonts w:ascii="Times New Roman" w:hAnsi="Times New Roman" w:eastAsia="Times New Roman" w:cs="Times New Roman"/>
          <w:b/>
          <w:bCs/>
          <w:spacing w:val="4"/>
          <w:sz w:val="20"/>
          <w:szCs w:val="20"/>
        </w:rPr>
        <w:t>H</w:t>
      </w:r>
      <w:r>
        <w:rPr>
          <w:rFonts w:ascii="Times New Roman" w:hAnsi="Times New Roman" w:eastAsia="Times New Roman" w:cs="Times New Roman"/>
          <w:b/>
          <w:bCs/>
          <w:spacing w:val="4"/>
          <w:position w:val="-1"/>
          <w:sz w:val="13"/>
          <w:szCs w:val="13"/>
        </w:rPr>
        <w:t>2</w:t>
      </w:r>
      <w:r>
        <w:rPr>
          <w:rFonts w:ascii="Times New Roman" w:hAnsi="Times New Roman" w:eastAsia="Times New Roman" w:cs="Times New Roman"/>
          <w:b/>
          <w:bCs/>
          <w:spacing w:val="4"/>
          <w:sz w:val="20"/>
          <w:szCs w:val="20"/>
        </w:rPr>
        <w:t xml:space="preserve">S </w:t>
      </w:r>
      <w:r>
        <w:rPr>
          <w:rFonts w:ascii="宋体" w:hAnsi="宋体" w:eastAsia="宋体" w:cs="宋体"/>
          <w:b/>
          <w:bCs/>
          <w:spacing w:val="4"/>
          <w:sz w:val="20"/>
          <w:szCs w:val="20"/>
        </w:rPr>
        <w:t>产排情况表</w:t>
      </w:r>
    </w:p>
    <w:p w14:paraId="42944FB0">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993"/>
        <w:gridCol w:w="993"/>
        <w:gridCol w:w="993"/>
        <w:gridCol w:w="994"/>
        <w:gridCol w:w="994"/>
        <w:gridCol w:w="993"/>
        <w:gridCol w:w="994"/>
        <w:gridCol w:w="998"/>
      </w:tblGrid>
      <w:tr w14:paraId="37139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8" w:type="dxa"/>
            <w:vMerge w:val="restart"/>
            <w:tcBorders>
              <w:bottom w:val="nil"/>
            </w:tcBorders>
            <w:vAlign w:val="top"/>
          </w:tcPr>
          <w:p w14:paraId="6309930D">
            <w:pPr>
              <w:pStyle w:val="6"/>
              <w:spacing w:before="178" w:line="229" w:lineRule="auto"/>
              <w:ind w:left="309"/>
            </w:pPr>
            <w:r>
              <w:rPr>
                <w:spacing w:val="-3"/>
              </w:rPr>
              <w:t>区域</w:t>
            </w:r>
          </w:p>
        </w:tc>
        <w:tc>
          <w:tcPr>
            <w:tcW w:w="1986" w:type="dxa"/>
            <w:gridSpan w:val="2"/>
            <w:vAlign w:val="top"/>
          </w:tcPr>
          <w:p w14:paraId="2E032DD1">
            <w:pPr>
              <w:pStyle w:val="6"/>
              <w:spacing w:before="37" w:line="273" w:lineRule="exact"/>
              <w:ind w:left="471"/>
            </w:pPr>
            <w:r>
              <w:rPr>
                <w:rFonts w:ascii="Times New Roman" w:hAnsi="Times New Roman" w:eastAsia="Times New Roman" w:cs="Times New Roman"/>
                <w:position w:val="1"/>
              </w:rPr>
              <w:t>NH</w:t>
            </w:r>
            <w:r>
              <w:rPr>
                <w:rFonts w:ascii="Times New Roman" w:hAnsi="Times New Roman" w:eastAsia="Times New Roman" w:cs="Times New Roman"/>
                <w:spacing w:val="9"/>
                <w:sz w:val="13"/>
                <w:szCs w:val="13"/>
              </w:rPr>
              <w:t xml:space="preserve">3 </w:t>
            </w:r>
            <w:r>
              <w:rPr>
                <w:spacing w:val="9"/>
                <w:position w:val="1"/>
              </w:rPr>
              <w:t>产生量</w:t>
            </w:r>
          </w:p>
        </w:tc>
        <w:tc>
          <w:tcPr>
            <w:tcW w:w="1987" w:type="dxa"/>
            <w:gridSpan w:val="2"/>
            <w:vAlign w:val="top"/>
          </w:tcPr>
          <w:p w14:paraId="002013F2">
            <w:pPr>
              <w:pStyle w:val="6"/>
              <w:spacing w:before="37" w:line="273" w:lineRule="exact"/>
              <w:ind w:left="485"/>
            </w:pPr>
            <w:r>
              <w:rPr>
                <w:rFonts w:ascii="Times New Roman" w:hAnsi="Times New Roman" w:eastAsia="Times New Roman" w:cs="Times New Roman"/>
                <w:spacing w:val="5"/>
                <w:position w:val="1"/>
              </w:rPr>
              <w:t>H</w:t>
            </w:r>
            <w:r>
              <w:rPr>
                <w:rFonts w:ascii="Times New Roman" w:hAnsi="Times New Roman" w:eastAsia="Times New Roman" w:cs="Times New Roman"/>
                <w:spacing w:val="5"/>
                <w:sz w:val="13"/>
                <w:szCs w:val="13"/>
              </w:rPr>
              <w:t>2</w:t>
            </w:r>
            <w:r>
              <w:rPr>
                <w:rFonts w:ascii="Times New Roman" w:hAnsi="Times New Roman" w:eastAsia="Times New Roman" w:cs="Times New Roman"/>
                <w:spacing w:val="5"/>
                <w:position w:val="1"/>
              </w:rPr>
              <w:t>S</w:t>
            </w:r>
            <w:r>
              <w:rPr>
                <w:rFonts w:ascii="Times New Roman" w:hAnsi="Times New Roman" w:eastAsia="Times New Roman" w:cs="Times New Roman"/>
                <w:spacing w:val="12"/>
                <w:w w:val="101"/>
                <w:position w:val="1"/>
              </w:rPr>
              <w:t xml:space="preserve"> </w:t>
            </w:r>
            <w:r>
              <w:rPr>
                <w:spacing w:val="5"/>
                <w:position w:val="1"/>
              </w:rPr>
              <w:t>产生量</w:t>
            </w:r>
          </w:p>
        </w:tc>
        <w:tc>
          <w:tcPr>
            <w:tcW w:w="1987" w:type="dxa"/>
            <w:gridSpan w:val="2"/>
            <w:vAlign w:val="top"/>
          </w:tcPr>
          <w:p w14:paraId="29D0078B">
            <w:pPr>
              <w:pStyle w:val="6"/>
              <w:spacing w:before="37" w:line="273" w:lineRule="exact"/>
              <w:ind w:left="472"/>
            </w:pPr>
            <w:r>
              <w:rPr>
                <w:rFonts w:ascii="Times New Roman" w:hAnsi="Times New Roman" w:eastAsia="Times New Roman" w:cs="Times New Roman"/>
                <w:position w:val="1"/>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w w:val="101"/>
                <w:sz w:val="13"/>
                <w:szCs w:val="13"/>
              </w:rPr>
              <w:t xml:space="preserve"> </w:t>
            </w:r>
            <w:r>
              <w:rPr>
                <w:spacing w:val="10"/>
                <w:position w:val="1"/>
              </w:rPr>
              <w:t>排放量</w:t>
            </w:r>
          </w:p>
        </w:tc>
        <w:tc>
          <w:tcPr>
            <w:tcW w:w="1992" w:type="dxa"/>
            <w:gridSpan w:val="2"/>
            <w:vAlign w:val="top"/>
          </w:tcPr>
          <w:p w14:paraId="14F5C89B">
            <w:pPr>
              <w:pStyle w:val="6"/>
              <w:spacing w:before="37" w:line="273" w:lineRule="exact"/>
              <w:ind w:left="488"/>
            </w:pPr>
            <w:r>
              <w:rPr>
                <w:rFonts w:ascii="Times New Roman" w:hAnsi="Times New Roman" w:eastAsia="Times New Roman" w:cs="Times New Roman"/>
                <w:spacing w:val="5"/>
                <w:position w:val="1"/>
              </w:rPr>
              <w:t>H</w:t>
            </w:r>
            <w:r>
              <w:rPr>
                <w:rFonts w:ascii="Times New Roman" w:hAnsi="Times New Roman" w:eastAsia="Times New Roman" w:cs="Times New Roman"/>
                <w:spacing w:val="5"/>
                <w:sz w:val="13"/>
                <w:szCs w:val="13"/>
              </w:rPr>
              <w:t>2</w:t>
            </w:r>
            <w:r>
              <w:rPr>
                <w:rFonts w:ascii="Times New Roman" w:hAnsi="Times New Roman" w:eastAsia="Times New Roman" w:cs="Times New Roman"/>
                <w:spacing w:val="5"/>
                <w:position w:val="1"/>
              </w:rPr>
              <w:t>S</w:t>
            </w:r>
            <w:r>
              <w:rPr>
                <w:rFonts w:ascii="Times New Roman" w:hAnsi="Times New Roman" w:eastAsia="Times New Roman" w:cs="Times New Roman"/>
                <w:spacing w:val="12"/>
                <w:w w:val="101"/>
                <w:position w:val="1"/>
              </w:rPr>
              <w:t xml:space="preserve"> </w:t>
            </w:r>
            <w:r>
              <w:rPr>
                <w:spacing w:val="5"/>
                <w:position w:val="1"/>
              </w:rPr>
              <w:t>排放量</w:t>
            </w:r>
          </w:p>
        </w:tc>
      </w:tr>
      <w:tr w14:paraId="2415F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98" w:type="dxa"/>
            <w:vMerge w:val="continue"/>
            <w:tcBorders>
              <w:top w:val="nil"/>
            </w:tcBorders>
            <w:vAlign w:val="top"/>
          </w:tcPr>
          <w:p w14:paraId="6B005557">
            <w:pPr>
              <w:rPr>
                <w:rFonts w:ascii="Arial"/>
                <w:sz w:val="21"/>
              </w:rPr>
            </w:pPr>
          </w:p>
        </w:tc>
        <w:tc>
          <w:tcPr>
            <w:tcW w:w="993" w:type="dxa"/>
            <w:vAlign w:val="top"/>
          </w:tcPr>
          <w:p w14:paraId="07C73D12">
            <w:pPr>
              <w:spacing w:line="261"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3" w:type="dxa"/>
            <w:vAlign w:val="top"/>
          </w:tcPr>
          <w:p w14:paraId="11AA9B74">
            <w:pPr>
              <w:spacing w:line="261"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993" w:type="dxa"/>
            <w:vAlign w:val="top"/>
          </w:tcPr>
          <w:p w14:paraId="22AB2EB4">
            <w:pPr>
              <w:spacing w:line="261"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4" w:type="dxa"/>
            <w:vAlign w:val="top"/>
          </w:tcPr>
          <w:p w14:paraId="4C9055C2">
            <w:pPr>
              <w:spacing w:line="261"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994" w:type="dxa"/>
            <w:vAlign w:val="top"/>
          </w:tcPr>
          <w:p w14:paraId="03C66C16">
            <w:pPr>
              <w:spacing w:line="261"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3" w:type="dxa"/>
            <w:vAlign w:val="top"/>
          </w:tcPr>
          <w:p w14:paraId="4E26EDE5">
            <w:pPr>
              <w:spacing w:line="261" w:lineRule="exact"/>
              <w:ind w:left="31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994" w:type="dxa"/>
            <w:vAlign w:val="top"/>
          </w:tcPr>
          <w:p w14:paraId="1ECD8805">
            <w:pPr>
              <w:spacing w:line="261"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8" w:type="dxa"/>
            <w:vAlign w:val="top"/>
          </w:tcPr>
          <w:p w14:paraId="5A2A4B70">
            <w:pPr>
              <w:spacing w:line="261"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r>
      <w:tr w14:paraId="0FBA7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8" w:type="dxa"/>
            <w:vAlign w:val="top"/>
          </w:tcPr>
          <w:p w14:paraId="329068B3">
            <w:pPr>
              <w:pStyle w:val="6"/>
              <w:spacing w:before="34" w:line="229" w:lineRule="auto"/>
              <w:ind w:left="294"/>
            </w:pPr>
            <w:r>
              <w:rPr>
                <w:spacing w:val="4"/>
              </w:rPr>
              <w:t>猪舍</w:t>
            </w:r>
          </w:p>
        </w:tc>
        <w:tc>
          <w:tcPr>
            <w:tcW w:w="993" w:type="dxa"/>
            <w:vAlign w:val="top"/>
          </w:tcPr>
          <w:p w14:paraId="10FF31F9">
            <w:pPr>
              <w:spacing w:before="6"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993" w:type="dxa"/>
            <w:vAlign w:val="top"/>
          </w:tcPr>
          <w:p w14:paraId="1AF3C4A8">
            <w:pPr>
              <w:spacing w:before="6" w:line="274"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0.058</w:t>
            </w:r>
          </w:p>
        </w:tc>
        <w:tc>
          <w:tcPr>
            <w:tcW w:w="993" w:type="dxa"/>
            <w:vAlign w:val="top"/>
          </w:tcPr>
          <w:p w14:paraId="4446210F">
            <w:pPr>
              <w:spacing w:before="6"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994" w:type="dxa"/>
            <w:vAlign w:val="top"/>
          </w:tcPr>
          <w:p w14:paraId="4D9384E9">
            <w:pPr>
              <w:spacing w:before="6"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0.0035</w:t>
            </w:r>
          </w:p>
        </w:tc>
        <w:tc>
          <w:tcPr>
            <w:tcW w:w="994" w:type="dxa"/>
            <w:vAlign w:val="top"/>
          </w:tcPr>
          <w:p w14:paraId="21D238FD">
            <w:pPr>
              <w:spacing w:before="6"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993" w:type="dxa"/>
            <w:vAlign w:val="top"/>
          </w:tcPr>
          <w:p w14:paraId="14ADE638">
            <w:pPr>
              <w:spacing w:before="6" w:line="274"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994" w:type="dxa"/>
            <w:vAlign w:val="top"/>
          </w:tcPr>
          <w:p w14:paraId="7D320061">
            <w:pPr>
              <w:spacing w:before="6" w:line="274"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998" w:type="dxa"/>
            <w:vAlign w:val="top"/>
          </w:tcPr>
          <w:p w14:paraId="365A1B44">
            <w:pPr>
              <w:spacing w:before="6"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r>
    </w:tbl>
    <w:p w14:paraId="59817D46">
      <w:pPr>
        <w:pStyle w:val="2"/>
        <w:spacing w:line="246" w:lineRule="auto"/>
      </w:pPr>
    </w:p>
    <w:p w14:paraId="659F5762">
      <w:pPr>
        <w:spacing w:before="78"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）有机肥发酵车间</w:t>
      </w:r>
    </w:p>
    <w:p w14:paraId="60B30ACC">
      <w:pPr>
        <w:spacing w:before="143" w:line="346" w:lineRule="auto"/>
        <w:ind w:left="122" w:right="108" w:firstLine="481"/>
        <w:rPr>
          <w:rFonts w:ascii="宋体" w:hAnsi="宋体" w:eastAsia="宋体" w:cs="宋体"/>
          <w:sz w:val="24"/>
          <w:szCs w:val="24"/>
        </w:rPr>
      </w:pPr>
      <w:r>
        <w:rPr>
          <w:rFonts w:ascii="宋体" w:hAnsi="宋体" w:eastAsia="宋体" w:cs="宋体"/>
          <w:spacing w:val="2"/>
          <w:sz w:val="24"/>
          <w:szCs w:val="24"/>
        </w:rPr>
        <w:t>本项目设有有机肥发酵车间处理猪只产生的粪污，有机肥发酵车间位于猪舍东</w:t>
      </w:r>
      <w:r>
        <w:rPr>
          <w:rFonts w:ascii="宋体" w:hAnsi="宋体" w:eastAsia="宋体" w:cs="宋体"/>
          <w:spacing w:val="9"/>
          <w:sz w:val="24"/>
          <w:szCs w:val="24"/>
        </w:rPr>
        <w:t xml:space="preserve"> </w:t>
      </w:r>
      <w:r>
        <w:rPr>
          <w:rFonts w:ascii="宋体" w:hAnsi="宋体" w:eastAsia="宋体" w:cs="宋体"/>
          <w:spacing w:val="-4"/>
          <w:sz w:val="24"/>
          <w:szCs w:val="24"/>
        </w:rPr>
        <w:t>北面，面积为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1650m</w:t>
      </w:r>
      <w:r>
        <w:rPr>
          <w:rFonts w:ascii="Times New Roman" w:hAnsi="Times New Roman" w:eastAsia="Times New Roman" w:cs="Times New Roman"/>
          <w:spacing w:val="-4"/>
          <w:position w:val="7"/>
          <w:sz w:val="15"/>
          <w:szCs w:val="15"/>
        </w:rPr>
        <w:t>2</w:t>
      </w:r>
      <w:r>
        <w:rPr>
          <w:rFonts w:ascii="宋体" w:hAnsi="宋体" w:eastAsia="宋体" w:cs="宋体"/>
          <w:spacing w:val="-4"/>
          <w:sz w:val="24"/>
          <w:szCs w:val="24"/>
        </w:rPr>
        <w:t>，项目有机肥发酵车间每天工作</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w:t>
      </w:r>
      <w:r>
        <w:rPr>
          <w:rFonts w:ascii="宋体" w:hAnsi="宋体" w:eastAsia="宋体" w:cs="宋体"/>
          <w:spacing w:val="-5"/>
          <w:sz w:val="24"/>
          <w:szCs w:val="24"/>
        </w:rPr>
        <w:t>本项目有机肥车间发</w:t>
      </w:r>
      <w:r>
        <w:rPr>
          <w:rFonts w:ascii="宋体" w:hAnsi="宋体" w:eastAsia="宋体" w:cs="宋体"/>
          <w:sz w:val="24"/>
          <w:szCs w:val="24"/>
        </w:rPr>
        <w:t xml:space="preserve"> </w:t>
      </w:r>
      <w:r>
        <w:rPr>
          <w:rFonts w:ascii="宋体" w:hAnsi="宋体" w:eastAsia="宋体" w:cs="宋体"/>
          <w:spacing w:val="2"/>
          <w:sz w:val="24"/>
          <w:szCs w:val="24"/>
        </w:rPr>
        <w:t>酵过程中主要在一定条件下通过微生物的作用，使有机物不断被降解和稳定，有机</w:t>
      </w:r>
      <w:r>
        <w:rPr>
          <w:rFonts w:ascii="宋体" w:hAnsi="宋体" w:eastAsia="宋体" w:cs="宋体"/>
          <w:spacing w:val="7"/>
          <w:sz w:val="24"/>
          <w:szCs w:val="24"/>
        </w:rPr>
        <w:t xml:space="preserve"> </w:t>
      </w:r>
      <w:r>
        <w:rPr>
          <w:rFonts w:ascii="宋体" w:hAnsi="宋体" w:eastAsia="宋体" w:cs="宋体"/>
          <w:spacing w:val="-2"/>
          <w:sz w:val="24"/>
          <w:szCs w:val="24"/>
        </w:rPr>
        <w:t>物降解过程中会产生恶臭，恶臭的主要成分是</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3</w:t>
      </w:r>
      <w:r>
        <w:rPr>
          <w:rFonts w:ascii="宋体" w:hAnsi="宋体" w:eastAsia="宋体" w:cs="宋体"/>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，恶臭气</w:t>
      </w:r>
      <w:r>
        <w:rPr>
          <w:rFonts w:ascii="宋体" w:hAnsi="宋体" w:eastAsia="宋体" w:cs="宋体"/>
          <w:spacing w:val="-3"/>
          <w:sz w:val="24"/>
          <w:szCs w:val="24"/>
        </w:rPr>
        <w:t>体的产生量与发酵</w:t>
      </w:r>
      <w:r>
        <w:rPr>
          <w:rFonts w:ascii="宋体" w:hAnsi="宋体" w:eastAsia="宋体" w:cs="宋体"/>
          <w:sz w:val="24"/>
          <w:szCs w:val="24"/>
        </w:rPr>
        <w:t xml:space="preserve"> </w:t>
      </w:r>
      <w:r>
        <w:rPr>
          <w:rFonts w:ascii="宋体" w:hAnsi="宋体" w:eastAsia="宋体" w:cs="宋体"/>
          <w:spacing w:val="-6"/>
          <w:sz w:val="24"/>
          <w:szCs w:val="24"/>
        </w:rPr>
        <w:t>温度、发酵量有关。参考文献《除臭菌株对</w:t>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10"/>
          <w:w w:val="102"/>
          <w:position w:val="-1"/>
          <w:sz w:val="15"/>
          <w:szCs w:val="15"/>
        </w:rPr>
        <w:t xml:space="preserve"> </w:t>
      </w:r>
      <w:r>
        <w:rPr>
          <w:rFonts w:ascii="宋体" w:hAnsi="宋体" w:eastAsia="宋体" w:cs="宋体"/>
          <w:spacing w:val="-6"/>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6"/>
          <w:sz w:val="24"/>
          <w:szCs w:val="24"/>
        </w:rPr>
        <w:t xml:space="preserve">S </w:t>
      </w:r>
      <w:r>
        <w:rPr>
          <w:rFonts w:ascii="宋体" w:hAnsi="宋体" w:eastAsia="宋体" w:cs="宋体"/>
          <w:spacing w:val="-6"/>
          <w:sz w:val="24"/>
          <w:szCs w:val="24"/>
        </w:rPr>
        <w:t>释放及物质转化的</w:t>
      </w:r>
      <w:r>
        <w:rPr>
          <w:rFonts w:ascii="宋体" w:hAnsi="宋体" w:eastAsia="宋体" w:cs="宋体"/>
          <w:spacing w:val="-7"/>
          <w:sz w:val="24"/>
          <w:szCs w:val="24"/>
        </w:rPr>
        <w:t>影响》（农</w:t>
      </w:r>
      <w:r>
        <w:rPr>
          <w:rFonts w:ascii="宋体" w:hAnsi="宋体" w:eastAsia="宋体" w:cs="宋体"/>
          <w:sz w:val="24"/>
          <w:szCs w:val="24"/>
        </w:rPr>
        <w:t xml:space="preserve"> </w:t>
      </w:r>
      <w:r>
        <w:rPr>
          <w:rFonts w:ascii="宋体" w:hAnsi="宋体" w:eastAsia="宋体" w:cs="宋体"/>
          <w:spacing w:val="-2"/>
          <w:sz w:val="24"/>
          <w:szCs w:val="24"/>
        </w:rPr>
        <w:t>业环境科学学报，</w:t>
      </w:r>
      <w:r>
        <w:rPr>
          <w:rFonts w:ascii="Times New Roman" w:hAnsi="Times New Roman" w:eastAsia="Times New Roman" w:cs="Times New Roman"/>
          <w:spacing w:val="-2"/>
          <w:sz w:val="24"/>
          <w:szCs w:val="24"/>
        </w:rPr>
        <w:t xml:space="preserve">2011 </w:t>
      </w:r>
      <w:r>
        <w:rPr>
          <w:rFonts w:ascii="宋体" w:hAnsi="宋体" w:eastAsia="宋体" w:cs="宋体"/>
          <w:spacing w:val="-2"/>
          <w:sz w:val="24"/>
          <w:szCs w:val="24"/>
        </w:rPr>
        <w:t>年第</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期</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卷，</w:t>
      </w:r>
      <w:r>
        <w:rPr>
          <w:rFonts w:ascii="Times New Roman" w:hAnsi="Times New Roman" w:eastAsia="Times New Roman" w:cs="Times New Roman"/>
          <w:spacing w:val="-2"/>
          <w:sz w:val="24"/>
          <w:szCs w:val="24"/>
        </w:rPr>
        <w:t>P585-590</w:t>
      </w:r>
      <w:r>
        <w:rPr>
          <w:rFonts w:ascii="宋体" w:hAnsi="宋体" w:eastAsia="宋体" w:cs="宋体"/>
          <w:spacing w:val="-2"/>
          <w:sz w:val="24"/>
          <w:szCs w:val="24"/>
        </w:rPr>
        <w:t>）中实验数据进行计算，不投加除</w:t>
      </w:r>
    </w:p>
    <w:p w14:paraId="55847603">
      <w:pPr>
        <w:spacing w:line="346" w:lineRule="auto"/>
        <w:rPr>
          <w:rFonts w:ascii="宋体" w:hAnsi="宋体" w:eastAsia="宋体" w:cs="宋体"/>
          <w:sz w:val="24"/>
          <w:szCs w:val="24"/>
        </w:rPr>
        <w:sectPr>
          <w:footerReference r:id="rId79" w:type="default"/>
          <w:pgSz w:w="11906" w:h="16839"/>
          <w:pgMar w:top="400" w:right="1475" w:bottom="1485" w:left="1475" w:header="0" w:footer="1249" w:gutter="0"/>
          <w:cols w:space="720" w:num="1"/>
        </w:sectPr>
      </w:pPr>
    </w:p>
    <w:p w14:paraId="2E215099">
      <w:pPr>
        <w:pStyle w:val="2"/>
        <w:spacing w:line="310" w:lineRule="auto"/>
      </w:pPr>
    </w:p>
    <w:p w14:paraId="4F38B7FB">
      <w:pPr>
        <w:pStyle w:val="2"/>
        <w:spacing w:line="310" w:lineRule="auto"/>
      </w:pPr>
    </w:p>
    <w:p w14:paraId="72F89160">
      <w:pPr>
        <w:pStyle w:val="2"/>
        <w:spacing w:line="310" w:lineRule="auto"/>
      </w:pPr>
    </w:p>
    <w:p w14:paraId="292651F7">
      <w:pPr>
        <w:spacing w:before="78" w:line="357" w:lineRule="auto"/>
        <w:ind w:left="121" w:right="24" w:firstLine="1"/>
        <w:jc w:val="both"/>
        <w:rPr>
          <w:rFonts w:ascii="宋体" w:hAnsi="宋体" w:eastAsia="宋体" w:cs="宋体"/>
          <w:sz w:val="24"/>
          <w:szCs w:val="24"/>
        </w:rPr>
      </w:pPr>
      <w:r>
        <w:rPr>
          <w:rFonts w:ascii="宋体" w:hAnsi="宋体" w:eastAsia="宋体" w:cs="宋体"/>
          <w:sz w:val="24"/>
          <w:szCs w:val="24"/>
        </w:rPr>
        <w:t>臭菌剂的有机肥发酵过程日最大排放系数为</w:t>
      </w:r>
      <w:r>
        <w:rPr>
          <w:rFonts w:ascii="宋体" w:hAnsi="宋体" w:eastAsia="宋体" w:cs="宋体"/>
          <w:spacing w:val="-65"/>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9"/>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0.30g/k</w:t>
      </w:r>
      <w:r>
        <w:rPr>
          <w:rFonts w:ascii="Times New Roman" w:hAnsi="Times New Roman" w:eastAsia="Times New Roman" w:cs="Times New Roman"/>
          <w:spacing w:val="-1"/>
          <w:sz w:val="24"/>
          <w:szCs w:val="24"/>
        </w:rPr>
        <w:t>g-</w:t>
      </w:r>
      <w:r>
        <w:rPr>
          <w:rFonts w:ascii="宋体" w:hAnsi="宋体" w:eastAsia="宋体" w:cs="宋体"/>
          <w:spacing w:val="-1"/>
          <w:sz w:val="24"/>
          <w:szCs w:val="24"/>
        </w:rPr>
        <w:t>干产品、</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r>
        <w:rPr>
          <w:rFonts w:ascii="Times New Roman" w:hAnsi="Times New Roman" w:eastAsia="Times New Roman" w:cs="Times New Roman"/>
          <w:spacing w:val="-1"/>
          <w:sz w:val="24"/>
          <w:szCs w:val="24"/>
        </w:rPr>
        <w:t>0.06g/kg-</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干产品。根据后文</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3.5.4 </w:t>
      </w:r>
      <w:r>
        <w:rPr>
          <w:rFonts w:ascii="宋体" w:hAnsi="宋体" w:eastAsia="宋体" w:cs="宋体"/>
          <w:spacing w:val="-3"/>
          <w:sz w:val="24"/>
          <w:szCs w:val="24"/>
        </w:rPr>
        <w:t>分析，项目新鲜粪便量为</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14t/d</w:t>
      </w:r>
      <w:r>
        <w:rPr>
          <w:rFonts w:ascii="宋体" w:hAnsi="宋体" w:eastAsia="宋体" w:cs="宋体"/>
          <w:spacing w:val="-3"/>
          <w:sz w:val="24"/>
          <w:szCs w:val="24"/>
        </w:rPr>
        <w:t>（</w:t>
      </w:r>
      <w:r>
        <w:rPr>
          <w:rFonts w:ascii="Times New Roman" w:hAnsi="Times New Roman" w:eastAsia="Times New Roman" w:cs="Times New Roman"/>
          <w:spacing w:val="-3"/>
          <w:sz w:val="24"/>
          <w:szCs w:val="24"/>
        </w:rPr>
        <w:t>5110t/a</w:t>
      </w:r>
      <w:r>
        <w:rPr>
          <w:rFonts w:ascii="宋体" w:hAnsi="宋体" w:eastAsia="宋体" w:cs="宋体"/>
          <w:spacing w:val="-8"/>
          <w:sz w:val="24"/>
          <w:szCs w:val="24"/>
        </w:rPr>
        <w:t>），</w:t>
      </w:r>
      <w:r>
        <w:rPr>
          <w:rFonts w:ascii="宋体" w:hAnsi="宋体" w:eastAsia="宋体" w:cs="宋体"/>
          <w:spacing w:val="-3"/>
          <w:sz w:val="24"/>
          <w:szCs w:val="24"/>
        </w:rPr>
        <w:t>新鲜粪便含水率</w:t>
      </w:r>
      <w:r>
        <w:rPr>
          <w:rFonts w:ascii="宋体" w:hAnsi="宋体" w:eastAsia="宋体" w:cs="宋体"/>
          <w:sz w:val="24"/>
          <w:szCs w:val="24"/>
        </w:rPr>
        <w:t xml:space="preserve"> </w:t>
      </w:r>
      <w:r>
        <w:rPr>
          <w:rFonts w:ascii="宋体" w:hAnsi="宋体" w:eastAsia="宋体" w:cs="宋体"/>
          <w:spacing w:val="-3"/>
          <w:sz w:val="24"/>
          <w:szCs w:val="24"/>
        </w:rPr>
        <w:t>约为</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60%</w:t>
      </w:r>
      <w:r>
        <w:rPr>
          <w:rFonts w:ascii="宋体" w:hAnsi="宋体" w:eastAsia="宋体" w:cs="宋体"/>
          <w:spacing w:val="-3"/>
          <w:sz w:val="24"/>
          <w:szCs w:val="24"/>
        </w:rPr>
        <w:t>，则项目干粪便量为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5.6t/d</w:t>
      </w:r>
      <w:r>
        <w:rPr>
          <w:rFonts w:ascii="宋体" w:hAnsi="宋体" w:eastAsia="宋体" w:cs="宋体"/>
          <w:spacing w:val="-3"/>
          <w:sz w:val="24"/>
          <w:szCs w:val="24"/>
        </w:rPr>
        <w:t>（</w:t>
      </w:r>
      <w:r>
        <w:rPr>
          <w:rFonts w:ascii="Times New Roman" w:hAnsi="Times New Roman" w:eastAsia="Times New Roman" w:cs="Times New Roman"/>
          <w:spacing w:val="-3"/>
          <w:sz w:val="24"/>
          <w:szCs w:val="24"/>
        </w:rPr>
        <w:t>2044t/a</w:t>
      </w:r>
      <w:r>
        <w:rPr>
          <w:rFonts w:ascii="宋体" w:hAnsi="宋体" w:eastAsia="宋体" w:cs="宋体"/>
          <w:spacing w:val="-3"/>
          <w:sz w:val="24"/>
          <w:szCs w:val="24"/>
        </w:rPr>
        <w:t>）。则项目有机肥发酵车间的</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sz w:val="24"/>
          <w:szCs w:val="24"/>
        </w:rPr>
        <w:t>产生</w:t>
      </w:r>
      <w:r>
        <w:rPr>
          <w:rFonts w:ascii="宋体" w:hAnsi="宋体" w:eastAsia="宋体" w:cs="宋体"/>
          <w:sz w:val="24"/>
          <w:szCs w:val="24"/>
        </w:rPr>
        <w:t xml:space="preserve"> </w:t>
      </w:r>
      <w:r>
        <w:rPr>
          <w:rFonts w:ascii="宋体" w:hAnsi="宋体" w:eastAsia="宋体" w:cs="宋体"/>
          <w:spacing w:val="-6"/>
          <w:sz w:val="24"/>
          <w:szCs w:val="24"/>
        </w:rPr>
        <w:t>量为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0.613t/a</w:t>
      </w:r>
      <w:r>
        <w:rPr>
          <w:rFonts w:ascii="宋体" w:hAnsi="宋体" w:eastAsia="宋体" w:cs="宋体"/>
          <w:spacing w:val="-6"/>
          <w:sz w:val="24"/>
          <w:szCs w:val="24"/>
        </w:rPr>
        <w:t>，产生速率为</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0.07kg/h</w:t>
      </w:r>
      <w:r>
        <w:rPr>
          <w:rFonts w:ascii="宋体" w:hAnsi="宋体" w:eastAsia="宋体" w:cs="宋体"/>
          <w:spacing w:val="-6"/>
          <w:sz w:val="24"/>
          <w:szCs w:val="24"/>
        </w:rPr>
        <w:t>；</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6"/>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的产生量为</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0.123t/a</w:t>
      </w:r>
      <w:r>
        <w:rPr>
          <w:rFonts w:ascii="宋体" w:hAnsi="宋体" w:eastAsia="宋体" w:cs="宋体"/>
          <w:spacing w:val="-6"/>
          <w:sz w:val="24"/>
          <w:szCs w:val="24"/>
        </w:rPr>
        <w:t>，产生速率为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7"/>
          <w:sz w:val="24"/>
          <w:szCs w:val="24"/>
        </w:rPr>
        <w:t>.014kg/h</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根据《自然科学》现代化农业，</w:t>
      </w:r>
      <w:r>
        <w:rPr>
          <w:rFonts w:ascii="Times New Roman" w:hAnsi="Times New Roman" w:eastAsia="Times New Roman" w:cs="Times New Roman"/>
          <w:spacing w:val="1"/>
          <w:sz w:val="24"/>
          <w:szCs w:val="24"/>
        </w:rPr>
        <w:t>2011</w:t>
      </w:r>
      <w:r>
        <w:rPr>
          <w:rFonts w:ascii="宋体" w:hAnsi="宋体" w:eastAsia="宋体" w:cs="宋体"/>
          <w:spacing w:val="1"/>
          <w:sz w:val="24"/>
          <w:szCs w:val="24"/>
        </w:rPr>
        <w:t>年第</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期（总第</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383 </w:t>
      </w:r>
      <w:r>
        <w:rPr>
          <w:rFonts w:ascii="宋体" w:hAnsi="宋体" w:eastAsia="宋体" w:cs="宋体"/>
          <w:spacing w:val="1"/>
          <w:sz w:val="24"/>
          <w:szCs w:val="24"/>
        </w:rPr>
        <w:t>期）《微生物除臭剂研究</w:t>
      </w:r>
      <w:r>
        <w:rPr>
          <w:rFonts w:ascii="宋体" w:hAnsi="宋体" w:eastAsia="宋体" w:cs="宋体"/>
          <w:sz w:val="24"/>
          <w:szCs w:val="24"/>
        </w:rPr>
        <w:t xml:space="preserve"> </w:t>
      </w:r>
      <w:r>
        <w:rPr>
          <w:rFonts w:ascii="宋体" w:hAnsi="宋体" w:eastAsia="宋体" w:cs="宋体"/>
          <w:spacing w:val="2"/>
          <w:sz w:val="24"/>
          <w:szCs w:val="24"/>
        </w:rPr>
        <w:t>进展》（赵晓锋，隋文志）的资料，经国家环境分析测试中心和陕西环境监测中心</w:t>
      </w:r>
      <w:r>
        <w:rPr>
          <w:rFonts w:ascii="宋体" w:hAnsi="宋体" w:eastAsia="宋体" w:cs="宋体"/>
          <w:spacing w:val="8"/>
          <w:sz w:val="24"/>
          <w:szCs w:val="24"/>
        </w:rPr>
        <w:t xml:space="preserve"> </w:t>
      </w:r>
      <w:r>
        <w:rPr>
          <w:rFonts w:ascii="宋体" w:hAnsi="宋体" w:eastAsia="宋体" w:cs="宋体"/>
          <w:spacing w:val="2"/>
          <w:sz w:val="24"/>
          <w:szCs w:val="24"/>
        </w:rPr>
        <w:t>测试养殖场生物除臭剂（大力克、万洁芬等）对</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2"/>
          <w:sz w:val="24"/>
          <w:szCs w:val="24"/>
        </w:rPr>
        <w:t>和</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2"/>
          <w:w w:val="101"/>
          <w:sz w:val="24"/>
          <w:szCs w:val="24"/>
        </w:rPr>
        <w:t xml:space="preserve"> </w:t>
      </w:r>
      <w:r>
        <w:rPr>
          <w:rFonts w:ascii="宋体" w:hAnsi="宋体" w:eastAsia="宋体" w:cs="宋体"/>
          <w:spacing w:val="2"/>
          <w:sz w:val="24"/>
          <w:szCs w:val="24"/>
        </w:rPr>
        <w:t>的去除效率按</w:t>
      </w:r>
      <w:r>
        <w:rPr>
          <w:rFonts w:ascii="Times New Roman" w:hAnsi="Times New Roman" w:eastAsia="Times New Roman" w:cs="Times New Roman"/>
          <w:spacing w:val="2"/>
          <w:sz w:val="24"/>
          <w:szCs w:val="24"/>
        </w:rPr>
        <w:t>92.</w:t>
      </w:r>
      <w:r>
        <w:rPr>
          <w:rFonts w:ascii="Times New Roman" w:hAnsi="Times New Roman" w:eastAsia="Times New Roman" w:cs="Times New Roman"/>
          <w:spacing w:val="1"/>
          <w:sz w:val="24"/>
          <w:szCs w:val="24"/>
        </w:rPr>
        <w:t>6%</w:t>
      </w:r>
      <w:r>
        <w:rPr>
          <w:rFonts w:ascii="宋体" w:hAnsi="宋体" w:eastAsia="宋体" w:cs="宋体"/>
          <w:spacing w:val="1"/>
          <w:sz w:val="24"/>
          <w:szCs w:val="24"/>
        </w:rPr>
        <w:t>和</w:t>
      </w:r>
      <w:r>
        <w:rPr>
          <w:rFonts w:ascii="宋体" w:hAnsi="宋体" w:eastAsia="宋体" w:cs="宋体"/>
          <w:sz w:val="24"/>
          <w:szCs w:val="24"/>
        </w:rPr>
        <w:t xml:space="preserve"> </w:t>
      </w:r>
      <w:r>
        <w:rPr>
          <w:rFonts w:ascii="Times New Roman" w:hAnsi="Times New Roman" w:eastAsia="Times New Roman" w:cs="Times New Roman"/>
          <w:spacing w:val="-3"/>
          <w:sz w:val="24"/>
          <w:szCs w:val="24"/>
        </w:rPr>
        <w:t>89%</w:t>
      </w:r>
      <w:r>
        <w:rPr>
          <w:rFonts w:ascii="宋体" w:hAnsi="宋体" w:eastAsia="宋体" w:cs="宋体"/>
          <w:spacing w:val="-3"/>
          <w:sz w:val="24"/>
          <w:szCs w:val="24"/>
        </w:rPr>
        <w:t>。项目有机肥发酵车间加生物除臭剂到集污切粪池内进行除臭，延</w:t>
      </w:r>
      <w:r>
        <w:rPr>
          <w:rFonts w:ascii="宋体" w:hAnsi="宋体" w:eastAsia="宋体" w:cs="宋体"/>
          <w:spacing w:val="-4"/>
          <w:sz w:val="24"/>
          <w:szCs w:val="24"/>
        </w:rPr>
        <w:t>长了除臭剂与</w:t>
      </w:r>
      <w:r>
        <w:rPr>
          <w:rFonts w:ascii="宋体" w:hAnsi="宋体" w:eastAsia="宋体" w:cs="宋体"/>
          <w:sz w:val="24"/>
          <w:szCs w:val="24"/>
        </w:rPr>
        <w:t xml:space="preserve"> </w:t>
      </w:r>
      <w:r>
        <w:rPr>
          <w:rFonts w:ascii="宋体" w:hAnsi="宋体" w:eastAsia="宋体" w:cs="宋体"/>
          <w:spacing w:val="2"/>
          <w:sz w:val="24"/>
          <w:szCs w:val="24"/>
        </w:rPr>
        <w:t>粪污的接触时间，并在有机肥发酵车间出风口处喷洒除臭剂，因此有机肥发酵车间</w:t>
      </w:r>
      <w:r>
        <w:rPr>
          <w:rFonts w:ascii="宋体" w:hAnsi="宋体" w:eastAsia="宋体" w:cs="宋体"/>
          <w:spacing w:val="8"/>
          <w:sz w:val="24"/>
          <w:szCs w:val="24"/>
        </w:rPr>
        <w:t xml:space="preserve"> </w:t>
      </w:r>
      <w:r>
        <w:rPr>
          <w:rFonts w:ascii="宋体" w:hAnsi="宋体" w:eastAsia="宋体" w:cs="宋体"/>
          <w:spacing w:val="-1"/>
          <w:sz w:val="24"/>
          <w:szCs w:val="24"/>
        </w:rPr>
        <w:t>除臭效率会更高，对</w:t>
      </w:r>
      <w:r>
        <w:rPr>
          <w:rFonts w:ascii="宋体" w:hAnsi="宋体" w:eastAsia="宋体" w:cs="宋体"/>
          <w:spacing w:val="-60"/>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0"/>
          <w:w w:val="101"/>
          <w:position w:val="-1"/>
          <w:sz w:val="15"/>
          <w:szCs w:val="15"/>
        </w:rPr>
        <w:t xml:space="preserve"> </w:t>
      </w:r>
      <w:r>
        <w:rPr>
          <w:rFonts w:ascii="宋体" w:hAnsi="宋体" w:eastAsia="宋体" w:cs="宋体"/>
          <w:spacing w:val="-1"/>
          <w:sz w:val="24"/>
          <w:szCs w:val="24"/>
        </w:rPr>
        <w:t>和</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的去除效率按</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98%</w:t>
      </w:r>
      <w:r>
        <w:rPr>
          <w:rFonts w:ascii="宋体" w:hAnsi="宋体" w:eastAsia="宋体" w:cs="宋体"/>
          <w:spacing w:val="-1"/>
          <w:sz w:val="24"/>
          <w:szCs w:val="24"/>
        </w:rPr>
        <w:t>和</w:t>
      </w:r>
      <w:r>
        <w:rPr>
          <w:rFonts w:ascii="Times New Roman" w:hAnsi="Times New Roman" w:eastAsia="Times New Roman" w:cs="Times New Roman"/>
          <w:spacing w:val="-1"/>
          <w:sz w:val="24"/>
          <w:szCs w:val="24"/>
        </w:rPr>
        <w:t>96%</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，则项目有机肥发酵车间</w:t>
      </w:r>
      <w:r>
        <w:rPr>
          <w:rFonts w:ascii="宋体" w:hAnsi="宋体" w:eastAsia="宋体" w:cs="宋体"/>
          <w:sz w:val="24"/>
          <w:szCs w:val="24"/>
        </w:rPr>
        <w:t xml:space="preserve"> </w:t>
      </w:r>
      <w:r>
        <w:rPr>
          <w:rFonts w:ascii="宋体" w:hAnsi="宋体" w:eastAsia="宋体" w:cs="宋体"/>
          <w:spacing w:val="-1"/>
          <w:sz w:val="24"/>
          <w:szCs w:val="24"/>
        </w:rPr>
        <w:t>的恶臭产排情况如下表。</w:t>
      </w:r>
    </w:p>
    <w:p w14:paraId="475C39F0">
      <w:pPr>
        <w:spacing w:before="65" w:line="228" w:lineRule="auto"/>
        <w:ind w:left="2566"/>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5"/>
          <w:sz w:val="20"/>
          <w:szCs w:val="20"/>
        </w:rPr>
        <w:t xml:space="preserve">3.5-5 </w:t>
      </w:r>
      <w:r>
        <w:rPr>
          <w:rFonts w:ascii="宋体" w:hAnsi="宋体" w:eastAsia="宋体" w:cs="宋体"/>
          <w:b/>
          <w:bCs/>
          <w:spacing w:val="5"/>
          <w:sz w:val="20"/>
          <w:szCs w:val="20"/>
        </w:rPr>
        <w:t>有机肥生产车间</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H</w:t>
      </w:r>
      <w:r>
        <w:rPr>
          <w:rFonts w:ascii="Times New Roman" w:hAnsi="Times New Roman" w:eastAsia="Times New Roman" w:cs="Times New Roman"/>
          <w:b/>
          <w:bCs/>
          <w:spacing w:val="5"/>
          <w:position w:val="-1"/>
          <w:sz w:val="13"/>
          <w:szCs w:val="13"/>
        </w:rPr>
        <w:t>2</w:t>
      </w:r>
      <w:r>
        <w:rPr>
          <w:rFonts w:ascii="Times New Roman" w:hAnsi="Times New Roman" w:eastAsia="Times New Roman" w:cs="Times New Roman"/>
          <w:b/>
          <w:bCs/>
          <w:spacing w:val="5"/>
          <w:sz w:val="20"/>
          <w:szCs w:val="20"/>
        </w:rPr>
        <w:t xml:space="preserve">S </w:t>
      </w:r>
      <w:r>
        <w:rPr>
          <w:rFonts w:ascii="宋体" w:hAnsi="宋体" w:eastAsia="宋体" w:cs="宋体"/>
          <w:b/>
          <w:bCs/>
          <w:spacing w:val="5"/>
          <w:sz w:val="20"/>
          <w:szCs w:val="20"/>
        </w:rPr>
        <w:t>产排情况表</w:t>
      </w:r>
    </w:p>
    <w:p w14:paraId="78DB891C">
      <w:pPr>
        <w:spacing w:line="130"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8"/>
        <w:gridCol w:w="1785"/>
        <w:gridCol w:w="1819"/>
        <w:gridCol w:w="1785"/>
        <w:gridCol w:w="1823"/>
      </w:tblGrid>
      <w:tr w14:paraId="57E0F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738" w:type="dxa"/>
            <w:vAlign w:val="top"/>
          </w:tcPr>
          <w:p w14:paraId="76DA2466">
            <w:pPr>
              <w:pStyle w:val="6"/>
              <w:spacing w:before="191" w:line="229" w:lineRule="auto"/>
              <w:ind w:left="562"/>
            </w:pPr>
            <w:r>
              <w:rPr>
                <w:spacing w:val="6"/>
              </w:rPr>
              <w:t>污染物</w:t>
            </w:r>
          </w:p>
        </w:tc>
        <w:tc>
          <w:tcPr>
            <w:tcW w:w="1785" w:type="dxa"/>
            <w:vAlign w:val="top"/>
          </w:tcPr>
          <w:p w14:paraId="27F5868A">
            <w:pPr>
              <w:pStyle w:val="6"/>
              <w:spacing w:before="35" w:line="228" w:lineRule="auto"/>
              <w:ind w:left="581"/>
            </w:pPr>
            <w:r>
              <w:rPr>
                <w:spacing w:val="6"/>
              </w:rPr>
              <w:t>产生量</w:t>
            </w:r>
          </w:p>
          <w:p w14:paraId="4A3B3F8B">
            <w:pPr>
              <w:pStyle w:val="6"/>
              <w:spacing w:before="36" w:line="274" w:lineRule="exact"/>
              <w:ind w:left="592"/>
            </w:pPr>
            <w:r>
              <w:rPr>
                <w:spacing w:val="-1"/>
                <w:position w:val="1"/>
              </w:rPr>
              <w:t>（</w:t>
            </w:r>
            <w:r>
              <w:rPr>
                <w:rFonts w:ascii="Times New Roman" w:hAnsi="Times New Roman" w:eastAsia="Times New Roman" w:cs="Times New Roman"/>
                <w:spacing w:val="-1"/>
                <w:position w:val="1"/>
              </w:rPr>
              <w:t>t/a</w:t>
            </w:r>
            <w:r>
              <w:rPr>
                <w:spacing w:val="-1"/>
                <w:position w:val="1"/>
              </w:rPr>
              <w:t>）</w:t>
            </w:r>
          </w:p>
        </w:tc>
        <w:tc>
          <w:tcPr>
            <w:tcW w:w="1819" w:type="dxa"/>
            <w:vAlign w:val="top"/>
          </w:tcPr>
          <w:p w14:paraId="5E885BCA">
            <w:pPr>
              <w:pStyle w:val="6"/>
              <w:spacing w:before="35" w:line="228" w:lineRule="auto"/>
              <w:ind w:left="493"/>
            </w:pPr>
            <w:r>
              <w:rPr>
                <w:spacing w:val="7"/>
              </w:rPr>
              <w:t>产生速率</w:t>
            </w:r>
          </w:p>
          <w:p w14:paraId="5618E2EA">
            <w:pPr>
              <w:pStyle w:val="6"/>
              <w:spacing w:before="36" w:line="274" w:lineRule="exact"/>
              <w:ind w:left="527"/>
            </w:pPr>
            <w:r>
              <w:rPr>
                <w:spacing w:val="2"/>
                <w:position w:val="3"/>
              </w:rPr>
              <w:t>（</w:t>
            </w:r>
            <w:r>
              <w:rPr>
                <w:rFonts w:ascii="Times New Roman" w:hAnsi="Times New Roman" w:eastAsia="Times New Roman" w:cs="Times New Roman"/>
                <w:position w:val="3"/>
              </w:rPr>
              <w:t>kg</w:t>
            </w:r>
            <w:r>
              <w:rPr>
                <w:rFonts w:ascii="Times New Roman" w:hAnsi="Times New Roman" w:eastAsia="Times New Roman" w:cs="Times New Roman"/>
                <w:spacing w:val="2"/>
                <w:position w:val="3"/>
              </w:rPr>
              <w:t>/h</w:t>
            </w:r>
            <w:r>
              <w:rPr>
                <w:spacing w:val="2"/>
                <w:position w:val="3"/>
              </w:rPr>
              <w:t>）</w:t>
            </w:r>
          </w:p>
        </w:tc>
        <w:tc>
          <w:tcPr>
            <w:tcW w:w="1785" w:type="dxa"/>
            <w:vAlign w:val="top"/>
          </w:tcPr>
          <w:p w14:paraId="6B85CFFE">
            <w:pPr>
              <w:pStyle w:val="6"/>
              <w:spacing w:before="35" w:line="230" w:lineRule="auto"/>
              <w:ind w:left="582"/>
            </w:pPr>
            <w:r>
              <w:rPr>
                <w:spacing w:val="6"/>
              </w:rPr>
              <w:t>排放量</w:t>
            </w:r>
          </w:p>
          <w:p w14:paraId="54258614">
            <w:pPr>
              <w:pStyle w:val="6"/>
              <w:spacing w:before="34" w:line="274" w:lineRule="exact"/>
              <w:ind w:left="592"/>
            </w:pPr>
            <w:r>
              <w:rPr>
                <w:position w:val="1"/>
              </w:rPr>
              <w:t>（</w:t>
            </w:r>
            <w:r>
              <w:rPr>
                <w:rFonts w:ascii="Times New Roman" w:hAnsi="Times New Roman" w:eastAsia="Times New Roman" w:cs="Times New Roman"/>
                <w:position w:val="1"/>
              </w:rPr>
              <w:t>t/a</w:t>
            </w:r>
            <w:r>
              <w:rPr>
                <w:position w:val="1"/>
              </w:rPr>
              <w:t>）</w:t>
            </w:r>
          </w:p>
        </w:tc>
        <w:tc>
          <w:tcPr>
            <w:tcW w:w="1823" w:type="dxa"/>
            <w:vAlign w:val="top"/>
          </w:tcPr>
          <w:p w14:paraId="064CFBF3">
            <w:pPr>
              <w:pStyle w:val="6"/>
              <w:spacing w:before="35" w:line="228" w:lineRule="auto"/>
              <w:ind w:left="496"/>
            </w:pPr>
            <w:r>
              <w:rPr>
                <w:spacing w:val="7"/>
              </w:rPr>
              <w:t>排放速率</w:t>
            </w:r>
          </w:p>
          <w:p w14:paraId="2A04E3DA">
            <w:pPr>
              <w:pStyle w:val="6"/>
              <w:spacing w:before="36" w:line="274" w:lineRule="exact"/>
              <w:ind w:left="531"/>
            </w:pPr>
            <w:r>
              <w:rPr>
                <w:spacing w:val="1"/>
                <w:position w:val="3"/>
              </w:rPr>
              <w:t>（</w:t>
            </w:r>
            <w:r>
              <w:rPr>
                <w:rFonts w:ascii="Times New Roman" w:hAnsi="Times New Roman" w:eastAsia="Times New Roman" w:cs="Times New Roman"/>
                <w:position w:val="3"/>
              </w:rPr>
              <w:t>kg</w:t>
            </w:r>
            <w:r>
              <w:rPr>
                <w:rFonts w:ascii="Times New Roman" w:hAnsi="Times New Roman" w:eastAsia="Times New Roman" w:cs="Times New Roman"/>
                <w:spacing w:val="1"/>
                <w:position w:val="3"/>
              </w:rPr>
              <w:t>/h</w:t>
            </w:r>
            <w:r>
              <w:rPr>
                <w:spacing w:val="1"/>
                <w:position w:val="3"/>
              </w:rPr>
              <w:t>）</w:t>
            </w:r>
          </w:p>
        </w:tc>
      </w:tr>
      <w:tr w14:paraId="22EE5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738" w:type="dxa"/>
            <w:vAlign w:val="top"/>
          </w:tcPr>
          <w:p w14:paraId="00FA570E">
            <w:pPr>
              <w:spacing w:before="57" w:line="223" w:lineRule="auto"/>
              <w:ind w:left="67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785" w:type="dxa"/>
            <w:vAlign w:val="top"/>
          </w:tcPr>
          <w:p w14:paraId="11D7E866">
            <w:pPr>
              <w:spacing w:line="261"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0.613</w:t>
            </w:r>
          </w:p>
        </w:tc>
        <w:tc>
          <w:tcPr>
            <w:tcW w:w="1819" w:type="dxa"/>
            <w:vAlign w:val="top"/>
          </w:tcPr>
          <w:p w14:paraId="5D7D3AA2">
            <w:pPr>
              <w:spacing w:line="261" w:lineRule="exact"/>
              <w:ind w:left="7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0.07</w:t>
            </w:r>
          </w:p>
        </w:tc>
        <w:tc>
          <w:tcPr>
            <w:tcW w:w="1785" w:type="dxa"/>
            <w:vAlign w:val="top"/>
          </w:tcPr>
          <w:p w14:paraId="295EB1FD">
            <w:pPr>
              <w:spacing w:line="261" w:lineRule="exact"/>
              <w:ind w:left="6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0.012</w:t>
            </w:r>
          </w:p>
        </w:tc>
        <w:tc>
          <w:tcPr>
            <w:tcW w:w="1823" w:type="dxa"/>
            <w:vAlign w:val="top"/>
          </w:tcPr>
          <w:p w14:paraId="7810BE11">
            <w:pPr>
              <w:spacing w:line="261"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0.0014</w:t>
            </w:r>
          </w:p>
        </w:tc>
      </w:tr>
      <w:tr w14:paraId="0323C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738" w:type="dxa"/>
            <w:vAlign w:val="top"/>
          </w:tcPr>
          <w:p w14:paraId="0F505AE1">
            <w:pPr>
              <w:spacing w:before="55" w:line="230"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785" w:type="dxa"/>
            <w:vAlign w:val="top"/>
          </w:tcPr>
          <w:p w14:paraId="77C740B1">
            <w:pPr>
              <w:spacing w:line="263"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0.123</w:t>
            </w:r>
          </w:p>
        </w:tc>
        <w:tc>
          <w:tcPr>
            <w:tcW w:w="1819" w:type="dxa"/>
            <w:vAlign w:val="top"/>
          </w:tcPr>
          <w:p w14:paraId="03AAC4AB">
            <w:pPr>
              <w:spacing w:line="263" w:lineRule="exact"/>
              <w:ind w:left="67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0.014</w:t>
            </w:r>
          </w:p>
        </w:tc>
        <w:tc>
          <w:tcPr>
            <w:tcW w:w="1785" w:type="dxa"/>
            <w:vAlign w:val="top"/>
          </w:tcPr>
          <w:p w14:paraId="60279517">
            <w:pPr>
              <w:spacing w:line="263" w:lineRule="exact"/>
              <w:ind w:left="6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0.005</w:t>
            </w:r>
          </w:p>
        </w:tc>
        <w:tc>
          <w:tcPr>
            <w:tcW w:w="1823" w:type="dxa"/>
            <w:vAlign w:val="top"/>
          </w:tcPr>
          <w:p w14:paraId="27647145">
            <w:pPr>
              <w:spacing w:line="263"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0.0006</w:t>
            </w:r>
          </w:p>
        </w:tc>
      </w:tr>
    </w:tbl>
    <w:p w14:paraId="06A85C3C">
      <w:pPr>
        <w:pStyle w:val="2"/>
        <w:spacing w:line="457" w:lineRule="auto"/>
      </w:pPr>
    </w:p>
    <w:p w14:paraId="7622AA61">
      <w:pPr>
        <w:spacing w:before="78" w:line="367" w:lineRule="auto"/>
        <w:ind w:left="126" w:right="32" w:firstLine="479"/>
        <w:rPr>
          <w:rFonts w:ascii="宋体" w:hAnsi="宋体" w:eastAsia="宋体" w:cs="宋体"/>
          <w:sz w:val="24"/>
          <w:szCs w:val="24"/>
        </w:rPr>
      </w:pPr>
      <w:r>
        <w:rPr>
          <w:rFonts w:ascii="宋体" w:hAnsi="宋体" w:eastAsia="宋体" w:cs="宋体"/>
          <w:spacing w:val="-3"/>
          <w:sz w:val="24"/>
          <w:szCs w:val="24"/>
        </w:rPr>
        <w:t>综上所述，本项目</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 xml:space="preserve">S </w:t>
      </w:r>
      <w:r>
        <w:rPr>
          <w:rFonts w:ascii="宋体" w:hAnsi="宋体" w:eastAsia="宋体" w:cs="宋体"/>
          <w:spacing w:val="-3"/>
          <w:sz w:val="24"/>
          <w:szCs w:val="24"/>
        </w:rPr>
        <w:t>气体的排放主要来自猪舍、有</w:t>
      </w:r>
      <w:r>
        <w:rPr>
          <w:rFonts w:ascii="宋体" w:hAnsi="宋体" w:eastAsia="宋体" w:cs="宋体"/>
          <w:spacing w:val="-4"/>
          <w:sz w:val="24"/>
          <w:szCs w:val="24"/>
        </w:rPr>
        <w:t>机肥发酵车间，均属</w:t>
      </w:r>
      <w:r>
        <w:rPr>
          <w:rFonts w:ascii="宋体" w:hAnsi="宋体" w:eastAsia="宋体" w:cs="宋体"/>
          <w:sz w:val="24"/>
          <w:szCs w:val="24"/>
        </w:rPr>
        <w:t xml:space="preserve"> </w:t>
      </w:r>
      <w:r>
        <w:rPr>
          <w:rFonts w:ascii="宋体" w:hAnsi="宋体" w:eastAsia="宋体" w:cs="宋体"/>
          <w:spacing w:val="-3"/>
          <w:sz w:val="24"/>
          <w:szCs w:val="24"/>
        </w:rPr>
        <w:t>于无组织排放。本项目养殖区、有机肥发酵车间恶臭的排放速率及排放量见表</w:t>
      </w:r>
      <w:r>
        <w:rPr>
          <w:rFonts w:ascii="Times New Roman" w:hAnsi="Times New Roman" w:eastAsia="Times New Roman" w:cs="Times New Roman"/>
          <w:spacing w:val="-3"/>
          <w:sz w:val="24"/>
          <w:szCs w:val="24"/>
        </w:rPr>
        <w:t>3.5-6</w:t>
      </w:r>
      <w:r>
        <w:rPr>
          <w:rFonts w:ascii="宋体" w:hAnsi="宋体" w:eastAsia="宋体" w:cs="宋体"/>
          <w:spacing w:val="-3"/>
          <w:sz w:val="24"/>
          <w:szCs w:val="24"/>
        </w:rPr>
        <w:t>。</w:t>
      </w:r>
    </w:p>
    <w:p w14:paraId="3EA50932">
      <w:pPr>
        <w:spacing w:before="37" w:line="228" w:lineRule="auto"/>
        <w:ind w:left="308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3.5-6 </w:t>
      </w:r>
      <w:r>
        <w:rPr>
          <w:rFonts w:ascii="宋体" w:hAnsi="宋体" w:eastAsia="宋体" w:cs="宋体"/>
          <w:b/>
          <w:bCs/>
          <w:spacing w:val="6"/>
          <w:sz w:val="20"/>
          <w:szCs w:val="20"/>
        </w:rPr>
        <w:t>本项目恶臭排放情况一览表</w:t>
      </w:r>
    </w:p>
    <w:p w14:paraId="71A80031">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1558"/>
        <w:gridCol w:w="2125"/>
        <w:gridCol w:w="1558"/>
        <w:gridCol w:w="2150"/>
      </w:tblGrid>
      <w:tr w14:paraId="0D98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559" w:type="dxa"/>
            <w:vMerge w:val="restart"/>
            <w:tcBorders>
              <w:bottom w:val="nil"/>
            </w:tcBorders>
            <w:vAlign w:val="top"/>
          </w:tcPr>
          <w:p w14:paraId="177A7CAA">
            <w:pPr>
              <w:pStyle w:val="6"/>
              <w:spacing w:before="179" w:line="228" w:lineRule="auto"/>
              <w:ind w:left="575"/>
            </w:pPr>
            <w:r>
              <w:rPr>
                <w:spacing w:val="4"/>
              </w:rPr>
              <w:t>来源</w:t>
            </w:r>
          </w:p>
        </w:tc>
        <w:tc>
          <w:tcPr>
            <w:tcW w:w="3683" w:type="dxa"/>
            <w:gridSpan w:val="2"/>
            <w:vAlign w:val="top"/>
          </w:tcPr>
          <w:p w14:paraId="566FAD9C">
            <w:pPr>
              <w:spacing w:before="60" w:line="225" w:lineRule="auto"/>
              <w:ind w:left="165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3708" w:type="dxa"/>
            <w:gridSpan w:val="2"/>
            <w:vAlign w:val="top"/>
          </w:tcPr>
          <w:p w14:paraId="17D6F081">
            <w:pPr>
              <w:spacing w:before="56" w:line="229" w:lineRule="auto"/>
              <w:ind w:left="1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r>
      <w:tr w14:paraId="53C1B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59" w:type="dxa"/>
            <w:vMerge w:val="continue"/>
            <w:tcBorders>
              <w:top w:val="nil"/>
            </w:tcBorders>
            <w:vAlign w:val="top"/>
          </w:tcPr>
          <w:p w14:paraId="2C5D90E6">
            <w:pPr>
              <w:rPr>
                <w:rFonts w:ascii="Arial"/>
                <w:sz w:val="21"/>
              </w:rPr>
            </w:pPr>
          </w:p>
        </w:tc>
        <w:tc>
          <w:tcPr>
            <w:tcW w:w="1558" w:type="dxa"/>
            <w:vAlign w:val="top"/>
          </w:tcPr>
          <w:p w14:paraId="52089BFD">
            <w:pPr>
              <w:pStyle w:val="6"/>
              <w:spacing w:before="1" w:line="274" w:lineRule="exact"/>
              <w:ind w:left="153"/>
            </w:pPr>
            <w:r>
              <w:rPr>
                <w:spacing w:val="4"/>
                <w:position w:val="1"/>
              </w:rPr>
              <w:t>排放量（</w:t>
            </w:r>
            <w:r>
              <w:rPr>
                <w:rFonts w:ascii="Times New Roman" w:hAnsi="Times New Roman" w:eastAsia="Times New Roman" w:cs="Times New Roman"/>
                <w:spacing w:val="4"/>
                <w:position w:val="1"/>
              </w:rPr>
              <w:t>t/a</w:t>
            </w:r>
            <w:r>
              <w:rPr>
                <w:spacing w:val="4"/>
                <w:position w:val="1"/>
              </w:rPr>
              <w:t>）</w:t>
            </w:r>
          </w:p>
        </w:tc>
        <w:tc>
          <w:tcPr>
            <w:tcW w:w="2125" w:type="dxa"/>
            <w:vAlign w:val="top"/>
          </w:tcPr>
          <w:p w14:paraId="6CAC9F51">
            <w:pPr>
              <w:pStyle w:val="6"/>
              <w:spacing w:before="1" w:line="274" w:lineRule="exact"/>
              <w:ind w:left="251"/>
            </w:pPr>
            <w:r>
              <w:rPr>
                <w:spacing w:val="6"/>
                <w:position w:val="2"/>
              </w:rPr>
              <w:t>排放速率（</w:t>
            </w:r>
            <w:r>
              <w:rPr>
                <w:rFonts w:ascii="Times New Roman" w:hAnsi="Times New Roman" w:eastAsia="Times New Roman" w:cs="Times New Roman"/>
                <w:position w:val="2"/>
              </w:rPr>
              <w:t>kg</w:t>
            </w:r>
            <w:r>
              <w:rPr>
                <w:rFonts w:ascii="Times New Roman" w:hAnsi="Times New Roman" w:eastAsia="Times New Roman" w:cs="Times New Roman"/>
                <w:spacing w:val="6"/>
                <w:position w:val="2"/>
              </w:rPr>
              <w:t>/h</w:t>
            </w:r>
            <w:r>
              <w:rPr>
                <w:spacing w:val="6"/>
                <w:position w:val="2"/>
              </w:rPr>
              <w:t>）</w:t>
            </w:r>
          </w:p>
        </w:tc>
        <w:tc>
          <w:tcPr>
            <w:tcW w:w="1558" w:type="dxa"/>
            <w:vAlign w:val="top"/>
          </w:tcPr>
          <w:p w14:paraId="4FA6421B">
            <w:pPr>
              <w:pStyle w:val="6"/>
              <w:spacing w:before="1" w:line="274" w:lineRule="exact"/>
              <w:ind w:left="154"/>
            </w:pPr>
            <w:r>
              <w:rPr>
                <w:spacing w:val="4"/>
                <w:position w:val="1"/>
              </w:rPr>
              <w:t>排放量（</w:t>
            </w:r>
            <w:r>
              <w:rPr>
                <w:rFonts w:ascii="Times New Roman" w:hAnsi="Times New Roman" w:eastAsia="Times New Roman" w:cs="Times New Roman"/>
                <w:spacing w:val="4"/>
                <w:position w:val="1"/>
              </w:rPr>
              <w:t>t/a</w:t>
            </w:r>
            <w:r>
              <w:rPr>
                <w:spacing w:val="4"/>
                <w:position w:val="1"/>
              </w:rPr>
              <w:t>）</w:t>
            </w:r>
          </w:p>
        </w:tc>
        <w:tc>
          <w:tcPr>
            <w:tcW w:w="2150" w:type="dxa"/>
            <w:vAlign w:val="top"/>
          </w:tcPr>
          <w:p w14:paraId="1106D3CC">
            <w:pPr>
              <w:pStyle w:val="6"/>
              <w:spacing w:before="1" w:line="274" w:lineRule="exact"/>
              <w:ind w:left="264"/>
            </w:pPr>
            <w:r>
              <w:rPr>
                <w:spacing w:val="6"/>
                <w:position w:val="2"/>
              </w:rPr>
              <w:t>排放速率（</w:t>
            </w:r>
            <w:r>
              <w:rPr>
                <w:rFonts w:ascii="Times New Roman" w:hAnsi="Times New Roman" w:eastAsia="Times New Roman" w:cs="Times New Roman"/>
                <w:position w:val="2"/>
              </w:rPr>
              <w:t>kg</w:t>
            </w:r>
            <w:r>
              <w:rPr>
                <w:rFonts w:ascii="Times New Roman" w:hAnsi="Times New Roman" w:eastAsia="Times New Roman" w:cs="Times New Roman"/>
                <w:spacing w:val="6"/>
                <w:position w:val="2"/>
              </w:rPr>
              <w:t>/h</w:t>
            </w:r>
            <w:r>
              <w:rPr>
                <w:spacing w:val="6"/>
                <w:position w:val="2"/>
              </w:rPr>
              <w:t>）</w:t>
            </w:r>
          </w:p>
        </w:tc>
      </w:tr>
      <w:tr w14:paraId="25974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59" w:type="dxa"/>
            <w:vAlign w:val="top"/>
          </w:tcPr>
          <w:p w14:paraId="261E4C0C">
            <w:pPr>
              <w:pStyle w:val="6"/>
              <w:spacing w:before="34" w:line="229" w:lineRule="auto"/>
              <w:ind w:left="575"/>
            </w:pPr>
            <w:r>
              <w:rPr>
                <w:spacing w:val="4"/>
              </w:rPr>
              <w:t>猪舍</w:t>
            </w:r>
          </w:p>
        </w:tc>
        <w:tc>
          <w:tcPr>
            <w:tcW w:w="1558" w:type="dxa"/>
            <w:vAlign w:val="top"/>
          </w:tcPr>
          <w:p w14:paraId="2E57896F">
            <w:pPr>
              <w:spacing w:before="3"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2125" w:type="dxa"/>
            <w:vAlign w:val="top"/>
          </w:tcPr>
          <w:p w14:paraId="1C45B0C3">
            <w:pPr>
              <w:spacing w:before="3" w:line="274" w:lineRule="exact"/>
              <w:ind w:left="8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558" w:type="dxa"/>
            <w:vAlign w:val="top"/>
          </w:tcPr>
          <w:p w14:paraId="25A5A2FF">
            <w:pPr>
              <w:spacing w:before="3"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2150" w:type="dxa"/>
            <w:vAlign w:val="top"/>
          </w:tcPr>
          <w:p w14:paraId="114EFF10">
            <w:pPr>
              <w:spacing w:before="3" w:line="274"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r>
      <w:tr w14:paraId="33A1D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59" w:type="dxa"/>
            <w:vAlign w:val="top"/>
          </w:tcPr>
          <w:p w14:paraId="05E30D22">
            <w:pPr>
              <w:pStyle w:val="6"/>
              <w:spacing w:before="33" w:line="228" w:lineRule="auto"/>
              <w:ind w:left="261"/>
            </w:pPr>
            <w:r>
              <w:rPr>
                <w:spacing w:val="7"/>
              </w:rPr>
              <w:t>有机肥车间</w:t>
            </w:r>
          </w:p>
        </w:tc>
        <w:tc>
          <w:tcPr>
            <w:tcW w:w="1558" w:type="dxa"/>
            <w:vAlign w:val="top"/>
          </w:tcPr>
          <w:p w14:paraId="27720772">
            <w:pPr>
              <w:spacing w:before="5" w:line="274" w:lineRule="exact"/>
              <w:ind w:left="60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2125" w:type="dxa"/>
            <w:vAlign w:val="top"/>
          </w:tcPr>
          <w:p w14:paraId="644D74C0">
            <w:pPr>
              <w:spacing w:before="5" w:line="274" w:lineRule="exact"/>
              <w:ind w:left="8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1558" w:type="dxa"/>
            <w:vAlign w:val="top"/>
          </w:tcPr>
          <w:p w14:paraId="0C023821">
            <w:pPr>
              <w:spacing w:before="5"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0.034</w:t>
            </w:r>
          </w:p>
        </w:tc>
        <w:tc>
          <w:tcPr>
            <w:tcW w:w="2150" w:type="dxa"/>
            <w:vAlign w:val="top"/>
          </w:tcPr>
          <w:p w14:paraId="7075FB8F">
            <w:pPr>
              <w:spacing w:before="5" w:line="274"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0.0039</w:t>
            </w:r>
          </w:p>
        </w:tc>
      </w:tr>
    </w:tbl>
    <w:p w14:paraId="2B817129">
      <w:pPr>
        <w:spacing w:before="253" w:line="360"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、饲料加工房粉尘</w:t>
      </w:r>
    </w:p>
    <w:p w14:paraId="074DF103">
      <w:pPr>
        <w:spacing w:before="165" w:line="219" w:lineRule="auto"/>
        <w:ind w:left="603"/>
        <w:outlineLvl w:val="0"/>
        <w:rPr>
          <w:rFonts w:ascii="宋体" w:hAnsi="宋体" w:eastAsia="宋体" w:cs="宋体"/>
          <w:sz w:val="24"/>
          <w:szCs w:val="24"/>
        </w:rPr>
      </w:pPr>
      <w:r>
        <w:rPr>
          <w:rFonts w:ascii="宋体" w:hAnsi="宋体" w:eastAsia="宋体" w:cs="宋体"/>
          <w:spacing w:val="-1"/>
          <w:sz w:val="24"/>
          <w:szCs w:val="24"/>
        </w:rPr>
        <w:t>本项目外购饲料原料（</w:t>
      </w:r>
      <w:r>
        <w:rPr>
          <w:rFonts w:ascii="宋体" w:hAnsi="宋体" w:eastAsia="宋体" w:cs="宋体"/>
          <w:spacing w:val="-1"/>
          <w:sz w:val="20"/>
          <w:szCs w:val="20"/>
        </w:rPr>
        <w:t>玉米、</w:t>
      </w:r>
      <w:r>
        <w:rPr>
          <w:rFonts w:ascii="宋体" w:hAnsi="宋体" w:eastAsia="宋体" w:cs="宋体"/>
          <w:spacing w:val="-1"/>
          <w:sz w:val="24"/>
          <w:szCs w:val="24"/>
        </w:rPr>
        <w:t>豆粕、麸皮</w:t>
      </w:r>
      <w:r>
        <w:rPr>
          <w:rFonts w:ascii="宋体" w:hAnsi="宋体" w:eastAsia="宋体" w:cs="宋体"/>
          <w:spacing w:val="-3"/>
          <w:sz w:val="24"/>
          <w:szCs w:val="24"/>
        </w:rPr>
        <w:t>），</w:t>
      </w:r>
      <w:r>
        <w:rPr>
          <w:rFonts w:ascii="宋体" w:hAnsi="宋体" w:eastAsia="宋体" w:cs="宋体"/>
          <w:spacing w:val="-1"/>
          <w:sz w:val="24"/>
          <w:szCs w:val="24"/>
        </w:rPr>
        <w:t>在饲料加工房进行简单的破碎搅拌</w:t>
      </w:r>
    </w:p>
    <w:p w14:paraId="05841B55">
      <w:pPr>
        <w:spacing w:before="168" w:line="366" w:lineRule="auto"/>
        <w:ind w:left="133" w:right="113" w:hanging="9"/>
        <w:rPr>
          <w:rFonts w:ascii="宋体" w:hAnsi="宋体" w:eastAsia="宋体" w:cs="宋体"/>
          <w:sz w:val="24"/>
          <w:szCs w:val="24"/>
        </w:rPr>
      </w:pPr>
      <w:r>
        <w:rPr>
          <w:rFonts w:ascii="宋体" w:hAnsi="宋体" w:eastAsia="宋体" w:cs="宋体"/>
          <w:spacing w:val="3"/>
          <w:sz w:val="24"/>
          <w:szCs w:val="24"/>
        </w:rPr>
        <w:t>后既可以将饲料按量提供给猪只食用。项目搅拌时间较短，每天搅拌时间约为</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小</w:t>
      </w:r>
      <w:r>
        <w:rPr>
          <w:rFonts w:ascii="宋体" w:hAnsi="宋体" w:eastAsia="宋体" w:cs="宋体"/>
          <w:sz w:val="24"/>
          <w:szCs w:val="24"/>
        </w:rPr>
        <w:t xml:space="preserve"> </w:t>
      </w:r>
      <w:r>
        <w:rPr>
          <w:rFonts w:ascii="宋体" w:hAnsi="宋体" w:eastAsia="宋体" w:cs="宋体"/>
          <w:spacing w:val="-1"/>
          <w:sz w:val="24"/>
          <w:szCs w:val="24"/>
        </w:rPr>
        <w:t>时。在饲料混合破碎搅拌过程中会产生少量的粉尘。</w:t>
      </w:r>
    </w:p>
    <w:p w14:paraId="1BF71A26">
      <w:pPr>
        <w:spacing w:before="27" w:line="332" w:lineRule="exact"/>
        <w:jc w:val="right"/>
        <w:outlineLvl w:val="0"/>
        <w:rPr>
          <w:rFonts w:ascii="宋体" w:hAnsi="宋体" w:eastAsia="宋体" w:cs="宋体"/>
          <w:sz w:val="24"/>
          <w:szCs w:val="24"/>
        </w:rPr>
      </w:pPr>
      <w:r>
        <w:rPr>
          <w:rFonts w:ascii="宋体" w:hAnsi="宋体" w:eastAsia="宋体" w:cs="宋体"/>
          <w:spacing w:val="-7"/>
          <w:position w:val="3"/>
          <w:sz w:val="24"/>
          <w:szCs w:val="24"/>
        </w:rPr>
        <w:t>本项目饲料为纯物理复配，类比同类型项目，饲料粉尘的产生量为</w:t>
      </w:r>
      <w:r>
        <w:rPr>
          <w:rFonts w:ascii="宋体" w:hAnsi="宋体" w:eastAsia="宋体" w:cs="宋体"/>
          <w:spacing w:val="-52"/>
          <w:position w:val="3"/>
          <w:sz w:val="24"/>
          <w:szCs w:val="24"/>
        </w:rPr>
        <w:t xml:space="preserve"> </w:t>
      </w:r>
      <w:r>
        <w:rPr>
          <w:rFonts w:ascii="Times New Roman" w:hAnsi="Times New Roman" w:eastAsia="Times New Roman" w:cs="Times New Roman"/>
          <w:spacing w:val="-8"/>
          <w:position w:val="3"/>
          <w:sz w:val="24"/>
          <w:szCs w:val="24"/>
        </w:rPr>
        <w:t xml:space="preserve">0.05kg/t </w:t>
      </w:r>
      <w:r>
        <w:rPr>
          <w:rFonts w:ascii="宋体" w:hAnsi="宋体" w:eastAsia="宋体" w:cs="宋体"/>
          <w:spacing w:val="-8"/>
          <w:position w:val="3"/>
          <w:sz w:val="24"/>
          <w:szCs w:val="24"/>
        </w:rPr>
        <w:t>饲料，</w:t>
      </w:r>
    </w:p>
    <w:p w14:paraId="5EE98701">
      <w:pPr>
        <w:spacing w:before="156" w:line="363" w:lineRule="auto"/>
        <w:ind w:left="125" w:right="108" w:hanging="2"/>
        <w:rPr>
          <w:rFonts w:ascii="宋体" w:hAnsi="宋体" w:eastAsia="宋体" w:cs="宋体"/>
          <w:sz w:val="24"/>
          <w:szCs w:val="24"/>
        </w:rPr>
      </w:pPr>
      <w:r>
        <w:rPr>
          <w:rFonts w:ascii="宋体" w:hAnsi="宋体" w:eastAsia="宋体" w:cs="宋体"/>
          <w:sz w:val="24"/>
          <w:szCs w:val="24"/>
        </w:rPr>
        <w:t>本项目饲料消耗量为</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7665t/a</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，则饲料粉尘产生量为</w:t>
      </w:r>
      <w:r>
        <w:rPr>
          <w:rFonts w:ascii="Times New Roman" w:hAnsi="Times New Roman" w:eastAsia="Times New Roman" w:cs="Times New Roman"/>
          <w:sz w:val="24"/>
          <w:szCs w:val="24"/>
        </w:rPr>
        <w:t>0.38t/a</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 xml:space="preserve">。项目在饲料配制过程中 </w:t>
      </w:r>
      <w:r>
        <w:rPr>
          <w:rFonts w:ascii="宋体" w:hAnsi="宋体" w:eastAsia="宋体" w:cs="宋体"/>
          <w:spacing w:val="-1"/>
          <w:sz w:val="24"/>
          <w:szCs w:val="24"/>
        </w:rPr>
        <w:t>设备密闭，项目无组织排放量约为产生量的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，即</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0.0076t/a</w:t>
      </w:r>
      <w:r>
        <w:rPr>
          <w:rFonts w:ascii="宋体" w:hAnsi="宋体" w:eastAsia="宋体" w:cs="宋体"/>
          <w:spacing w:val="-2"/>
          <w:sz w:val="24"/>
          <w:szCs w:val="24"/>
        </w:rPr>
        <w:t>（</w:t>
      </w:r>
      <w:r>
        <w:rPr>
          <w:rFonts w:ascii="Times New Roman" w:hAnsi="Times New Roman" w:eastAsia="Times New Roman" w:cs="Times New Roman"/>
          <w:spacing w:val="-2"/>
          <w:sz w:val="24"/>
          <w:szCs w:val="24"/>
        </w:rPr>
        <w:t>0.005kg/h</w:t>
      </w:r>
      <w:r>
        <w:rPr>
          <w:rFonts w:ascii="宋体" w:hAnsi="宋体" w:eastAsia="宋体" w:cs="宋体"/>
          <w:spacing w:val="-2"/>
          <w:sz w:val="24"/>
          <w:szCs w:val="24"/>
        </w:rPr>
        <w:t>）。</w:t>
      </w:r>
    </w:p>
    <w:p w14:paraId="0AA27733">
      <w:pPr>
        <w:spacing w:line="363" w:lineRule="auto"/>
        <w:rPr>
          <w:rFonts w:ascii="宋体" w:hAnsi="宋体" w:eastAsia="宋体" w:cs="宋体"/>
          <w:sz w:val="24"/>
          <w:szCs w:val="24"/>
        </w:rPr>
        <w:sectPr>
          <w:footerReference r:id="rId80" w:type="default"/>
          <w:pgSz w:w="11906" w:h="16839"/>
          <w:pgMar w:top="400" w:right="1475" w:bottom="1485" w:left="1475" w:header="0" w:footer="1249" w:gutter="0"/>
          <w:cols w:space="720" w:num="1"/>
        </w:sectPr>
      </w:pPr>
    </w:p>
    <w:p w14:paraId="4087E0CE">
      <w:pPr>
        <w:pStyle w:val="2"/>
        <w:spacing w:line="255" w:lineRule="auto"/>
      </w:pPr>
    </w:p>
    <w:p w14:paraId="747BB815">
      <w:pPr>
        <w:pStyle w:val="2"/>
        <w:spacing w:line="255" w:lineRule="auto"/>
      </w:pPr>
    </w:p>
    <w:p w14:paraId="034D4659">
      <w:pPr>
        <w:pStyle w:val="2"/>
        <w:spacing w:line="256" w:lineRule="auto"/>
      </w:pPr>
    </w:p>
    <w:p w14:paraId="6BB4A20F">
      <w:pPr>
        <w:pStyle w:val="2"/>
        <w:spacing w:line="256" w:lineRule="auto"/>
      </w:pPr>
    </w:p>
    <w:p w14:paraId="23317826">
      <w:pPr>
        <w:spacing w:before="78" w:line="359"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、备用发电机尾气</w:t>
      </w:r>
    </w:p>
    <w:p w14:paraId="7791A255">
      <w:pPr>
        <w:spacing w:before="129" w:line="376" w:lineRule="auto"/>
        <w:ind w:left="118" w:right="110" w:firstLine="487"/>
        <w:rPr>
          <w:rFonts w:ascii="宋体" w:hAnsi="宋体" w:eastAsia="宋体" w:cs="宋体"/>
          <w:sz w:val="24"/>
          <w:szCs w:val="24"/>
        </w:rPr>
      </w:pPr>
      <w:r>
        <w:rPr>
          <w:rFonts w:ascii="宋体" w:hAnsi="宋体" w:eastAsia="宋体" w:cs="宋体"/>
          <w:spacing w:val="-2"/>
          <w:sz w:val="24"/>
          <w:szCs w:val="24"/>
        </w:rPr>
        <w:t>为确保项目建筑的供电可靠性，本项目拟设置</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台</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400kW </w:t>
      </w:r>
      <w:r>
        <w:rPr>
          <w:rFonts w:ascii="宋体" w:hAnsi="宋体" w:eastAsia="宋体" w:cs="宋体"/>
          <w:spacing w:val="-3"/>
          <w:sz w:val="24"/>
          <w:szCs w:val="24"/>
        </w:rPr>
        <w:t>备用发电机，放置于</w:t>
      </w:r>
      <w:r>
        <w:rPr>
          <w:rFonts w:ascii="宋体" w:hAnsi="宋体" w:eastAsia="宋体" w:cs="宋体"/>
          <w:sz w:val="24"/>
          <w:szCs w:val="24"/>
        </w:rPr>
        <w:t xml:space="preserve"> 地下一层发电机房内。发电机均使用含硫量小于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的柴油作为燃料，耗油率取</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200g/kw</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。备用发电机一般的定期保养规程：</w:t>
      </w:r>
      <w:r>
        <w:rPr>
          <w:rFonts w:ascii="Times New Roman" w:hAnsi="Times New Roman" w:eastAsia="Times New Roman" w:cs="Times New Roman"/>
          <w:spacing w:val="-2"/>
          <w:sz w:val="24"/>
          <w:szCs w:val="24"/>
        </w:rPr>
        <w:t>“</w:t>
      </w:r>
      <w:r>
        <w:rPr>
          <w:rFonts w:ascii="宋体" w:hAnsi="宋体" w:eastAsia="宋体" w:cs="宋体"/>
          <w:spacing w:val="-2"/>
          <w:sz w:val="24"/>
          <w:szCs w:val="24"/>
        </w:rPr>
        <w:t>每</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周需空载运行</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分钟，每半年</w:t>
      </w:r>
      <w:r>
        <w:rPr>
          <w:rFonts w:ascii="宋体" w:hAnsi="宋体" w:eastAsia="宋体" w:cs="宋体"/>
          <w:sz w:val="24"/>
          <w:szCs w:val="24"/>
        </w:rPr>
        <w:t xml:space="preserve"> </w:t>
      </w:r>
      <w:r>
        <w:rPr>
          <w:rFonts w:ascii="宋体" w:hAnsi="宋体" w:eastAsia="宋体" w:cs="宋体"/>
          <w:spacing w:val="-1"/>
          <w:sz w:val="24"/>
          <w:szCs w:val="24"/>
        </w:rPr>
        <w:t>带负载运行半小时</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，根据以上规程，并参照当地市电保证率</w:t>
      </w:r>
      <w:r>
        <w:rPr>
          <w:rFonts w:ascii="宋体" w:hAnsi="宋体" w:eastAsia="宋体" w:cs="宋体"/>
          <w:spacing w:val="-2"/>
          <w:sz w:val="24"/>
          <w:szCs w:val="24"/>
        </w:rPr>
        <w:t>推算，项目备用柴油发</w:t>
      </w:r>
      <w:r>
        <w:rPr>
          <w:rFonts w:ascii="宋体" w:hAnsi="宋体" w:eastAsia="宋体" w:cs="宋体"/>
          <w:sz w:val="24"/>
          <w:szCs w:val="24"/>
        </w:rPr>
        <w:t xml:space="preserve"> </w:t>
      </w:r>
      <w:r>
        <w:rPr>
          <w:rFonts w:ascii="宋体" w:hAnsi="宋体" w:eastAsia="宋体" w:cs="宋体"/>
          <w:spacing w:val="-1"/>
          <w:sz w:val="24"/>
          <w:szCs w:val="24"/>
        </w:rPr>
        <w:t>电机全年运作可按</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小时计，则全年共耗油约</w:t>
      </w:r>
      <w:r>
        <w:rPr>
          <w:rFonts w:ascii="Times New Roman" w:hAnsi="Times New Roman" w:eastAsia="Times New Roman" w:cs="Times New Roman"/>
          <w:spacing w:val="-1"/>
          <w:sz w:val="24"/>
          <w:szCs w:val="24"/>
        </w:rPr>
        <w:t>0.8</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吨。</w:t>
      </w:r>
    </w:p>
    <w:p w14:paraId="682EF2A2">
      <w:pPr>
        <w:spacing w:line="374" w:lineRule="auto"/>
        <w:ind w:left="122" w:right="110" w:firstLine="480"/>
        <w:rPr>
          <w:rFonts w:ascii="宋体" w:hAnsi="宋体" w:eastAsia="宋体" w:cs="宋体"/>
          <w:sz w:val="24"/>
          <w:szCs w:val="24"/>
        </w:rPr>
      </w:pPr>
      <w:r>
        <w:rPr>
          <w:rFonts w:ascii="宋体" w:hAnsi="宋体" w:eastAsia="宋体" w:cs="宋体"/>
          <w:spacing w:val="-4"/>
          <w:sz w:val="24"/>
          <w:szCs w:val="24"/>
        </w:rPr>
        <w:t>根据《大气污染工程师手册》，当空气过剩系数为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时，</w:t>
      </w:r>
      <w:r>
        <w:rPr>
          <w:rFonts w:ascii="Times New Roman" w:hAnsi="Times New Roman" w:eastAsia="Times New Roman" w:cs="Times New Roman"/>
          <w:spacing w:val="-4"/>
          <w:sz w:val="24"/>
          <w:szCs w:val="24"/>
        </w:rPr>
        <w:t xml:space="preserve">1kg </w:t>
      </w:r>
      <w:r>
        <w:rPr>
          <w:rFonts w:ascii="宋体" w:hAnsi="宋体" w:eastAsia="宋体" w:cs="宋体"/>
          <w:spacing w:val="-4"/>
          <w:sz w:val="24"/>
          <w:szCs w:val="24"/>
        </w:rPr>
        <w:t>柴油产生的烟气量</w:t>
      </w:r>
      <w:r>
        <w:rPr>
          <w:rFonts w:ascii="宋体" w:hAnsi="宋体" w:eastAsia="宋体" w:cs="宋体"/>
          <w:sz w:val="24"/>
          <w:szCs w:val="24"/>
        </w:rPr>
        <w:t xml:space="preserve"> </w:t>
      </w:r>
      <w:r>
        <w:rPr>
          <w:rFonts w:ascii="宋体" w:hAnsi="宋体" w:eastAsia="宋体" w:cs="宋体"/>
          <w:spacing w:val="-4"/>
          <w:sz w:val="24"/>
          <w:szCs w:val="24"/>
        </w:rPr>
        <w:t>约为</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11Nm</w:t>
      </w:r>
      <w:r>
        <w:rPr>
          <w:rFonts w:ascii="Times New Roman" w:hAnsi="Times New Roman" w:eastAsia="Times New Roman" w:cs="Times New Roman"/>
          <w:spacing w:val="-4"/>
          <w:position w:val="7"/>
          <w:sz w:val="15"/>
          <w:szCs w:val="15"/>
        </w:rPr>
        <w:t>3</w:t>
      </w:r>
      <w:r>
        <w:rPr>
          <w:rFonts w:ascii="宋体" w:hAnsi="宋体" w:eastAsia="宋体" w:cs="宋体"/>
          <w:spacing w:val="-4"/>
          <w:sz w:val="24"/>
          <w:szCs w:val="24"/>
        </w:rPr>
        <w:t>。一般柴油发电机空气过剩系数为</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，则发电机每燃烧</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1kg </w:t>
      </w:r>
      <w:r>
        <w:rPr>
          <w:rFonts w:ascii="宋体" w:hAnsi="宋体" w:eastAsia="宋体" w:cs="宋体"/>
          <w:spacing w:val="-4"/>
          <w:sz w:val="24"/>
          <w:szCs w:val="24"/>
        </w:rPr>
        <w:t>柴油产生的</w:t>
      </w:r>
      <w:r>
        <w:rPr>
          <w:rFonts w:ascii="宋体" w:hAnsi="宋体" w:eastAsia="宋体" w:cs="宋体"/>
          <w:sz w:val="24"/>
          <w:szCs w:val="24"/>
        </w:rPr>
        <w:t xml:space="preserve"> </w:t>
      </w:r>
      <w:r>
        <w:rPr>
          <w:rFonts w:ascii="宋体" w:hAnsi="宋体" w:eastAsia="宋体" w:cs="宋体"/>
          <w:spacing w:val="-2"/>
          <w:sz w:val="24"/>
          <w:szCs w:val="24"/>
        </w:rPr>
        <w:t>烟气量为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11×1.8≈20Nm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position w:val="7"/>
          <w:sz w:val="15"/>
          <w:szCs w:val="15"/>
        </w:rPr>
        <w:t xml:space="preserve"> </w:t>
      </w:r>
      <w:r>
        <w:rPr>
          <w:rFonts w:ascii="宋体" w:hAnsi="宋体" w:eastAsia="宋体" w:cs="宋体"/>
          <w:spacing w:val="-2"/>
          <w:sz w:val="24"/>
          <w:szCs w:val="24"/>
        </w:rPr>
        <w:t>，则项目每年产生的</w:t>
      </w:r>
      <w:r>
        <w:rPr>
          <w:rFonts w:ascii="宋体" w:hAnsi="宋体" w:eastAsia="宋体" w:cs="宋体"/>
          <w:spacing w:val="-3"/>
          <w:sz w:val="24"/>
          <w:szCs w:val="24"/>
        </w:rPr>
        <w:t>烟气量为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万</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Nm</w:t>
      </w:r>
      <w:r>
        <w:rPr>
          <w:rFonts w:ascii="Times New Roman" w:hAnsi="Times New Roman" w:eastAsia="Times New Roman" w:cs="Times New Roman"/>
          <w:spacing w:val="-3"/>
          <w:position w:val="7"/>
          <w:sz w:val="15"/>
          <w:szCs w:val="15"/>
        </w:rPr>
        <w:t xml:space="preserve">3 </w:t>
      </w:r>
      <w:r>
        <w:rPr>
          <w:rFonts w:ascii="宋体" w:hAnsi="宋体" w:eastAsia="宋体" w:cs="宋体"/>
          <w:spacing w:val="-3"/>
          <w:sz w:val="24"/>
          <w:szCs w:val="24"/>
        </w:rPr>
        <w:t>。参考燃料燃烧排</w:t>
      </w:r>
      <w:r>
        <w:rPr>
          <w:rFonts w:ascii="宋体" w:hAnsi="宋体" w:eastAsia="宋体" w:cs="宋体"/>
          <w:sz w:val="24"/>
          <w:szCs w:val="24"/>
        </w:rPr>
        <w:t xml:space="preserve"> </w:t>
      </w:r>
      <w:r>
        <w:rPr>
          <w:rFonts w:ascii="宋体" w:hAnsi="宋体" w:eastAsia="宋体" w:cs="宋体"/>
          <w:spacing w:val="-2"/>
          <w:sz w:val="24"/>
          <w:szCs w:val="24"/>
        </w:rPr>
        <w:t>放污染物物料衡算办法计算，其</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NOx </w:t>
      </w:r>
      <w:r>
        <w:rPr>
          <w:rFonts w:ascii="宋体" w:hAnsi="宋体" w:eastAsia="宋体" w:cs="宋体"/>
          <w:spacing w:val="-2"/>
          <w:sz w:val="24"/>
          <w:szCs w:val="24"/>
        </w:rPr>
        <w:t>及烟尘产生量算法如下：</w:t>
      </w:r>
    </w:p>
    <w:p w14:paraId="5C3661A2">
      <w:pPr>
        <w:spacing w:before="11" w:line="372" w:lineRule="exact"/>
        <w:ind w:left="621"/>
        <w:rPr>
          <w:rFonts w:ascii="Times New Roman" w:hAnsi="Times New Roman" w:eastAsia="Times New Roman" w:cs="Times New Roman"/>
          <w:sz w:val="24"/>
          <w:szCs w:val="24"/>
        </w:rPr>
      </w:pPr>
      <w:r>
        <w:rPr>
          <w:rFonts w:ascii="Times New Roman" w:hAnsi="Times New Roman" w:eastAsia="Times New Roman" w:cs="Times New Roman"/>
          <w:spacing w:val="-2"/>
          <w:position w:val="3"/>
          <w:sz w:val="24"/>
          <w:szCs w:val="24"/>
        </w:rPr>
        <w:t>1</w:t>
      </w:r>
      <w:r>
        <w:rPr>
          <w:rFonts w:ascii="宋体" w:hAnsi="宋体" w:eastAsia="宋体" w:cs="宋体"/>
          <w:spacing w:val="-2"/>
          <w:position w:val="3"/>
          <w:sz w:val="24"/>
          <w:szCs w:val="24"/>
        </w:rPr>
        <w:t>）</w:t>
      </w:r>
      <w:r>
        <w:rPr>
          <w:rFonts w:ascii="Times New Roman" w:hAnsi="Times New Roman" w:eastAsia="Times New Roman" w:cs="Times New Roman"/>
          <w:spacing w:val="-2"/>
          <w:position w:val="3"/>
          <w:sz w:val="24"/>
          <w:szCs w:val="24"/>
        </w:rPr>
        <w:t>SO</w:t>
      </w:r>
      <w:r>
        <w:rPr>
          <w:rFonts w:ascii="Times New Roman" w:hAnsi="Times New Roman" w:eastAsia="Times New Roman" w:cs="Times New Roman"/>
          <w:spacing w:val="-2"/>
          <w:position w:val="2"/>
          <w:sz w:val="15"/>
          <w:szCs w:val="15"/>
        </w:rPr>
        <w:t xml:space="preserve">2              </w:t>
      </w:r>
      <w:r>
        <w:rPr>
          <w:rFonts w:ascii="Times New Roman" w:hAnsi="Times New Roman" w:eastAsia="Times New Roman" w:cs="Times New Roman"/>
          <w:spacing w:val="-2"/>
          <w:position w:val="3"/>
          <w:sz w:val="24"/>
          <w:szCs w:val="24"/>
        </w:rPr>
        <w:t xml:space="preserve">C </w:t>
      </w:r>
      <w:r>
        <w:rPr>
          <w:rFonts w:ascii="Times New Roman" w:hAnsi="Times New Roman" w:eastAsia="Times New Roman" w:cs="Times New Roman"/>
          <w:spacing w:val="-2"/>
          <w:position w:val="2"/>
          <w:sz w:val="15"/>
          <w:szCs w:val="15"/>
        </w:rPr>
        <w:t xml:space="preserve">SO2 </w:t>
      </w:r>
      <w:r>
        <w:rPr>
          <w:rFonts w:ascii="Times New Roman" w:hAnsi="Times New Roman" w:eastAsia="Times New Roman" w:cs="Times New Roman"/>
          <w:spacing w:val="-2"/>
          <w:position w:val="3"/>
          <w:sz w:val="24"/>
          <w:szCs w:val="24"/>
        </w:rPr>
        <w:t>=2000×B×S</w:t>
      </w:r>
    </w:p>
    <w:p w14:paraId="5C977193">
      <w:pPr>
        <w:spacing w:before="117" w:line="333" w:lineRule="exact"/>
        <w:ind w:left="1521"/>
        <w:rPr>
          <w:rFonts w:ascii="宋体" w:hAnsi="宋体" w:eastAsia="宋体" w:cs="宋体"/>
          <w:sz w:val="24"/>
          <w:szCs w:val="24"/>
        </w:rPr>
      </w:pPr>
      <w:r>
        <w:rPr>
          <w:rFonts w:ascii="Times New Roman" w:hAnsi="Times New Roman" w:eastAsia="Times New Roman" w:cs="Times New Roman"/>
          <w:position w:val="3"/>
          <w:sz w:val="24"/>
          <w:szCs w:val="24"/>
        </w:rPr>
        <w:t>C</w:t>
      </w:r>
      <w:r>
        <w:rPr>
          <w:rFonts w:ascii="Times New Roman" w:hAnsi="Times New Roman" w:eastAsia="Times New Roman" w:cs="Times New Roman"/>
          <w:position w:val="2"/>
          <w:sz w:val="15"/>
          <w:szCs w:val="15"/>
        </w:rPr>
        <w:t>SO2</w:t>
      </w:r>
      <w:r>
        <w:rPr>
          <w:rFonts w:ascii="Times New Roman" w:hAnsi="Times New Roman" w:eastAsia="Times New Roman" w:cs="Times New Roman"/>
          <w:spacing w:val="20"/>
          <w:w w:val="101"/>
          <w:position w:val="2"/>
          <w:sz w:val="15"/>
          <w:szCs w:val="15"/>
        </w:rPr>
        <w:t xml:space="preserve"> </w:t>
      </w:r>
      <w:r>
        <w:rPr>
          <w:rFonts w:ascii="Times New Roman" w:hAnsi="Times New Roman" w:eastAsia="Times New Roman" w:cs="Times New Roman"/>
          <w:position w:val="3"/>
          <w:sz w:val="24"/>
          <w:szCs w:val="24"/>
        </w:rPr>
        <w:t xml:space="preserve">—  </w:t>
      </w:r>
      <w:r>
        <w:rPr>
          <w:rFonts w:ascii="宋体" w:hAnsi="宋体" w:eastAsia="宋体" w:cs="宋体"/>
          <w:position w:val="3"/>
          <w:sz w:val="24"/>
          <w:szCs w:val="24"/>
        </w:rPr>
        <w:t>二氧化硫排放量，</w:t>
      </w:r>
      <w:r>
        <w:rPr>
          <w:rFonts w:ascii="Times New Roman" w:hAnsi="Times New Roman" w:eastAsia="Times New Roman" w:cs="Times New Roman"/>
          <w:position w:val="3"/>
          <w:sz w:val="24"/>
          <w:szCs w:val="24"/>
        </w:rPr>
        <w:t>kg</w:t>
      </w:r>
      <w:r>
        <w:rPr>
          <w:rFonts w:ascii="宋体" w:hAnsi="宋体" w:eastAsia="宋体" w:cs="宋体"/>
          <w:position w:val="3"/>
          <w:sz w:val="24"/>
          <w:szCs w:val="24"/>
        </w:rPr>
        <w:t>；</w:t>
      </w:r>
    </w:p>
    <w:p w14:paraId="709FBF80">
      <w:pPr>
        <w:spacing w:before="192" w:line="220" w:lineRule="auto"/>
        <w:ind w:left="1516"/>
        <w:rPr>
          <w:rFonts w:ascii="宋体" w:hAnsi="宋体" w:eastAsia="宋体" w:cs="宋体"/>
          <w:sz w:val="24"/>
          <w:szCs w:val="24"/>
        </w:rPr>
      </w:pPr>
      <w:r>
        <w:rPr>
          <w:rFonts w:ascii="Times New Roman" w:hAnsi="Times New Roman" w:eastAsia="Times New Roman" w:cs="Times New Roman"/>
          <w:spacing w:val="-1"/>
          <w:sz w:val="24"/>
          <w:szCs w:val="24"/>
        </w:rPr>
        <w:t xml:space="preserve">B —  </w:t>
      </w:r>
      <w:r>
        <w:rPr>
          <w:rFonts w:ascii="宋体" w:hAnsi="宋体" w:eastAsia="宋体" w:cs="宋体"/>
          <w:spacing w:val="-1"/>
          <w:sz w:val="24"/>
          <w:szCs w:val="24"/>
        </w:rPr>
        <w:t>消耗的燃料量，</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57B8E190">
      <w:pPr>
        <w:spacing w:before="168" w:line="359" w:lineRule="exact"/>
        <w:ind w:left="1527"/>
        <w:rPr>
          <w:rFonts w:ascii="宋体" w:hAnsi="宋体" w:eastAsia="宋体" w:cs="宋体"/>
          <w:sz w:val="24"/>
          <w:szCs w:val="24"/>
        </w:rPr>
      </w:pPr>
      <w:r>
        <w:rPr>
          <w:rFonts w:ascii="Times New Roman" w:hAnsi="Times New Roman" w:eastAsia="Times New Roman" w:cs="Times New Roman"/>
          <w:spacing w:val="-1"/>
          <w:position w:val="2"/>
          <w:sz w:val="24"/>
          <w:szCs w:val="24"/>
        </w:rPr>
        <w:t>S —</w:t>
      </w:r>
      <w:r>
        <w:rPr>
          <w:rFonts w:ascii="宋体" w:hAnsi="宋体" w:eastAsia="宋体" w:cs="宋体"/>
          <w:spacing w:val="-1"/>
          <w:position w:val="2"/>
          <w:sz w:val="24"/>
          <w:szCs w:val="24"/>
        </w:rPr>
        <w:t>燃料中的全硫分含量，</w:t>
      </w:r>
      <w:r>
        <w:rPr>
          <w:rFonts w:ascii="Times New Roman" w:hAnsi="Times New Roman" w:eastAsia="Times New Roman" w:cs="Times New Roman"/>
          <w:spacing w:val="-1"/>
          <w:position w:val="2"/>
          <w:sz w:val="24"/>
          <w:szCs w:val="24"/>
        </w:rPr>
        <w:t>%</w:t>
      </w:r>
      <w:r>
        <w:rPr>
          <w:rFonts w:ascii="宋体" w:hAnsi="宋体" w:eastAsia="宋体" w:cs="宋体"/>
          <w:spacing w:val="-1"/>
          <w:position w:val="2"/>
          <w:sz w:val="24"/>
          <w:szCs w:val="24"/>
        </w:rPr>
        <w:t>；本项目取</w:t>
      </w:r>
      <w:r>
        <w:rPr>
          <w:rFonts w:ascii="宋体" w:hAnsi="宋体" w:eastAsia="宋体" w:cs="宋体"/>
          <w:spacing w:val="-52"/>
          <w:position w:val="2"/>
          <w:sz w:val="24"/>
          <w:szCs w:val="24"/>
        </w:rPr>
        <w:t xml:space="preserve"> </w:t>
      </w:r>
      <w:r>
        <w:rPr>
          <w:rFonts w:ascii="Times New Roman" w:hAnsi="Times New Roman" w:eastAsia="Times New Roman" w:cs="Times New Roman"/>
          <w:spacing w:val="-1"/>
          <w:position w:val="2"/>
          <w:sz w:val="24"/>
          <w:szCs w:val="24"/>
        </w:rPr>
        <w:t>0.035%</w:t>
      </w:r>
      <w:r>
        <w:rPr>
          <w:rFonts w:ascii="宋体" w:hAnsi="宋体" w:eastAsia="宋体" w:cs="宋体"/>
          <w:spacing w:val="-1"/>
          <w:position w:val="2"/>
          <w:sz w:val="24"/>
          <w:szCs w:val="24"/>
        </w:rPr>
        <w:t>。</w:t>
      </w:r>
    </w:p>
    <w:p w14:paraId="73C45D54">
      <w:pPr>
        <w:spacing w:before="128" w:line="333" w:lineRule="exact"/>
        <w:ind w:left="598"/>
        <w:rPr>
          <w:rFonts w:ascii="宋体" w:hAnsi="宋体" w:eastAsia="宋体" w:cs="宋体"/>
          <w:sz w:val="24"/>
          <w:szCs w:val="24"/>
        </w:rPr>
      </w:pPr>
      <w:r>
        <w:rPr>
          <w:rFonts w:ascii="Times New Roman" w:hAnsi="Times New Roman" w:eastAsia="Times New Roman" w:cs="Times New Roman"/>
          <w:spacing w:val="-1"/>
          <w:position w:val="3"/>
          <w:sz w:val="24"/>
          <w:szCs w:val="24"/>
        </w:rPr>
        <w:t>2</w:t>
      </w: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NO</w:t>
      </w:r>
      <w:r>
        <w:rPr>
          <w:rFonts w:ascii="Times New Roman" w:hAnsi="Times New Roman" w:eastAsia="Times New Roman" w:cs="Times New Roman"/>
          <w:spacing w:val="-1"/>
          <w:position w:val="2"/>
          <w:sz w:val="15"/>
          <w:szCs w:val="15"/>
        </w:rPr>
        <w:t>X</w:t>
      </w:r>
      <w:r>
        <w:rPr>
          <w:rFonts w:ascii="Times New Roman" w:hAnsi="Times New Roman" w:eastAsia="Times New Roman" w:cs="Times New Roman"/>
          <w:spacing w:val="-1"/>
          <w:position w:val="3"/>
          <w:sz w:val="24"/>
          <w:szCs w:val="24"/>
        </w:rPr>
        <w:t>G</w:t>
      </w:r>
      <w:r>
        <w:rPr>
          <w:rFonts w:ascii="Times New Roman" w:hAnsi="Times New Roman" w:eastAsia="Times New Roman" w:cs="Times New Roman"/>
          <w:spacing w:val="-1"/>
          <w:position w:val="2"/>
          <w:sz w:val="15"/>
          <w:szCs w:val="15"/>
        </w:rPr>
        <w:t>NOx</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spacing w:val="36"/>
          <w:w w:val="101"/>
          <w:position w:val="3"/>
          <w:sz w:val="24"/>
          <w:szCs w:val="24"/>
        </w:rPr>
        <w:t xml:space="preserve"> </w:t>
      </w:r>
      <w:r>
        <w:rPr>
          <w:rFonts w:ascii="Times New Roman" w:hAnsi="Times New Roman" w:eastAsia="Times New Roman" w:cs="Times New Roman"/>
          <w:spacing w:val="-1"/>
          <w:position w:val="3"/>
          <w:sz w:val="24"/>
          <w:szCs w:val="24"/>
        </w:rPr>
        <w:t>1630×B×</w:t>
      </w: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N×β+0.000938</w:t>
      </w:r>
      <w:r>
        <w:rPr>
          <w:rFonts w:ascii="宋体" w:hAnsi="宋体" w:eastAsia="宋体" w:cs="宋体"/>
          <w:spacing w:val="-1"/>
          <w:position w:val="3"/>
          <w:sz w:val="24"/>
          <w:szCs w:val="24"/>
        </w:rPr>
        <w:t>）</w:t>
      </w:r>
    </w:p>
    <w:p w14:paraId="049EF6CE">
      <w:pPr>
        <w:spacing w:before="157" w:line="332" w:lineRule="exact"/>
        <w:ind w:left="1521"/>
        <w:rPr>
          <w:rFonts w:ascii="宋体" w:hAnsi="宋体" w:eastAsia="宋体" w:cs="宋体"/>
          <w:sz w:val="24"/>
          <w:szCs w:val="24"/>
        </w:rPr>
      </w:pPr>
      <w:r>
        <w:rPr>
          <w:rFonts w:ascii="Times New Roman" w:hAnsi="Times New Roman" w:eastAsia="Times New Roman" w:cs="Times New Roman"/>
          <w:position w:val="3"/>
          <w:sz w:val="24"/>
          <w:szCs w:val="24"/>
        </w:rPr>
        <w:t>G</w:t>
      </w:r>
      <w:r>
        <w:rPr>
          <w:rFonts w:ascii="Times New Roman" w:hAnsi="Times New Roman" w:eastAsia="Times New Roman" w:cs="Times New Roman"/>
          <w:position w:val="2"/>
          <w:sz w:val="15"/>
          <w:szCs w:val="15"/>
        </w:rPr>
        <w:t>NOx</w:t>
      </w:r>
      <w:r>
        <w:rPr>
          <w:rFonts w:ascii="Times New Roman" w:hAnsi="Times New Roman" w:eastAsia="Times New Roman" w:cs="Times New Roman"/>
          <w:spacing w:val="20"/>
          <w:w w:val="102"/>
          <w:position w:val="2"/>
          <w:sz w:val="15"/>
          <w:szCs w:val="15"/>
        </w:rPr>
        <w:t xml:space="preserve"> </w:t>
      </w:r>
      <w:r>
        <w:rPr>
          <w:rFonts w:ascii="Times New Roman" w:hAnsi="Times New Roman" w:eastAsia="Times New Roman" w:cs="Times New Roman"/>
          <w:position w:val="3"/>
          <w:sz w:val="24"/>
          <w:szCs w:val="24"/>
        </w:rPr>
        <w:t xml:space="preserve">—  </w:t>
      </w:r>
      <w:r>
        <w:rPr>
          <w:rFonts w:ascii="宋体" w:hAnsi="宋体" w:eastAsia="宋体" w:cs="宋体"/>
          <w:position w:val="3"/>
          <w:sz w:val="24"/>
          <w:szCs w:val="24"/>
        </w:rPr>
        <w:t>氮氧化物排放量，</w:t>
      </w:r>
      <w:r>
        <w:rPr>
          <w:rFonts w:ascii="Times New Roman" w:hAnsi="Times New Roman" w:eastAsia="Times New Roman" w:cs="Times New Roman"/>
          <w:position w:val="3"/>
          <w:sz w:val="24"/>
          <w:szCs w:val="24"/>
        </w:rPr>
        <w:t>kg</w:t>
      </w:r>
      <w:r>
        <w:rPr>
          <w:rFonts w:ascii="宋体" w:hAnsi="宋体" w:eastAsia="宋体" w:cs="宋体"/>
          <w:position w:val="3"/>
          <w:sz w:val="24"/>
          <w:szCs w:val="24"/>
        </w:rPr>
        <w:t>；</w:t>
      </w:r>
    </w:p>
    <w:p w14:paraId="5D7CF67B">
      <w:pPr>
        <w:spacing w:before="193" w:line="220" w:lineRule="auto"/>
        <w:ind w:left="1516"/>
        <w:rPr>
          <w:rFonts w:ascii="宋体" w:hAnsi="宋体" w:eastAsia="宋体" w:cs="宋体"/>
          <w:sz w:val="24"/>
          <w:szCs w:val="24"/>
        </w:rPr>
      </w:pPr>
      <w:r>
        <w:rPr>
          <w:rFonts w:ascii="Times New Roman" w:hAnsi="Times New Roman" w:eastAsia="Times New Roman" w:cs="Times New Roman"/>
          <w:spacing w:val="-1"/>
          <w:sz w:val="24"/>
          <w:szCs w:val="24"/>
        </w:rPr>
        <w:t xml:space="preserve">B —  </w:t>
      </w:r>
      <w:r>
        <w:rPr>
          <w:rFonts w:ascii="宋体" w:hAnsi="宋体" w:eastAsia="宋体" w:cs="宋体"/>
          <w:spacing w:val="-1"/>
          <w:sz w:val="24"/>
          <w:szCs w:val="24"/>
        </w:rPr>
        <w:t>消耗的燃料量，</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4717489E">
      <w:pPr>
        <w:spacing w:before="168" w:line="359" w:lineRule="exact"/>
        <w:ind w:left="1509"/>
        <w:rPr>
          <w:rFonts w:ascii="宋体" w:hAnsi="宋体" w:eastAsia="宋体" w:cs="宋体"/>
          <w:sz w:val="24"/>
          <w:szCs w:val="24"/>
        </w:rPr>
      </w:pPr>
      <w:r>
        <w:rPr>
          <w:rFonts w:ascii="Times New Roman" w:hAnsi="Times New Roman" w:eastAsia="Times New Roman" w:cs="Times New Roman"/>
          <w:spacing w:val="2"/>
          <w:position w:val="2"/>
          <w:sz w:val="24"/>
          <w:szCs w:val="24"/>
        </w:rPr>
        <w:t xml:space="preserve">N —  </w:t>
      </w:r>
      <w:r>
        <w:rPr>
          <w:rFonts w:ascii="宋体" w:hAnsi="宋体" w:eastAsia="宋体" w:cs="宋体"/>
          <w:spacing w:val="2"/>
          <w:position w:val="2"/>
          <w:sz w:val="24"/>
          <w:szCs w:val="24"/>
        </w:rPr>
        <w:t>燃料中的含氮量，</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；本项目取值</w:t>
      </w:r>
      <w:r>
        <w:rPr>
          <w:rFonts w:ascii="Times New Roman" w:hAnsi="Times New Roman" w:eastAsia="Times New Roman" w:cs="Times New Roman"/>
          <w:spacing w:val="2"/>
          <w:position w:val="2"/>
          <w:sz w:val="24"/>
          <w:szCs w:val="24"/>
        </w:rPr>
        <w:t>0.02%</w:t>
      </w:r>
      <w:r>
        <w:rPr>
          <w:rFonts w:ascii="宋体" w:hAnsi="宋体" w:eastAsia="宋体" w:cs="宋体"/>
          <w:spacing w:val="2"/>
          <w:position w:val="2"/>
          <w:sz w:val="24"/>
          <w:szCs w:val="24"/>
        </w:rPr>
        <w:t>；</w:t>
      </w:r>
    </w:p>
    <w:p w14:paraId="06BCDE73">
      <w:pPr>
        <w:spacing w:before="128" w:line="333" w:lineRule="exact"/>
        <w:ind w:left="1525"/>
        <w:rPr>
          <w:rFonts w:ascii="宋体" w:hAnsi="宋体" w:eastAsia="宋体" w:cs="宋体"/>
          <w:sz w:val="24"/>
          <w:szCs w:val="24"/>
        </w:rPr>
      </w:pPr>
      <w:r>
        <w:rPr>
          <w:rFonts w:ascii="Times New Roman" w:hAnsi="Times New Roman" w:eastAsia="Times New Roman" w:cs="Times New Roman"/>
          <w:spacing w:val="2"/>
          <w:position w:val="3"/>
          <w:sz w:val="24"/>
          <w:szCs w:val="24"/>
        </w:rPr>
        <w:t xml:space="preserve">β—  </w:t>
      </w:r>
      <w:r>
        <w:rPr>
          <w:rFonts w:ascii="宋体" w:hAnsi="宋体" w:eastAsia="宋体" w:cs="宋体"/>
          <w:spacing w:val="2"/>
          <w:position w:val="3"/>
          <w:sz w:val="24"/>
          <w:szCs w:val="24"/>
        </w:rPr>
        <w:t>燃料中氮的转化率，</w:t>
      </w:r>
      <w:r>
        <w:rPr>
          <w:rFonts w:ascii="Times New Roman" w:hAnsi="Times New Roman" w:eastAsia="Times New Roman" w:cs="Times New Roman"/>
          <w:spacing w:val="2"/>
          <w:position w:val="3"/>
          <w:sz w:val="24"/>
          <w:szCs w:val="24"/>
        </w:rPr>
        <w:t>%</w:t>
      </w:r>
      <w:r>
        <w:rPr>
          <w:rFonts w:ascii="宋体" w:hAnsi="宋体" w:eastAsia="宋体" w:cs="宋体"/>
          <w:spacing w:val="2"/>
          <w:position w:val="3"/>
          <w:sz w:val="24"/>
          <w:szCs w:val="24"/>
        </w:rPr>
        <w:t>；本项目选</w:t>
      </w:r>
      <w:r>
        <w:rPr>
          <w:rFonts w:ascii="Times New Roman" w:hAnsi="Times New Roman" w:eastAsia="Times New Roman" w:cs="Times New Roman"/>
          <w:spacing w:val="2"/>
          <w:position w:val="3"/>
          <w:sz w:val="24"/>
          <w:szCs w:val="24"/>
        </w:rPr>
        <w:t>40%</w:t>
      </w:r>
      <w:r>
        <w:rPr>
          <w:rFonts w:ascii="宋体" w:hAnsi="宋体" w:eastAsia="宋体" w:cs="宋体"/>
          <w:spacing w:val="2"/>
          <w:position w:val="3"/>
          <w:sz w:val="24"/>
          <w:szCs w:val="24"/>
        </w:rPr>
        <w:t>。</w:t>
      </w:r>
    </w:p>
    <w:p w14:paraId="13B16B07">
      <w:pPr>
        <w:spacing w:before="157" w:line="362" w:lineRule="exact"/>
        <w:ind w:left="545"/>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）烟尘</w:t>
      </w:r>
      <w:r>
        <w:rPr>
          <w:rFonts w:ascii="宋体" w:hAnsi="宋体" w:eastAsia="宋体" w:cs="宋体"/>
          <w:spacing w:val="-48"/>
          <w:position w:val="2"/>
          <w:sz w:val="24"/>
          <w:szCs w:val="24"/>
        </w:rPr>
        <w:t xml:space="preserve"> </w:t>
      </w:r>
      <w:r>
        <w:rPr>
          <w:rFonts w:ascii="Times New Roman" w:hAnsi="Times New Roman" w:eastAsia="Times New Roman" w:cs="Times New Roman"/>
          <w:spacing w:val="-2"/>
          <w:position w:val="2"/>
          <w:sz w:val="24"/>
          <w:szCs w:val="24"/>
        </w:rPr>
        <w:t>Gsd=B×A</w:t>
      </w:r>
    </w:p>
    <w:p w14:paraId="21805BEA">
      <w:pPr>
        <w:spacing w:before="127" w:line="333" w:lineRule="exact"/>
        <w:ind w:left="1521"/>
        <w:rPr>
          <w:rFonts w:ascii="宋体" w:hAnsi="宋体" w:eastAsia="宋体" w:cs="宋体"/>
          <w:sz w:val="24"/>
          <w:szCs w:val="24"/>
        </w:rPr>
      </w:pPr>
      <w:r>
        <w:rPr>
          <w:rFonts w:ascii="Times New Roman" w:hAnsi="Times New Roman" w:eastAsia="Times New Roman" w:cs="Times New Roman"/>
          <w:spacing w:val="-1"/>
          <w:position w:val="3"/>
          <w:sz w:val="24"/>
          <w:szCs w:val="24"/>
        </w:rPr>
        <w:t>Gsd—</w:t>
      </w:r>
      <w:r>
        <w:rPr>
          <w:rFonts w:ascii="宋体" w:hAnsi="宋体" w:eastAsia="宋体" w:cs="宋体"/>
          <w:spacing w:val="-1"/>
          <w:position w:val="3"/>
          <w:sz w:val="24"/>
          <w:szCs w:val="24"/>
        </w:rPr>
        <w:t>烟尘排放量，</w:t>
      </w:r>
      <w:r>
        <w:rPr>
          <w:rFonts w:ascii="Times New Roman" w:hAnsi="Times New Roman" w:eastAsia="Times New Roman" w:cs="Times New Roman"/>
          <w:spacing w:val="-1"/>
          <w:position w:val="3"/>
          <w:sz w:val="24"/>
          <w:szCs w:val="24"/>
        </w:rPr>
        <w:t>kg</w:t>
      </w:r>
      <w:r>
        <w:rPr>
          <w:rFonts w:ascii="宋体" w:hAnsi="宋体" w:eastAsia="宋体" w:cs="宋体"/>
          <w:spacing w:val="-1"/>
          <w:position w:val="3"/>
          <w:sz w:val="24"/>
          <w:szCs w:val="24"/>
        </w:rPr>
        <w:t>；</w:t>
      </w:r>
    </w:p>
    <w:p w14:paraId="23F31E4D">
      <w:pPr>
        <w:spacing w:before="157" w:line="333" w:lineRule="exact"/>
        <w:ind w:left="1516"/>
        <w:rPr>
          <w:rFonts w:ascii="宋体" w:hAnsi="宋体" w:eastAsia="宋体" w:cs="宋体"/>
          <w:sz w:val="24"/>
          <w:szCs w:val="24"/>
        </w:rPr>
      </w:pPr>
      <w:r>
        <w:rPr>
          <w:rFonts w:ascii="Times New Roman" w:hAnsi="Times New Roman" w:eastAsia="Times New Roman" w:cs="Times New Roman"/>
          <w:spacing w:val="-1"/>
          <w:position w:val="3"/>
          <w:sz w:val="24"/>
          <w:szCs w:val="24"/>
        </w:rPr>
        <w:t>B—</w:t>
      </w:r>
      <w:r>
        <w:rPr>
          <w:rFonts w:ascii="宋体" w:hAnsi="宋体" w:eastAsia="宋体" w:cs="宋体"/>
          <w:spacing w:val="-1"/>
          <w:position w:val="3"/>
          <w:sz w:val="24"/>
          <w:szCs w:val="24"/>
        </w:rPr>
        <w:t>消耗的燃料量，</w:t>
      </w:r>
      <w:r>
        <w:rPr>
          <w:rFonts w:ascii="Times New Roman" w:hAnsi="Times New Roman" w:eastAsia="Times New Roman" w:cs="Times New Roman"/>
          <w:spacing w:val="-1"/>
          <w:position w:val="3"/>
          <w:sz w:val="24"/>
          <w:szCs w:val="24"/>
        </w:rPr>
        <w:t>kg</w:t>
      </w:r>
      <w:r>
        <w:rPr>
          <w:rFonts w:ascii="宋体" w:hAnsi="宋体" w:eastAsia="宋体" w:cs="宋体"/>
          <w:spacing w:val="-1"/>
          <w:position w:val="3"/>
          <w:sz w:val="24"/>
          <w:szCs w:val="24"/>
        </w:rPr>
        <w:t>；</w:t>
      </w:r>
    </w:p>
    <w:p w14:paraId="5E015B88">
      <w:pPr>
        <w:spacing w:before="154" w:line="359" w:lineRule="exact"/>
        <w:ind w:left="1514"/>
        <w:rPr>
          <w:rFonts w:ascii="宋体" w:hAnsi="宋体" w:eastAsia="宋体" w:cs="宋体"/>
          <w:sz w:val="24"/>
          <w:szCs w:val="24"/>
        </w:rPr>
      </w:pPr>
      <w:r>
        <w:rPr>
          <w:rFonts w:ascii="Times New Roman" w:hAnsi="Times New Roman" w:eastAsia="Times New Roman" w:cs="Times New Roman"/>
          <w:spacing w:val="-1"/>
          <w:position w:val="2"/>
          <w:sz w:val="24"/>
          <w:szCs w:val="24"/>
        </w:rPr>
        <w:t>A—</w:t>
      </w:r>
      <w:r>
        <w:rPr>
          <w:rFonts w:ascii="宋体" w:hAnsi="宋体" w:eastAsia="宋体" w:cs="宋体"/>
          <w:spacing w:val="-1"/>
          <w:position w:val="2"/>
          <w:sz w:val="24"/>
          <w:szCs w:val="24"/>
        </w:rPr>
        <w:t>灰分含量，</w:t>
      </w:r>
      <w:r>
        <w:rPr>
          <w:rFonts w:ascii="Times New Roman" w:hAnsi="Times New Roman" w:eastAsia="Times New Roman" w:cs="Times New Roman"/>
          <w:spacing w:val="-1"/>
          <w:position w:val="2"/>
          <w:sz w:val="24"/>
          <w:szCs w:val="24"/>
        </w:rPr>
        <w:t>%</w:t>
      </w:r>
      <w:r>
        <w:rPr>
          <w:rFonts w:ascii="宋体" w:hAnsi="宋体" w:eastAsia="宋体" w:cs="宋体"/>
          <w:spacing w:val="-1"/>
          <w:position w:val="2"/>
          <w:sz w:val="24"/>
          <w:szCs w:val="24"/>
        </w:rPr>
        <w:t>；本项目取</w:t>
      </w:r>
      <w:r>
        <w:rPr>
          <w:rFonts w:ascii="宋体" w:hAnsi="宋体" w:eastAsia="宋体" w:cs="宋体"/>
          <w:spacing w:val="-46"/>
          <w:position w:val="2"/>
          <w:sz w:val="24"/>
          <w:szCs w:val="24"/>
        </w:rPr>
        <w:t xml:space="preserve"> </w:t>
      </w:r>
      <w:r>
        <w:rPr>
          <w:rFonts w:ascii="Times New Roman" w:hAnsi="Times New Roman" w:eastAsia="Times New Roman" w:cs="Times New Roman"/>
          <w:spacing w:val="-1"/>
          <w:position w:val="2"/>
          <w:sz w:val="24"/>
          <w:szCs w:val="24"/>
        </w:rPr>
        <w:t>0.01%</w:t>
      </w:r>
      <w:r>
        <w:rPr>
          <w:rFonts w:ascii="宋体" w:hAnsi="宋体" w:eastAsia="宋体" w:cs="宋体"/>
          <w:spacing w:val="-1"/>
          <w:position w:val="2"/>
          <w:sz w:val="24"/>
          <w:szCs w:val="24"/>
        </w:rPr>
        <w:t>。</w:t>
      </w:r>
    </w:p>
    <w:p w14:paraId="000F7285">
      <w:pPr>
        <w:spacing w:before="169" w:line="242" w:lineRule="auto"/>
        <w:ind w:left="604"/>
        <w:rPr>
          <w:rFonts w:ascii="宋体" w:hAnsi="宋体" w:eastAsia="宋体" w:cs="宋体"/>
          <w:sz w:val="24"/>
          <w:szCs w:val="24"/>
        </w:rPr>
      </w:pPr>
      <w:r>
        <w:rPr>
          <w:rFonts w:ascii="宋体" w:hAnsi="宋体" w:eastAsia="宋体" w:cs="宋体"/>
          <w:spacing w:val="-2"/>
          <w:sz w:val="24"/>
          <w:szCs w:val="24"/>
        </w:rPr>
        <w:t>经计算，发电机燃油废气中的</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2"/>
          <w:sz w:val="24"/>
          <w:szCs w:val="24"/>
        </w:rPr>
        <w:t>和</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0"/>
          <w:w w:val="102"/>
          <w:position w:val="-1"/>
          <w:sz w:val="15"/>
          <w:szCs w:val="15"/>
        </w:rPr>
        <w:t xml:space="preserve"> </w:t>
      </w:r>
      <w:r>
        <w:rPr>
          <w:rFonts w:ascii="宋体" w:hAnsi="宋体" w:eastAsia="宋体" w:cs="宋体"/>
          <w:spacing w:val="-2"/>
          <w:sz w:val="24"/>
          <w:szCs w:val="24"/>
        </w:rPr>
        <w:t>产生情况如下表：</w:t>
      </w:r>
    </w:p>
    <w:p w14:paraId="654BF3B7">
      <w:pPr>
        <w:spacing w:before="186" w:line="228" w:lineRule="auto"/>
        <w:ind w:left="242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6"/>
          <w:sz w:val="20"/>
          <w:szCs w:val="20"/>
        </w:rPr>
        <w:t xml:space="preserve">3.5-7 </w:t>
      </w:r>
      <w:r>
        <w:rPr>
          <w:rFonts w:ascii="宋体" w:hAnsi="宋体" w:eastAsia="宋体" w:cs="宋体"/>
          <w:b/>
          <w:bCs/>
          <w:spacing w:val="6"/>
          <w:sz w:val="20"/>
          <w:szCs w:val="20"/>
        </w:rPr>
        <w:t>建设项目发电机燃烧尾气污染物计算</w:t>
      </w:r>
    </w:p>
    <w:p w14:paraId="28615C76">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13"/>
        <w:gridCol w:w="1364"/>
        <w:gridCol w:w="1502"/>
        <w:gridCol w:w="1500"/>
        <w:gridCol w:w="1471"/>
      </w:tblGrid>
      <w:tr w14:paraId="780D8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113" w:type="dxa"/>
            <w:vAlign w:val="top"/>
          </w:tcPr>
          <w:p w14:paraId="516F36A8">
            <w:pPr>
              <w:pStyle w:val="6"/>
              <w:spacing w:before="62" w:line="229" w:lineRule="auto"/>
              <w:ind w:left="1040"/>
            </w:pPr>
            <w:r>
              <w:rPr>
                <w:b/>
                <w:bCs/>
                <w:spacing w:val="6"/>
              </w:rPr>
              <w:t>污染物项目</w:t>
            </w:r>
          </w:p>
        </w:tc>
        <w:tc>
          <w:tcPr>
            <w:tcW w:w="1364" w:type="dxa"/>
            <w:vAlign w:val="top"/>
          </w:tcPr>
          <w:p w14:paraId="4D1D613C">
            <w:pPr>
              <w:spacing w:before="97" w:line="205" w:lineRule="auto"/>
              <w:ind w:left="517"/>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4"/>
                <w:position w:val="-1"/>
                <w:sz w:val="13"/>
                <w:szCs w:val="13"/>
              </w:rPr>
              <w:t>2</w:t>
            </w:r>
          </w:p>
        </w:tc>
        <w:tc>
          <w:tcPr>
            <w:tcW w:w="1502" w:type="dxa"/>
            <w:vAlign w:val="top"/>
          </w:tcPr>
          <w:p w14:paraId="2E216170">
            <w:pPr>
              <w:spacing w:before="97" w:line="205" w:lineRule="auto"/>
              <w:ind w:left="544"/>
              <w:rPr>
                <w:rFonts w:ascii="Times New Roman" w:hAnsi="Times New Roman" w:eastAsia="Times New Roman" w:cs="Times New Roman"/>
                <w:sz w:val="13"/>
                <w:szCs w:val="13"/>
              </w:rPr>
            </w:pPr>
            <w:r>
              <w:rPr>
                <w:rFonts w:ascii="Times New Roman" w:hAnsi="Times New Roman" w:eastAsia="Times New Roman" w:cs="Times New Roman"/>
                <w:b/>
                <w:bCs/>
                <w:spacing w:val="6"/>
                <w:sz w:val="20"/>
                <w:szCs w:val="20"/>
              </w:rPr>
              <w:t>NO</w:t>
            </w:r>
            <w:r>
              <w:rPr>
                <w:rFonts w:ascii="Times New Roman" w:hAnsi="Times New Roman" w:eastAsia="Times New Roman" w:cs="Times New Roman"/>
                <w:b/>
                <w:bCs/>
                <w:spacing w:val="6"/>
                <w:position w:val="-1"/>
                <w:sz w:val="13"/>
                <w:szCs w:val="13"/>
              </w:rPr>
              <w:t>X</w:t>
            </w:r>
          </w:p>
        </w:tc>
        <w:tc>
          <w:tcPr>
            <w:tcW w:w="1500" w:type="dxa"/>
            <w:vAlign w:val="top"/>
          </w:tcPr>
          <w:p w14:paraId="31F95ACB">
            <w:pPr>
              <w:pStyle w:val="6"/>
              <w:spacing w:before="62" w:line="230" w:lineRule="auto"/>
              <w:ind w:left="546"/>
            </w:pPr>
            <w:r>
              <w:rPr>
                <w:b/>
                <w:bCs/>
                <w:spacing w:val="3"/>
              </w:rPr>
              <w:t>烟尘</w:t>
            </w:r>
          </w:p>
        </w:tc>
        <w:tc>
          <w:tcPr>
            <w:tcW w:w="1471" w:type="dxa"/>
            <w:vAlign w:val="top"/>
          </w:tcPr>
          <w:p w14:paraId="4156AB89">
            <w:pPr>
              <w:pStyle w:val="6"/>
              <w:spacing w:before="62" w:line="221" w:lineRule="auto"/>
              <w:ind w:left="182"/>
              <w:rPr>
                <w:rFonts w:ascii="Times New Roman" w:hAnsi="Times New Roman" w:eastAsia="Times New Roman" w:cs="Times New Roman"/>
              </w:rPr>
            </w:pPr>
            <w:r>
              <w:rPr>
                <w:b/>
                <w:bCs/>
                <w:spacing w:val="6"/>
              </w:rPr>
              <w:t>废气</w:t>
            </w:r>
            <w:r>
              <w:rPr>
                <w:rFonts w:ascii="Times New Roman" w:hAnsi="Times New Roman" w:eastAsia="Times New Roman" w:cs="Times New Roman"/>
                <w:b/>
                <w:bCs/>
                <w:spacing w:val="6"/>
              </w:rPr>
              <w:t>(</w:t>
            </w:r>
            <w:r>
              <w:rPr>
                <w:rFonts w:ascii="Times New Roman" w:hAnsi="Times New Roman" w:eastAsia="Times New Roman" w:cs="Times New Roman"/>
                <w:b/>
                <w:bCs/>
              </w:rPr>
              <w:t>Nm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rPr>
              <w:t>/a)</w:t>
            </w:r>
          </w:p>
        </w:tc>
      </w:tr>
      <w:tr w14:paraId="54AD4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113" w:type="dxa"/>
            <w:vAlign w:val="top"/>
          </w:tcPr>
          <w:p w14:paraId="2AB123FE">
            <w:pPr>
              <w:pStyle w:val="6"/>
              <w:spacing w:before="28" w:line="274" w:lineRule="exact"/>
              <w:ind w:left="436"/>
            </w:pPr>
            <w:r>
              <w:rPr>
                <w:spacing w:val="7"/>
                <w:position w:val="2"/>
              </w:rPr>
              <w:t>年污染物产生量（</w:t>
            </w:r>
            <w:r>
              <w:rPr>
                <w:rFonts w:ascii="Times New Roman" w:hAnsi="Times New Roman" w:eastAsia="Times New Roman" w:cs="Times New Roman"/>
                <w:position w:val="2"/>
              </w:rPr>
              <w:t>kg</w:t>
            </w:r>
            <w:r>
              <w:rPr>
                <w:rFonts w:ascii="Times New Roman" w:hAnsi="Times New Roman" w:eastAsia="Times New Roman" w:cs="Times New Roman"/>
                <w:spacing w:val="7"/>
                <w:position w:val="2"/>
              </w:rPr>
              <w:t>/a</w:t>
            </w:r>
            <w:r>
              <w:rPr>
                <w:spacing w:val="7"/>
                <w:position w:val="2"/>
              </w:rPr>
              <w:t>）</w:t>
            </w:r>
          </w:p>
        </w:tc>
        <w:tc>
          <w:tcPr>
            <w:tcW w:w="1364" w:type="dxa"/>
            <w:vAlign w:val="top"/>
          </w:tcPr>
          <w:p w14:paraId="5D9DCE04">
            <w:pPr>
              <w:spacing w:before="28" w:line="274" w:lineRule="exact"/>
              <w:ind w:left="5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0.56</w:t>
            </w:r>
          </w:p>
        </w:tc>
        <w:tc>
          <w:tcPr>
            <w:tcW w:w="1502" w:type="dxa"/>
            <w:vAlign w:val="top"/>
          </w:tcPr>
          <w:p w14:paraId="679ACF29">
            <w:pPr>
              <w:spacing w:before="28"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1.33</w:t>
            </w:r>
          </w:p>
        </w:tc>
        <w:tc>
          <w:tcPr>
            <w:tcW w:w="1500" w:type="dxa"/>
            <w:vAlign w:val="top"/>
          </w:tcPr>
          <w:p w14:paraId="3DEB8FFD">
            <w:pPr>
              <w:spacing w:before="28" w:line="274" w:lineRule="exact"/>
              <w:ind w:left="5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c>
          <w:tcPr>
            <w:tcW w:w="1471" w:type="dxa"/>
            <w:vMerge w:val="restart"/>
            <w:tcBorders>
              <w:bottom w:val="nil"/>
            </w:tcBorders>
            <w:vAlign w:val="top"/>
          </w:tcPr>
          <w:p w14:paraId="56804167">
            <w:pPr>
              <w:spacing w:before="196" w:line="274" w:lineRule="exact"/>
              <w:ind w:left="4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16000</w:t>
            </w:r>
          </w:p>
        </w:tc>
      </w:tr>
      <w:tr w14:paraId="541B0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113" w:type="dxa"/>
            <w:vAlign w:val="top"/>
          </w:tcPr>
          <w:p w14:paraId="1C0175E3">
            <w:pPr>
              <w:pStyle w:val="6"/>
              <w:spacing w:before="30" w:line="274" w:lineRule="exact"/>
              <w:ind w:left="341"/>
            </w:pPr>
            <w:r>
              <w:rPr>
                <w:spacing w:val="8"/>
                <w:position w:val="2"/>
              </w:rPr>
              <w:t>污染物产生浓度（</w:t>
            </w:r>
            <w:r>
              <w:rPr>
                <w:rFonts w:ascii="Times New Roman" w:hAnsi="Times New Roman" w:eastAsia="Times New Roman" w:cs="Times New Roman"/>
                <w:position w:val="2"/>
              </w:rPr>
              <w:t>mg</w:t>
            </w:r>
            <w:r>
              <w:rPr>
                <w:rFonts w:ascii="Times New Roman" w:hAnsi="Times New Roman" w:eastAsia="Times New Roman" w:cs="Times New Roman"/>
                <w:spacing w:val="8"/>
                <w:position w:val="2"/>
              </w:rPr>
              <w:t>/m</w:t>
            </w:r>
            <w:r>
              <w:rPr>
                <w:rFonts w:ascii="Times New Roman" w:hAnsi="Times New Roman" w:eastAsia="Times New Roman" w:cs="Times New Roman"/>
                <w:spacing w:val="8"/>
                <w:position w:val="8"/>
                <w:sz w:val="13"/>
                <w:szCs w:val="13"/>
              </w:rPr>
              <w:t>3</w:t>
            </w:r>
            <w:r>
              <w:rPr>
                <w:spacing w:val="8"/>
                <w:position w:val="2"/>
              </w:rPr>
              <w:t>）</w:t>
            </w:r>
          </w:p>
        </w:tc>
        <w:tc>
          <w:tcPr>
            <w:tcW w:w="1364" w:type="dxa"/>
            <w:vAlign w:val="top"/>
          </w:tcPr>
          <w:p w14:paraId="1C3B7089">
            <w:pPr>
              <w:spacing w:before="30" w:line="274" w:lineRule="exact"/>
              <w:ind w:left="5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502" w:type="dxa"/>
            <w:vAlign w:val="top"/>
          </w:tcPr>
          <w:p w14:paraId="01A6CB37">
            <w:pPr>
              <w:spacing w:before="30" w:line="274" w:lineRule="exact"/>
              <w:ind w:left="6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w:t>
            </w:r>
          </w:p>
        </w:tc>
        <w:tc>
          <w:tcPr>
            <w:tcW w:w="1500" w:type="dxa"/>
            <w:vAlign w:val="top"/>
          </w:tcPr>
          <w:p w14:paraId="65A8E1D6">
            <w:pPr>
              <w:spacing w:before="100" w:line="192" w:lineRule="auto"/>
              <w:ind w:left="7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1" w:type="dxa"/>
            <w:vMerge w:val="continue"/>
            <w:tcBorders>
              <w:top w:val="nil"/>
            </w:tcBorders>
            <w:vAlign w:val="top"/>
          </w:tcPr>
          <w:p w14:paraId="71D7FD1B">
            <w:pPr>
              <w:rPr>
                <w:rFonts w:ascii="Arial"/>
                <w:sz w:val="21"/>
              </w:rPr>
            </w:pPr>
          </w:p>
        </w:tc>
      </w:tr>
    </w:tbl>
    <w:p w14:paraId="10A2DF93">
      <w:pPr>
        <w:spacing w:before="252" w:line="361" w:lineRule="exact"/>
        <w:ind w:left="597"/>
        <w:rPr>
          <w:rFonts w:ascii="宋体" w:hAnsi="宋体" w:eastAsia="宋体" w:cs="宋体"/>
          <w:sz w:val="24"/>
          <w:szCs w:val="24"/>
        </w:rPr>
      </w:pPr>
      <w:r>
        <w:rPr>
          <w:rFonts w:ascii="Times New Roman" w:hAnsi="Times New Roman" w:eastAsia="Times New Roman" w:cs="Times New Roman"/>
          <w:spacing w:val="-2"/>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、项目大气污染物产排情况汇总</w:t>
      </w:r>
    </w:p>
    <w:p w14:paraId="364249B9">
      <w:pPr>
        <w:spacing w:line="361" w:lineRule="exact"/>
        <w:rPr>
          <w:rFonts w:ascii="宋体" w:hAnsi="宋体" w:eastAsia="宋体" w:cs="宋体"/>
          <w:sz w:val="24"/>
          <w:szCs w:val="24"/>
        </w:rPr>
        <w:sectPr>
          <w:footerReference r:id="rId81" w:type="default"/>
          <w:pgSz w:w="11906" w:h="16839"/>
          <w:pgMar w:top="400" w:right="1475" w:bottom="1485" w:left="1475" w:header="0" w:footer="1249" w:gutter="0"/>
          <w:cols w:space="720" w:num="1"/>
        </w:sectPr>
      </w:pPr>
    </w:p>
    <w:p w14:paraId="5C87A78F">
      <w:pPr>
        <w:pStyle w:val="2"/>
        <w:spacing w:line="311" w:lineRule="auto"/>
      </w:pPr>
    </w:p>
    <w:p w14:paraId="51F12543">
      <w:pPr>
        <w:pStyle w:val="2"/>
        <w:spacing w:line="311" w:lineRule="auto"/>
      </w:pPr>
    </w:p>
    <w:p w14:paraId="00FBE093">
      <w:pPr>
        <w:pStyle w:val="2"/>
        <w:spacing w:line="312" w:lineRule="auto"/>
      </w:pPr>
    </w:p>
    <w:p w14:paraId="2F322289">
      <w:pPr>
        <w:spacing w:before="78" w:line="359" w:lineRule="exact"/>
        <w:ind w:left="605"/>
        <w:rPr>
          <w:rFonts w:ascii="宋体" w:hAnsi="宋体" w:eastAsia="宋体" w:cs="宋体"/>
          <w:sz w:val="24"/>
          <w:szCs w:val="24"/>
        </w:rPr>
      </w:pPr>
      <w:r>
        <w:rPr>
          <w:rFonts w:ascii="宋体" w:hAnsi="宋体" w:eastAsia="宋体" w:cs="宋体"/>
          <w:spacing w:val="1"/>
          <w:position w:val="2"/>
          <w:sz w:val="24"/>
          <w:szCs w:val="24"/>
        </w:rPr>
        <w:t>综上所述，本项目建成后，项目大气污染物产排情况见表</w:t>
      </w:r>
      <w:r>
        <w:rPr>
          <w:rFonts w:ascii="Times New Roman" w:hAnsi="Times New Roman" w:eastAsia="Times New Roman" w:cs="Times New Roman"/>
          <w:spacing w:val="1"/>
          <w:position w:val="2"/>
          <w:sz w:val="24"/>
          <w:szCs w:val="24"/>
        </w:rPr>
        <w:t>3.5-8</w:t>
      </w:r>
      <w:r>
        <w:rPr>
          <w:rFonts w:ascii="宋体" w:hAnsi="宋体" w:eastAsia="宋体" w:cs="宋体"/>
          <w:spacing w:val="1"/>
          <w:position w:val="2"/>
          <w:sz w:val="24"/>
          <w:szCs w:val="24"/>
        </w:rPr>
        <w:t>。</w:t>
      </w:r>
    </w:p>
    <w:p w14:paraId="4B44E152">
      <w:pPr>
        <w:spacing w:before="245" w:line="228" w:lineRule="auto"/>
        <w:ind w:left="2208"/>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 xml:space="preserve">3.5-8 </w:t>
      </w:r>
      <w:r>
        <w:rPr>
          <w:rFonts w:ascii="宋体" w:hAnsi="宋体" w:eastAsia="宋体" w:cs="宋体"/>
          <w:b/>
          <w:bCs/>
          <w:spacing w:val="6"/>
          <w:sz w:val="20"/>
          <w:szCs w:val="20"/>
        </w:rPr>
        <w:t>项目大气污染物产排情况汇总表单位：</w:t>
      </w:r>
      <w:r>
        <w:rPr>
          <w:rFonts w:ascii="Times New Roman" w:hAnsi="Times New Roman" w:eastAsia="Times New Roman" w:cs="Times New Roman"/>
          <w:b/>
          <w:bCs/>
          <w:spacing w:val="6"/>
          <w:sz w:val="20"/>
          <w:szCs w:val="20"/>
        </w:rPr>
        <w:t>t/a</w:t>
      </w:r>
    </w:p>
    <w:p w14:paraId="31CC6560">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1275"/>
        <w:gridCol w:w="2227"/>
        <w:gridCol w:w="1629"/>
        <w:gridCol w:w="2431"/>
      </w:tblGrid>
      <w:tr w14:paraId="48989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88" w:type="dxa"/>
            <w:vAlign w:val="top"/>
          </w:tcPr>
          <w:p w14:paraId="3240F122">
            <w:pPr>
              <w:pStyle w:val="6"/>
              <w:spacing w:before="70" w:line="229" w:lineRule="auto"/>
              <w:ind w:left="387"/>
            </w:pPr>
            <w:r>
              <w:rPr>
                <w:b/>
                <w:bCs/>
                <w:spacing w:val="5"/>
              </w:rPr>
              <w:t>污染源</w:t>
            </w:r>
          </w:p>
        </w:tc>
        <w:tc>
          <w:tcPr>
            <w:tcW w:w="1275" w:type="dxa"/>
            <w:vAlign w:val="top"/>
          </w:tcPr>
          <w:p w14:paraId="36F787F6">
            <w:pPr>
              <w:pStyle w:val="6"/>
              <w:spacing w:before="70" w:line="229" w:lineRule="auto"/>
              <w:ind w:left="223"/>
            </w:pPr>
            <w:r>
              <w:rPr>
                <w:b/>
                <w:bCs/>
                <w:spacing w:val="6"/>
              </w:rPr>
              <w:t>污染因子</w:t>
            </w:r>
          </w:p>
        </w:tc>
        <w:tc>
          <w:tcPr>
            <w:tcW w:w="2227" w:type="dxa"/>
            <w:vAlign w:val="top"/>
          </w:tcPr>
          <w:p w14:paraId="4C48AAD7">
            <w:pPr>
              <w:pStyle w:val="6"/>
              <w:spacing w:before="70" w:line="228" w:lineRule="auto"/>
              <w:ind w:left="804"/>
            </w:pPr>
            <w:r>
              <w:rPr>
                <w:b/>
                <w:bCs/>
                <w:spacing w:val="5"/>
              </w:rPr>
              <w:t>产生量</w:t>
            </w:r>
          </w:p>
        </w:tc>
        <w:tc>
          <w:tcPr>
            <w:tcW w:w="1629" w:type="dxa"/>
            <w:vAlign w:val="top"/>
          </w:tcPr>
          <w:p w14:paraId="253A0985">
            <w:pPr>
              <w:pStyle w:val="6"/>
              <w:spacing w:before="70" w:line="230" w:lineRule="auto"/>
              <w:ind w:left="519"/>
            </w:pPr>
            <w:r>
              <w:rPr>
                <w:b/>
                <w:bCs/>
                <w:spacing w:val="1"/>
              </w:rPr>
              <w:t>削减量</w:t>
            </w:r>
          </w:p>
        </w:tc>
        <w:tc>
          <w:tcPr>
            <w:tcW w:w="2431" w:type="dxa"/>
            <w:vAlign w:val="top"/>
          </w:tcPr>
          <w:p w14:paraId="0FC07E84">
            <w:pPr>
              <w:pStyle w:val="6"/>
              <w:spacing w:before="70" w:line="230" w:lineRule="auto"/>
              <w:ind w:left="905"/>
            </w:pPr>
            <w:r>
              <w:rPr>
                <w:b/>
                <w:bCs/>
                <w:spacing w:val="5"/>
              </w:rPr>
              <w:t>排放量</w:t>
            </w:r>
          </w:p>
        </w:tc>
      </w:tr>
      <w:tr w14:paraId="4D7C7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Merge w:val="restart"/>
            <w:tcBorders>
              <w:bottom w:val="nil"/>
            </w:tcBorders>
            <w:vAlign w:val="top"/>
          </w:tcPr>
          <w:p w14:paraId="6F1A58AA">
            <w:pPr>
              <w:pStyle w:val="6"/>
              <w:spacing w:before="232" w:line="229" w:lineRule="auto"/>
              <w:ind w:left="488"/>
            </w:pPr>
            <w:r>
              <w:rPr>
                <w:spacing w:val="4"/>
              </w:rPr>
              <w:t>猪舍</w:t>
            </w:r>
          </w:p>
        </w:tc>
        <w:tc>
          <w:tcPr>
            <w:tcW w:w="1275" w:type="dxa"/>
            <w:vAlign w:val="top"/>
          </w:tcPr>
          <w:p w14:paraId="4DD90D8A">
            <w:pPr>
              <w:spacing w:before="104"/>
              <w:ind w:left="4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2227" w:type="dxa"/>
            <w:vAlign w:val="top"/>
          </w:tcPr>
          <w:p w14:paraId="34137B85">
            <w:pPr>
              <w:spacing w:before="33" w:line="274" w:lineRule="exact"/>
              <w:ind w:left="9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1629" w:type="dxa"/>
            <w:vAlign w:val="top"/>
          </w:tcPr>
          <w:p w14:paraId="428FBB9C">
            <w:pPr>
              <w:spacing w:before="33"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0.49</w:t>
            </w:r>
          </w:p>
        </w:tc>
        <w:tc>
          <w:tcPr>
            <w:tcW w:w="2431" w:type="dxa"/>
            <w:vAlign w:val="top"/>
          </w:tcPr>
          <w:p w14:paraId="07C9859A">
            <w:pPr>
              <w:spacing w:before="33" w:line="274" w:lineRule="exact"/>
              <w:ind w:left="10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56987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88" w:type="dxa"/>
            <w:vMerge w:val="continue"/>
            <w:tcBorders>
              <w:top w:val="nil"/>
            </w:tcBorders>
            <w:vAlign w:val="top"/>
          </w:tcPr>
          <w:p w14:paraId="327FD8D4">
            <w:pPr>
              <w:rPr>
                <w:rFonts w:ascii="Arial"/>
                <w:sz w:val="21"/>
              </w:rPr>
            </w:pPr>
          </w:p>
        </w:tc>
        <w:tc>
          <w:tcPr>
            <w:tcW w:w="1275" w:type="dxa"/>
            <w:vAlign w:val="top"/>
          </w:tcPr>
          <w:p w14:paraId="456685F1">
            <w:pPr>
              <w:spacing w:before="94" w:line="236"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2227" w:type="dxa"/>
            <w:vAlign w:val="top"/>
          </w:tcPr>
          <w:p w14:paraId="2E947FF1">
            <w:pPr>
              <w:spacing w:before="27" w:line="275" w:lineRule="exact"/>
              <w:ind w:left="9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629" w:type="dxa"/>
            <w:vAlign w:val="top"/>
          </w:tcPr>
          <w:p w14:paraId="2294E2DA">
            <w:pPr>
              <w:spacing w:before="27" w:line="275"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0.028</w:t>
            </w:r>
          </w:p>
        </w:tc>
        <w:tc>
          <w:tcPr>
            <w:tcW w:w="2431" w:type="dxa"/>
            <w:vAlign w:val="top"/>
          </w:tcPr>
          <w:p w14:paraId="1A81F9E6">
            <w:pPr>
              <w:spacing w:before="27" w:line="275" w:lineRule="exact"/>
              <w:ind w:left="9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r>
      <w:tr w14:paraId="7ADCB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Merge w:val="restart"/>
            <w:tcBorders>
              <w:bottom w:val="nil"/>
            </w:tcBorders>
            <w:vAlign w:val="top"/>
          </w:tcPr>
          <w:p w14:paraId="4DD3E1CC">
            <w:pPr>
              <w:pStyle w:val="6"/>
              <w:spacing w:before="77" w:line="228" w:lineRule="auto"/>
              <w:ind w:left="175"/>
            </w:pPr>
            <w:r>
              <w:rPr>
                <w:spacing w:val="7"/>
              </w:rPr>
              <w:t>有机肥发酵</w:t>
            </w:r>
          </w:p>
          <w:p w14:paraId="53BC58DA">
            <w:pPr>
              <w:pStyle w:val="6"/>
              <w:spacing w:before="80" w:line="228" w:lineRule="auto"/>
              <w:ind w:left="490"/>
            </w:pPr>
            <w:r>
              <w:rPr>
                <w:spacing w:val="3"/>
              </w:rPr>
              <w:t>车间</w:t>
            </w:r>
          </w:p>
        </w:tc>
        <w:tc>
          <w:tcPr>
            <w:tcW w:w="1275" w:type="dxa"/>
            <w:vAlign w:val="top"/>
          </w:tcPr>
          <w:p w14:paraId="6243D7D5">
            <w:pPr>
              <w:spacing w:before="104" w:line="239" w:lineRule="auto"/>
              <w:ind w:left="4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2227" w:type="dxa"/>
            <w:vAlign w:val="top"/>
          </w:tcPr>
          <w:p w14:paraId="08C24FFF">
            <w:pPr>
              <w:spacing w:before="18" w:line="274" w:lineRule="exact"/>
              <w:ind w:left="8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0.613</w:t>
            </w:r>
          </w:p>
        </w:tc>
        <w:tc>
          <w:tcPr>
            <w:tcW w:w="1629" w:type="dxa"/>
            <w:vAlign w:val="top"/>
          </w:tcPr>
          <w:p w14:paraId="71FAC5BA">
            <w:pPr>
              <w:spacing w:before="35" w:line="27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0.601</w:t>
            </w:r>
          </w:p>
        </w:tc>
        <w:tc>
          <w:tcPr>
            <w:tcW w:w="2431" w:type="dxa"/>
            <w:vAlign w:val="top"/>
          </w:tcPr>
          <w:p w14:paraId="1C238AE1">
            <w:pPr>
              <w:spacing w:before="18" w:line="274" w:lineRule="exact"/>
              <w:ind w:left="9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w:t>
            </w:r>
          </w:p>
        </w:tc>
      </w:tr>
      <w:tr w14:paraId="6F136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Merge w:val="continue"/>
            <w:tcBorders>
              <w:top w:val="nil"/>
            </w:tcBorders>
            <w:vAlign w:val="top"/>
          </w:tcPr>
          <w:p w14:paraId="5E0312D2">
            <w:pPr>
              <w:rPr>
                <w:rFonts w:ascii="Arial"/>
                <w:sz w:val="21"/>
              </w:rPr>
            </w:pPr>
          </w:p>
        </w:tc>
        <w:tc>
          <w:tcPr>
            <w:tcW w:w="1275" w:type="dxa"/>
            <w:vAlign w:val="top"/>
          </w:tcPr>
          <w:p w14:paraId="585A5880">
            <w:pPr>
              <w:spacing w:before="103" w:line="241"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2227" w:type="dxa"/>
            <w:vAlign w:val="top"/>
          </w:tcPr>
          <w:p w14:paraId="413130F4">
            <w:pPr>
              <w:spacing w:before="19" w:line="274" w:lineRule="exact"/>
              <w:ind w:left="8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0.123</w:t>
            </w:r>
          </w:p>
        </w:tc>
        <w:tc>
          <w:tcPr>
            <w:tcW w:w="1629" w:type="dxa"/>
            <w:vAlign w:val="top"/>
          </w:tcPr>
          <w:p w14:paraId="3B8B3AE5">
            <w:pPr>
              <w:spacing w:before="36" w:line="274" w:lineRule="exact"/>
              <w:ind w:left="58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0.118</w:t>
            </w:r>
          </w:p>
        </w:tc>
        <w:tc>
          <w:tcPr>
            <w:tcW w:w="2431" w:type="dxa"/>
            <w:vAlign w:val="top"/>
          </w:tcPr>
          <w:p w14:paraId="58D3E992">
            <w:pPr>
              <w:spacing w:before="19" w:line="274" w:lineRule="exact"/>
              <w:ind w:left="9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r>
      <w:tr w14:paraId="55CF5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Align w:val="top"/>
          </w:tcPr>
          <w:p w14:paraId="0848B437">
            <w:pPr>
              <w:pStyle w:val="6"/>
              <w:spacing w:before="68" w:line="229" w:lineRule="auto"/>
              <w:ind w:left="173"/>
            </w:pPr>
            <w:r>
              <w:rPr>
                <w:spacing w:val="8"/>
              </w:rPr>
              <w:t>饲料加工房</w:t>
            </w:r>
          </w:p>
        </w:tc>
        <w:tc>
          <w:tcPr>
            <w:tcW w:w="1275" w:type="dxa"/>
            <w:vAlign w:val="top"/>
          </w:tcPr>
          <w:p w14:paraId="16A16124">
            <w:pPr>
              <w:pStyle w:val="6"/>
              <w:spacing w:before="68" w:line="229" w:lineRule="auto"/>
              <w:ind w:left="326"/>
            </w:pPr>
            <w:r>
              <w:rPr>
                <w:spacing w:val="7"/>
              </w:rPr>
              <w:t>颗粒物</w:t>
            </w:r>
          </w:p>
        </w:tc>
        <w:tc>
          <w:tcPr>
            <w:tcW w:w="2227" w:type="dxa"/>
            <w:vAlign w:val="top"/>
          </w:tcPr>
          <w:p w14:paraId="0299D325">
            <w:pPr>
              <w:spacing w:before="18" w:line="274" w:lineRule="exact"/>
              <w:ind w:left="8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c>
          <w:tcPr>
            <w:tcW w:w="1629" w:type="dxa"/>
            <w:vAlign w:val="top"/>
          </w:tcPr>
          <w:p w14:paraId="123269D7">
            <w:pPr>
              <w:spacing w:before="37" w:line="275"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04C436A9">
            <w:pPr>
              <w:spacing w:before="18" w:line="274" w:lineRule="exact"/>
              <w:ind w:left="9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r>
      <w:tr w14:paraId="43B6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8" w:type="dxa"/>
            <w:vMerge w:val="restart"/>
            <w:tcBorders>
              <w:bottom w:val="nil"/>
            </w:tcBorders>
            <w:vAlign w:val="top"/>
          </w:tcPr>
          <w:p w14:paraId="6097928F">
            <w:pPr>
              <w:pStyle w:val="6"/>
              <w:spacing w:before="256" w:line="228" w:lineRule="auto"/>
              <w:ind w:left="176"/>
            </w:pPr>
            <w:r>
              <w:rPr>
                <w:spacing w:val="7"/>
              </w:rPr>
              <w:t>备用发电机</w:t>
            </w:r>
          </w:p>
          <w:p w14:paraId="4342886E">
            <w:pPr>
              <w:pStyle w:val="6"/>
              <w:spacing w:before="77" w:line="229" w:lineRule="auto"/>
              <w:ind w:left="595"/>
            </w:pPr>
            <w:r>
              <w:t>房</w:t>
            </w:r>
          </w:p>
        </w:tc>
        <w:tc>
          <w:tcPr>
            <w:tcW w:w="1275" w:type="dxa"/>
            <w:vAlign w:val="top"/>
          </w:tcPr>
          <w:p w14:paraId="7F2F2E70">
            <w:pPr>
              <w:spacing w:before="105" w:line="239" w:lineRule="auto"/>
              <w:ind w:left="47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2227" w:type="dxa"/>
            <w:vAlign w:val="top"/>
          </w:tcPr>
          <w:p w14:paraId="46AA2AEE">
            <w:pPr>
              <w:spacing w:before="20" w:line="274" w:lineRule="exact"/>
              <w:ind w:left="7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c>
          <w:tcPr>
            <w:tcW w:w="1629" w:type="dxa"/>
            <w:vAlign w:val="top"/>
          </w:tcPr>
          <w:p w14:paraId="2C186993">
            <w:pPr>
              <w:spacing w:before="39" w:line="274"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07108DF9">
            <w:pPr>
              <w:spacing w:before="20"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6AD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8" w:type="dxa"/>
            <w:vMerge w:val="continue"/>
            <w:tcBorders>
              <w:top w:val="nil"/>
              <w:bottom w:val="nil"/>
            </w:tcBorders>
            <w:vAlign w:val="top"/>
          </w:tcPr>
          <w:p w14:paraId="42F7D32A">
            <w:pPr>
              <w:rPr>
                <w:rFonts w:ascii="Arial"/>
                <w:sz w:val="21"/>
              </w:rPr>
            </w:pPr>
          </w:p>
        </w:tc>
        <w:tc>
          <w:tcPr>
            <w:tcW w:w="1275" w:type="dxa"/>
            <w:vAlign w:val="top"/>
          </w:tcPr>
          <w:p w14:paraId="2FC19EE6">
            <w:pPr>
              <w:spacing w:before="106" w:line="202" w:lineRule="auto"/>
              <w:ind w:left="43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227" w:type="dxa"/>
            <w:vAlign w:val="top"/>
          </w:tcPr>
          <w:p w14:paraId="52D57190">
            <w:pPr>
              <w:spacing w:before="20" w:line="274" w:lineRule="exact"/>
              <w:ind w:left="7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c>
          <w:tcPr>
            <w:tcW w:w="1629" w:type="dxa"/>
            <w:vAlign w:val="top"/>
          </w:tcPr>
          <w:p w14:paraId="03C88451">
            <w:pPr>
              <w:spacing w:before="39" w:line="274"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01608DF1">
            <w:pPr>
              <w:spacing w:before="20"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07834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88" w:type="dxa"/>
            <w:vMerge w:val="continue"/>
            <w:tcBorders>
              <w:top w:val="nil"/>
            </w:tcBorders>
            <w:vAlign w:val="top"/>
          </w:tcPr>
          <w:p w14:paraId="2B2A47E5">
            <w:pPr>
              <w:rPr>
                <w:rFonts w:ascii="Arial"/>
                <w:sz w:val="21"/>
              </w:rPr>
            </w:pPr>
          </w:p>
        </w:tc>
        <w:tc>
          <w:tcPr>
            <w:tcW w:w="1275" w:type="dxa"/>
            <w:vAlign w:val="top"/>
          </w:tcPr>
          <w:p w14:paraId="37AE9960">
            <w:pPr>
              <w:pStyle w:val="6"/>
              <w:spacing w:before="68" w:line="230" w:lineRule="auto"/>
              <w:ind w:left="433"/>
            </w:pPr>
            <w:r>
              <w:rPr>
                <w:spacing w:val="4"/>
              </w:rPr>
              <w:t>烟尘</w:t>
            </w:r>
          </w:p>
        </w:tc>
        <w:tc>
          <w:tcPr>
            <w:tcW w:w="2227" w:type="dxa"/>
            <w:vAlign w:val="top"/>
          </w:tcPr>
          <w:p w14:paraId="7A688A9C">
            <w:pPr>
              <w:spacing w:before="20" w:line="275" w:lineRule="exact"/>
              <w:ind w:left="7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c>
          <w:tcPr>
            <w:tcW w:w="1629" w:type="dxa"/>
            <w:vAlign w:val="top"/>
          </w:tcPr>
          <w:p w14:paraId="0B1ED6D1">
            <w:pPr>
              <w:spacing w:before="37" w:line="274"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6558BF2B">
            <w:pPr>
              <w:spacing w:before="20" w:line="275"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bl>
    <w:p w14:paraId="1D6B938B">
      <w:pPr>
        <w:pStyle w:val="2"/>
      </w:pPr>
    </w:p>
    <w:p w14:paraId="791F7480">
      <w:pPr>
        <w:sectPr>
          <w:footerReference r:id="rId82" w:type="default"/>
          <w:pgSz w:w="11906" w:h="16839"/>
          <w:pgMar w:top="400" w:right="1475" w:bottom="1485" w:left="1475" w:header="0" w:footer="1249" w:gutter="0"/>
          <w:cols w:space="720" w:num="1"/>
        </w:sectPr>
      </w:pPr>
    </w:p>
    <w:p w14:paraId="315D8EE1">
      <w:pPr>
        <w:pStyle w:val="2"/>
        <w:spacing w:line="250" w:lineRule="auto"/>
      </w:pPr>
    </w:p>
    <w:p w14:paraId="58CDCB75">
      <w:pPr>
        <w:pStyle w:val="2"/>
        <w:spacing w:line="251" w:lineRule="auto"/>
      </w:pPr>
    </w:p>
    <w:p w14:paraId="4C59F07B">
      <w:pPr>
        <w:pStyle w:val="2"/>
        <w:spacing w:line="251" w:lineRule="auto"/>
      </w:pPr>
    </w:p>
    <w:p w14:paraId="3B0D656F">
      <w:pPr>
        <w:pStyle w:val="2"/>
        <w:spacing w:line="251" w:lineRule="auto"/>
      </w:pPr>
    </w:p>
    <w:p w14:paraId="2DE41BC3">
      <w:pPr>
        <w:pStyle w:val="2"/>
        <w:spacing w:line="251" w:lineRule="auto"/>
      </w:pPr>
    </w:p>
    <w:p w14:paraId="2A9F8C80">
      <w:pPr>
        <w:spacing w:before="65" w:line="228" w:lineRule="auto"/>
        <w:ind w:left="4958"/>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7"/>
          <w:sz w:val="20"/>
          <w:szCs w:val="20"/>
        </w:rPr>
        <w:t xml:space="preserve">3.5-9 </w:t>
      </w:r>
      <w:r>
        <w:rPr>
          <w:rFonts w:ascii="宋体" w:hAnsi="宋体" w:eastAsia="宋体" w:cs="宋体"/>
          <w:b/>
          <w:bCs/>
          <w:spacing w:val="7"/>
          <w:sz w:val="20"/>
          <w:szCs w:val="20"/>
        </w:rPr>
        <w:t>废气污染源源强核算结果及相关参数一览表</w:t>
      </w:r>
    </w:p>
    <w:p w14:paraId="5C5284A8">
      <w:pPr>
        <w:spacing w:line="102" w:lineRule="exact"/>
      </w:pPr>
    </w:p>
    <w:tbl>
      <w:tblPr>
        <w:tblStyle w:val="5"/>
        <w:tblW w:w="139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646"/>
        <w:gridCol w:w="835"/>
        <w:gridCol w:w="742"/>
        <w:gridCol w:w="638"/>
        <w:gridCol w:w="1108"/>
        <w:gridCol w:w="1109"/>
        <w:gridCol w:w="1158"/>
        <w:gridCol w:w="1188"/>
        <w:gridCol w:w="593"/>
        <w:gridCol w:w="744"/>
        <w:gridCol w:w="1300"/>
        <w:gridCol w:w="1134"/>
        <w:gridCol w:w="1445"/>
        <w:gridCol w:w="648"/>
      </w:tblGrid>
      <w:tr w14:paraId="40061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08" w:type="dxa"/>
            <w:vMerge w:val="restart"/>
            <w:tcBorders>
              <w:bottom w:val="nil"/>
            </w:tcBorders>
            <w:vAlign w:val="top"/>
          </w:tcPr>
          <w:p w14:paraId="6542245A">
            <w:pPr>
              <w:pStyle w:val="6"/>
              <w:spacing w:before="292" w:line="230" w:lineRule="auto"/>
              <w:ind w:left="123"/>
              <w:rPr>
                <w:rFonts w:ascii="Times New Roman" w:hAnsi="Times New Roman" w:eastAsia="Times New Roman" w:cs="Times New Roman"/>
              </w:rPr>
            </w:pPr>
            <w:r>
              <w:rPr>
                <w:b/>
                <w:bCs/>
                <w:spacing w:val="2"/>
              </w:rPr>
              <w:t>工序</w:t>
            </w:r>
            <w:r>
              <w:rPr>
                <w:rFonts w:ascii="Times New Roman" w:hAnsi="Times New Roman" w:eastAsia="Times New Roman" w:cs="Times New Roman"/>
                <w:b/>
                <w:bCs/>
                <w:spacing w:val="2"/>
              </w:rPr>
              <w:t>/</w:t>
            </w:r>
          </w:p>
          <w:p w14:paraId="5EAF55A3">
            <w:pPr>
              <w:pStyle w:val="6"/>
              <w:spacing w:before="77" w:line="228" w:lineRule="auto"/>
              <w:ind w:left="151"/>
            </w:pPr>
            <w:r>
              <w:rPr>
                <w:b/>
                <w:bCs/>
                <w:spacing w:val="3"/>
              </w:rPr>
              <w:t>生产</w:t>
            </w:r>
          </w:p>
          <w:p w14:paraId="364641A9">
            <w:pPr>
              <w:pStyle w:val="6"/>
              <w:spacing w:before="79" w:line="229" w:lineRule="auto"/>
              <w:ind w:left="258"/>
            </w:pPr>
            <w:r>
              <w:rPr>
                <w:b/>
                <w:bCs/>
                <w:spacing w:val="-3"/>
              </w:rPr>
              <w:t>线</w:t>
            </w:r>
          </w:p>
        </w:tc>
        <w:tc>
          <w:tcPr>
            <w:tcW w:w="646" w:type="dxa"/>
            <w:vMerge w:val="restart"/>
            <w:tcBorders>
              <w:bottom w:val="nil"/>
            </w:tcBorders>
            <w:vAlign w:val="top"/>
          </w:tcPr>
          <w:p w14:paraId="39D201F4">
            <w:pPr>
              <w:spacing w:line="275" w:lineRule="auto"/>
              <w:rPr>
                <w:rFonts w:ascii="Arial"/>
                <w:sz w:val="21"/>
              </w:rPr>
            </w:pPr>
          </w:p>
          <w:p w14:paraId="13D3E6C0">
            <w:pPr>
              <w:spacing w:line="276" w:lineRule="auto"/>
              <w:rPr>
                <w:rFonts w:ascii="Arial"/>
                <w:sz w:val="21"/>
              </w:rPr>
            </w:pPr>
          </w:p>
          <w:p w14:paraId="242826DC">
            <w:pPr>
              <w:pStyle w:val="6"/>
              <w:spacing w:before="65" w:line="229" w:lineRule="auto"/>
              <w:ind w:left="116"/>
            </w:pPr>
            <w:r>
              <w:rPr>
                <w:b/>
                <w:bCs/>
                <w:spacing w:val="3"/>
              </w:rPr>
              <w:t>装置</w:t>
            </w:r>
          </w:p>
        </w:tc>
        <w:tc>
          <w:tcPr>
            <w:tcW w:w="835" w:type="dxa"/>
            <w:vMerge w:val="restart"/>
            <w:tcBorders>
              <w:bottom w:val="nil"/>
            </w:tcBorders>
            <w:vAlign w:val="top"/>
          </w:tcPr>
          <w:p w14:paraId="10A6D560">
            <w:pPr>
              <w:spacing w:line="388" w:lineRule="auto"/>
              <w:rPr>
                <w:rFonts w:ascii="Arial"/>
                <w:sz w:val="21"/>
              </w:rPr>
            </w:pPr>
          </w:p>
          <w:p w14:paraId="21F47DF6">
            <w:pPr>
              <w:pStyle w:val="6"/>
              <w:spacing w:before="65" w:line="304" w:lineRule="auto"/>
              <w:ind w:left="313" w:right="206" w:hanging="100"/>
            </w:pPr>
            <w:r>
              <w:rPr>
                <w:b/>
                <w:bCs/>
                <w:spacing w:val="3"/>
              </w:rPr>
              <w:t>污染</w:t>
            </w:r>
            <w:r>
              <w:t xml:space="preserve"> </w:t>
            </w:r>
            <w:r>
              <w:rPr>
                <w:b/>
                <w:bCs/>
                <w:spacing w:val="-1"/>
              </w:rPr>
              <w:t>源</w:t>
            </w:r>
          </w:p>
        </w:tc>
        <w:tc>
          <w:tcPr>
            <w:tcW w:w="742" w:type="dxa"/>
            <w:vMerge w:val="restart"/>
            <w:tcBorders>
              <w:bottom w:val="nil"/>
            </w:tcBorders>
            <w:vAlign w:val="top"/>
          </w:tcPr>
          <w:p w14:paraId="42E65E85">
            <w:pPr>
              <w:spacing w:line="389" w:lineRule="auto"/>
              <w:rPr>
                <w:rFonts w:ascii="Arial"/>
                <w:sz w:val="21"/>
              </w:rPr>
            </w:pPr>
          </w:p>
          <w:p w14:paraId="12515254">
            <w:pPr>
              <w:pStyle w:val="6"/>
              <w:spacing w:before="65" w:line="303" w:lineRule="auto"/>
              <w:ind w:left="268" w:right="160" w:hanging="103"/>
            </w:pPr>
            <w:r>
              <w:rPr>
                <w:b/>
                <w:bCs/>
                <w:spacing w:val="3"/>
              </w:rPr>
              <w:t>污染</w:t>
            </w:r>
            <w:r>
              <w:t xml:space="preserve"> </w:t>
            </w:r>
            <w:r>
              <w:rPr>
                <w:b/>
                <w:bCs/>
                <w:spacing w:val="-2"/>
              </w:rPr>
              <w:t>物</w:t>
            </w:r>
          </w:p>
        </w:tc>
        <w:tc>
          <w:tcPr>
            <w:tcW w:w="4013" w:type="dxa"/>
            <w:gridSpan w:val="4"/>
            <w:vAlign w:val="top"/>
          </w:tcPr>
          <w:p w14:paraId="073D7092">
            <w:pPr>
              <w:pStyle w:val="6"/>
              <w:spacing w:before="125" w:line="228" w:lineRule="auto"/>
              <w:ind w:left="1487"/>
            </w:pPr>
            <w:r>
              <w:rPr>
                <w:b/>
                <w:bCs/>
                <w:spacing w:val="6"/>
              </w:rPr>
              <w:t>污染物产生</w:t>
            </w:r>
          </w:p>
        </w:tc>
        <w:tc>
          <w:tcPr>
            <w:tcW w:w="1781" w:type="dxa"/>
            <w:gridSpan w:val="2"/>
            <w:vAlign w:val="top"/>
          </w:tcPr>
          <w:p w14:paraId="60DA48F0">
            <w:pPr>
              <w:pStyle w:val="6"/>
              <w:spacing w:before="125" w:line="229" w:lineRule="auto"/>
              <w:ind w:left="480"/>
            </w:pPr>
            <w:r>
              <w:rPr>
                <w:b/>
                <w:bCs/>
                <w:spacing w:val="5"/>
              </w:rPr>
              <w:t>治理措施</w:t>
            </w:r>
          </w:p>
        </w:tc>
        <w:tc>
          <w:tcPr>
            <w:tcW w:w="4623" w:type="dxa"/>
            <w:gridSpan w:val="4"/>
            <w:vAlign w:val="top"/>
          </w:tcPr>
          <w:p w14:paraId="780F4B5D">
            <w:pPr>
              <w:pStyle w:val="6"/>
              <w:spacing w:before="125" w:line="229" w:lineRule="auto"/>
              <w:ind w:left="1794"/>
            </w:pPr>
            <w:r>
              <w:rPr>
                <w:b/>
                <w:bCs/>
                <w:spacing w:val="6"/>
              </w:rPr>
              <w:t>污染物排放</w:t>
            </w:r>
          </w:p>
        </w:tc>
        <w:tc>
          <w:tcPr>
            <w:tcW w:w="648" w:type="dxa"/>
            <w:vMerge w:val="restart"/>
            <w:tcBorders>
              <w:bottom w:val="nil"/>
            </w:tcBorders>
            <w:vAlign w:val="top"/>
          </w:tcPr>
          <w:p w14:paraId="6B20D4B9">
            <w:pPr>
              <w:pStyle w:val="6"/>
              <w:spacing w:before="292" w:line="230" w:lineRule="auto"/>
              <w:ind w:left="119"/>
            </w:pPr>
            <w:r>
              <w:rPr>
                <w:b/>
                <w:bCs/>
                <w:spacing w:val="3"/>
              </w:rPr>
              <w:t>排放</w:t>
            </w:r>
          </w:p>
          <w:p w14:paraId="7E378331">
            <w:pPr>
              <w:pStyle w:val="6"/>
              <w:spacing w:before="76" w:line="231" w:lineRule="auto"/>
              <w:ind w:left="129"/>
            </w:pPr>
            <w:r>
              <w:rPr>
                <w:b/>
                <w:bCs/>
                <w:spacing w:val="-1"/>
              </w:rPr>
              <w:t>时间</w:t>
            </w:r>
          </w:p>
          <w:p w14:paraId="3ECBAADA">
            <w:pPr>
              <w:spacing w:before="112" w:line="195" w:lineRule="auto"/>
              <w:ind w:left="23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p>
        </w:tc>
      </w:tr>
      <w:tr w14:paraId="561C0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708" w:type="dxa"/>
            <w:vMerge w:val="continue"/>
            <w:tcBorders>
              <w:top w:val="nil"/>
            </w:tcBorders>
            <w:vAlign w:val="top"/>
          </w:tcPr>
          <w:p w14:paraId="123EA060">
            <w:pPr>
              <w:rPr>
                <w:rFonts w:ascii="Arial"/>
                <w:sz w:val="21"/>
              </w:rPr>
            </w:pPr>
          </w:p>
        </w:tc>
        <w:tc>
          <w:tcPr>
            <w:tcW w:w="646" w:type="dxa"/>
            <w:vMerge w:val="continue"/>
            <w:tcBorders>
              <w:top w:val="nil"/>
            </w:tcBorders>
            <w:vAlign w:val="top"/>
          </w:tcPr>
          <w:p w14:paraId="559710FB">
            <w:pPr>
              <w:rPr>
                <w:rFonts w:ascii="Arial"/>
                <w:sz w:val="21"/>
              </w:rPr>
            </w:pPr>
          </w:p>
        </w:tc>
        <w:tc>
          <w:tcPr>
            <w:tcW w:w="835" w:type="dxa"/>
            <w:vMerge w:val="continue"/>
            <w:tcBorders>
              <w:top w:val="nil"/>
            </w:tcBorders>
            <w:vAlign w:val="top"/>
          </w:tcPr>
          <w:p w14:paraId="2C5308DE">
            <w:pPr>
              <w:rPr>
                <w:rFonts w:ascii="Arial"/>
                <w:sz w:val="21"/>
              </w:rPr>
            </w:pPr>
          </w:p>
        </w:tc>
        <w:tc>
          <w:tcPr>
            <w:tcW w:w="742" w:type="dxa"/>
            <w:vMerge w:val="continue"/>
            <w:tcBorders>
              <w:top w:val="nil"/>
            </w:tcBorders>
            <w:vAlign w:val="top"/>
          </w:tcPr>
          <w:p w14:paraId="688BD2BF">
            <w:pPr>
              <w:rPr>
                <w:rFonts w:ascii="Arial"/>
                <w:sz w:val="21"/>
              </w:rPr>
            </w:pPr>
          </w:p>
        </w:tc>
        <w:tc>
          <w:tcPr>
            <w:tcW w:w="638" w:type="dxa"/>
            <w:vAlign w:val="top"/>
          </w:tcPr>
          <w:p w14:paraId="7F2FA5C5">
            <w:pPr>
              <w:pStyle w:val="6"/>
              <w:spacing w:before="222" w:line="228" w:lineRule="auto"/>
              <w:ind w:left="115"/>
            </w:pPr>
            <w:r>
              <w:rPr>
                <w:b/>
                <w:bCs/>
                <w:spacing w:val="2"/>
              </w:rPr>
              <w:t>核算</w:t>
            </w:r>
          </w:p>
          <w:p w14:paraId="35589A57">
            <w:pPr>
              <w:pStyle w:val="6"/>
              <w:spacing w:before="78" w:line="230" w:lineRule="auto"/>
              <w:ind w:left="114"/>
            </w:pPr>
            <w:r>
              <w:rPr>
                <w:b/>
                <w:bCs/>
                <w:spacing w:val="3"/>
              </w:rPr>
              <w:t>方法</w:t>
            </w:r>
          </w:p>
        </w:tc>
        <w:tc>
          <w:tcPr>
            <w:tcW w:w="1108" w:type="dxa"/>
            <w:vAlign w:val="top"/>
          </w:tcPr>
          <w:p w14:paraId="442371DD">
            <w:pPr>
              <w:pStyle w:val="6"/>
              <w:spacing w:before="221" w:line="299" w:lineRule="auto"/>
              <w:ind w:left="146" w:right="130" w:hanging="10"/>
              <w:rPr>
                <w:rFonts w:ascii="Times New Roman" w:hAnsi="Times New Roman" w:eastAsia="Times New Roman" w:cs="Times New Roman"/>
              </w:rPr>
            </w:pPr>
            <w:r>
              <w:rPr>
                <w:b/>
                <w:bCs/>
                <w:spacing w:val="6"/>
              </w:rPr>
              <w:t>废气产生</w:t>
            </w:r>
            <w:r>
              <w:rPr>
                <w:spacing w:val="1"/>
              </w:rPr>
              <w:t xml:space="preserve"> </w:t>
            </w:r>
            <w:r>
              <w:rPr>
                <w:b/>
                <w:bCs/>
                <w:spacing w:val="3"/>
              </w:rPr>
              <w:t>量</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rFonts w:ascii="Times New Roman" w:hAnsi="Times New Roman" w:eastAsia="Times New Roman" w:cs="Times New Roman"/>
                <w:b/>
                <w:bCs/>
                <w:spacing w:val="3"/>
              </w:rPr>
              <w:t>/h)</w:t>
            </w:r>
          </w:p>
        </w:tc>
        <w:tc>
          <w:tcPr>
            <w:tcW w:w="1109" w:type="dxa"/>
            <w:vAlign w:val="top"/>
          </w:tcPr>
          <w:p w14:paraId="702BE50C">
            <w:pPr>
              <w:pStyle w:val="6"/>
              <w:spacing w:before="221" w:line="318" w:lineRule="auto"/>
              <w:ind w:left="161" w:right="131" w:hanging="23"/>
              <w:rPr>
                <w:rFonts w:ascii="Times New Roman" w:hAnsi="Times New Roman" w:eastAsia="Times New Roman" w:cs="Times New Roman"/>
              </w:rPr>
            </w:pPr>
            <w:r>
              <w:rPr>
                <w:b/>
                <w:bCs/>
                <w:spacing w:val="6"/>
              </w:rPr>
              <w:t>产生浓度</w:t>
            </w:r>
            <w:r>
              <w:rPr>
                <w:spacing w:val="1"/>
              </w:rPr>
              <w:t xml:space="preserve"> </w:t>
            </w:r>
            <w:r>
              <w:rPr>
                <w:rFonts w:ascii="Times New Roman" w:hAnsi="Times New Roman" w:eastAsia="Times New Roman" w:cs="Times New Roman"/>
                <w:b/>
                <w:bCs/>
                <w:spacing w:val="6"/>
              </w:rPr>
              <w:t>/(</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rPr>
              <w:t>)</w:t>
            </w:r>
          </w:p>
        </w:tc>
        <w:tc>
          <w:tcPr>
            <w:tcW w:w="1158" w:type="dxa"/>
            <w:vAlign w:val="top"/>
          </w:tcPr>
          <w:p w14:paraId="1B3A9301">
            <w:pPr>
              <w:pStyle w:val="6"/>
              <w:spacing w:before="221" w:line="325" w:lineRule="auto"/>
              <w:ind w:left="278" w:right="261" w:hanging="11"/>
              <w:rPr>
                <w:rFonts w:ascii="Times New Roman" w:hAnsi="Times New Roman" w:eastAsia="Times New Roman" w:cs="Times New Roman"/>
              </w:rPr>
            </w:pPr>
            <w:r>
              <w:rPr>
                <w:b/>
                <w:bCs/>
                <w:spacing w:val="5"/>
              </w:rPr>
              <w:t>产生量</w:t>
            </w:r>
            <w:r>
              <w:t xml:space="preserve"> </w:t>
            </w:r>
            <w:r>
              <w:rPr>
                <w:rFonts w:ascii="Times New Roman" w:hAnsi="Times New Roman" w:eastAsia="Times New Roman" w:cs="Times New Roman"/>
                <w:b/>
                <w:bCs/>
                <w:spacing w:val="5"/>
              </w:rPr>
              <w:t>/(</w:t>
            </w:r>
            <w:r>
              <w:rPr>
                <w:rFonts w:ascii="Times New Roman" w:hAnsi="Times New Roman" w:eastAsia="Times New Roman" w:cs="Times New Roman"/>
                <w:b/>
                <w:bCs/>
              </w:rPr>
              <w:t>kg</w:t>
            </w:r>
            <w:r>
              <w:rPr>
                <w:rFonts w:ascii="Times New Roman" w:hAnsi="Times New Roman" w:eastAsia="Times New Roman" w:cs="Times New Roman"/>
                <w:b/>
                <w:bCs/>
                <w:spacing w:val="5"/>
              </w:rPr>
              <w:t>/h)</w:t>
            </w:r>
          </w:p>
        </w:tc>
        <w:tc>
          <w:tcPr>
            <w:tcW w:w="1188" w:type="dxa"/>
            <w:vAlign w:val="top"/>
          </w:tcPr>
          <w:p w14:paraId="271F992E">
            <w:pPr>
              <w:spacing w:line="317" w:lineRule="auto"/>
              <w:rPr>
                <w:rFonts w:ascii="Arial"/>
                <w:sz w:val="21"/>
              </w:rPr>
            </w:pPr>
          </w:p>
          <w:p w14:paraId="48BF582E">
            <w:pPr>
              <w:pStyle w:val="6"/>
              <w:spacing w:before="65" w:line="239" w:lineRule="auto"/>
              <w:ind w:left="391"/>
            </w:pPr>
            <w:r>
              <w:rPr>
                <w:b/>
                <w:bCs/>
                <w:spacing w:val="2"/>
              </w:rPr>
              <w:t>工艺</w:t>
            </w:r>
          </w:p>
        </w:tc>
        <w:tc>
          <w:tcPr>
            <w:tcW w:w="593" w:type="dxa"/>
            <w:vAlign w:val="top"/>
          </w:tcPr>
          <w:p w14:paraId="3D081EC7">
            <w:pPr>
              <w:pStyle w:val="6"/>
              <w:spacing w:before="58" w:line="229" w:lineRule="auto"/>
              <w:ind w:left="202"/>
            </w:pPr>
            <w:r>
              <w:rPr>
                <w:b/>
                <w:bCs/>
                <w:spacing w:val="-3"/>
              </w:rPr>
              <w:t>效</w:t>
            </w:r>
          </w:p>
          <w:p w14:paraId="328C3625">
            <w:pPr>
              <w:pStyle w:val="6"/>
              <w:spacing w:before="78" w:line="228" w:lineRule="auto"/>
              <w:ind w:left="198"/>
            </w:pPr>
            <w:r>
              <w:rPr>
                <w:b/>
                <w:bCs/>
                <w:spacing w:val="-3"/>
              </w:rPr>
              <w:t>率</w:t>
            </w:r>
          </w:p>
          <w:p w14:paraId="58A32EC9">
            <w:pPr>
              <w:spacing w:before="114" w:line="195" w:lineRule="auto"/>
              <w:ind w:left="160"/>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p>
        </w:tc>
        <w:tc>
          <w:tcPr>
            <w:tcW w:w="744" w:type="dxa"/>
            <w:vAlign w:val="top"/>
          </w:tcPr>
          <w:p w14:paraId="3B0056F2">
            <w:pPr>
              <w:pStyle w:val="6"/>
              <w:spacing w:before="222" w:line="228" w:lineRule="auto"/>
              <w:ind w:left="170"/>
            </w:pPr>
            <w:r>
              <w:rPr>
                <w:b/>
                <w:bCs/>
                <w:spacing w:val="2"/>
              </w:rPr>
              <w:t>核算</w:t>
            </w:r>
          </w:p>
          <w:p w14:paraId="31F2FAE9">
            <w:pPr>
              <w:pStyle w:val="6"/>
              <w:spacing w:before="78" w:line="230" w:lineRule="auto"/>
              <w:ind w:left="168"/>
            </w:pPr>
            <w:r>
              <w:rPr>
                <w:b/>
                <w:bCs/>
                <w:spacing w:val="3"/>
              </w:rPr>
              <w:t>方法</w:t>
            </w:r>
          </w:p>
        </w:tc>
        <w:tc>
          <w:tcPr>
            <w:tcW w:w="1300" w:type="dxa"/>
            <w:vAlign w:val="top"/>
          </w:tcPr>
          <w:p w14:paraId="31F6EFB9">
            <w:pPr>
              <w:pStyle w:val="6"/>
              <w:spacing w:before="221" w:line="299" w:lineRule="auto"/>
              <w:ind w:left="272" w:right="122" w:hanging="144"/>
            </w:pPr>
            <w:r>
              <w:rPr>
                <w:b/>
                <w:bCs/>
                <w:spacing w:val="6"/>
              </w:rPr>
              <w:t>废气排放量</w:t>
            </w:r>
            <w:r>
              <w:rPr>
                <w:spacing w:val="2"/>
              </w:rPr>
              <w:t xml:space="preserve"> </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rPr>
              <w:t>/h</w:t>
            </w:r>
            <w:r>
              <w:rPr>
                <w:b/>
                <w:bCs/>
                <w:spacing w:val="2"/>
              </w:rPr>
              <w:t>）</w:t>
            </w:r>
          </w:p>
        </w:tc>
        <w:tc>
          <w:tcPr>
            <w:tcW w:w="1134" w:type="dxa"/>
            <w:vAlign w:val="top"/>
          </w:tcPr>
          <w:p w14:paraId="119CD1A6">
            <w:pPr>
              <w:pStyle w:val="6"/>
              <w:spacing w:before="221" w:line="318" w:lineRule="auto"/>
              <w:ind w:left="177" w:right="140" w:hanging="23"/>
              <w:rPr>
                <w:rFonts w:ascii="Times New Roman" w:hAnsi="Times New Roman" w:eastAsia="Times New Roman" w:cs="Times New Roman"/>
              </w:rPr>
            </w:pPr>
            <w:r>
              <w:rPr>
                <w:b/>
                <w:bCs/>
                <w:spacing w:val="6"/>
              </w:rPr>
              <w:t>排放浓度</w:t>
            </w:r>
            <w:r>
              <w:rPr>
                <w:spacing w:val="1"/>
              </w:rPr>
              <w:t xml:space="preserve"> </w:t>
            </w:r>
            <w:r>
              <w:rPr>
                <w:rFonts w:ascii="Times New Roman" w:hAnsi="Times New Roman" w:eastAsia="Times New Roman" w:cs="Times New Roman"/>
                <w:b/>
                <w:bCs/>
                <w:spacing w:val="5"/>
              </w:rPr>
              <w:t>/(</w:t>
            </w:r>
            <w:r>
              <w:rPr>
                <w:rFonts w:ascii="Times New Roman" w:hAnsi="Times New Roman" w:eastAsia="Times New Roman" w:cs="Times New Roman"/>
                <w:b/>
                <w:bCs/>
              </w:rPr>
              <w:t>mg</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rPr>
              <w:t>)</w:t>
            </w:r>
          </w:p>
        </w:tc>
        <w:tc>
          <w:tcPr>
            <w:tcW w:w="1445" w:type="dxa"/>
            <w:vAlign w:val="top"/>
          </w:tcPr>
          <w:p w14:paraId="30D29B56">
            <w:pPr>
              <w:spacing w:line="317" w:lineRule="auto"/>
              <w:rPr>
                <w:rFonts w:ascii="Arial"/>
                <w:sz w:val="21"/>
              </w:rPr>
            </w:pPr>
          </w:p>
          <w:p w14:paraId="063D2DCA">
            <w:pPr>
              <w:pStyle w:val="6"/>
              <w:spacing w:before="65" w:line="221" w:lineRule="auto"/>
              <w:ind w:left="119"/>
              <w:rPr>
                <w:rFonts w:ascii="Times New Roman" w:hAnsi="Times New Roman" w:eastAsia="Times New Roman" w:cs="Times New Roman"/>
              </w:rPr>
            </w:pPr>
            <w:r>
              <w:rPr>
                <w:b/>
                <w:bCs/>
                <w:spacing w:val="5"/>
              </w:rPr>
              <w:t>排放量</w:t>
            </w:r>
            <w:r>
              <w:rPr>
                <w:rFonts w:ascii="Times New Roman" w:hAnsi="Times New Roman" w:eastAsia="Times New Roman" w:cs="Times New Roman"/>
                <w:b/>
                <w:bCs/>
                <w:spacing w:val="5"/>
              </w:rPr>
              <w:t>/(</w:t>
            </w:r>
            <w:r>
              <w:rPr>
                <w:rFonts w:ascii="Times New Roman" w:hAnsi="Times New Roman" w:eastAsia="Times New Roman" w:cs="Times New Roman"/>
                <w:b/>
                <w:bCs/>
              </w:rPr>
              <w:t>kg</w:t>
            </w:r>
            <w:r>
              <w:rPr>
                <w:rFonts w:ascii="Times New Roman" w:hAnsi="Times New Roman" w:eastAsia="Times New Roman" w:cs="Times New Roman"/>
                <w:b/>
                <w:bCs/>
                <w:spacing w:val="5"/>
              </w:rPr>
              <w:t>/h)</w:t>
            </w:r>
          </w:p>
        </w:tc>
        <w:tc>
          <w:tcPr>
            <w:tcW w:w="648" w:type="dxa"/>
            <w:vMerge w:val="continue"/>
            <w:tcBorders>
              <w:top w:val="nil"/>
            </w:tcBorders>
            <w:vAlign w:val="top"/>
          </w:tcPr>
          <w:p w14:paraId="45CFC36A">
            <w:pPr>
              <w:rPr>
                <w:rFonts w:ascii="Arial"/>
                <w:sz w:val="21"/>
              </w:rPr>
            </w:pPr>
          </w:p>
        </w:tc>
      </w:tr>
      <w:tr w14:paraId="10EFA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08" w:type="dxa"/>
            <w:vMerge w:val="restart"/>
            <w:tcBorders>
              <w:bottom w:val="nil"/>
            </w:tcBorders>
            <w:vAlign w:val="top"/>
          </w:tcPr>
          <w:p w14:paraId="1699677C">
            <w:pPr>
              <w:spacing w:line="241" w:lineRule="auto"/>
              <w:rPr>
                <w:rFonts w:ascii="Arial"/>
                <w:sz w:val="21"/>
              </w:rPr>
            </w:pPr>
          </w:p>
          <w:p w14:paraId="38D136BF">
            <w:pPr>
              <w:spacing w:line="241" w:lineRule="auto"/>
              <w:rPr>
                <w:rFonts w:ascii="Arial"/>
                <w:sz w:val="21"/>
              </w:rPr>
            </w:pPr>
          </w:p>
          <w:p w14:paraId="20A08F29">
            <w:pPr>
              <w:pStyle w:val="6"/>
              <w:spacing w:before="65" w:line="229" w:lineRule="auto"/>
              <w:ind w:left="149"/>
            </w:pPr>
            <w:r>
              <w:rPr>
                <w:spacing w:val="4"/>
              </w:rPr>
              <w:t>猪舍</w:t>
            </w:r>
          </w:p>
        </w:tc>
        <w:tc>
          <w:tcPr>
            <w:tcW w:w="646" w:type="dxa"/>
            <w:vMerge w:val="restart"/>
            <w:tcBorders>
              <w:bottom w:val="nil"/>
            </w:tcBorders>
            <w:vAlign w:val="top"/>
          </w:tcPr>
          <w:p w14:paraId="28326CED">
            <w:pPr>
              <w:spacing w:line="458" w:lineRule="auto"/>
              <w:rPr>
                <w:rFonts w:ascii="Arial"/>
                <w:sz w:val="21"/>
              </w:rPr>
            </w:pPr>
          </w:p>
          <w:p w14:paraId="24C2BB5E">
            <w:pPr>
              <w:spacing w:before="58"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5" w:type="dxa"/>
            <w:vMerge w:val="restart"/>
            <w:tcBorders>
              <w:bottom w:val="nil"/>
            </w:tcBorders>
            <w:vAlign w:val="top"/>
          </w:tcPr>
          <w:p w14:paraId="06C4A05E">
            <w:pPr>
              <w:spacing w:line="319" w:lineRule="auto"/>
              <w:rPr>
                <w:rFonts w:ascii="Arial"/>
                <w:sz w:val="21"/>
              </w:rPr>
            </w:pPr>
          </w:p>
          <w:p w14:paraId="07E37A3F">
            <w:pPr>
              <w:pStyle w:val="6"/>
              <w:spacing w:before="65" w:line="305" w:lineRule="auto"/>
              <w:ind w:left="317" w:right="208" w:hanging="104"/>
            </w:pPr>
            <w:r>
              <w:rPr>
                <w:spacing w:val="3"/>
              </w:rPr>
              <w:t>无组</w:t>
            </w:r>
            <w:r>
              <w:t xml:space="preserve"> 织</w:t>
            </w:r>
          </w:p>
        </w:tc>
        <w:tc>
          <w:tcPr>
            <w:tcW w:w="742" w:type="dxa"/>
            <w:vAlign w:val="top"/>
          </w:tcPr>
          <w:p w14:paraId="3431646A">
            <w:pPr>
              <w:spacing w:before="171" w:line="233" w:lineRule="exact"/>
              <w:ind w:left="179"/>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NH</w:t>
            </w:r>
            <w:r>
              <w:rPr>
                <w:rFonts w:ascii="Times New Roman" w:hAnsi="Times New Roman" w:eastAsia="Times New Roman" w:cs="Times New Roman"/>
                <w:spacing w:val="6"/>
                <w:sz w:val="13"/>
                <w:szCs w:val="13"/>
              </w:rPr>
              <w:t>3</w:t>
            </w:r>
          </w:p>
        </w:tc>
        <w:tc>
          <w:tcPr>
            <w:tcW w:w="638" w:type="dxa"/>
            <w:vMerge w:val="restart"/>
            <w:tcBorders>
              <w:bottom w:val="nil"/>
            </w:tcBorders>
            <w:vAlign w:val="top"/>
          </w:tcPr>
          <w:p w14:paraId="72C12979">
            <w:pPr>
              <w:pStyle w:val="6"/>
              <w:spacing w:before="223" w:line="228" w:lineRule="auto"/>
              <w:ind w:left="113"/>
            </w:pPr>
            <w:r>
              <w:rPr>
                <w:spacing w:val="4"/>
              </w:rPr>
              <w:t>产污</w:t>
            </w:r>
          </w:p>
          <w:p w14:paraId="7C2AC5BE">
            <w:pPr>
              <w:pStyle w:val="6"/>
              <w:spacing w:before="77" w:line="306" w:lineRule="auto"/>
              <w:ind w:left="219" w:right="110" w:hanging="102"/>
            </w:pPr>
            <w:r>
              <w:rPr>
                <w:spacing w:val="2"/>
              </w:rPr>
              <w:t>系数</w:t>
            </w:r>
            <w:r>
              <w:t xml:space="preserve"> 法</w:t>
            </w:r>
          </w:p>
        </w:tc>
        <w:tc>
          <w:tcPr>
            <w:tcW w:w="1108" w:type="dxa"/>
            <w:vAlign w:val="top"/>
          </w:tcPr>
          <w:p w14:paraId="2C090690">
            <w:pPr>
              <w:spacing w:before="10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64610A4E">
            <w:pPr>
              <w:spacing w:before="10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D4E6029">
            <w:pPr>
              <w:spacing w:before="101"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0.058</w:t>
            </w:r>
          </w:p>
        </w:tc>
        <w:tc>
          <w:tcPr>
            <w:tcW w:w="1188" w:type="dxa"/>
            <w:vMerge w:val="restart"/>
            <w:tcBorders>
              <w:bottom w:val="nil"/>
            </w:tcBorders>
            <w:vAlign w:val="top"/>
          </w:tcPr>
          <w:p w14:paraId="7EA8E069">
            <w:pPr>
              <w:pStyle w:val="6"/>
              <w:spacing w:before="61" w:line="301" w:lineRule="auto"/>
              <w:ind w:left="113" w:right="105" w:firstLine="63"/>
              <w:jc w:val="both"/>
            </w:pPr>
            <w:r>
              <w:rPr>
                <w:spacing w:val="7"/>
              </w:rPr>
              <w:t>饲料中添</w:t>
            </w:r>
            <w:r>
              <w:rPr>
                <w:spacing w:val="1"/>
              </w:rPr>
              <w:t xml:space="preserve"> </w:t>
            </w:r>
            <w:r>
              <w:rPr>
                <w:spacing w:val="-4"/>
              </w:rPr>
              <w:t>加</w:t>
            </w:r>
            <w:r>
              <w:rPr>
                <w:spacing w:val="-43"/>
              </w:rPr>
              <w:t xml:space="preserve"> </w:t>
            </w:r>
            <w:r>
              <w:rPr>
                <w:rFonts w:ascii="Times New Roman" w:hAnsi="Times New Roman" w:eastAsia="Times New Roman" w:cs="Times New Roman"/>
                <w:spacing w:val="-4"/>
              </w:rPr>
              <w:t>EM</w:t>
            </w:r>
            <w:r>
              <w:rPr>
                <w:rFonts w:ascii="Times New Roman" w:hAnsi="Times New Roman" w:eastAsia="Times New Roman" w:cs="Times New Roman"/>
                <w:spacing w:val="-24"/>
              </w:rPr>
              <w:t xml:space="preserve"> </w:t>
            </w:r>
            <w:r>
              <w:rPr>
                <w:spacing w:val="-4"/>
              </w:rPr>
              <w:t>，喷</w:t>
            </w:r>
            <w:r>
              <w:t xml:space="preserve"> </w:t>
            </w:r>
            <w:r>
              <w:rPr>
                <w:spacing w:val="23"/>
              </w:rPr>
              <w:t>洒生物除</w:t>
            </w:r>
          </w:p>
          <w:p w14:paraId="03F4D67E">
            <w:pPr>
              <w:pStyle w:val="6"/>
              <w:spacing w:line="227" w:lineRule="auto"/>
              <w:ind w:left="389"/>
            </w:pPr>
            <w:r>
              <w:rPr>
                <w:spacing w:val="4"/>
              </w:rPr>
              <w:t>臭剂</w:t>
            </w:r>
          </w:p>
        </w:tc>
        <w:tc>
          <w:tcPr>
            <w:tcW w:w="593" w:type="dxa"/>
            <w:vAlign w:val="top"/>
          </w:tcPr>
          <w:p w14:paraId="4C002311">
            <w:pPr>
              <w:spacing w:before="101" w:line="274" w:lineRule="exact"/>
              <w:ind w:left="1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96.3</w:t>
            </w:r>
          </w:p>
        </w:tc>
        <w:tc>
          <w:tcPr>
            <w:tcW w:w="744" w:type="dxa"/>
            <w:vMerge w:val="restart"/>
            <w:tcBorders>
              <w:bottom w:val="nil"/>
            </w:tcBorders>
            <w:vAlign w:val="top"/>
          </w:tcPr>
          <w:p w14:paraId="0852CB97">
            <w:pPr>
              <w:spacing w:line="323" w:lineRule="auto"/>
              <w:rPr>
                <w:rFonts w:ascii="Arial"/>
                <w:sz w:val="21"/>
              </w:rPr>
            </w:pPr>
          </w:p>
          <w:p w14:paraId="7B053641">
            <w:pPr>
              <w:spacing w:line="323" w:lineRule="auto"/>
              <w:rPr>
                <w:rFonts w:ascii="Arial"/>
                <w:sz w:val="21"/>
              </w:rPr>
            </w:pPr>
          </w:p>
          <w:p w14:paraId="5FF92E08">
            <w:pPr>
              <w:pStyle w:val="6"/>
              <w:spacing w:before="65" w:line="229" w:lineRule="auto"/>
              <w:ind w:left="168"/>
            </w:pPr>
            <w:r>
              <w:rPr>
                <w:spacing w:val="4"/>
              </w:rPr>
              <w:t>物料</w:t>
            </w:r>
          </w:p>
          <w:p w14:paraId="161D3F42">
            <w:pPr>
              <w:pStyle w:val="6"/>
              <w:spacing w:before="241" w:line="456" w:lineRule="auto"/>
              <w:ind w:left="274" w:right="161" w:hanging="106"/>
            </w:pPr>
            <w:r>
              <w:rPr>
                <w:spacing w:val="4"/>
              </w:rPr>
              <w:t>衡算</w:t>
            </w:r>
            <w:r>
              <w:t xml:space="preserve"> 法</w:t>
            </w:r>
          </w:p>
        </w:tc>
        <w:tc>
          <w:tcPr>
            <w:tcW w:w="1300" w:type="dxa"/>
            <w:vAlign w:val="top"/>
          </w:tcPr>
          <w:p w14:paraId="306F3E30">
            <w:pPr>
              <w:spacing w:before="101"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7CC9F62B">
            <w:pPr>
              <w:spacing w:before="101"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0E789AC6">
            <w:pPr>
              <w:spacing w:before="101"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648" w:type="dxa"/>
            <w:vMerge w:val="restart"/>
            <w:tcBorders>
              <w:bottom w:val="nil"/>
            </w:tcBorders>
            <w:vAlign w:val="top"/>
          </w:tcPr>
          <w:p w14:paraId="1CB37018">
            <w:pPr>
              <w:spacing w:before="274" w:line="274" w:lineRule="exact"/>
              <w:ind w:left="1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r>
      <w:tr w14:paraId="735AD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08" w:type="dxa"/>
            <w:vMerge w:val="continue"/>
            <w:tcBorders>
              <w:top w:val="nil"/>
            </w:tcBorders>
            <w:vAlign w:val="top"/>
          </w:tcPr>
          <w:p w14:paraId="35A20CD5">
            <w:pPr>
              <w:rPr>
                <w:rFonts w:ascii="Arial"/>
                <w:sz w:val="21"/>
              </w:rPr>
            </w:pPr>
          </w:p>
        </w:tc>
        <w:tc>
          <w:tcPr>
            <w:tcW w:w="646" w:type="dxa"/>
            <w:vMerge w:val="continue"/>
            <w:tcBorders>
              <w:top w:val="nil"/>
            </w:tcBorders>
            <w:vAlign w:val="top"/>
          </w:tcPr>
          <w:p w14:paraId="1213C958">
            <w:pPr>
              <w:rPr>
                <w:rFonts w:ascii="Arial"/>
                <w:sz w:val="21"/>
              </w:rPr>
            </w:pPr>
          </w:p>
        </w:tc>
        <w:tc>
          <w:tcPr>
            <w:tcW w:w="835" w:type="dxa"/>
            <w:vMerge w:val="continue"/>
            <w:tcBorders>
              <w:top w:val="nil"/>
            </w:tcBorders>
            <w:vAlign w:val="top"/>
          </w:tcPr>
          <w:p w14:paraId="28FF50EF">
            <w:pPr>
              <w:rPr>
                <w:rFonts w:ascii="Arial"/>
                <w:sz w:val="21"/>
              </w:rPr>
            </w:pPr>
          </w:p>
        </w:tc>
        <w:tc>
          <w:tcPr>
            <w:tcW w:w="742" w:type="dxa"/>
            <w:vAlign w:val="top"/>
          </w:tcPr>
          <w:p w14:paraId="662AEFB9">
            <w:pPr>
              <w:spacing w:line="283" w:lineRule="auto"/>
              <w:rPr>
                <w:rFonts w:ascii="Arial"/>
                <w:sz w:val="21"/>
              </w:rPr>
            </w:pPr>
          </w:p>
          <w:p w14:paraId="57AA627B">
            <w:pPr>
              <w:spacing w:before="58" w:line="242"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638" w:type="dxa"/>
            <w:vMerge w:val="continue"/>
            <w:tcBorders>
              <w:top w:val="nil"/>
            </w:tcBorders>
            <w:vAlign w:val="top"/>
          </w:tcPr>
          <w:p w14:paraId="62D72457">
            <w:pPr>
              <w:rPr>
                <w:rFonts w:ascii="Arial"/>
                <w:sz w:val="21"/>
              </w:rPr>
            </w:pPr>
          </w:p>
        </w:tc>
        <w:tc>
          <w:tcPr>
            <w:tcW w:w="1108" w:type="dxa"/>
            <w:vAlign w:val="top"/>
          </w:tcPr>
          <w:p w14:paraId="6044AC7A">
            <w:pPr>
              <w:spacing w:before="276"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35485496">
            <w:pPr>
              <w:spacing w:before="276"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69F975E3">
            <w:pPr>
              <w:spacing w:before="276"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0.0035</w:t>
            </w:r>
          </w:p>
        </w:tc>
        <w:tc>
          <w:tcPr>
            <w:tcW w:w="1188" w:type="dxa"/>
            <w:vMerge w:val="continue"/>
            <w:tcBorders>
              <w:top w:val="nil"/>
            </w:tcBorders>
            <w:vAlign w:val="top"/>
          </w:tcPr>
          <w:p w14:paraId="389ECDB6">
            <w:pPr>
              <w:rPr>
                <w:rFonts w:ascii="Arial"/>
                <w:sz w:val="21"/>
              </w:rPr>
            </w:pPr>
          </w:p>
        </w:tc>
        <w:tc>
          <w:tcPr>
            <w:tcW w:w="593" w:type="dxa"/>
            <w:vAlign w:val="top"/>
          </w:tcPr>
          <w:p w14:paraId="06BC18D7">
            <w:pPr>
              <w:spacing w:before="276" w:line="274" w:lineRule="exact"/>
              <w:ind w:left="1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94.5</w:t>
            </w:r>
          </w:p>
        </w:tc>
        <w:tc>
          <w:tcPr>
            <w:tcW w:w="744" w:type="dxa"/>
            <w:vMerge w:val="continue"/>
            <w:tcBorders>
              <w:top w:val="nil"/>
              <w:bottom w:val="nil"/>
            </w:tcBorders>
            <w:vAlign w:val="top"/>
          </w:tcPr>
          <w:p w14:paraId="2F11C669">
            <w:pPr>
              <w:rPr>
                <w:rFonts w:ascii="Arial"/>
                <w:sz w:val="21"/>
              </w:rPr>
            </w:pPr>
          </w:p>
        </w:tc>
        <w:tc>
          <w:tcPr>
            <w:tcW w:w="1300" w:type="dxa"/>
            <w:vAlign w:val="top"/>
          </w:tcPr>
          <w:p w14:paraId="239B107C">
            <w:pPr>
              <w:spacing w:before="276"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13EE91D0">
            <w:pPr>
              <w:spacing w:before="276"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03628EE2">
            <w:pPr>
              <w:spacing w:before="276"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c>
          <w:tcPr>
            <w:tcW w:w="648" w:type="dxa"/>
            <w:vMerge w:val="continue"/>
            <w:tcBorders>
              <w:top w:val="nil"/>
            </w:tcBorders>
            <w:vAlign w:val="top"/>
          </w:tcPr>
          <w:p w14:paraId="0D589032">
            <w:pPr>
              <w:rPr>
                <w:rFonts w:ascii="Arial"/>
                <w:sz w:val="21"/>
              </w:rPr>
            </w:pPr>
          </w:p>
        </w:tc>
      </w:tr>
      <w:tr w14:paraId="51181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08" w:type="dxa"/>
            <w:vMerge w:val="restart"/>
            <w:tcBorders>
              <w:bottom w:val="nil"/>
            </w:tcBorders>
            <w:vAlign w:val="top"/>
          </w:tcPr>
          <w:p w14:paraId="68328AE5">
            <w:pPr>
              <w:pStyle w:val="6"/>
              <w:spacing w:before="62" w:line="228" w:lineRule="auto"/>
              <w:ind w:left="150"/>
            </w:pPr>
            <w:r>
              <w:rPr>
                <w:spacing w:val="4"/>
              </w:rPr>
              <w:t>有机</w:t>
            </w:r>
          </w:p>
          <w:p w14:paraId="3EFE6AB5">
            <w:pPr>
              <w:pStyle w:val="6"/>
              <w:spacing w:before="76" w:line="228" w:lineRule="auto"/>
              <w:ind w:left="149"/>
            </w:pPr>
            <w:r>
              <w:rPr>
                <w:spacing w:val="4"/>
              </w:rPr>
              <w:t>肥发</w:t>
            </w:r>
          </w:p>
          <w:p w14:paraId="236D0BE1">
            <w:pPr>
              <w:pStyle w:val="6"/>
              <w:spacing w:before="79" w:line="270" w:lineRule="auto"/>
              <w:ind w:left="271" w:right="143" w:hanging="121"/>
            </w:pPr>
            <w:r>
              <w:rPr>
                <w:spacing w:val="4"/>
              </w:rPr>
              <w:t>酵车</w:t>
            </w:r>
            <w:r>
              <w:t xml:space="preserve"> 间</w:t>
            </w:r>
          </w:p>
        </w:tc>
        <w:tc>
          <w:tcPr>
            <w:tcW w:w="646" w:type="dxa"/>
            <w:vMerge w:val="restart"/>
            <w:tcBorders>
              <w:bottom w:val="nil"/>
            </w:tcBorders>
            <w:vAlign w:val="top"/>
          </w:tcPr>
          <w:p w14:paraId="4D0A434A">
            <w:pPr>
              <w:pStyle w:val="6"/>
              <w:spacing w:before="223" w:line="228" w:lineRule="auto"/>
              <w:ind w:left="118"/>
            </w:pPr>
            <w:r>
              <w:rPr>
                <w:spacing w:val="3"/>
              </w:rPr>
              <w:t>异位</w:t>
            </w:r>
          </w:p>
          <w:p w14:paraId="45140FF3">
            <w:pPr>
              <w:pStyle w:val="6"/>
              <w:spacing w:before="78" w:line="303" w:lineRule="auto"/>
              <w:ind w:left="219" w:right="115" w:hanging="100"/>
            </w:pPr>
            <w:r>
              <w:rPr>
                <w:spacing w:val="3"/>
              </w:rPr>
              <w:t>发酵</w:t>
            </w:r>
            <w:r>
              <w:t xml:space="preserve"> </w:t>
            </w:r>
            <w:r>
              <w:rPr>
                <w:spacing w:val="2"/>
              </w:rPr>
              <w:t>床</w:t>
            </w:r>
          </w:p>
        </w:tc>
        <w:tc>
          <w:tcPr>
            <w:tcW w:w="835" w:type="dxa"/>
            <w:vMerge w:val="restart"/>
            <w:tcBorders>
              <w:bottom w:val="nil"/>
            </w:tcBorders>
            <w:vAlign w:val="top"/>
          </w:tcPr>
          <w:p w14:paraId="0EB5CB05">
            <w:pPr>
              <w:spacing w:line="319" w:lineRule="auto"/>
              <w:rPr>
                <w:rFonts w:ascii="Arial"/>
                <w:sz w:val="21"/>
              </w:rPr>
            </w:pPr>
          </w:p>
          <w:p w14:paraId="468716A5">
            <w:pPr>
              <w:pStyle w:val="6"/>
              <w:spacing w:before="65" w:line="305" w:lineRule="auto"/>
              <w:ind w:left="317" w:right="208" w:hanging="104"/>
            </w:pPr>
            <w:r>
              <w:rPr>
                <w:spacing w:val="3"/>
              </w:rPr>
              <w:t>无组</w:t>
            </w:r>
            <w:r>
              <w:t xml:space="preserve"> 织</w:t>
            </w:r>
          </w:p>
        </w:tc>
        <w:tc>
          <w:tcPr>
            <w:tcW w:w="742" w:type="dxa"/>
            <w:vAlign w:val="top"/>
          </w:tcPr>
          <w:p w14:paraId="79F6077A">
            <w:pPr>
              <w:spacing w:before="101" w:line="229" w:lineRule="auto"/>
              <w:ind w:left="17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638" w:type="dxa"/>
            <w:vMerge w:val="restart"/>
            <w:tcBorders>
              <w:bottom w:val="nil"/>
            </w:tcBorders>
            <w:vAlign w:val="top"/>
          </w:tcPr>
          <w:p w14:paraId="0F84B20C">
            <w:pPr>
              <w:spacing w:line="318" w:lineRule="auto"/>
              <w:rPr>
                <w:rFonts w:ascii="Arial"/>
                <w:sz w:val="21"/>
              </w:rPr>
            </w:pPr>
          </w:p>
          <w:p w14:paraId="6DA4F80C">
            <w:pPr>
              <w:pStyle w:val="6"/>
              <w:spacing w:before="65" w:line="306" w:lineRule="auto"/>
              <w:ind w:left="219" w:right="110" w:hanging="106"/>
            </w:pPr>
            <w:r>
              <w:rPr>
                <w:spacing w:val="4"/>
              </w:rPr>
              <w:t>类比</w:t>
            </w:r>
            <w:r>
              <w:t xml:space="preserve"> 法</w:t>
            </w:r>
          </w:p>
        </w:tc>
        <w:tc>
          <w:tcPr>
            <w:tcW w:w="1108" w:type="dxa"/>
            <w:vAlign w:val="top"/>
          </w:tcPr>
          <w:p w14:paraId="5F9DB29F">
            <w:pPr>
              <w:spacing w:before="3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146836BB">
            <w:pPr>
              <w:spacing w:before="3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153E716D">
            <w:pPr>
              <w:spacing w:before="12"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188" w:type="dxa"/>
            <w:vMerge w:val="restart"/>
            <w:tcBorders>
              <w:bottom w:val="nil"/>
            </w:tcBorders>
            <w:vAlign w:val="top"/>
          </w:tcPr>
          <w:p w14:paraId="471D2AAA">
            <w:pPr>
              <w:spacing w:line="320" w:lineRule="auto"/>
              <w:rPr>
                <w:rFonts w:ascii="Arial"/>
                <w:sz w:val="21"/>
              </w:rPr>
            </w:pPr>
          </w:p>
          <w:p w14:paraId="6C5ABEF3">
            <w:pPr>
              <w:pStyle w:val="6"/>
              <w:spacing w:before="65" w:line="302" w:lineRule="auto"/>
              <w:ind w:left="295" w:right="175" w:hanging="109"/>
            </w:pPr>
            <w:r>
              <w:rPr>
                <w:spacing w:val="5"/>
              </w:rPr>
              <w:t>喷洒生物</w:t>
            </w:r>
            <w:r>
              <w:t xml:space="preserve"> </w:t>
            </w:r>
            <w:r>
              <w:rPr>
                <w:spacing w:val="2"/>
              </w:rPr>
              <w:t>除臭剂</w:t>
            </w:r>
          </w:p>
        </w:tc>
        <w:tc>
          <w:tcPr>
            <w:tcW w:w="593" w:type="dxa"/>
            <w:vAlign w:val="top"/>
          </w:tcPr>
          <w:p w14:paraId="497DA9FE">
            <w:pPr>
              <w:spacing w:before="31" w:line="274" w:lineRule="exact"/>
              <w:ind w:left="1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92.6</w:t>
            </w:r>
          </w:p>
        </w:tc>
        <w:tc>
          <w:tcPr>
            <w:tcW w:w="744" w:type="dxa"/>
            <w:vMerge w:val="continue"/>
            <w:tcBorders>
              <w:top w:val="nil"/>
              <w:bottom w:val="nil"/>
            </w:tcBorders>
            <w:vAlign w:val="top"/>
          </w:tcPr>
          <w:p w14:paraId="00959DA0">
            <w:pPr>
              <w:rPr>
                <w:rFonts w:ascii="Arial"/>
                <w:sz w:val="21"/>
              </w:rPr>
            </w:pPr>
          </w:p>
        </w:tc>
        <w:tc>
          <w:tcPr>
            <w:tcW w:w="1300" w:type="dxa"/>
            <w:vAlign w:val="top"/>
          </w:tcPr>
          <w:p w14:paraId="17C68E4D">
            <w:pPr>
              <w:spacing w:before="31"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5CAB12B4">
            <w:pPr>
              <w:spacing w:before="31"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34FE1600">
            <w:pPr>
              <w:spacing w:before="12"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w:t>
            </w:r>
          </w:p>
        </w:tc>
        <w:tc>
          <w:tcPr>
            <w:tcW w:w="648" w:type="dxa"/>
            <w:vMerge w:val="restart"/>
            <w:tcBorders>
              <w:bottom w:val="nil"/>
            </w:tcBorders>
            <w:vAlign w:val="top"/>
          </w:tcPr>
          <w:p w14:paraId="57AB2ACF">
            <w:pPr>
              <w:spacing w:line="458" w:lineRule="auto"/>
              <w:rPr>
                <w:rFonts w:ascii="Arial"/>
                <w:sz w:val="21"/>
              </w:rPr>
            </w:pPr>
          </w:p>
          <w:p w14:paraId="710203A9">
            <w:pPr>
              <w:spacing w:before="58" w:line="274" w:lineRule="exact"/>
              <w:ind w:left="1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r>
      <w:tr w14:paraId="6AD8D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708" w:type="dxa"/>
            <w:vMerge w:val="continue"/>
            <w:tcBorders>
              <w:top w:val="nil"/>
            </w:tcBorders>
            <w:vAlign w:val="top"/>
          </w:tcPr>
          <w:p w14:paraId="47D6973E">
            <w:pPr>
              <w:rPr>
                <w:rFonts w:ascii="Arial"/>
                <w:sz w:val="21"/>
              </w:rPr>
            </w:pPr>
          </w:p>
        </w:tc>
        <w:tc>
          <w:tcPr>
            <w:tcW w:w="646" w:type="dxa"/>
            <w:vMerge w:val="continue"/>
            <w:tcBorders>
              <w:top w:val="nil"/>
            </w:tcBorders>
            <w:vAlign w:val="top"/>
          </w:tcPr>
          <w:p w14:paraId="34EF680A">
            <w:pPr>
              <w:rPr>
                <w:rFonts w:ascii="Arial"/>
                <w:sz w:val="21"/>
              </w:rPr>
            </w:pPr>
          </w:p>
        </w:tc>
        <w:tc>
          <w:tcPr>
            <w:tcW w:w="835" w:type="dxa"/>
            <w:vMerge w:val="continue"/>
            <w:tcBorders>
              <w:top w:val="nil"/>
            </w:tcBorders>
            <w:vAlign w:val="top"/>
          </w:tcPr>
          <w:p w14:paraId="7D7705FF">
            <w:pPr>
              <w:rPr>
                <w:rFonts w:ascii="Arial"/>
                <w:sz w:val="21"/>
              </w:rPr>
            </w:pPr>
          </w:p>
        </w:tc>
        <w:tc>
          <w:tcPr>
            <w:tcW w:w="742" w:type="dxa"/>
            <w:vAlign w:val="top"/>
          </w:tcPr>
          <w:p w14:paraId="570FBF14">
            <w:pPr>
              <w:spacing w:line="357" w:lineRule="auto"/>
              <w:rPr>
                <w:rFonts w:ascii="Arial"/>
                <w:sz w:val="21"/>
              </w:rPr>
            </w:pPr>
          </w:p>
          <w:p w14:paraId="5624D278">
            <w:pPr>
              <w:spacing w:before="58" w:line="242"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638" w:type="dxa"/>
            <w:vMerge w:val="continue"/>
            <w:tcBorders>
              <w:top w:val="nil"/>
            </w:tcBorders>
            <w:vAlign w:val="top"/>
          </w:tcPr>
          <w:p w14:paraId="20F3F87F">
            <w:pPr>
              <w:rPr>
                <w:rFonts w:ascii="Arial"/>
                <w:sz w:val="21"/>
              </w:rPr>
            </w:pPr>
          </w:p>
        </w:tc>
        <w:tc>
          <w:tcPr>
            <w:tcW w:w="1108" w:type="dxa"/>
            <w:vAlign w:val="top"/>
          </w:tcPr>
          <w:p w14:paraId="30E42EDF">
            <w:pPr>
              <w:spacing w:line="291" w:lineRule="auto"/>
              <w:rPr>
                <w:rFonts w:ascii="Arial"/>
                <w:sz w:val="21"/>
              </w:rPr>
            </w:pPr>
          </w:p>
          <w:p w14:paraId="17177805">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072DC4E9">
            <w:pPr>
              <w:spacing w:line="291" w:lineRule="auto"/>
              <w:rPr>
                <w:rFonts w:ascii="Arial"/>
                <w:sz w:val="21"/>
              </w:rPr>
            </w:pPr>
          </w:p>
          <w:p w14:paraId="3038FFD6">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E2B089C">
            <w:pPr>
              <w:spacing w:line="274" w:lineRule="auto"/>
              <w:rPr>
                <w:rFonts w:ascii="Arial"/>
                <w:sz w:val="21"/>
              </w:rPr>
            </w:pPr>
          </w:p>
          <w:p w14:paraId="120474F5">
            <w:pPr>
              <w:spacing w:before="58"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w:t>
            </w:r>
          </w:p>
        </w:tc>
        <w:tc>
          <w:tcPr>
            <w:tcW w:w="1188" w:type="dxa"/>
            <w:vMerge w:val="continue"/>
            <w:tcBorders>
              <w:top w:val="nil"/>
            </w:tcBorders>
            <w:vAlign w:val="top"/>
          </w:tcPr>
          <w:p w14:paraId="3333211B">
            <w:pPr>
              <w:rPr>
                <w:rFonts w:ascii="Arial"/>
                <w:sz w:val="21"/>
              </w:rPr>
            </w:pPr>
          </w:p>
        </w:tc>
        <w:tc>
          <w:tcPr>
            <w:tcW w:w="593" w:type="dxa"/>
            <w:vAlign w:val="top"/>
          </w:tcPr>
          <w:p w14:paraId="47047856">
            <w:pPr>
              <w:spacing w:line="291" w:lineRule="auto"/>
              <w:rPr>
                <w:rFonts w:ascii="Arial"/>
                <w:sz w:val="21"/>
              </w:rPr>
            </w:pPr>
          </w:p>
          <w:p w14:paraId="791F7880">
            <w:pPr>
              <w:spacing w:before="58"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89</w:t>
            </w:r>
          </w:p>
        </w:tc>
        <w:tc>
          <w:tcPr>
            <w:tcW w:w="744" w:type="dxa"/>
            <w:vMerge w:val="continue"/>
            <w:tcBorders>
              <w:top w:val="nil"/>
            </w:tcBorders>
            <w:vAlign w:val="top"/>
          </w:tcPr>
          <w:p w14:paraId="588A7A7F">
            <w:pPr>
              <w:rPr>
                <w:rFonts w:ascii="Arial"/>
                <w:sz w:val="21"/>
              </w:rPr>
            </w:pPr>
          </w:p>
        </w:tc>
        <w:tc>
          <w:tcPr>
            <w:tcW w:w="1300" w:type="dxa"/>
            <w:vAlign w:val="top"/>
          </w:tcPr>
          <w:p w14:paraId="79FCAA9F">
            <w:pPr>
              <w:spacing w:line="291" w:lineRule="auto"/>
              <w:rPr>
                <w:rFonts w:ascii="Arial"/>
                <w:sz w:val="21"/>
              </w:rPr>
            </w:pPr>
          </w:p>
          <w:p w14:paraId="1D316CF2">
            <w:pPr>
              <w:spacing w:before="5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6D8BF8FA">
            <w:pPr>
              <w:spacing w:line="291" w:lineRule="auto"/>
              <w:rPr>
                <w:rFonts w:ascii="Arial"/>
                <w:sz w:val="21"/>
              </w:rPr>
            </w:pPr>
          </w:p>
          <w:p w14:paraId="57132397">
            <w:pPr>
              <w:spacing w:before="58"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1494CB74">
            <w:pPr>
              <w:spacing w:line="274" w:lineRule="auto"/>
              <w:rPr>
                <w:rFonts w:ascii="Arial"/>
                <w:sz w:val="21"/>
              </w:rPr>
            </w:pPr>
          </w:p>
          <w:p w14:paraId="77D18C91">
            <w:pPr>
              <w:spacing w:before="58"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648" w:type="dxa"/>
            <w:vMerge w:val="continue"/>
            <w:tcBorders>
              <w:top w:val="nil"/>
            </w:tcBorders>
            <w:vAlign w:val="top"/>
          </w:tcPr>
          <w:p w14:paraId="6F487A18">
            <w:pPr>
              <w:rPr>
                <w:rFonts w:ascii="Arial"/>
                <w:sz w:val="21"/>
              </w:rPr>
            </w:pPr>
          </w:p>
        </w:tc>
      </w:tr>
      <w:tr w14:paraId="00033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708" w:type="dxa"/>
            <w:vAlign w:val="top"/>
          </w:tcPr>
          <w:p w14:paraId="4B7789F2">
            <w:pPr>
              <w:rPr>
                <w:rFonts w:ascii="Arial"/>
                <w:sz w:val="21"/>
              </w:rPr>
            </w:pPr>
          </w:p>
          <w:p w14:paraId="0A2834D9">
            <w:pPr>
              <w:pStyle w:val="6"/>
              <w:spacing w:before="65" w:line="229" w:lineRule="auto"/>
              <w:ind w:left="149"/>
            </w:pPr>
            <w:r>
              <w:rPr>
                <w:spacing w:val="5"/>
              </w:rPr>
              <w:t>饲料</w:t>
            </w:r>
          </w:p>
          <w:p w14:paraId="4268850D">
            <w:pPr>
              <w:pStyle w:val="6"/>
              <w:spacing w:before="77" w:line="301" w:lineRule="auto"/>
              <w:ind w:left="255" w:right="143" w:hanging="106"/>
            </w:pPr>
            <w:r>
              <w:rPr>
                <w:spacing w:val="4"/>
              </w:rPr>
              <w:t>加工</w:t>
            </w:r>
            <w:r>
              <w:t xml:space="preserve"> 房</w:t>
            </w:r>
          </w:p>
        </w:tc>
        <w:tc>
          <w:tcPr>
            <w:tcW w:w="646" w:type="dxa"/>
            <w:vAlign w:val="top"/>
          </w:tcPr>
          <w:p w14:paraId="2CE7C683">
            <w:pPr>
              <w:rPr>
                <w:rFonts w:ascii="Arial"/>
                <w:sz w:val="21"/>
              </w:rPr>
            </w:pPr>
          </w:p>
          <w:p w14:paraId="42413722">
            <w:pPr>
              <w:pStyle w:val="6"/>
              <w:spacing w:before="65" w:line="229" w:lineRule="auto"/>
              <w:ind w:left="115"/>
            </w:pPr>
            <w:r>
              <w:rPr>
                <w:spacing w:val="5"/>
              </w:rPr>
              <w:t>饲料</w:t>
            </w:r>
          </w:p>
          <w:p w14:paraId="60EE6642">
            <w:pPr>
              <w:pStyle w:val="6"/>
              <w:spacing w:before="78" w:line="228" w:lineRule="auto"/>
              <w:ind w:left="115"/>
            </w:pPr>
            <w:r>
              <w:rPr>
                <w:spacing w:val="5"/>
              </w:rPr>
              <w:t>粉碎</w:t>
            </w:r>
          </w:p>
          <w:p w14:paraId="5B3BBC3D">
            <w:pPr>
              <w:pStyle w:val="6"/>
              <w:spacing w:before="76" w:line="228" w:lineRule="auto"/>
              <w:ind w:left="115"/>
            </w:pPr>
            <w:r>
              <w:rPr>
                <w:spacing w:val="5"/>
              </w:rPr>
              <w:t>搅拌</w:t>
            </w:r>
          </w:p>
        </w:tc>
        <w:tc>
          <w:tcPr>
            <w:tcW w:w="835" w:type="dxa"/>
            <w:vAlign w:val="top"/>
          </w:tcPr>
          <w:p w14:paraId="62817059">
            <w:pPr>
              <w:spacing w:line="401" w:lineRule="auto"/>
              <w:rPr>
                <w:rFonts w:ascii="Arial"/>
                <w:sz w:val="21"/>
              </w:rPr>
            </w:pPr>
          </w:p>
          <w:p w14:paraId="7C5850F5">
            <w:pPr>
              <w:pStyle w:val="6"/>
              <w:spacing w:before="65" w:line="303" w:lineRule="auto"/>
              <w:ind w:left="317" w:right="208" w:hanging="104"/>
            </w:pPr>
            <w:r>
              <w:rPr>
                <w:spacing w:val="3"/>
              </w:rPr>
              <w:t>无组</w:t>
            </w:r>
            <w:r>
              <w:t xml:space="preserve"> 织</w:t>
            </w:r>
          </w:p>
        </w:tc>
        <w:tc>
          <w:tcPr>
            <w:tcW w:w="742" w:type="dxa"/>
            <w:vAlign w:val="top"/>
          </w:tcPr>
          <w:p w14:paraId="645F27C4">
            <w:pPr>
              <w:spacing w:line="403" w:lineRule="auto"/>
              <w:rPr>
                <w:rFonts w:ascii="Arial"/>
                <w:sz w:val="21"/>
              </w:rPr>
            </w:pPr>
          </w:p>
          <w:p w14:paraId="4BF7ADC8">
            <w:pPr>
              <w:pStyle w:val="6"/>
              <w:spacing w:before="65" w:line="301" w:lineRule="auto"/>
              <w:ind w:left="269" w:right="163" w:hanging="106"/>
            </w:pPr>
            <w:r>
              <w:rPr>
                <w:spacing w:val="5"/>
              </w:rPr>
              <w:t>颗粒</w:t>
            </w:r>
            <w:r>
              <w:t xml:space="preserve"> 物</w:t>
            </w:r>
          </w:p>
        </w:tc>
        <w:tc>
          <w:tcPr>
            <w:tcW w:w="638" w:type="dxa"/>
            <w:vAlign w:val="top"/>
          </w:tcPr>
          <w:p w14:paraId="22B04A6C">
            <w:pPr>
              <w:spacing w:line="403" w:lineRule="auto"/>
              <w:rPr>
                <w:rFonts w:ascii="Arial"/>
                <w:sz w:val="21"/>
              </w:rPr>
            </w:pPr>
          </w:p>
          <w:p w14:paraId="6DE99172">
            <w:pPr>
              <w:pStyle w:val="6"/>
              <w:spacing w:before="65" w:line="303" w:lineRule="auto"/>
              <w:ind w:left="219" w:right="110" w:hanging="106"/>
            </w:pPr>
            <w:r>
              <w:rPr>
                <w:spacing w:val="4"/>
              </w:rPr>
              <w:t>类比</w:t>
            </w:r>
            <w:r>
              <w:t xml:space="preserve"> 法</w:t>
            </w:r>
          </w:p>
        </w:tc>
        <w:tc>
          <w:tcPr>
            <w:tcW w:w="1108" w:type="dxa"/>
            <w:vAlign w:val="top"/>
          </w:tcPr>
          <w:p w14:paraId="7126756D">
            <w:pPr>
              <w:spacing w:line="270" w:lineRule="auto"/>
              <w:rPr>
                <w:rFonts w:ascii="Arial"/>
                <w:sz w:val="21"/>
              </w:rPr>
            </w:pPr>
          </w:p>
          <w:p w14:paraId="11C244EF">
            <w:pPr>
              <w:spacing w:line="271" w:lineRule="auto"/>
              <w:rPr>
                <w:rFonts w:ascii="Arial"/>
                <w:sz w:val="21"/>
              </w:rPr>
            </w:pPr>
          </w:p>
          <w:p w14:paraId="74488AC9">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3F70AACB">
            <w:pPr>
              <w:spacing w:line="270" w:lineRule="auto"/>
              <w:rPr>
                <w:rFonts w:ascii="Arial"/>
                <w:sz w:val="21"/>
              </w:rPr>
            </w:pPr>
          </w:p>
          <w:p w14:paraId="17FDFCCB">
            <w:pPr>
              <w:spacing w:line="271" w:lineRule="auto"/>
              <w:rPr>
                <w:rFonts w:ascii="Arial"/>
                <w:sz w:val="21"/>
              </w:rPr>
            </w:pPr>
          </w:p>
          <w:p w14:paraId="0806B988">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3DBED3B4">
            <w:pPr>
              <w:spacing w:line="261" w:lineRule="auto"/>
              <w:rPr>
                <w:rFonts w:ascii="Arial"/>
                <w:sz w:val="21"/>
              </w:rPr>
            </w:pPr>
          </w:p>
          <w:p w14:paraId="77E5A928">
            <w:pPr>
              <w:spacing w:line="261" w:lineRule="auto"/>
              <w:rPr>
                <w:rFonts w:ascii="Arial"/>
                <w:sz w:val="21"/>
              </w:rPr>
            </w:pPr>
          </w:p>
          <w:p w14:paraId="3E40E40C">
            <w:pPr>
              <w:spacing w:before="58"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1188" w:type="dxa"/>
            <w:vAlign w:val="top"/>
          </w:tcPr>
          <w:p w14:paraId="2E91E693">
            <w:pPr>
              <w:spacing w:line="282" w:lineRule="auto"/>
              <w:rPr>
                <w:rFonts w:ascii="Arial"/>
                <w:sz w:val="21"/>
              </w:rPr>
            </w:pPr>
          </w:p>
          <w:p w14:paraId="2061CF87">
            <w:pPr>
              <w:spacing w:line="282" w:lineRule="auto"/>
              <w:rPr>
                <w:rFonts w:ascii="Arial"/>
                <w:sz w:val="21"/>
              </w:rPr>
            </w:pPr>
          </w:p>
          <w:p w14:paraId="422CFF4C">
            <w:pPr>
              <w:pStyle w:val="6"/>
              <w:spacing w:before="65" w:line="230" w:lineRule="auto"/>
              <w:ind w:left="181"/>
            </w:pPr>
            <w:r>
              <w:rPr>
                <w:spacing w:val="6"/>
              </w:rPr>
              <w:t>设备密闭</w:t>
            </w:r>
          </w:p>
        </w:tc>
        <w:tc>
          <w:tcPr>
            <w:tcW w:w="593" w:type="dxa"/>
            <w:vAlign w:val="top"/>
          </w:tcPr>
          <w:p w14:paraId="4CDF23AA">
            <w:pPr>
              <w:spacing w:line="270" w:lineRule="auto"/>
              <w:rPr>
                <w:rFonts w:ascii="Arial"/>
                <w:sz w:val="21"/>
              </w:rPr>
            </w:pPr>
          </w:p>
          <w:p w14:paraId="7A9DFD3F">
            <w:pPr>
              <w:spacing w:line="271" w:lineRule="auto"/>
              <w:rPr>
                <w:rFonts w:ascii="Arial"/>
                <w:sz w:val="21"/>
              </w:rPr>
            </w:pPr>
          </w:p>
          <w:p w14:paraId="6CD7E55D">
            <w:pPr>
              <w:spacing w:before="58"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Align w:val="top"/>
          </w:tcPr>
          <w:p w14:paraId="667C059F">
            <w:pPr>
              <w:pStyle w:val="6"/>
              <w:spacing w:before="143" w:line="229" w:lineRule="auto"/>
              <w:ind w:left="168"/>
            </w:pPr>
            <w:r>
              <w:rPr>
                <w:spacing w:val="4"/>
              </w:rPr>
              <w:t>物料</w:t>
            </w:r>
          </w:p>
          <w:p w14:paraId="012CB9BD">
            <w:pPr>
              <w:pStyle w:val="6"/>
              <w:spacing w:before="241" w:line="382" w:lineRule="auto"/>
              <w:ind w:left="274" w:right="161" w:hanging="106"/>
            </w:pPr>
            <w:r>
              <w:rPr>
                <w:spacing w:val="4"/>
              </w:rPr>
              <w:t>衡算</w:t>
            </w:r>
            <w:r>
              <w:t xml:space="preserve"> 法</w:t>
            </w:r>
          </w:p>
        </w:tc>
        <w:tc>
          <w:tcPr>
            <w:tcW w:w="1300" w:type="dxa"/>
            <w:vAlign w:val="top"/>
          </w:tcPr>
          <w:p w14:paraId="6A274E25">
            <w:pPr>
              <w:spacing w:line="270" w:lineRule="auto"/>
              <w:rPr>
                <w:rFonts w:ascii="Arial"/>
                <w:sz w:val="21"/>
              </w:rPr>
            </w:pPr>
          </w:p>
          <w:p w14:paraId="76D527F5">
            <w:pPr>
              <w:spacing w:line="271" w:lineRule="auto"/>
              <w:rPr>
                <w:rFonts w:ascii="Arial"/>
                <w:sz w:val="21"/>
              </w:rPr>
            </w:pPr>
          </w:p>
          <w:p w14:paraId="013CB76A">
            <w:pPr>
              <w:spacing w:before="5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10870A06">
            <w:pPr>
              <w:spacing w:line="270" w:lineRule="auto"/>
              <w:rPr>
                <w:rFonts w:ascii="Arial"/>
                <w:sz w:val="21"/>
              </w:rPr>
            </w:pPr>
          </w:p>
          <w:p w14:paraId="3344DF09">
            <w:pPr>
              <w:spacing w:line="271" w:lineRule="auto"/>
              <w:rPr>
                <w:rFonts w:ascii="Arial"/>
                <w:sz w:val="21"/>
              </w:rPr>
            </w:pPr>
          </w:p>
          <w:p w14:paraId="2C3FBF24">
            <w:pPr>
              <w:spacing w:before="58"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2FDBBD4B">
            <w:pPr>
              <w:spacing w:line="261" w:lineRule="auto"/>
              <w:rPr>
                <w:rFonts w:ascii="Arial"/>
                <w:sz w:val="21"/>
              </w:rPr>
            </w:pPr>
          </w:p>
          <w:p w14:paraId="345801E9">
            <w:pPr>
              <w:spacing w:line="261" w:lineRule="auto"/>
              <w:rPr>
                <w:rFonts w:ascii="Arial"/>
                <w:sz w:val="21"/>
              </w:rPr>
            </w:pPr>
          </w:p>
          <w:p w14:paraId="57916ABD">
            <w:pPr>
              <w:spacing w:before="58"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648" w:type="dxa"/>
            <w:vAlign w:val="top"/>
          </w:tcPr>
          <w:p w14:paraId="36752827">
            <w:pPr>
              <w:spacing w:line="270" w:lineRule="auto"/>
              <w:rPr>
                <w:rFonts w:ascii="Arial"/>
                <w:sz w:val="21"/>
              </w:rPr>
            </w:pPr>
          </w:p>
          <w:p w14:paraId="11D147BC">
            <w:pPr>
              <w:spacing w:line="271" w:lineRule="auto"/>
              <w:rPr>
                <w:rFonts w:ascii="Arial"/>
                <w:sz w:val="21"/>
              </w:rPr>
            </w:pPr>
          </w:p>
          <w:p w14:paraId="13EDC5FC">
            <w:pPr>
              <w:spacing w:before="58" w:line="274" w:lineRule="exact"/>
              <w:ind w:left="13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1460</w:t>
            </w:r>
          </w:p>
        </w:tc>
      </w:tr>
      <w:tr w14:paraId="59041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08" w:type="dxa"/>
            <w:vMerge w:val="restart"/>
            <w:tcBorders>
              <w:bottom w:val="nil"/>
            </w:tcBorders>
            <w:vAlign w:val="top"/>
          </w:tcPr>
          <w:p w14:paraId="2B14CB6A">
            <w:pPr>
              <w:rPr>
                <w:rFonts w:ascii="Arial"/>
                <w:sz w:val="21"/>
              </w:rPr>
            </w:pPr>
          </w:p>
          <w:p w14:paraId="1C60D964">
            <w:pPr>
              <w:pStyle w:val="6"/>
              <w:spacing w:before="65" w:line="230" w:lineRule="auto"/>
              <w:ind w:left="152"/>
            </w:pPr>
            <w:r>
              <w:rPr>
                <w:spacing w:val="3"/>
              </w:rPr>
              <w:t>备用</w:t>
            </w:r>
          </w:p>
          <w:p w14:paraId="636F47AA">
            <w:pPr>
              <w:pStyle w:val="6"/>
              <w:spacing w:before="77" w:line="229" w:lineRule="auto"/>
              <w:ind w:left="153"/>
            </w:pPr>
            <w:r>
              <w:rPr>
                <w:spacing w:val="3"/>
              </w:rPr>
              <w:t>发电</w:t>
            </w:r>
          </w:p>
          <w:p w14:paraId="4BFFF3E0">
            <w:pPr>
              <w:pStyle w:val="6"/>
              <w:spacing w:before="77" w:line="228" w:lineRule="auto"/>
              <w:ind w:left="149"/>
            </w:pPr>
            <w:r>
              <w:rPr>
                <w:spacing w:val="5"/>
              </w:rPr>
              <w:t>机房</w:t>
            </w:r>
          </w:p>
        </w:tc>
        <w:tc>
          <w:tcPr>
            <w:tcW w:w="646" w:type="dxa"/>
            <w:vMerge w:val="restart"/>
            <w:tcBorders>
              <w:bottom w:val="nil"/>
            </w:tcBorders>
            <w:vAlign w:val="top"/>
          </w:tcPr>
          <w:p w14:paraId="5ED6F135">
            <w:pPr>
              <w:rPr>
                <w:rFonts w:ascii="Arial"/>
                <w:sz w:val="21"/>
              </w:rPr>
            </w:pPr>
          </w:p>
          <w:p w14:paraId="4E80C518">
            <w:pPr>
              <w:pStyle w:val="6"/>
              <w:spacing w:before="65" w:line="230" w:lineRule="auto"/>
              <w:ind w:left="118"/>
            </w:pPr>
            <w:r>
              <w:rPr>
                <w:spacing w:val="3"/>
              </w:rPr>
              <w:t>备用</w:t>
            </w:r>
          </w:p>
          <w:p w14:paraId="44E8BC04">
            <w:pPr>
              <w:pStyle w:val="6"/>
              <w:spacing w:before="77" w:line="302" w:lineRule="auto"/>
              <w:ind w:left="220" w:right="115" w:hanging="101"/>
            </w:pPr>
            <w:r>
              <w:rPr>
                <w:spacing w:val="3"/>
              </w:rPr>
              <w:t>发电</w:t>
            </w:r>
            <w:r>
              <w:t xml:space="preserve"> </w:t>
            </w:r>
            <w:r>
              <w:rPr>
                <w:spacing w:val="1"/>
              </w:rPr>
              <w:t>机</w:t>
            </w:r>
          </w:p>
        </w:tc>
        <w:tc>
          <w:tcPr>
            <w:tcW w:w="835" w:type="dxa"/>
            <w:vMerge w:val="restart"/>
            <w:tcBorders>
              <w:bottom w:val="nil"/>
            </w:tcBorders>
            <w:vAlign w:val="top"/>
          </w:tcPr>
          <w:p w14:paraId="3591565D">
            <w:pPr>
              <w:spacing w:line="402" w:lineRule="auto"/>
              <w:rPr>
                <w:rFonts w:ascii="Arial"/>
                <w:sz w:val="21"/>
              </w:rPr>
            </w:pPr>
          </w:p>
          <w:p w14:paraId="178D3E47">
            <w:pPr>
              <w:pStyle w:val="6"/>
              <w:spacing w:before="65" w:line="305" w:lineRule="auto"/>
              <w:ind w:left="317" w:right="208" w:hanging="105"/>
            </w:pPr>
            <w:r>
              <w:rPr>
                <w:spacing w:val="4"/>
              </w:rPr>
              <w:t>有组</w:t>
            </w:r>
            <w:r>
              <w:t xml:space="preserve"> 织</w:t>
            </w:r>
          </w:p>
        </w:tc>
        <w:tc>
          <w:tcPr>
            <w:tcW w:w="742" w:type="dxa"/>
            <w:vAlign w:val="top"/>
          </w:tcPr>
          <w:p w14:paraId="2C1FB1FD">
            <w:pPr>
              <w:spacing w:before="172" w:line="243" w:lineRule="exact"/>
              <w:ind w:left="212"/>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638" w:type="dxa"/>
            <w:vMerge w:val="restart"/>
            <w:tcBorders>
              <w:bottom w:val="nil"/>
            </w:tcBorders>
            <w:vAlign w:val="top"/>
          </w:tcPr>
          <w:p w14:paraId="0B0EC020">
            <w:pPr>
              <w:spacing w:line="403" w:lineRule="auto"/>
              <w:rPr>
                <w:rFonts w:ascii="Arial"/>
                <w:sz w:val="21"/>
              </w:rPr>
            </w:pPr>
          </w:p>
          <w:p w14:paraId="5BD3845C">
            <w:pPr>
              <w:pStyle w:val="6"/>
              <w:spacing w:before="65" w:line="305" w:lineRule="auto"/>
              <w:ind w:left="219" w:right="110" w:hanging="102"/>
            </w:pPr>
            <w:r>
              <w:rPr>
                <w:spacing w:val="2"/>
              </w:rPr>
              <w:t>系数</w:t>
            </w:r>
            <w:r>
              <w:t xml:space="preserve"> 法</w:t>
            </w:r>
          </w:p>
        </w:tc>
        <w:tc>
          <w:tcPr>
            <w:tcW w:w="1108" w:type="dxa"/>
            <w:vAlign w:val="top"/>
          </w:tcPr>
          <w:p w14:paraId="190A031E">
            <w:pPr>
              <w:spacing w:before="105" w:line="275"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5FEA268D">
            <w:pPr>
              <w:spacing w:before="105" w:line="275"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6D891DC6">
            <w:pPr>
              <w:spacing w:before="105" w:line="275"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0.056</w:t>
            </w:r>
          </w:p>
        </w:tc>
        <w:tc>
          <w:tcPr>
            <w:tcW w:w="1188" w:type="dxa"/>
            <w:vMerge w:val="restart"/>
            <w:tcBorders>
              <w:bottom w:val="nil"/>
            </w:tcBorders>
            <w:vAlign w:val="top"/>
          </w:tcPr>
          <w:p w14:paraId="1C7369B7">
            <w:pPr>
              <w:spacing w:line="403" w:lineRule="auto"/>
              <w:rPr>
                <w:rFonts w:ascii="Arial"/>
                <w:sz w:val="21"/>
              </w:rPr>
            </w:pPr>
          </w:p>
          <w:p w14:paraId="024030FD">
            <w:pPr>
              <w:pStyle w:val="6"/>
              <w:spacing w:before="65" w:line="303" w:lineRule="auto"/>
              <w:ind w:left="289" w:right="175" w:hanging="112"/>
            </w:pPr>
            <w:r>
              <w:rPr>
                <w:spacing w:val="7"/>
              </w:rPr>
              <w:t>排气筒高</w:t>
            </w:r>
            <w:r>
              <w:t xml:space="preserve"> </w:t>
            </w:r>
            <w:r>
              <w:rPr>
                <w:spacing w:val="4"/>
              </w:rPr>
              <w:t>空排放</w:t>
            </w:r>
          </w:p>
        </w:tc>
        <w:tc>
          <w:tcPr>
            <w:tcW w:w="593" w:type="dxa"/>
            <w:vAlign w:val="top"/>
          </w:tcPr>
          <w:p w14:paraId="424DBBC8">
            <w:pPr>
              <w:spacing w:before="105" w:line="275"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Merge w:val="restart"/>
            <w:tcBorders>
              <w:bottom w:val="nil"/>
            </w:tcBorders>
            <w:vAlign w:val="top"/>
          </w:tcPr>
          <w:p w14:paraId="7974071E">
            <w:pPr>
              <w:pStyle w:val="6"/>
              <w:spacing w:before="143" w:line="229" w:lineRule="auto"/>
              <w:ind w:left="168"/>
            </w:pPr>
            <w:r>
              <w:rPr>
                <w:spacing w:val="4"/>
              </w:rPr>
              <w:t>物料</w:t>
            </w:r>
          </w:p>
          <w:p w14:paraId="68728D7C">
            <w:pPr>
              <w:pStyle w:val="6"/>
              <w:spacing w:before="241" w:line="384" w:lineRule="auto"/>
              <w:ind w:left="274" w:right="161" w:hanging="106"/>
            </w:pPr>
            <w:r>
              <w:rPr>
                <w:spacing w:val="4"/>
              </w:rPr>
              <w:t>衡算</w:t>
            </w:r>
            <w:r>
              <w:t xml:space="preserve"> 法</w:t>
            </w:r>
          </w:p>
        </w:tc>
        <w:tc>
          <w:tcPr>
            <w:tcW w:w="1300" w:type="dxa"/>
            <w:vAlign w:val="top"/>
          </w:tcPr>
          <w:p w14:paraId="3D913DA4">
            <w:pPr>
              <w:spacing w:before="105" w:line="275"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463B58D0">
            <w:pPr>
              <w:spacing w:before="105" w:line="275"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51A29B78">
            <w:pPr>
              <w:spacing w:before="105"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0.056</w:t>
            </w:r>
          </w:p>
        </w:tc>
        <w:tc>
          <w:tcPr>
            <w:tcW w:w="648" w:type="dxa"/>
            <w:vMerge w:val="restart"/>
            <w:tcBorders>
              <w:bottom w:val="nil"/>
            </w:tcBorders>
            <w:vAlign w:val="top"/>
          </w:tcPr>
          <w:p w14:paraId="54429089">
            <w:pPr>
              <w:spacing w:line="270" w:lineRule="auto"/>
              <w:rPr>
                <w:rFonts w:ascii="Arial"/>
                <w:sz w:val="21"/>
              </w:rPr>
            </w:pPr>
          </w:p>
          <w:p w14:paraId="76BC39EC">
            <w:pPr>
              <w:spacing w:line="271" w:lineRule="auto"/>
              <w:rPr>
                <w:rFonts w:ascii="Arial"/>
                <w:sz w:val="21"/>
              </w:rPr>
            </w:pPr>
          </w:p>
          <w:p w14:paraId="72B25ED9">
            <w:pPr>
              <w:spacing w:before="58"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3CD62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08" w:type="dxa"/>
            <w:vMerge w:val="continue"/>
            <w:tcBorders>
              <w:top w:val="nil"/>
              <w:bottom w:val="nil"/>
            </w:tcBorders>
            <w:vAlign w:val="top"/>
          </w:tcPr>
          <w:p w14:paraId="14DAE829">
            <w:pPr>
              <w:rPr>
                <w:rFonts w:ascii="Arial"/>
                <w:sz w:val="21"/>
              </w:rPr>
            </w:pPr>
          </w:p>
        </w:tc>
        <w:tc>
          <w:tcPr>
            <w:tcW w:w="646" w:type="dxa"/>
            <w:vMerge w:val="continue"/>
            <w:tcBorders>
              <w:top w:val="nil"/>
              <w:bottom w:val="nil"/>
            </w:tcBorders>
            <w:vAlign w:val="top"/>
          </w:tcPr>
          <w:p w14:paraId="12A71444">
            <w:pPr>
              <w:rPr>
                <w:rFonts w:ascii="Arial"/>
                <w:sz w:val="21"/>
              </w:rPr>
            </w:pPr>
          </w:p>
        </w:tc>
        <w:tc>
          <w:tcPr>
            <w:tcW w:w="835" w:type="dxa"/>
            <w:vMerge w:val="continue"/>
            <w:tcBorders>
              <w:top w:val="nil"/>
              <w:bottom w:val="nil"/>
            </w:tcBorders>
            <w:vAlign w:val="top"/>
          </w:tcPr>
          <w:p w14:paraId="0EC6B9D5">
            <w:pPr>
              <w:rPr>
                <w:rFonts w:ascii="Arial"/>
                <w:sz w:val="21"/>
              </w:rPr>
            </w:pPr>
          </w:p>
        </w:tc>
        <w:tc>
          <w:tcPr>
            <w:tcW w:w="742" w:type="dxa"/>
            <w:vAlign w:val="top"/>
          </w:tcPr>
          <w:p w14:paraId="0DF1CC5D">
            <w:pPr>
              <w:spacing w:before="172" w:line="202" w:lineRule="auto"/>
              <w:ind w:left="163"/>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638" w:type="dxa"/>
            <w:vMerge w:val="continue"/>
            <w:tcBorders>
              <w:top w:val="nil"/>
              <w:bottom w:val="nil"/>
            </w:tcBorders>
            <w:vAlign w:val="top"/>
          </w:tcPr>
          <w:p w14:paraId="492D978A">
            <w:pPr>
              <w:rPr>
                <w:rFonts w:ascii="Arial"/>
                <w:sz w:val="21"/>
              </w:rPr>
            </w:pPr>
          </w:p>
        </w:tc>
        <w:tc>
          <w:tcPr>
            <w:tcW w:w="1108" w:type="dxa"/>
            <w:vAlign w:val="top"/>
          </w:tcPr>
          <w:p w14:paraId="1A653254">
            <w:pPr>
              <w:spacing w:before="105"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410B053D">
            <w:pPr>
              <w:spacing w:before="105"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F925B03">
            <w:pPr>
              <w:spacing w:before="105"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0.133</w:t>
            </w:r>
          </w:p>
        </w:tc>
        <w:tc>
          <w:tcPr>
            <w:tcW w:w="1188" w:type="dxa"/>
            <w:vMerge w:val="continue"/>
            <w:tcBorders>
              <w:top w:val="nil"/>
              <w:bottom w:val="nil"/>
            </w:tcBorders>
            <w:vAlign w:val="top"/>
          </w:tcPr>
          <w:p w14:paraId="19A863B8">
            <w:pPr>
              <w:rPr>
                <w:rFonts w:ascii="Arial"/>
                <w:sz w:val="21"/>
              </w:rPr>
            </w:pPr>
          </w:p>
        </w:tc>
        <w:tc>
          <w:tcPr>
            <w:tcW w:w="593" w:type="dxa"/>
            <w:vAlign w:val="top"/>
          </w:tcPr>
          <w:p w14:paraId="0DB193E7">
            <w:pPr>
              <w:spacing w:before="105"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Merge w:val="continue"/>
            <w:tcBorders>
              <w:top w:val="nil"/>
              <w:bottom w:val="nil"/>
            </w:tcBorders>
            <w:vAlign w:val="top"/>
          </w:tcPr>
          <w:p w14:paraId="39D8EBC3">
            <w:pPr>
              <w:rPr>
                <w:rFonts w:ascii="Arial"/>
                <w:sz w:val="21"/>
              </w:rPr>
            </w:pPr>
          </w:p>
        </w:tc>
        <w:tc>
          <w:tcPr>
            <w:tcW w:w="1300" w:type="dxa"/>
            <w:vAlign w:val="top"/>
          </w:tcPr>
          <w:p w14:paraId="09F6832F">
            <w:pPr>
              <w:spacing w:before="105"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79A1FDC2">
            <w:pPr>
              <w:spacing w:before="105"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1FC1106F">
            <w:pPr>
              <w:spacing w:before="105"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0.133</w:t>
            </w:r>
          </w:p>
        </w:tc>
        <w:tc>
          <w:tcPr>
            <w:tcW w:w="648" w:type="dxa"/>
            <w:vMerge w:val="continue"/>
            <w:tcBorders>
              <w:top w:val="nil"/>
              <w:bottom w:val="nil"/>
            </w:tcBorders>
            <w:vAlign w:val="top"/>
          </w:tcPr>
          <w:p w14:paraId="13B39373">
            <w:pPr>
              <w:rPr>
                <w:rFonts w:ascii="Arial"/>
                <w:sz w:val="21"/>
              </w:rPr>
            </w:pPr>
          </w:p>
        </w:tc>
      </w:tr>
      <w:tr w14:paraId="1ED88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08" w:type="dxa"/>
            <w:vMerge w:val="continue"/>
            <w:tcBorders>
              <w:top w:val="nil"/>
            </w:tcBorders>
            <w:vAlign w:val="top"/>
          </w:tcPr>
          <w:p w14:paraId="211ABA35">
            <w:pPr>
              <w:rPr>
                <w:rFonts w:ascii="Arial"/>
                <w:sz w:val="21"/>
              </w:rPr>
            </w:pPr>
          </w:p>
        </w:tc>
        <w:tc>
          <w:tcPr>
            <w:tcW w:w="646" w:type="dxa"/>
            <w:vMerge w:val="continue"/>
            <w:tcBorders>
              <w:top w:val="nil"/>
            </w:tcBorders>
            <w:vAlign w:val="top"/>
          </w:tcPr>
          <w:p w14:paraId="7B1AD416">
            <w:pPr>
              <w:rPr>
                <w:rFonts w:ascii="Arial"/>
                <w:sz w:val="21"/>
              </w:rPr>
            </w:pPr>
          </w:p>
        </w:tc>
        <w:tc>
          <w:tcPr>
            <w:tcW w:w="835" w:type="dxa"/>
            <w:vMerge w:val="continue"/>
            <w:tcBorders>
              <w:top w:val="nil"/>
            </w:tcBorders>
            <w:vAlign w:val="top"/>
          </w:tcPr>
          <w:p w14:paraId="6397FDB4">
            <w:pPr>
              <w:rPr>
                <w:rFonts w:ascii="Arial"/>
                <w:sz w:val="21"/>
              </w:rPr>
            </w:pPr>
          </w:p>
        </w:tc>
        <w:tc>
          <w:tcPr>
            <w:tcW w:w="742" w:type="dxa"/>
            <w:vAlign w:val="top"/>
          </w:tcPr>
          <w:p w14:paraId="4498DE03">
            <w:pPr>
              <w:pStyle w:val="6"/>
              <w:spacing w:before="149" w:line="230" w:lineRule="auto"/>
              <w:ind w:left="164"/>
            </w:pPr>
            <w:r>
              <w:rPr>
                <w:spacing w:val="4"/>
              </w:rPr>
              <w:t>烟尘</w:t>
            </w:r>
          </w:p>
        </w:tc>
        <w:tc>
          <w:tcPr>
            <w:tcW w:w="638" w:type="dxa"/>
            <w:vMerge w:val="continue"/>
            <w:tcBorders>
              <w:top w:val="nil"/>
            </w:tcBorders>
            <w:vAlign w:val="top"/>
          </w:tcPr>
          <w:p w14:paraId="7BFADAC4">
            <w:pPr>
              <w:rPr>
                <w:rFonts w:ascii="Arial"/>
                <w:sz w:val="21"/>
              </w:rPr>
            </w:pPr>
          </w:p>
        </w:tc>
        <w:tc>
          <w:tcPr>
            <w:tcW w:w="1108" w:type="dxa"/>
            <w:vAlign w:val="top"/>
          </w:tcPr>
          <w:p w14:paraId="175D0103">
            <w:pPr>
              <w:spacing w:before="119"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043205E2">
            <w:pPr>
              <w:spacing w:before="119"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BBFEB15">
            <w:pPr>
              <w:spacing w:before="119"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188" w:type="dxa"/>
            <w:vMerge w:val="continue"/>
            <w:tcBorders>
              <w:top w:val="nil"/>
            </w:tcBorders>
            <w:vAlign w:val="top"/>
          </w:tcPr>
          <w:p w14:paraId="5346C224">
            <w:pPr>
              <w:rPr>
                <w:rFonts w:ascii="Arial"/>
                <w:sz w:val="21"/>
              </w:rPr>
            </w:pPr>
          </w:p>
        </w:tc>
        <w:tc>
          <w:tcPr>
            <w:tcW w:w="593" w:type="dxa"/>
            <w:vAlign w:val="top"/>
          </w:tcPr>
          <w:p w14:paraId="7EA64B96">
            <w:pPr>
              <w:spacing w:before="119"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Merge w:val="continue"/>
            <w:tcBorders>
              <w:top w:val="nil"/>
            </w:tcBorders>
            <w:vAlign w:val="top"/>
          </w:tcPr>
          <w:p w14:paraId="03B2DB43">
            <w:pPr>
              <w:rPr>
                <w:rFonts w:ascii="Arial"/>
                <w:sz w:val="21"/>
              </w:rPr>
            </w:pPr>
          </w:p>
        </w:tc>
        <w:tc>
          <w:tcPr>
            <w:tcW w:w="1300" w:type="dxa"/>
            <w:vAlign w:val="top"/>
          </w:tcPr>
          <w:p w14:paraId="5B66DD01">
            <w:pPr>
              <w:spacing w:before="119"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7A25237A">
            <w:pPr>
              <w:spacing w:before="119"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1FD666B5">
            <w:pPr>
              <w:spacing w:before="119"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648" w:type="dxa"/>
            <w:vMerge w:val="continue"/>
            <w:tcBorders>
              <w:top w:val="nil"/>
            </w:tcBorders>
            <w:vAlign w:val="top"/>
          </w:tcPr>
          <w:p w14:paraId="68E45281">
            <w:pPr>
              <w:rPr>
                <w:rFonts w:ascii="Arial"/>
                <w:sz w:val="21"/>
              </w:rPr>
            </w:pPr>
          </w:p>
        </w:tc>
      </w:tr>
    </w:tbl>
    <w:p w14:paraId="3C15F000">
      <w:pPr>
        <w:pStyle w:val="2"/>
      </w:pPr>
    </w:p>
    <w:p w14:paraId="131CA173">
      <w:pPr>
        <w:sectPr>
          <w:footerReference r:id="rId83" w:type="default"/>
          <w:pgSz w:w="16839" w:h="11906"/>
          <w:pgMar w:top="400" w:right="1531" w:bottom="1485" w:left="1305" w:header="0" w:footer="1249" w:gutter="0"/>
          <w:cols w:space="720" w:num="1"/>
        </w:sectPr>
      </w:pPr>
    </w:p>
    <w:p w14:paraId="2CDF1993">
      <w:pPr>
        <w:pStyle w:val="2"/>
        <w:spacing w:line="264" w:lineRule="auto"/>
      </w:pPr>
    </w:p>
    <w:p w14:paraId="1CC8AA69">
      <w:pPr>
        <w:pStyle w:val="2"/>
        <w:spacing w:line="264" w:lineRule="auto"/>
      </w:pPr>
    </w:p>
    <w:p w14:paraId="764951BB">
      <w:pPr>
        <w:pStyle w:val="2"/>
        <w:spacing w:line="264" w:lineRule="auto"/>
      </w:pPr>
    </w:p>
    <w:p w14:paraId="11FCCE3B">
      <w:pPr>
        <w:pStyle w:val="2"/>
        <w:spacing w:line="265" w:lineRule="auto"/>
      </w:pPr>
    </w:p>
    <w:p w14:paraId="231AC16C">
      <w:pPr>
        <w:spacing w:before="78" w:line="221" w:lineRule="auto"/>
        <w:ind w:left="117"/>
        <w:outlineLvl w:val="1"/>
        <w:rPr>
          <w:rFonts w:ascii="宋体" w:hAnsi="宋体" w:eastAsia="宋体" w:cs="宋体"/>
          <w:sz w:val="24"/>
          <w:szCs w:val="24"/>
        </w:rPr>
      </w:pPr>
      <w:r>
        <w:rPr>
          <w:rFonts w:ascii="Times New Roman" w:hAnsi="Times New Roman" w:eastAsia="Times New Roman" w:cs="Times New Roman"/>
          <w:b/>
          <w:bCs/>
          <w:spacing w:val="-2"/>
          <w:sz w:val="24"/>
          <w:szCs w:val="24"/>
        </w:rPr>
        <w:t>3.5.3</w:t>
      </w:r>
      <w:r>
        <w:rPr>
          <w:rFonts w:ascii="宋体" w:hAnsi="宋体" w:eastAsia="宋体" w:cs="宋体"/>
          <w:b/>
          <w:bCs/>
          <w:spacing w:val="-2"/>
          <w:sz w:val="24"/>
          <w:szCs w:val="24"/>
        </w:rPr>
        <w:t>噪声污染源</w:t>
      </w:r>
    </w:p>
    <w:p w14:paraId="6BCFCEB5">
      <w:pPr>
        <w:spacing w:before="114" w:line="368" w:lineRule="auto"/>
        <w:ind w:left="126" w:right="32" w:firstLine="477"/>
        <w:rPr>
          <w:rFonts w:ascii="宋体" w:hAnsi="宋体" w:eastAsia="宋体" w:cs="宋体"/>
          <w:sz w:val="24"/>
          <w:szCs w:val="24"/>
        </w:rPr>
      </w:pPr>
      <w:r>
        <w:rPr>
          <w:rFonts w:ascii="宋体" w:hAnsi="宋体" w:eastAsia="宋体" w:cs="宋体"/>
          <w:spacing w:val="2"/>
          <w:sz w:val="24"/>
          <w:szCs w:val="24"/>
        </w:rPr>
        <w:t>本项目运营期主要的噪声为猪只叫声、猪舍排气扇、水泵、发电机。猪只叫声</w:t>
      </w:r>
      <w:r>
        <w:rPr>
          <w:rFonts w:ascii="宋体" w:hAnsi="宋体" w:eastAsia="宋体" w:cs="宋体"/>
          <w:spacing w:val="9"/>
          <w:sz w:val="24"/>
          <w:szCs w:val="24"/>
        </w:rPr>
        <w:t xml:space="preserve"> </w:t>
      </w:r>
      <w:r>
        <w:rPr>
          <w:rFonts w:ascii="宋体" w:hAnsi="宋体" w:eastAsia="宋体" w:cs="宋体"/>
          <w:spacing w:val="-6"/>
          <w:sz w:val="24"/>
          <w:szCs w:val="24"/>
        </w:rPr>
        <w:t>一般只在喂料的时候发出，持续时间约为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10-20min</w:t>
      </w:r>
      <w:r>
        <w:rPr>
          <w:rFonts w:ascii="宋体" w:hAnsi="宋体" w:eastAsia="宋体" w:cs="宋体"/>
          <w:spacing w:val="-6"/>
          <w:sz w:val="24"/>
          <w:szCs w:val="24"/>
        </w:rPr>
        <w:t>。主要噪声源排放情况见表</w:t>
      </w:r>
      <w:r>
        <w:rPr>
          <w:rFonts w:ascii="Times New Roman" w:hAnsi="Times New Roman" w:eastAsia="Times New Roman" w:cs="Times New Roman"/>
          <w:spacing w:val="-6"/>
          <w:sz w:val="24"/>
          <w:szCs w:val="24"/>
        </w:rPr>
        <w:t>3.5</w:t>
      </w:r>
      <w:r>
        <w:rPr>
          <w:rFonts w:ascii="Times New Roman" w:hAnsi="Times New Roman" w:eastAsia="Times New Roman" w:cs="Times New Roman"/>
          <w:spacing w:val="-7"/>
          <w:sz w:val="24"/>
          <w:szCs w:val="24"/>
        </w:rPr>
        <w:t>-10</w:t>
      </w:r>
      <w:r>
        <w:rPr>
          <w:rFonts w:ascii="宋体" w:hAnsi="宋体" w:eastAsia="宋体" w:cs="宋体"/>
          <w:spacing w:val="-7"/>
          <w:sz w:val="24"/>
          <w:szCs w:val="24"/>
        </w:rPr>
        <w:t>。</w:t>
      </w:r>
    </w:p>
    <w:p w14:paraId="54070D97">
      <w:pPr>
        <w:spacing w:before="79" w:line="221" w:lineRule="auto"/>
        <w:ind w:left="2420"/>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6"/>
          <w:sz w:val="20"/>
          <w:szCs w:val="20"/>
        </w:rPr>
        <w:t xml:space="preserve">3.5-10 </w:t>
      </w:r>
      <w:r>
        <w:rPr>
          <w:rFonts w:ascii="宋体" w:hAnsi="宋体" w:eastAsia="宋体" w:cs="宋体"/>
          <w:b/>
          <w:bCs/>
          <w:spacing w:val="6"/>
          <w:sz w:val="20"/>
          <w:szCs w:val="20"/>
        </w:rPr>
        <w:t>项目噪声污染源一览表单位：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439E3798">
      <w:pPr>
        <w:spacing w:line="110" w:lineRule="exact"/>
      </w:pPr>
    </w:p>
    <w:tbl>
      <w:tblPr>
        <w:tblStyle w:val="5"/>
        <w:tblW w:w="8848"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211"/>
        <w:gridCol w:w="1692"/>
        <w:gridCol w:w="1108"/>
        <w:gridCol w:w="1449"/>
        <w:gridCol w:w="2750"/>
      </w:tblGrid>
      <w:tr w14:paraId="286A2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38" w:type="dxa"/>
            <w:vAlign w:val="top"/>
          </w:tcPr>
          <w:p w14:paraId="0FBB2BD5">
            <w:pPr>
              <w:pStyle w:val="6"/>
              <w:spacing w:before="84" w:line="229" w:lineRule="auto"/>
              <w:ind w:left="117"/>
            </w:pPr>
            <w:r>
              <w:rPr>
                <w:b/>
                <w:bCs/>
                <w:spacing w:val="2"/>
              </w:rPr>
              <w:t>项目</w:t>
            </w:r>
          </w:p>
        </w:tc>
        <w:tc>
          <w:tcPr>
            <w:tcW w:w="1211" w:type="dxa"/>
            <w:vAlign w:val="top"/>
          </w:tcPr>
          <w:p w14:paraId="1D7F262F">
            <w:pPr>
              <w:pStyle w:val="6"/>
              <w:spacing w:before="84" w:line="228" w:lineRule="auto"/>
              <w:ind w:left="399"/>
            </w:pPr>
            <w:r>
              <w:rPr>
                <w:b/>
                <w:bCs/>
                <w:spacing w:val="3"/>
              </w:rPr>
              <w:t>种类</w:t>
            </w:r>
          </w:p>
        </w:tc>
        <w:tc>
          <w:tcPr>
            <w:tcW w:w="1692" w:type="dxa"/>
            <w:vAlign w:val="top"/>
          </w:tcPr>
          <w:p w14:paraId="4BAFEC2E">
            <w:pPr>
              <w:pStyle w:val="6"/>
              <w:spacing w:before="84" w:line="229" w:lineRule="auto"/>
              <w:ind w:left="544"/>
            </w:pPr>
            <w:r>
              <w:rPr>
                <w:b/>
                <w:bCs/>
                <w:spacing w:val="2"/>
              </w:rPr>
              <w:t>噪声源</w:t>
            </w:r>
          </w:p>
        </w:tc>
        <w:tc>
          <w:tcPr>
            <w:tcW w:w="1108" w:type="dxa"/>
            <w:vAlign w:val="top"/>
          </w:tcPr>
          <w:p w14:paraId="777BBF30">
            <w:pPr>
              <w:pStyle w:val="6"/>
              <w:spacing w:before="84" w:line="228" w:lineRule="auto"/>
              <w:ind w:left="139"/>
            </w:pPr>
            <w:r>
              <w:rPr>
                <w:b/>
                <w:bCs/>
                <w:spacing w:val="6"/>
              </w:rPr>
              <w:t>产生方式</w:t>
            </w:r>
          </w:p>
        </w:tc>
        <w:tc>
          <w:tcPr>
            <w:tcW w:w="1449" w:type="dxa"/>
            <w:vAlign w:val="top"/>
          </w:tcPr>
          <w:p w14:paraId="78280C3E">
            <w:pPr>
              <w:pStyle w:val="6"/>
              <w:spacing w:before="84" w:line="229" w:lineRule="auto"/>
              <w:ind w:left="525"/>
            </w:pPr>
            <w:r>
              <w:rPr>
                <w:b/>
                <w:bCs/>
                <w:spacing w:val="1"/>
              </w:rPr>
              <w:t>声级</w:t>
            </w:r>
          </w:p>
        </w:tc>
        <w:tc>
          <w:tcPr>
            <w:tcW w:w="2750" w:type="dxa"/>
            <w:vAlign w:val="top"/>
          </w:tcPr>
          <w:p w14:paraId="4E911071">
            <w:pPr>
              <w:pStyle w:val="6"/>
              <w:spacing w:before="84" w:line="229" w:lineRule="auto"/>
              <w:ind w:left="963"/>
            </w:pPr>
            <w:r>
              <w:rPr>
                <w:b/>
                <w:bCs/>
                <w:spacing w:val="5"/>
              </w:rPr>
              <w:t>治理措施</w:t>
            </w:r>
          </w:p>
        </w:tc>
      </w:tr>
      <w:tr w14:paraId="166AA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38" w:type="dxa"/>
            <w:vMerge w:val="restart"/>
            <w:tcBorders>
              <w:bottom w:val="nil"/>
            </w:tcBorders>
            <w:vAlign w:val="top"/>
          </w:tcPr>
          <w:p w14:paraId="7067A8DB">
            <w:pPr>
              <w:spacing w:line="328" w:lineRule="auto"/>
              <w:rPr>
                <w:rFonts w:ascii="Arial"/>
                <w:sz w:val="21"/>
              </w:rPr>
            </w:pPr>
          </w:p>
          <w:p w14:paraId="7B93490D">
            <w:pPr>
              <w:spacing w:line="328" w:lineRule="auto"/>
              <w:rPr>
                <w:rFonts w:ascii="Arial"/>
                <w:sz w:val="21"/>
              </w:rPr>
            </w:pPr>
          </w:p>
          <w:p w14:paraId="751DCD10">
            <w:pPr>
              <w:pStyle w:val="6"/>
              <w:spacing w:before="65" w:line="229" w:lineRule="auto"/>
              <w:ind w:left="123"/>
            </w:pPr>
            <w:r>
              <w:rPr>
                <w:spacing w:val="-1"/>
              </w:rPr>
              <w:t>噪声</w:t>
            </w:r>
          </w:p>
        </w:tc>
        <w:tc>
          <w:tcPr>
            <w:tcW w:w="1211" w:type="dxa"/>
            <w:vAlign w:val="top"/>
          </w:tcPr>
          <w:p w14:paraId="642F7651">
            <w:pPr>
              <w:pStyle w:val="6"/>
              <w:spacing w:before="222" w:line="229" w:lineRule="auto"/>
              <w:ind w:left="188"/>
            </w:pPr>
            <w:r>
              <w:rPr>
                <w:spacing w:val="7"/>
              </w:rPr>
              <w:t>猪只叫声</w:t>
            </w:r>
          </w:p>
        </w:tc>
        <w:tc>
          <w:tcPr>
            <w:tcW w:w="1692" w:type="dxa"/>
            <w:vAlign w:val="top"/>
          </w:tcPr>
          <w:p w14:paraId="39DF7D57">
            <w:pPr>
              <w:pStyle w:val="6"/>
              <w:spacing w:before="222" w:line="228" w:lineRule="auto"/>
              <w:ind w:left="535"/>
            </w:pPr>
            <w:r>
              <w:rPr>
                <w:spacing w:val="6"/>
              </w:rPr>
              <w:t>养殖区</w:t>
            </w:r>
          </w:p>
        </w:tc>
        <w:tc>
          <w:tcPr>
            <w:tcW w:w="1108" w:type="dxa"/>
            <w:vAlign w:val="top"/>
          </w:tcPr>
          <w:p w14:paraId="3530C2AB">
            <w:pPr>
              <w:pStyle w:val="6"/>
              <w:spacing w:before="221" w:line="228" w:lineRule="auto"/>
              <w:ind w:left="348"/>
            </w:pPr>
            <w:r>
              <w:rPr>
                <w:spacing w:val="4"/>
              </w:rPr>
              <w:t>偶尔</w:t>
            </w:r>
          </w:p>
        </w:tc>
        <w:tc>
          <w:tcPr>
            <w:tcW w:w="1449" w:type="dxa"/>
            <w:vAlign w:val="top"/>
          </w:tcPr>
          <w:p w14:paraId="3FA8A2D4">
            <w:pPr>
              <w:pStyle w:val="6"/>
              <w:spacing w:before="191" w:line="274" w:lineRule="exact"/>
              <w:ind w:left="415"/>
              <w:rPr>
                <w:rFonts w:ascii="Times New Roman" w:hAnsi="Times New Roman" w:eastAsia="Times New Roman" w:cs="Times New Roman"/>
              </w:rPr>
            </w:pPr>
            <w:r>
              <w:rPr>
                <w:rFonts w:ascii="Times New Roman" w:hAnsi="Times New Roman" w:eastAsia="Times New Roman" w:cs="Times New Roman"/>
                <w:spacing w:val="4"/>
                <w:position w:val="2"/>
              </w:rPr>
              <w:t>70</w:t>
            </w:r>
            <w:r>
              <w:rPr>
                <w:spacing w:val="4"/>
                <w:position w:val="2"/>
              </w:rPr>
              <w:t>～</w:t>
            </w:r>
            <w:r>
              <w:rPr>
                <w:rFonts w:ascii="Times New Roman" w:hAnsi="Times New Roman" w:eastAsia="Times New Roman" w:cs="Times New Roman"/>
                <w:spacing w:val="4"/>
                <w:position w:val="2"/>
              </w:rPr>
              <w:t>80</w:t>
            </w:r>
          </w:p>
        </w:tc>
        <w:tc>
          <w:tcPr>
            <w:tcW w:w="2750" w:type="dxa"/>
            <w:vAlign w:val="top"/>
          </w:tcPr>
          <w:p w14:paraId="2991BB29">
            <w:pPr>
              <w:pStyle w:val="6"/>
              <w:spacing w:before="57" w:line="271" w:lineRule="auto"/>
              <w:ind w:left="647" w:right="58" w:hanging="573"/>
            </w:pPr>
            <w:r>
              <w:t>喂足饲料和水，避免饥渴及突</w:t>
            </w:r>
            <w:r>
              <w:rPr>
                <w:spacing w:val="10"/>
              </w:rPr>
              <w:t xml:space="preserve"> </w:t>
            </w:r>
            <w:r>
              <w:rPr>
                <w:spacing w:val="8"/>
              </w:rPr>
              <w:t>发性噪声、隔声</w:t>
            </w:r>
          </w:p>
        </w:tc>
      </w:tr>
      <w:tr w14:paraId="06391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38" w:type="dxa"/>
            <w:vMerge w:val="continue"/>
            <w:tcBorders>
              <w:top w:val="nil"/>
              <w:bottom w:val="nil"/>
            </w:tcBorders>
            <w:vAlign w:val="top"/>
          </w:tcPr>
          <w:p w14:paraId="6361BE9F">
            <w:pPr>
              <w:rPr>
                <w:rFonts w:ascii="Arial"/>
                <w:sz w:val="21"/>
              </w:rPr>
            </w:pPr>
          </w:p>
        </w:tc>
        <w:tc>
          <w:tcPr>
            <w:tcW w:w="1211" w:type="dxa"/>
            <w:vAlign w:val="top"/>
          </w:tcPr>
          <w:p w14:paraId="2B9BA15D">
            <w:pPr>
              <w:pStyle w:val="6"/>
              <w:spacing w:before="60" w:line="230" w:lineRule="auto"/>
              <w:ind w:left="294"/>
            </w:pPr>
            <w:r>
              <w:rPr>
                <w:spacing w:val="6"/>
              </w:rPr>
              <w:t>排气扇</w:t>
            </w:r>
          </w:p>
        </w:tc>
        <w:tc>
          <w:tcPr>
            <w:tcW w:w="1692" w:type="dxa"/>
            <w:vAlign w:val="top"/>
          </w:tcPr>
          <w:p w14:paraId="33B70BF5">
            <w:pPr>
              <w:pStyle w:val="6"/>
              <w:spacing w:before="61" w:line="228" w:lineRule="auto"/>
              <w:ind w:left="535"/>
            </w:pPr>
            <w:r>
              <w:rPr>
                <w:spacing w:val="6"/>
              </w:rPr>
              <w:t>养殖区</w:t>
            </w:r>
          </w:p>
        </w:tc>
        <w:tc>
          <w:tcPr>
            <w:tcW w:w="1108" w:type="dxa"/>
            <w:vAlign w:val="top"/>
          </w:tcPr>
          <w:p w14:paraId="6ABAC423">
            <w:pPr>
              <w:pStyle w:val="6"/>
              <w:spacing w:before="61" w:line="229" w:lineRule="auto"/>
              <w:ind w:left="348"/>
            </w:pPr>
            <w:r>
              <w:rPr>
                <w:spacing w:val="4"/>
              </w:rPr>
              <w:t>连续</w:t>
            </w:r>
          </w:p>
        </w:tc>
        <w:tc>
          <w:tcPr>
            <w:tcW w:w="1449" w:type="dxa"/>
            <w:vAlign w:val="top"/>
          </w:tcPr>
          <w:p w14:paraId="76ADF5FD">
            <w:pPr>
              <w:pStyle w:val="6"/>
              <w:spacing w:before="30" w:line="274" w:lineRule="exact"/>
              <w:ind w:left="415"/>
              <w:rPr>
                <w:rFonts w:ascii="Times New Roman" w:hAnsi="Times New Roman" w:eastAsia="Times New Roman" w:cs="Times New Roman"/>
              </w:rPr>
            </w:pPr>
            <w:r>
              <w:rPr>
                <w:rFonts w:ascii="Times New Roman" w:hAnsi="Times New Roman" w:eastAsia="Times New Roman" w:cs="Times New Roman"/>
                <w:spacing w:val="4"/>
                <w:position w:val="2"/>
              </w:rPr>
              <w:t>75</w:t>
            </w:r>
            <w:r>
              <w:rPr>
                <w:spacing w:val="4"/>
                <w:position w:val="2"/>
              </w:rPr>
              <w:t>～</w:t>
            </w:r>
            <w:r>
              <w:rPr>
                <w:rFonts w:ascii="Times New Roman" w:hAnsi="Times New Roman" w:eastAsia="Times New Roman" w:cs="Times New Roman"/>
                <w:spacing w:val="4"/>
                <w:position w:val="2"/>
              </w:rPr>
              <w:t>85</w:t>
            </w:r>
          </w:p>
        </w:tc>
        <w:tc>
          <w:tcPr>
            <w:tcW w:w="2750" w:type="dxa"/>
            <w:vAlign w:val="top"/>
          </w:tcPr>
          <w:p w14:paraId="26230885">
            <w:pPr>
              <w:pStyle w:val="6"/>
              <w:spacing w:before="61" w:line="229" w:lineRule="auto"/>
              <w:ind w:left="329"/>
            </w:pPr>
            <w:r>
              <w:rPr>
                <w:spacing w:val="9"/>
              </w:rPr>
              <w:t>选择低噪声设备，隔声</w:t>
            </w:r>
          </w:p>
        </w:tc>
      </w:tr>
      <w:tr w14:paraId="09566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trPr>
        <w:tc>
          <w:tcPr>
            <w:tcW w:w="638" w:type="dxa"/>
            <w:vMerge w:val="continue"/>
            <w:tcBorders>
              <w:top w:val="nil"/>
              <w:bottom w:val="nil"/>
            </w:tcBorders>
            <w:vAlign w:val="top"/>
          </w:tcPr>
          <w:p w14:paraId="62F62043">
            <w:pPr>
              <w:rPr>
                <w:rFonts w:ascii="Arial"/>
                <w:sz w:val="21"/>
              </w:rPr>
            </w:pPr>
          </w:p>
        </w:tc>
        <w:tc>
          <w:tcPr>
            <w:tcW w:w="1211" w:type="dxa"/>
            <w:vAlign w:val="top"/>
          </w:tcPr>
          <w:p w14:paraId="572FAB7D">
            <w:pPr>
              <w:pStyle w:val="6"/>
              <w:spacing w:before="62" w:line="228" w:lineRule="auto"/>
              <w:ind w:left="402"/>
            </w:pPr>
            <w:r>
              <w:rPr>
                <w:spacing w:val="3"/>
              </w:rPr>
              <w:t>水泵</w:t>
            </w:r>
          </w:p>
        </w:tc>
        <w:tc>
          <w:tcPr>
            <w:tcW w:w="1692" w:type="dxa"/>
            <w:vAlign w:val="top"/>
          </w:tcPr>
          <w:p w14:paraId="513885A6">
            <w:pPr>
              <w:pStyle w:val="6"/>
              <w:spacing w:before="62" w:line="228" w:lineRule="auto"/>
              <w:ind w:left="222"/>
            </w:pPr>
            <w:r>
              <w:rPr>
                <w:spacing w:val="7"/>
              </w:rPr>
              <w:t>污水处理系统</w:t>
            </w:r>
          </w:p>
        </w:tc>
        <w:tc>
          <w:tcPr>
            <w:tcW w:w="1108" w:type="dxa"/>
            <w:vAlign w:val="top"/>
          </w:tcPr>
          <w:p w14:paraId="4C10D3DD">
            <w:pPr>
              <w:pStyle w:val="6"/>
              <w:spacing w:before="62" w:line="229" w:lineRule="auto"/>
              <w:ind w:left="348"/>
            </w:pPr>
            <w:r>
              <w:rPr>
                <w:spacing w:val="4"/>
              </w:rPr>
              <w:t>连续</w:t>
            </w:r>
          </w:p>
        </w:tc>
        <w:tc>
          <w:tcPr>
            <w:tcW w:w="1449" w:type="dxa"/>
            <w:vAlign w:val="top"/>
          </w:tcPr>
          <w:p w14:paraId="358216FF">
            <w:pPr>
              <w:pStyle w:val="6"/>
              <w:spacing w:before="31" w:line="274" w:lineRule="exact"/>
              <w:ind w:left="420"/>
              <w:rPr>
                <w:rFonts w:ascii="Times New Roman" w:hAnsi="Times New Roman" w:eastAsia="Times New Roman" w:cs="Times New Roman"/>
              </w:rPr>
            </w:pPr>
            <w:r>
              <w:rPr>
                <w:rFonts w:ascii="Times New Roman" w:hAnsi="Times New Roman" w:eastAsia="Times New Roman" w:cs="Times New Roman"/>
                <w:spacing w:val="3"/>
                <w:position w:val="2"/>
              </w:rPr>
              <w:t>80</w:t>
            </w:r>
            <w:r>
              <w:rPr>
                <w:spacing w:val="3"/>
                <w:position w:val="2"/>
              </w:rPr>
              <w:t>～</w:t>
            </w:r>
            <w:r>
              <w:rPr>
                <w:rFonts w:ascii="Times New Roman" w:hAnsi="Times New Roman" w:eastAsia="Times New Roman" w:cs="Times New Roman"/>
                <w:spacing w:val="3"/>
                <w:position w:val="2"/>
              </w:rPr>
              <w:t>90</w:t>
            </w:r>
          </w:p>
        </w:tc>
        <w:tc>
          <w:tcPr>
            <w:tcW w:w="2750" w:type="dxa"/>
            <w:vAlign w:val="top"/>
          </w:tcPr>
          <w:p w14:paraId="76FEC712">
            <w:pPr>
              <w:pStyle w:val="6"/>
              <w:spacing w:before="62" w:line="229" w:lineRule="auto"/>
              <w:ind w:left="329"/>
            </w:pPr>
            <w:r>
              <w:rPr>
                <w:spacing w:val="9"/>
              </w:rPr>
              <w:t>选择低噪声设备、减振</w:t>
            </w:r>
          </w:p>
        </w:tc>
      </w:tr>
      <w:tr w14:paraId="278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38" w:type="dxa"/>
            <w:vMerge w:val="continue"/>
            <w:tcBorders>
              <w:top w:val="nil"/>
            </w:tcBorders>
            <w:vAlign w:val="top"/>
          </w:tcPr>
          <w:p w14:paraId="73EE5A95">
            <w:pPr>
              <w:rPr>
                <w:rFonts w:ascii="Arial"/>
                <w:sz w:val="21"/>
              </w:rPr>
            </w:pPr>
          </w:p>
        </w:tc>
        <w:tc>
          <w:tcPr>
            <w:tcW w:w="1211" w:type="dxa"/>
            <w:vAlign w:val="top"/>
          </w:tcPr>
          <w:p w14:paraId="20F8C515">
            <w:pPr>
              <w:pStyle w:val="6"/>
              <w:spacing w:before="62" w:line="228" w:lineRule="auto"/>
              <w:ind w:left="297"/>
            </w:pPr>
            <w:r>
              <w:rPr>
                <w:spacing w:val="5"/>
              </w:rPr>
              <w:t>发电机</w:t>
            </w:r>
          </w:p>
        </w:tc>
        <w:tc>
          <w:tcPr>
            <w:tcW w:w="1692" w:type="dxa"/>
            <w:vAlign w:val="top"/>
          </w:tcPr>
          <w:p w14:paraId="2C32C33C">
            <w:pPr>
              <w:pStyle w:val="6"/>
              <w:spacing w:before="63" w:line="229" w:lineRule="auto"/>
              <w:ind w:left="535"/>
            </w:pPr>
            <w:r>
              <w:rPr>
                <w:spacing w:val="6"/>
              </w:rPr>
              <w:t>配电房</w:t>
            </w:r>
          </w:p>
        </w:tc>
        <w:tc>
          <w:tcPr>
            <w:tcW w:w="1108" w:type="dxa"/>
            <w:vAlign w:val="top"/>
          </w:tcPr>
          <w:p w14:paraId="09C17EB2">
            <w:pPr>
              <w:pStyle w:val="6"/>
              <w:spacing w:before="63" w:line="229" w:lineRule="auto"/>
              <w:ind w:left="348"/>
            </w:pPr>
            <w:r>
              <w:rPr>
                <w:spacing w:val="4"/>
              </w:rPr>
              <w:t>连续</w:t>
            </w:r>
          </w:p>
        </w:tc>
        <w:tc>
          <w:tcPr>
            <w:tcW w:w="1449" w:type="dxa"/>
            <w:vAlign w:val="top"/>
          </w:tcPr>
          <w:p w14:paraId="4AAA3386">
            <w:pPr>
              <w:pStyle w:val="6"/>
              <w:spacing w:before="32" w:line="274" w:lineRule="exact"/>
              <w:ind w:left="420"/>
              <w:rPr>
                <w:rFonts w:ascii="Times New Roman" w:hAnsi="Times New Roman" w:eastAsia="Times New Roman" w:cs="Times New Roman"/>
              </w:rPr>
            </w:pPr>
            <w:r>
              <w:rPr>
                <w:rFonts w:ascii="Times New Roman" w:hAnsi="Times New Roman" w:eastAsia="Times New Roman" w:cs="Times New Roman"/>
                <w:spacing w:val="3"/>
                <w:position w:val="2"/>
              </w:rPr>
              <w:t>80</w:t>
            </w:r>
            <w:r>
              <w:rPr>
                <w:spacing w:val="3"/>
                <w:position w:val="2"/>
              </w:rPr>
              <w:t>～</w:t>
            </w:r>
            <w:r>
              <w:rPr>
                <w:rFonts w:ascii="Times New Roman" w:hAnsi="Times New Roman" w:eastAsia="Times New Roman" w:cs="Times New Roman"/>
                <w:spacing w:val="3"/>
                <w:position w:val="2"/>
              </w:rPr>
              <w:t>90</w:t>
            </w:r>
          </w:p>
        </w:tc>
        <w:tc>
          <w:tcPr>
            <w:tcW w:w="2750" w:type="dxa"/>
            <w:vAlign w:val="top"/>
          </w:tcPr>
          <w:p w14:paraId="117B17DA">
            <w:pPr>
              <w:pStyle w:val="6"/>
              <w:spacing w:before="63" w:line="229" w:lineRule="auto"/>
              <w:ind w:left="62"/>
            </w:pPr>
            <w:r>
              <w:rPr>
                <w:spacing w:val="1"/>
              </w:rPr>
              <w:t>选择低噪声设备、减振、隔声</w:t>
            </w:r>
          </w:p>
        </w:tc>
      </w:tr>
    </w:tbl>
    <w:p w14:paraId="0689A971">
      <w:pPr>
        <w:spacing w:before="88" w:line="366" w:lineRule="auto"/>
        <w:ind w:left="127" w:right="113" w:firstLine="475"/>
        <w:rPr>
          <w:rFonts w:ascii="宋体" w:hAnsi="宋体" w:eastAsia="宋体" w:cs="宋体"/>
          <w:sz w:val="24"/>
          <w:szCs w:val="24"/>
        </w:rPr>
      </w:pPr>
      <w:r>
        <w:rPr>
          <w:rFonts w:ascii="宋体" w:hAnsi="宋体" w:eastAsia="宋体" w:cs="宋体"/>
          <w:spacing w:val="2"/>
          <w:sz w:val="24"/>
          <w:szCs w:val="24"/>
        </w:rPr>
        <w:t>排气扇、水泵正常情况下</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24h </w:t>
      </w:r>
      <w:r>
        <w:rPr>
          <w:rFonts w:ascii="宋体" w:hAnsi="宋体" w:eastAsia="宋体" w:cs="宋体"/>
          <w:spacing w:val="2"/>
          <w:sz w:val="24"/>
          <w:szCs w:val="24"/>
        </w:rPr>
        <w:t>运行，本项目设备选用低噪声设备，对水泵、无</w:t>
      </w:r>
      <w:r>
        <w:rPr>
          <w:rFonts w:ascii="宋体" w:hAnsi="宋体" w:eastAsia="宋体" w:cs="宋体"/>
          <w:sz w:val="24"/>
          <w:szCs w:val="24"/>
        </w:rPr>
        <w:t xml:space="preserve"> </w:t>
      </w:r>
      <w:r>
        <w:rPr>
          <w:rFonts w:ascii="宋体" w:hAnsi="宋体" w:eastAsia="宋体" w:cs="宋体"/>
          <w:spacing w:val="-1"/>
          <w:sz w:val="24"/>
          <w:szCs w:val="24"/>
        </w:rPr>
        <w:t>害化降解机、发电机等采取减振、墙壁隔声措施。</w:t>
      </w:r>
    </w:p>
    <w:p w14:paraId="2CDD144F">
      <w:pPr>
        <w:spacing w:before="77" w:line="228" w:lineRule="auto"/>
        <w:ind w:left="206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3.5-11</w:t>
      </w:r>
      <w:r>
        <w:rPr>
          <w:rFonts w:ascii="Times New Roman" w:hAnsi="Times New Roman" w:eastAsia="Times New Roman" w:cs="Times New Roman"/>
          <w:b/>
          <w:bCs/>
          <w:spacing w:val="19"/>
          <w:w w:val="101"/>
          <w:sz w:val="20"/>
          <w:szCs w:val="20"/>
        </w:rPr>
        <w:t xml:space="preserve"> </w:t>
      </w:r>
      <w:r>
        <w:rPr>
          <w:rFonts w:ascii="宋体" w:hAnsi="宋体" w:eastAsia="宋体" w:cs="宋体"/>
          <w:b/>
          <w:bCs/>
          <w:spacing w:val="6"/>
          <w:sz w:val="20"/>
          <w:szCs w:val="20"/>
        </w:rPr>
        <w:t>噪声污染源源强核算结果及相关参数一览表</w:t>
      </w:r>
    </w:p>
    <w:p w14:paraId="500AA741">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2"/>
        <w:gridCol w:w="474"/>
        <w:gridCol w:w="1214"/>
        <w:gridCol w:w="719"/>
        <w:gridCol w:w="732"/>
        <w:gridCol w:w="833"/>
        <w:gridCol w:w="750"/>
        <w:gridCol w:w="1030"/>
        <w:gridCol w:w="719"/>
        <w:gridCol w:w="988"/>
        <w:gridCol w:w="829"/>
      </w:tblGrid>
      <w:tr w14:paraId="1468C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2" w:type="dxa"/>
            <w:vMerge w:val="restart"/>
            <w:tcBorders>
              <w:bottom w:val="nil"/>
            </w:tcBorders>
            <w:vAlign w:val="top"/>
          </w:tcPr>
          <w:p w14:paraId="17670FDC">
            <w:pPr>
              <w:pStyle w:val="6"/>
              <w:spacing w:before="229" w:line="230" w:lineRule="auto"/>
              <w:ind w:left="128"/>
            </w:pPr>
            <w:r>
              <w:rPr>
                <w:spacing w:val="3"/>
              </w:rPr>
              <w:t>工序</w:t>
            </w:r>
          </w:p>
          <w:p w14:paraId="67E669D8">
            <w:pPr>
              <w:pStyle w:val="6"/>
              <w:spacing w:before="46" w:line="274" w:lineRule="exact"/>
              <w:ind w:left="195"/>
            </w:pPr>
            <w:r>
              <w:rPr>
                <w:rFonts w:ascii="Times New Roman" w:hAnsi="Times New Roman" w:eastAsia="Times New Roman" w:cs="Times New Roman"/>
                <w:spacing w:val="5"/>
              </w:rPr>
              <w:t>/</w:t>
            </w:r>
            <w:r>
              <w:rPr>
                <w:spacing w:val="5"/>
              </w:rPr>
              <w:t>生</w:t>
            </w:r>
          </w:p>
          <w:p w14:paraId="25A7B0AE">
            <w:pPr>
              <w:pStyle w:val="6"/>
              <w:spacing w:before="83" w:line="228" w:lineRule="auto"/>
              <w:ind w:left="126"/>
            </w:pPr>
            <w:r>
              <w:rPr>
                <w:spacing w:val="4"/>
              </w:rPr>
              <w:t>产线</w:t>
            </w:r>
          </w:p>
        </w:tc>
        <w:tc>
          <w:tcPr>
            <w:tcW w:w="474" w:type="dxa"/>
            <w:vMerge w:val="restart"/>
            <w:tcBorders>
              <w:bottom w:val="nil"/>
            </w:tcBorders>
            <w:textDirection w:val="tbRlV"/>
            <w:vAlign w:val="top"/>
          </w:tcPr>
          <w:p w14:paraId="651B2E37">
            <w:pPr>
              <w:pStyle w:val="6"/>
              <w:spacing w:before="131" w:line="218" w:lineRule="auto"/>
              <w:ind w:left="393"/>
            </w:pPr>
            <w:r>
              <w:rPr>
                <w:spacing w:val="9"/>
              </w:rPr>
              <w:t>装</w:t>
            </w:r>
            <w:r>
              <w:rPr>
                <w:spacing w:val="17"/>
              </w:rPr>
              <w:t xml:space="preserve"> </w:t>
            </w:r>
            <w:r>
              <w:rPr>
                <w:spacing w:val="9"/>
              </w:rPr>
              <w:t>置</w:t>
            </w:r>
          </w:p>
        </w:tc>
        <w:tc>
          <w:tcPr>
            <w:tcW w:w="1214" w:type="dxa"/>
            <w:vMerge w:val="restart"/>
            <w:tcBorders>
              <w:bottom w:val="nil"/>
            </w:tcBorders>
            <w:vAlign w:val="top"/>
          </w:tcPr>
          <w:p w14:paraId="2F939A09">
            <w:pPr>
              <w:spacing w:line="244" w:lineRule="auto"/>
              <w:rPr>
                <w:rFonts w:ascii="Arial"/>
                <w:sz w:val="21"/>
              </w:rPr>
            </w:pPr>
          </w:p>
          <w:p w14:paraId="11E3D3F5">
            <w:pPr>
              <w:spacing w:line="244" w:lineRule="auto"/>
              <w:rPr>
                <w:rFonts w:ascii="Arial"/>
                <w:sz w:val="21"/>
              </w:rPr>
            </w:pPr>
          </w:p>
          <w:p w14:paraId="346EC886">
            <w:pPr>
              <w:pStyle w:val="6"/>
              <w:spacing w:before="65" w:line="229" w:lineRule="auto"/>
              <w:ind w:left="305"/>
            </w:pPr>
            <w:r>
              <w:rPr>
                <w:spacing w:val="3"/>
              </w:rPr>
              <w:t>噪声源</w:t>
            </w:r>
          </w:p>
        </w:tc>
        <w:tc>
          <w:tcPr>
            <w:tcW w:w="719" w:type="dxa"/>
            <w:vMerge w:val="restart"/>
            <w:tcBorders>
              <w:bottom w:val="nil"/>
            </w:tcBorders>
            <w:vAlign w:val="top"/>
          </w:tcPr>
          <w:p w14:paraId="27454612">
            <w:pPr>
              <w:spacing w:line="326" w:lineRule="auto"/>
              <w:rPr>
                <w:rFonts w:ascii="Arial"/>
                <w:sz w:val="21"/>
              </w:rPr>
            </w:pPr>
          </w:p>
          <w:p w14:paraId="26756624">
            <w:pPr>
              <w:pStyle w:val="6"/>
              <w:spacing w:before="65" w:line="229" w:lineRule="auto"/>
              <w:ind w:left="158"/>
            </w:pPr>
            <w:r>
              <w:rPr>
                <w:spacing w:val="2"/>
              </w:rPr>
              <w:t>声源</w:t>
            </w:r>
          </w:p>
          <w:p w14:paraId="6DC4CFAC">
            <w:pPr>
              <w:pStyle w:val="6"/>
              <w:spacing w:before="78" w:line="228" w:lineRule="auto"/>
              <w:ind w:left="154"/>
            </w:pPr>
            <w:r>
              <w:rPr>
                <w:spacing w:val="4"/>
              </w:rPr>
              <w:t>类别</w:t>
            </w:r>
          </w:p>
        </w:tc>
        <w:tc>
          <w:tcPr>
            <w:tcW w:w="1565" w:type="dxa"/>
            <w:gridSpan w:val="2"/>
            <w:vAlign w:val="top"/>
          </w:tcPr>
          <w:p w14:paraId="4A4A0A3F">
            <w:pPr>
              <w:pStyle w:val="6"/>
              <w:spacing w:before="62" w:line="229" w:lineRule="auto"/>
              <w:ind w:left="376"/>
            </w:pPr>
            <w:r>
              <w:rPr>
                <w:spacing w:val="4"/>
              </w:rPr>
              <w:t>噪声源强</w:t>
            </w:r>
          </w:p>
        </w:tc>
        <w:tc>
          <w:tcPr>
            <w:tcW w:w="1780" w:type="dxa"/>
            <w:gridSpan w:val="2"/>
            <w:vAlign w:val="top"/>
          </w:tcPr>
          <w:p w14:paraId="6CD6C127">
            <w:pPr>
              <w:pStyle w:val="6"/>
              <w:spacing w:before="62" w:line="228" w:lineRule="auto"/>
              <w:ind w:left="491"/>
            </w:pPr>
            <w:r>
              <w:rPr>
                <w:spacing w:val="3"/>
              </w:rPr>
              <w:t>降噪措施</w:t>
            </w:r>
          </w:p>
        </w:tc>
        <w:tc>
          <w:tcPr>
            <w:tcW w:w="1707" w:type="dxa"/>
            <w:gridSpan w:val="2"/>
            <w:vAlign w:val="top"/>
          </w:tcPr>
          <w:p w14:paraId="73057531">
            <w:pPr>
              <w:pStyle w:val="6"/>
              <w:spacing w:before="62" w:line="228" w:lineRule="auto"/>
              <w:ind w:left="346"/>
            </w:pPr>
            <w:r>
              <w:rPr>
                <w:spacing w:val="6"/>
              </w:rPr>
              <w:t>噪声排放值</w:t>
            </w:r>
          </w:p>
        </w:tc>
        <w:tc>
          <w:tcPr>
            <w:tcW w:w="829" w:type="dxa"/>
            <w:vMerge w:val="restart"/>
            <w:tcBorders>
              <w:bottom w:val="nil"/>
            </w:tcBorders>
            <w:vAlign w:val="top"/>
          </w:tcPr>
          <w:p w14:paraId="440549F2">
            <w:pPr>
              <w:spacing w:line="326" w:lineRule="auto"/>
              <w:rPr>
                <w:rFonts w:ascii="Arial"/>
                <w:sz w:val="21"/>
              </w:rPr>
            </w:pPr>
          </w:p>
          <w:p w14:paraId="76B01569">
            <w:pPr>
              <w:pStyle w:val="6"/>
              <w:spacing w:before="65" w:line="301" w:lineRule="auto"/>
              <w:ind w:left="139" w:right="120" w:firstLine="71"/>
              <w:rPr>
                <w:rFonts w:ascii="Times New Roman" w:hAnsi="Times New Roman" w:eastAsia="Times New Roman" w:cs="Times New Roman"/>
              </w:rPr>
            </w:pPr>
            <w:r>
              <w:rPr>
                <w:spacing w:val="4"/>
              </w:rPr>
              <w:t>排放</w:t>
            </w:r>
            <w:r>
              <w:t xml:space="preserve">  </w:t>
            </w:r>
            <w:r>
              <w:rPr>
                <w:spacing w:val="2"/>
              </w:rPr>
              <w:t>时间</w:t>
            </w:r>
            <w:r>
              <w:rPr>
                <w:rFonts w:ascii="Times New Roman" w:hAnsi="Times New Roman" w:eastAsia="Times New Roman" w:cs="Times New Roman"/>
                <w:spacing w:val="2"/>
              </w:rPr>
              <w:t>/h</w:t>
            </w:r>
          </w:p>
        </w:tc>
      </w:tr>
      <w:tr w14:paraId="634EA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662" w:type="dxa"/>
            <w:vMerge w:val="continue"/>
            <w:tcBorders>
              <w:top w:val="nil"/>
            </w:tcBorders>
            <w:vAlign w:val="top"/>
          </w:tcPr>
          <w:p w14:paraId="3C6BFA7E">
            <w:pPr>
              <w:rPr>
                <w:rFonts w:ascii="Arial"/>
                <w:sz w:val="21"/>
              </w:rPr>
            </w:pPr>
          </w:p>
        </w:tc>
        <w:tc>
          <w:tcPr>
            <w:tcW w:w="474" w:type="dxa"/>
            <w:vMerge w:val="continue"/>
            <w:tcBorders>
              <w:top w:val="nil"/>
            </w:tcBorders>
            <w:textDirection w:val="tbRlV"/>
            <w:vAlign w:val="top"/>
          </w:tcPr>
          <w:p w14:paraId="5721F793">
            <w:pPr>
              <w:rPr>
                <w:rFonts w:ascii="Arial"/>
                <w:sz w:val="21"/>
              </w:rPr>
            </w:pPr>
          </w:p>
        </w:tc>
        <w:tc>
          <w:tcPr>
            <w:tcW w:w="1214" w:type="dxa"/>
            <w:vMerge w:val="continue"/>
            <w:tcBorders>
              <w:top w:val="nil"/>
            </w:tcBorders>
            <w:vAlign w:val="top"/>
          </w:tcPr>
          <w:p w14:paraId="632B4121">
            <w:pPr>
              <w:rPr>
                <w:rFonts w:ascii="Arial"/>
                <w:sz w:val="21"/>
              </w:rPr>
            </w:pPr>
          </w:p>
        </w:tc>
        <w:tc>
          <w:tcPr>
            <w:tcW w:w="719" w:type="dxa"/>
            <w:vMerge w:val="continue"/>
            <w:tcBorders>
              <w:top w:val="nil"/>
            </w:tcBorders>
            <w:vAlign w:val="top"/>
          </w:tcPr>
          <w:p w14:paraId="456CF225">
            <w:pPr>
              <w:rPr>
                <w:rFonts w:ascii="Arial"/>
                <w:sz w:val="21"/>
              </w:rPr>
            </w:pPr>
          </w:p>
        </w:tc>
        <w:tc>
          <w:tcPr>
            <w:tcW w:w="732" w:type="dxa"/>
            <w:vAlign w:val="top"/>
          </w:tcPr>
          <w:p w14:paraId="4D7D3CFB">
            <w:pPr>
              <w:pStyle w:val="6"/>
              <w:spacing w:before="221" w:line="228" w:lineRule="auto"/>
              <w:ind w:left="163"/>
            </w:pPr>
            <w:r>
              <w:rPr>
                <w:spacing w:val="3"/>
              </w:rPr>
              <w:t>核算</w:t>
            </w:r>
          </w:p>
          <w:p w14:paraId="27D923C5">
            <w:pPr>
              <w:pStyle w:val="6"/>
              <w:spacing w:before="78" w:line="230" w:lineRule="auto"/>
              <w:ind w:left="161"/>
            </w:pPr>
            <w:r>
              <w:rPr>
                <w:spacing w:val="4"/>
              </w:rPr>
              <w:t>方法</w:t>
            </w:r>
          </w:p>
        </w:tc>
        <w:tc>
          <w:tcPr>
            <w:tcW w:w="833" w:type="dxa"/>
            <w:vAlign w:val="top"/>
          </w:tcPr>
          <w:p w14:paraId="6EF6CBDC">
            <w:pPr>
              <w:pStyle w:val="6"/>
              <w:spacing w:before="58" w:line="229" w:lineRule="auto"/>
              <w:ind w:left="220"/>
            </w:pPr>
            <w:r>
              <w:rPr>
                <w:spacing w:val="-1"/>
              </w:rPr>
              <w:t>噪声</w:t>
            </w:r>
          </w:p>
          <w:p w14:paraId="27B84BFA">
            <w:pPr>
              <w:pStyle w:val="6"/>
              <w:spacing w:before="78" w:line="228" w:lineRule="auto"/>
              <w:ind w:left="316"/>
            </w:pPr>
            <w:r>
              <w:t>值</w:t>
            </w:r>
          </w:p>
          <w:p w14:paraId="79910C9B">
            <w:pPr>
              <w:spacing w:before="48" w:line="274" w:lineRule="exact"/>
              <w:ind w:left="119"/>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6"/>
                <w:position w:val="3"/>
                <w:sz w:val="20"/>
                <w:szCs w:val="20"/>
              </w:rPr>
              <w:t>(A)</w:t>
            </w:r>
          </w:p>
        </w:tc>
        <w:tc>
          <w:tcPr>
            <w:tcW w:w="750" w:type="dxa"/>
            <w:vAlign w:val="top"/>
          </w:tcPr>
          <w:p w14:paraId="5860D468">
            <w:pPr>
              <w:spacing w:line="316" w:lineRule="auto"/>
              <w:rPr>
                <w:rFonts w:ascii="Arial"/>
                <w:sz w:val="21"/>
              </w:rPr>
            </w:pPr>
          </w:p>
          <w:p w14:paraId="6C94A545">
            <w:pPr>
              <w:pStyle w:val="6"/>
              <w:spacing w:before="65" w:line="239" w:lineRule="auto"/>
              <w:ind w:left="172"/>
            </w:pPr>
            <w:r>
              <w:rPr>
                <w:spacing w:val="3"/>
              </w:rPr>
              <w:t>工艺</w:t>
            </w:r>
          </w:p>
        </w:tc>
        <w:tc>
          <w:tcPr>
            <w:tcW w:w="1030" w:type="dxa"/>
            <w:vAlign w:val="top"/>
          </w:tcPr>
          <w:p w14:paraId="28E900EB">
            <w:pPr>
              <w:pStyle w:val="6"/>
              <w:spacing w:before="222" w:line="289" w:lineRule="auto"/>
              <w:ind w:left="124" w:right="110" w:firstLine="96"/>
              <w:rPr>
                <w:rFonts w:ascii="Times New Roman" w:hAnsi="Times New Roman" w:eastAsia="Times New Roman" w:cs="Times New Roman"/>
              </w:rPr>
            </w:pPr>
            <w:r>
              <w:rPr>
                <w:spacing w:val="1"/>
              </w:rPr>
              <w:t>降噪效</w:t>
            </w:r>
            <w:r>
              <w:t xml:space="preserve">  </w:t>
            </w:r>
            <w:r>
              <w:rPr>
                <w:spacing w:val="4"/>
              </w:rPr>
              <w:t>果</w:t>
            </w:r>
            <w:r>
              <w:rPr>
                <w:rFonts w:ascii="Times New Roman" w:hAnsi="Times New Roman" w:eastAsia="Times New Roman" w:cs="Times New Roman"/>
                <w:spacing w:val="4"/>
              </w:rPr>
              <w:t>/</w:t>
            </w:r>
            <w:r>
              <w:rPr>
                <w:rFonts w:ascii="Times New Roman" w:hAnsi="Times New Roman" w:eastAsia="Times New Roman" w:cs="Times New Roman"/>
              </w:rPr>
              <w:t>dB</w:t>
            </w:r>
            <w:r>
              <w:rPr>
                <w:rFonts w:ascii="Times New Roman" w:hAnsi="Times New Roman" w:eastAsia="Times New Roman" w:cs="Times New Roman"/>
                <w:spacing w:val="4"/>
              </w:rPr>
              <w:t>(A)</w:t>
            </w:r>
          </w:p>
        </w:tc>
        <w:tc>
          <w:tcPr>
            <w:tcW w:w="719" w:type="dxa"/>
            <w:vAlign w:val="top"/>
          </w:tcPr>
          <w:p w14:paraId="127BEA46">
            <w:pPr>
              <w:pStyle w:val="6"/>
              <w:spacing w:before="221" w:line="228" w:lineRule="auto"/>
              <w:ind w:left="158"/>
            </w:pPr>
            <w:r>
              <w:rPr>
                <w:spacing w:val="3"/>
              </w:rPr>
              <w:t>核算</w:t>
            </w:r>
          </w:p>
          <w:p w14:paraId="729DCA09">
            <w:pPr>
              <w:pStyle w:val="6"/>
              <w:spacing w:before="78" w:line="230" w:lineRule="auto"/>
              <w:ind w:left="157"/>
            </w:pPr>
            <w:r>
              <w:rPr>
                <w:spacing w:val="4"/>
              </w:rPr>
              <w:t>方法</w:t>
            </w:r>
          </w:p>
        </w:tc>
        <w:tc>
          <w:tcPr>
            <w:tcW w:w="988" w:type="dxa"/>
            <w:vAlign w:val="top"/>
          </w:tcPr>
          <w:p w14:paraId="23C6D2DC">
            <w:pPr>
              <w:pStyle w:val="6"/>
              <w:spacing w:before="221" w:line="300" w:lineRule="auto"/>
              <w:ind w:left="196" w:right="176" w:hanging="1"/>
              <w:rPr>
                <w:rFonts w:ascii="Times New Roman" w:hAnsi="Times New Roman" w:eastAsia="Times New Roman" w:cs="Times New Roman"/>
              </w:rPr>
            </w:pPr>
            <w:r>
              <w:rPr>
                <w:spacing w:val="3"/>
              </w:rPr>
              <w:t>噪声值</w:t>
            </w:r>
            <w:r>
              <w:rPr>
                <w:spacing w:val="1"/>
              </w:rPr>
              <w:t xml:space="preserve"> </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c>
          <w:tcPr>
            <w:tcW w:w="829" w:type="dxa"/>
            <w:vMerge w:val="continue"/>
            <w:tcBorders>
              <w:top w:val="nil"/>
            </w:tcBorders>
            <w:vAlign w:val="top"/>
          </w:tcPr>
          <w:p w14:paraId="1DC1492B">
            <w:pPr>
              <w:rPr>
                <w:rFonts w:ascii="Arial"/>
                <w:sz w:val="21"/>
              </w:rPr>
            </w:pPr>
          </w:p>
        </w:tc>
      </w:tr>
      <w:tr w14:paraId="09BE0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36" w:type="dxa"/>
            <w:gridSpan w:val="2"/>
            <w:vMerge w:val="restart"/>
            <w:tcBorders>
              <w:bottom w:val="nil"/>
            </w:tcBorders>
            <w:vAlign w:val="top"/>
          </w:tcPr>
          <w:p w14:paraId="3E74BF25">
            <w:pPr>
              <w:pStyle w:val="6"/>
              <w:spacing w:before="228" w:line="228" w:lineRule="auto"/>
              <w:ind w:left="259"/>
            </w:pPr>
            <w:r>
              <w:rPr>
                <w:spacing w:val="6"/>
              </w:rPr>
              <w:t>养殖区</w:t>
            </w:r>
          </w:p>
        </w:tc>
        <w:tc>
          <w:tcPr>
            <w:tcW w:w="1214" w:type="dxa"/>
            <w:vAlign w:val="top"/>
          </w:tcPr>
          <w:p w14:paraId="152CEDE5">
            <w:pPr>
              <w:pStyle w:val="6"/>
              <w:spacing w:before="60" w:line="229" w:lineRule="auto"/>
              <w:ind w:left="190"/>
            </w:pPr>
            <w:r>
              <w:rPr>
                <w:spacing w:val="7"/>
              </w:rPr>
              <w:t>猪只叫声</w:t>
            </w:r>
          </w:p>
        </w:tc>
        <w:tc>
          <w:tcPr>
            <w:tcW w:w="719" w:type="dxa"/>
            <w:vAlign w:val="top"/>
          </w:tcPr>
          <w:p w14:paraId="25DFEF8A">
            <w:pPr>
              <w:pStyle w:val="6"/>
              <w:spacing w:before="60" w:line="229" w:lineRule="auto"/>
              <w:ind w:left="155"/>
            </w:pPr>
            <w:r>
              <w:rPr>
                <w:spacing w:val="4"/>
              </w:rPr>
              <w:t>频发</w:t>
            </w:r>
          </w:p>
        </w:tc>
        <w:tc>
          <w:tcPr>
            <w:tcW w:w="732" w:type="dxa"/>
            <w:vMerge w:val="restart"/>
            <w:tcBorders>
              <w:bottom w:val="nil"/>
            </w:tcBorders>
            <w:vAlign w:val="top"/>
          </w:tcPr>
          <w:p w14:paraId="119E05FD">
            <w:pPr>
              <w:spacing w:line="273" w:lineRule="auto"/>
              <w:rPr>
                <w:rFonts w:ascii="Arial"/>
                <w:sz w:val="21"/>
              </w:rPr>
            </w:pPr>
          </w:p>
          <w:p w14:paraId="66CB5B8E">
            <w:pPr>
              <w:spacing w:line="273" w:lineRule="auto"/>
              <w:rPr>
                <w:rFonts w:ascii="Arial"/>
                <w:sz w:val="21"/>
              </w:rPr>
            </w:pPr>
          </w:p>
          <w:p w14:paraId="199A8B6B">
            <w:pPr>
              <w:spacing w:line="274" w:lineRule="auto"/>
              <w:rPr>
                <w:rFonts w:ascii="Arial"/>
                <w:sz w:val="21"/>
              </w:rPr>
            </w:pPr>
          </w:p>
          <w:p w14:paraId="26877CAB">
            <w:pPr>
              <w:pStyle w:val="6"/>
              <w:spacing w:before="65" w:line="303" w:lineRule="auto"/>
              <w:ind w:left="266" w:right="156" w:hanging="106"/>
            </w:pPr>
            <w:r>
              <w:rPr>
                <w:spacing w:val="4"/>
              </w:rPr>
              <w:t>类比</w:t>
            </w:r>
            <w:r>
              <w:t xml:space="preserve"> 法</w:t>
            </w:r>
          </w:p>
        </w:tc>
        <w:tc>
          <w:tcPr>
            <w:tcW w:w="833" w:type="dxa"/>
            <w:vAlign w:val="top"/>
          </w:tcPr>
          <w:p w14:paraId="4C3EF70B">
            <w:pPr>
              <w:spacing w:before="98" w:line="192"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50" w:type="dxa"/>
            <w:vAlign w:val="top"/>
          </w:tcPr>
          <w:p w14:paraId="393446EF">
            <w:pPr>
              <w:pStyle w:val="6"/>
              <w:spacing w:before="60" w:line="229" w:lineRule="auto"/>
              <w:ind w:left="182"/>
            </w:pPr>
            <w:r>
              <w:rPr>
                <w:spacing w:val="-2"/>
              </w:rPr>
              <w:t>隔声</w:t>
            </w:r>
          </w:p>
        </w:tc>
        <w:tc>
          <w:tcPr>
            <w:tcW w:w="1030" w:type="dxa"/>
            <w:vAlign w:val="top"/>
          </w:tcPr>
          <w:p w14:paraId="3E7E544B">
            <w:pPr>
              <w:spacing w:before="29"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19" w:type="dxa"/>
            <w:vMerge w:val="restart"/>
            <w:tcBorders>
              <w:bottom w:val="nil"/>
            </w:tcBorders>
            <w:vAlign w:val="top"/>
          </w:tcPr>
          <w:p w14:paraId="45093021">
            <w:pPr>
              <w:spacing w:line="329" w:lineRule="auto"/>
              <w:rPr>
                <w:rFonts w:ascii="Arial"/>
                <w:sz w:val="21"/>
              </w:rPr>
            </w:pPr>
          </w:p>
          <w:p w14:paraId="11AB278D">
            <w:pPr>
              <w:spacing w:line="329" w:lineRule="auto"/>
              <w:rPr>
                <w:rFonts w:ascii="Arial"/>
                <w:sz w:val="21"/>
              </w:rPr>
            </w:pPr>
          </w:p>
          <w:p w14:paraId="2156809F">
            <w:pPr>
              <w:pStyle w:val="6"/>
              <w:spacing w:before="65" w:line="229" w:lineRule="auto"/>
              <w:ind w:left="156"/>
            </w:pPr>
            <w:r>
              <w:rPr>
                <w:spacing w:val="4"/>
              </w:rPr>
              <w:t>物料</w:t>
            </w:r>
          </w:p>
          <w:p w14:paraId="3368408C">
            <w:pPr>
              <w:pStyle w:val="6"/>
              <w:spacing w:before="78" w:line="303" w:lineRule="auto"/>
              <w:ind w:left="262" w:right="148" w:hanging="106"/>
            </w:pPr>
            <w:r>
              <w:rPr>
                <w:spacing w:val="4"/>
              </w:rPr>
              <w:t>衡算</w:t>
            </w:r>
            <w:r>
              <w:t xml:space="preserve"> 法</w:t>
            </w:r>
          </w:p>
        </w:tc>
        <w:tc>
          <w:tcPr>
            <w:tcW w:w="988" w:type="dxa"/>
            <w:vAlign w:val="top"/>
          </w:tcPr>
          <w:p w14:paraId="307EBCA3">
            <w:pPr>
              <w:spacing w:before="29" w:line="274" w:lineRule="exact"/>
              <w:ind w:left="39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829" w:type="dxa"/>
            <w:vMerge w:val="restart"/>
            <w:tcBorders>
              <w:bottom w:val="nil"/>
            </w:tcBorders>
            <w:vAlign w:val="top"/>
          </w:tcPr>
          <w:p w14:paraId="2BCD67C7">
            <w:pPr>
              <w:spacing w:line="465" w:lineRule="auto"/>
              <w:rPr>
                <w:rFonts w:ascii="Arial"/>
                <w:sz w:val="21"/>
              </w:rPr>
            </w:pPr>
          </w:p>
          <w:p w14:paraId="7A87BB5C">
            <w:pPr>
              <w:spacing w:before="58"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8760</w:t>
            </w:r>
          </w:p>
        </w:tc>
      </w:tr>
      <w:tr w14:paraId="3D7F1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6" w:type="dxa"/>
            <w:gridSpan w:val="2"/>
            <w:vMerge w:val="continue"/>
            <w:tcBorders>
              <w:top w:val="nil"/>
            </w:tcBorders>
            <w:vAlign w:val="top"/>
          </w:tcPr>
          <w:p w14:paraId="5D391EBF">
            <w:pPr>
              <w:rPr>
                <w:rFonts w:ascii="Arial"/>
                <w:sz w:val="21"/>
              </w:rPr>
            </w:pPr>
          </w:p>
        </w:tc>
        <w:tc>
          <w:tcPr>
            <w:tcW w:w="1214" w:type="dxa"/>
            <w:vAlign w:val="top"/>
          </w:tcPr>
          <w:p w14:paraId="217D368A">
            <w:pPr>
              <w:pStyle w:val="6"/>
              <w:spacing w:before="60" w:line="230" w:lineRule="auto"/>
              <w:ind w:left="295"/>
            </w:pPr>
            <w:r>
              <w:rPr>
                <w:spacing w:val="6"/>
              </w:rPr>
              <w:t>排气扇</w:t>
            </w:r>
          </w:p>
        </w:tc>
        <w:tc>
          <w:tcPr>
            <w:tcW w:w="719" w:type="dxa"/>
            <w:vAlign w:val="top"/>
          </w:tcPr>
          <w:p w14:paraId="4FAC8C86">
            <w:pPr>
              <w:pStyle w:val="6"/>
              <w:spacing w:before="60" w:line="229" w:lineRule="auto"/>
              <w:ind w:left="155"/>
            </w:pPr>
            <w:r>
              <w:rPr>
                <w:spacing w:val="4"/>
              </w:rPr>
              <w:t>频发</w:t>
            </w:r>
          </w:p>
        </w:tc>
        <w:tc>
          <w:tcPr>
            <w:tcW w:w="732" w:type="dxa"/>
            <w:vMerge w:val="continue"/>
            <w:tcBorders>
              <w:top w:val="nil"/>
              <w:bottom w:val="nil"/>
            </w:tcBorders>
            <w:vAlign w:val="top"/>
          </w:tcPr>
          <w:p w14:paraId="731D81C9">
            <w:pPr>
              <w:rPr>
                <w:rFonts w:ascii="Arial"/>
                <w:sz w:val="21"/>
              </w:rPr>
            </w:pPr>
          </w:p>
        </w:tc>
        <w:tc>
          <w:tcPr>
            <w:tcW w:w="833" w:type="dxa"/>
            <w:vAlign w:val="top"/>
          </w:tcPr>
          <w:p w14:paraId="342C27A7">
            <w:pPr>
              <w:spacing w:before="30"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750" w:type="dxa"/>
            <w:vAlign w:val="top"/>
          </w:tcPr>
          <w:p w14:paraId="0F8135A7">
            <w:pPr>
              <w:pStyle w:val="6"/>
              <w:spacing w:before="60" w:line="229" w:lineRule="auto"/>
              <w:ind w:left="182"/>
            </w:pPr>
            <w:r>
              <w:rPr>
                <w:spacing w:val="-2"/>
              </w:rPr>
              <w:t>隔声</w:t>
            </w:r>
          </w:p>
        </w:tc>
        <w:tc>
          <w:tcPr>
            <w:tcW w:w="1030" w:type="dxa"/>
            <w:vAlign w:val="top"/>
          </w:tcPr>
          <w:p w14:paraId="0094A18C">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19" w:type="dxa"/>
            <w:vMerge w:val="continue"/>
            <w:tcBorders>
              <w:top w:val="nil"/>
              <w:bottom w:val="nil"/>
            </w:tcBorders>
            <w:vAlign w:val="top"/>
          </w:tcPr>
          <w:p w14:paraId="3BAC7217">
            <w:pPr>
              <w:rPr>
                <w:rFonts w:ascii="Arial"/>
                <w:sz w:val="21"/>
              </w:rPr>
            </w:pPr>
          </w:p>
        </w:tc>
        <w:tc>
          <w:tcPr>
            <w:tcW w:w="988" w:type="dxa"/>
            <w:vAlign w:val="top"/>
          </w:tcPr>
          <w:p w14:paraId="3D5A0517">
            <w:pPr>
              <w:spacing w:before="30"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829" w:type="dxa"/>
            <w:vMerge w:val="continue"/>
            <w:tcBorders>
              <w:top w:val="nil"/>
              <w:bottom w:val="nil"/>
            </w:tcBorders>
            <w:vAlign w:val="top"/>
          </w:tcPr>
          <w:p w14:paraId="42930561">
            <w:pPr>
              <w:rPr>
                <w:rFonts w:ascii="Arial"/>
                <w:sz w:val="21"/>
              </w:rPr>
            </w:pPr>
          </w:p>
        </w:tc>
      </w:tr>
      <w:tr w14:paraId="127E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36" w:type="dxa"/>
            <w:gridSpan w:val="2"/>
            <w:vAlign w:val="top"/>
          </w:tcPr>
          <w:p w14:paraId="34449F19">
            <w:pPr>
              <w:pStyle w:val="6"/>
              <w:spacing w:before="60" w:line="228" w:lineRule="auto"/>
              <w:ind w:left="153"/>
            </w:pPr>
            <w:r>
              <w:rPr>
                <w:spacing w:val="7"/>
              </w:rPr>
              <w:t>有机肥发</w:t>
            </w:r>
          </w:p>
          <w:p w14:paraId="042878EA">
            <w:pPr>
              <w:pStyle w:val="6"/>
              <w:spacing w:before="80" w:line="228" w:lineRule="auto"/>
              <w:ind w:left="259"/>
            </w:pPr>
            <w:r>
              <w:rPr>
                <w:spacing w:val="6"/>
              </w:rPr>
              <w:t>酵车间</w:t>
            </w:r>
          </w:p>
        </w:tc>
        <w:tc>
          <w:tcPr>
            <w:tcW w:w="1214" w:type="dxa"/>
            <w:vAlign w:val="top"/>
          </w:tcPr>
          <w:p w14:paraId="7A94E0F9">
            <w:pPr>
              <w:pStyle w:val="6"/>
              <w:spacing w:before="222" w:line="228" w:lineRule="auto"/>
              <w:ind w:left="404"/>
            </w:pPr>
            <w:r>
              <w:rPr>
                <w:spacing w:val="3"/>
              </w:rPr>
              <w:t>水泵</w:t>
            </w:r>
          </w:p>
        </w:tc>
        <w:tc>
          <w:tcPr>
            <w:tcW w:w="719" w:type="dxa"/>
            <w:vAlign w:val="top"/>
          </w:tcPr>
          <w:p w14:paraId="2F552079">
            <w:pPr>
              <w:pStyle w:val="6"/>
              <w:spacing w:before="224" w:line="229" w:lineRule="auto"/>
              <w:ind w:left="155"/>
            </w:pPr>
            <w:r>
              <w:rPr>
                <w:spacing w:val="4"/>
              </w:rPr>
              <w:t>频发</w:t>
            </w:r>
          </w:p>
        </w:tc>
        <w:tc>
          <w:tcPr>
            <w:tcW w:w="732" w:type="dxa"/>
            <w:vMerge w:val="continue"/>
            <w:tcBorders>
              <w:top w:val="nil"/>
              <w:bottom w:val="nil"/>
            </w:tcBorders>
            <w:vAlign w:val="top"/>
          </w:tcPr>
          <w:p w14:paraId="11967CFA">
            <w:pPr>
              <w:rPr>
                <w:rFonts w:ascii="Arial"/>
                <w:sz w:val="21"/>
              </w:rPr>
            </w:pPr>
          </w:p>
        </w:tc>
        <w:tc>
          <w:tcPr>
            <w:tcW w:w="833" w:type="dxa"/>
            <w:vAlign w:val="top"/>
          </w:tcPr>
          <w:p w14:paraId="0F9F7DCC">
            <w:pPr>
              <w:spacing w:before="193"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750" w:type="dxa"/>
            <w:vAlign w:val="top"/>
          </w:tcPr>
          <w:p w14:paraId="2360A9BE">
            <w:pPr>
              <w:pStyle w:val="6"/>
              <w:spacing w:before="60" w:line="270" w:lineRule="auto"/>
              <w:ind w:left="276" w:right="165" w:hanging="107"/>
            </w:pPr>
            <w:r>
              <w:rPr>
                <w:spacing w:val="4"/>
              </w:rPr>
              <w:t>减震</w:t>
            </w:r>
            <w:r>
              <w:t xml:space="preserve"> 垫</w:t>
            </w:r>
          </w:p>
        </w:tc>
        <w:tc>
          <w:tcPr>
            <w:tcW w:w="1030" w:type="dxa"/>
            <w:vAlign w:val="top"/>
          </w:tcPr>
          <w:p w14:paraId="484FA6AA">
            <w:pPr>
              <w:spacing w:before="193"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19" w:type="dxa"/>
            <w:vMerge w:val="continue"/>
            <w:tcBorders>
              <w:top w:val="nil"/>
              <w:bottom w:val="nil"/>
            </w:tcBorders>
            <w:vAlign w:val="top"/>
          </w:tcPr>
          <w:p w14:paraId="05F6F023">
            <w:pPr>
              <w:rPr>
                <w:rFonts w:ascii="Arial"/>
                <w:sz w:val="21"/>
              </w:rPr>
            </w:pPr>
          </w:p>
        </w:tc>
        <w:tc>
          <w:tcPr>
            <w:tcW w:w="988" w:type="dxa"/>
            <w:vAlign w:val="top"/>
          </w:tcPr>
          <w:p w14:paraId="791F7201">
            <w:pPr>
              <w:spacing w:before="262" w:line="192"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829" w:type="dxa"/>
            <w:vMerge w:val="continue"/>
            <w:tcBorders>
              <w:top w:val="nil"/>
            </w:tcBorders>
            <w:vAlign w:val="top"/>
          </w:tcPr>
          <w:p w14:paraId="7F8AE2FF">
            <w:pPr>
              <w:rPr>
                <w:rFonts w:ascii="Arial"/>
                <w:sz w:val="21"/>
              </w:rPr>
            </w:pPr>
          </w:p>
        </w:tc>
      </w:tr>
      <w:tr w14:paraId="0B097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136" w:type="dxa"/>
            <w:gridSpan w:val="2"/>
            <w:vAlign w:val="top"/>
          </w:tcPr>
          <w:p w14:paraId="62065545">
            <w:pPr>
              <w:spacing w:line="319" w:lineRule="auto"/>
              <w:rPr>
                <w:rFonts w:ascii="Arial"/>
                <w:sz w:val="21"/>
              </w:rPr>
            </w:pPr>
          </w:p>
          <w:p w14:paraId="1F08B2E1">
            <w:pPr>
              <w:pStyle w:val="6"/>
              <w:spacing w:before="65" w:line="229" w:lineRule="auto"/>
              <w:ind w:left="258"/>
            </w:pPr>
            <w:r>
              <w:rPr>
                <w:spacing w:val="6"/>
              </w:rPr>
              <w:t>配电房</w:t>
            </w:r>
          </w:p>
        </w:tc>
        <w:tc>
          <w:tcPr>
            <w:tcW w:w="1214" w:type="dxa"/>
            <w:vAlign w:val="top"/>
          </w:tcPr>
          <w:p w14:paraId="47561CF5">
            <w:pPr>
              <w:spacing w:line="318" w:lineRule="auto"/>
              <w:rPr>
                <w:rFonts w:ascii="Arial"/>
                <w:sz w:val="21"/>
              </w:rPr>
            </w:pPr>
          </w:p>
          <w:p w14:paraId="7A25CB92">
            <w:pPr>
              <w:pStyle w:val="6"/>
              <w:spacing w:before="65" w:line="228" w:lineRule="auto"/>
              <w:ind w:left="299"/>
            </w:pPr>
            <w:r>
              <w:rPr>
                <w:spacing w:val="5"/>
              </w:rPr>
              <w:t>发电机</w:t>
            </w:r>
          </w:p>
        </w:tc>
        <w:tc>
          <w:tcPr>
            <w:tcW w:w="719" w:type="dxa"/>
            <w:vAlign w:val="top"/>
          </w:tcPr>
          <w:p w14:paraId="11D59E93">
            <w:pPr>
              <w:spacing w:line="319" w:lineRule="auto"/>
              <w:rPr>
                <w:rFonts w:ascii="Arial"/>
                <w:sz w:val="21"/>
              </w:rPr>
            </w:pPr>
          </w:p>
          <w:p w14:paraId="6A6AB6B9">
            <w:pPr>
              <w:pStyle w:val="6"/>
              <w:spacing w:before="65" w:line="229" w:lineRule="auto"/>
              <w:ind w:left="155"/>
            </w:pPr>
            <w:r>
              <w:rPr>
                <w:spacing w:val="4"/>
              </w:rPr>
              <w:t>频发</w:t>
            </w:r>
          </w:p>
        </w:tc>
        <w:tc>
          <w:tcPr>
            <w:tcW w:w="732" w:type="dxa"/>
            <w:vMerge w:val="continue"/>
            <w:tcBorders>
              <w:top w:val="nil"/>
            </w:tcBorders>
            <w:vAlign w:val="top"/>
          </w:tcPr>
          <w:p w14:paraId="4A28B2CD">
            <w:pPr>
              <w:rPr>
                <w:rFonts w:ascii="Arial"/>
                <w:sz w:val="21"/>
              </w:rPr>
            </w:pPr>
          </w:p>
        </w:tc>
        <w:tc>
          <w:tcPr>
            <w:tcW w:w="833" w:type="dxa"/>
            <w:vAlign w:val="top"/>
          </w:tcPr>
          <w:p w14:paraId="5100A97F">
            <w:pPr>
              <w:spacing w:line="296" w:lineRule="auto"/>
              <w:rPr>
                <w:rFonts w:ascii="Arial"/>
                <w:sz w:val="21"/>
              </w:rPr>
            </w:pPr>
          </w:p>
          <w:p w14:paraId="3747A274">
            <w:pPr>
              <w:spacing w:before="57"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750" w:type="dxa"/>
            <w:vAlign w:val="top"/>
          </w:tcPr>
          <w:p w14:paraId="3EE382E7">
            <w:pPr>
              <w:pStyle w:val="6"/>
              <w:spacing w:before="62" w:line="229" w:lineRule="auto"/>
              <w:ind w:left="169"/>
            </w:pPr>
            <w:r>
              <w:rPr>
                <w:spacing w:val="4"/>
              </w:rPr>
              <w:t>减震</w:t>
            </w:r>
          </w:p>
          <w:p w14:paraId="21A11D07">
            <w:pPr>
              <w:pStyle w:val="6"/>
              <w:spacing w:before="75" w:line="230" w:lineRule="auto"/>
              <w:ind w:left="116"/>
            </w:pPr>
            <w:r>
              <w:rPr>
                <w:spacing w:val="-22"/>
              </w:rPr>
              <w:t>垫、隔</w:t>
            </w:r>
          </w:p>
          <w:p w14:paraId="17F4DDA0">
            <w:pPr>
              <w:pStyle w:val="6"/>
              <w:spacing w:before="77" w:line="229" w:lineRule="auto"/>
              <w:ind w:left="279"/>
            </w:pPr>
            <w:r>
              <w:t>声</w:t>
            </w:r>
          </w:p>
        </w:tc>
        <w:tc>
          <w:tcPr>
            <w:tcW w:w="1030" w:type="dxa"/>
            <w:vAlign w:val="top"/>
          </w:tcPr>
          <w:p w14:paraId="5E1E0ADE">
            <w:pPr>
              <w:spacing w:line="296" w:lineRule="auto"/>
              <w:rPr>
                <w:rFonts w:ascii="Arial"/>
                <w:sz w:val="21"/>
              </w:rPr>
            </w:pPr>
          </w:p>
          <w:p w14:paraId="37D53886">
            <w:pPr>
              <w:spacing w:before="57"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719" w:type="dxa"/>
            <w:vMerge w:val="continue"/>
            <w:tcBorders>
              <w:top w:val="nil"/>
            </w:tcBorders>
            <w:vAlign w:val="top"/>
          </w:tcPr>
          <w:p w14:paraId="60DA2DDA">
            <w:pPr>
              <w:rPr>
                <w:rFonts w:ascii="Arial"/>
                <w:sz w:val="21"/>
              </w:rPr>
            </w:pPr>
          </w:p>
        </w:tc>
        <w:tc>
          <w:tcPr>
            <w:tcW w:w="988" w:type="dxa"/>
            <w:vAlign w:val="top"/>
          </w:tcPr>
          <w:p w14:paraId="6FB90F93">
            <w:pPr>
              <w:spacing w:line="296" w:lineRule="auto"/>
              <w:rPr>
                <w:rFonts w:ascii="Arial"/>
                <w:sz w:val="21"/>
              </w:rPr>
            </w:pPr>
          </w:p>
          <w:p w14:paraId="474B1D02">
            <w:pPr>
              <w:spacing w:before="57"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829" w:type="dxa"/>
            <w:vAlign w:val="top"/>
          </w:tcPr>
          <w:p w14:paraId="2A181626">
            <w:pPr>
              <w:spacing w:line="296" w:lineRule="auto"/>
              <w:rPr>
                <w:rFonts w:ascii="Arial"/>
                <w:sz w:val="21"/>
              </w:rPr>
            </w:pPr>
          </w:p>
          <w:p w14:paraId="74F87713">
            <w:pPr>
              <w:spacing w:before="57"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365</w:t>
            </w:r>
          </w:p>
        </w:tc>
      </w:tr>
    </w:tbl>
    <w:p w14:paraId="6C72BC1B">
      <w:pPr>
        <w:pStyle w:val="2"/>
        <w:spacing w:line="266" w:lineRule="auto"/>
      </w:pPr>
    </w:p>
    <w:p w14:paraId="6E312FF8">
      <w:pPr>
        <w:pStyle w:val="2"/>
        <w:spacing w:line="266" w:lineRule="auto"/>
      </w:pPr>
    </w:p>
    <w:p w14:paraId="195047AA">
      <w:pPr>
        <w:spacing w:before="79" w:line="220" w:lineRule="auto"/>
        <w:ind w:left="117"/>
        <w:outlineLvl w:val="1"/>
        <w:rPr>
          <w:rFonts w:ascii="宋体" w:hAnsi="宋体" w:eastAsia="宋体" w:cs="宋体"/>
          <w:sz w:val="24"/>
          <w:szCs w:val="24"/>
        </w:rPr>
      </w:pPr>
      <w:r>
        <w:rPr>
          <w:rFonts w:ascii="Times New Roman" w:hAnsi="Times New Roman" w:eastAsia="Times New Roman" w:cs="Times New Roman"/>
          <w:b/>
          <w:bCs/>
          <w:spacing w:val="-2"/>
          <w:sz w:val="24"/>
          <w:szCs w:val="24"/>
        </w:rPr>
        <w:t>3.5.4</w:t>
      </w:r>
      <w:r>
        <w:rPr>
          <w:rFonts w:ascii="宋体" w:hAnsi="宋体" w:eastAsia="宋体" w:cs="宋体"/>
          <w:b/>
          <w:bCs/>
          <w:spacing w:val="-2"/>
          <w:sz w:val="24"/>
          <w:szCs w:val="24"/>
        </w:rPr>
        <w:t>固体废弃物污染源</w:t>
      </w:r>
    </w:p>
    <w:p w14:paraId="10915A87">
      <w:pPr>
        <w:spacing w:before="204" w:line="362" w:lineRule="auto"/>
        <w:ind w:left="124" w:right="113" w:firstLine="479"/>
        <w:rPr>
          <w:rFonts w:ascii="宋体" w:hAnsi="宋体" w:eastAsia="宋体" w:cs="宋体"/>
          <w:sz w:val="24"/>
          <w:szCs w:val="24"/>
        </w:rPr>
      </w:pPr>
      <w:r>
        <w:rPr>
          <w:rFonts w:ascii="宋体" w:hAnsi="宋体" w:eastAsia="宋体" w:cs="宋体"/>
          <w:spacing w:val="2"/>
          <w:sz w:val="24"/>
          <w:szCs w:val="24"/>
        </w:rPr>
        <w:t>本项目固体废物主要包括粪便、病死猪尸体、员工的办公生活垃圾、废包装物</w:t>
      </w:r>
      <w:r>
        <w:rPr>
          <w:rFonts w:ascii="宋体" w:hAnsi="宋体" w:eastAsia="宋体" w:cs="宋体"/>
          <w:spacing w:val="9"/>
          <w:sz w:val="24"/>
          <w:szCs w:val="24"/>
        </w:rPr>
        <w:t xml:space="preserve"> </w:t>
      </w:r>
      <w:r>
        <w:rPr>
          <w:rFonts w:ascii="宋体" w:hAnsi="宋体" w:eastAsia="宋体" w:cs="宋体"/>
          <w:sz w:val="24"/>
          <w:szCs w:val="24"/>
        </w:rPr>
        <w:t>等。此外，猪只检疫、生病时使用医疗设备会产生少</w:t>
      </w:r>
      <w:r>
        <w:rPr>
          <w:rFonts w:ascii="宋体" w:hAnsi="宋体" w:eastAsia="宋体" w:cs="宋体"/>
          <w:spacing w:val="-1"/>
          <w:sz w:val="24"/>
          <w:szCs w:val="24"/>
        </w:rPr>
        <w:t>量医疗垃圾，属于危险废物。</w:t>
      </w:r>
    </w:p>
    <w:p w14:paraId="65162114">
      <w:pPr>
        <w:spacing w:line="360" w:lineRule="exact"/>
        <w:ind w:left="621"/>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、粪便</w:t>
      </w:r>
    </w:p>
    <w:p w14:paraId="7E4AFE2E">
      <w:pPr>
        <w:spacing w:before="128" w:line="363" w:lineRule="auto"/>
        <w:ind w:left="122" w:right="32" w:firstLine="482"/>
        <w:rPr>
          <w:rFonts w:ascii="宋体" w:hAnsi="宋体" w:eastAsia="宋体" w:cs="宋体"/>
          <w:sz w:val="24"/>
          <w:szCs w:val="24"/>
        </w:rPr>
      </w:pPr>
      <w:r>
        <w:rPr>
          <w:rFonts w:ascii="宋体" w:hAnsi="宋体" w:eastAsia="宋体" w:cs="宋体"/>
          <w:spacing w:val="-1"/>
          <w:sz w:val="24"/>
          <w:szCs w:val="24"/>
        </w:rPr>
        <w:t>参照《畜禽养殖业污染治理工程技术规范》（</w:t>
      </w:r>
      <w:r>
        <w:rPr>
          <w:rFonts w:ascii="Times New Roman" w:hAnsi="Times New Roman" w:eastAsia="Times New Roman" w:cs="Times New Roman"/>
          <w:spacing w:val="-1"/>
          <w:sz w:val="24"/>
          <w:szCs w:val="24"/>
        </w:rPr>
        <w:t>HJ497-2009</w:t>
      </w:r>
      <w:r>
        <w:rPr>
          <w:rFonts w:ascii="宋体" w:hAnsi="宋体" w:eastAsia="宋体" w:cs="宋体"/>
          <w:spacing w:val="-1"/>
          <w:sz w:val="24"/>
          <w:szCs w:val="24"/>
        </w:rPr>
        <w:t>）表</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头成年猪</w:t>
      </w:r>
      <w:r>
        <w:rPr>
          <w:rFonts w:ascii="宋体" w:hAnsi="宋体" w:eastAsia="宋体" w:cs="宋体"/>
          <w:sz w:val="24"/>
          <w:szCs w:val="24"/>
        </w:rPr>
        <w:t xml:space="preserve"> </w:t>
      </w:r>
      <w:r>
        <w:rPr>
          <w:rFonts w:ascii="宋体" w:hAnsi="宋体" w:eastAsia="宋体" w:cs="宋体"/>
          <w:spacing w:val="-10"/>
          <w:sz w:val="24"/>
          <w:szCs w:val="24"/>
        </w:rPr>
        <w:t>平均每天的粪排量为</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2kg</w:t>
      </w:r>
      <w:r>
        <w:rPr>
          <w:rFonts w:ascii="宋体" w:hAnsi="宋体" w:eastAsia="宋体" w:cs="宋体"/>
          <w:spacing w:val="-10"/>
          <w:sz w:val="24"/>
          <w:szCs w:val="24"/>
        </w:rPr>
        <w:t>，本项目存栏成年</w:t>
      </w:r>
      <w:r>
        <w:rPr>
          <w:rFonts w:ascii="宋体" w:hAnsi="宋体" w:eastAsia="宋体" w:cs="宋体"/>
          <w:spacing w:val="-11"/>
          <w:sz w:val="24"/>
          <w:szCs w:val="24"/>
        </w:rPr>
        <w:t>猪</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7000</w:t>
      </w:r>
      <w:r>
        <w:rPr>
          <w:rFonts w:ascii="Times New Roman" w:hAnsi="Times New Roman" w:eastAsia="Times New Roman" w:cs="Times New Roman"/>
          <w:spacing w:val="13"/>
          <w:sz w:val="24"/>
          <w:szCs w:val="24"/>
        </w:rPr>
        <w:t xml:space="preserve"> </w:t>
      </w:r>
      <w:r>
        <w:rPr>
          <w:rFonts w:ascii="宋体" w:hAnsi="宋体" w:eastAsia="宋体" w:cs="宋体"/>
          <w:spacing w:val="-11"/>
          <w:sz w:val="24"/>
          <w:szCs w:val="24"/>
        </w:rPr>
        <w:t>头，则粪便产生量</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14t/d</w:t>
      </w:r>
      <w:r>
        <w:rPr>
          <w:rFonts w:ascii="宋体" w:hAnsi="宋体" w:eastAsia="宋体" w:cs="宋体"/>
          <w:spacing w:val="-11"/>
          <w:sz w:val="24"/>
          <w:szCs w:val="24"/>
        </w:rPr>
        <w:t>（</w:t>
      </w:r>
      <w:r>
        <w:rPr>
          <w:rFonts w:ascii="Times New Roman" w:hAnsi="Times New Roman" w:eastAsia="Times New Roman" w:cs="Times New Roman"/>
          <w:spacing w:val="-11"/>
          <w:sz w:val="24"/>
          <w:szCs w:val="24"/>
        </w:rPr>
        <w:t>5110t/a</w:t>
      </w:r>
      <w:r>
        <w:rPr>
          <w:rFonts w:ascii="宋体" w:hAnsi="宋体" w:eastAsia="宋体" w:cs="宋体"/>
          <w:spacing w:val="-11"/>
          <w:sz w:val="24"/>
          <w:szCs w:val="24"/>
        </w:rPr>
        <w:t>）。</w:t>
      </w:r>
    </w:p>
    <w:p w14:paraId="549D6F15">
      <w:pPr>
        <w:spacing w:before="69" w:line="345" w:lineRule="auto"/>
        <w:ind w:left="124" w:right="113" w:firstLine="478"/>
        <w:rPr>
          <w:rFonts w:ascii="宋体" w:hAnsi="宋体" w:eastAsia="宋体" w:cs="宋体"/>
          <w:sz w:val="24"/>
          <w:szCs w:val="24"/>
        </w:rPr>
      </w:pPr>
      <w:r>
        <w:rPr>
          <w:rFonts w:ascii="宋体" w:hAnsi="宋体" w:eastAsia="宋体" w:cs="宋体"/>
          <w:spacing w:val="2"/>
          <w:sz w:val="24"/>
          <w:szCs w:val="24"/>
        </w:rPr>
        <w:t>清理出来粪便放置在有机肥车间制肥，达到《畜禽养殖业污染物排放标准》中</w:t>
      </w:r>
      <w:r>
        <w:rPr>
          <w:rFonts w:ascii="宋体" w:hAnsi="宋体" w:eastAsia="宋体" w:cs="宋体"/>
          <w:spacing w:val="10"/>
          <w:sz w:val="24"/>
          <w:szCs w:val="24"/>
        </w:rPr>
        <w:t xml:space="preserve"> </w:t>
      </w:r>
      <w:r>
        <w:rPr>
          <w:rFonts w:ascii="宋体" w:hAnsi="宋体" w:eastAsia="宋体" w:cs="宋体"/>
          <w:sz w:val="24"/>
          <w:szCs w:val="24"/>
        </w:rPr>
        <w:t>畜禽养殖业废渣无害化标准中蛔虫卵死亡率≥</w:t>
      </w:r>
      <w:r>
        <w:rPr>
          <w:rFonts w:ascii="Times New Roman" w:hAnsi="Times New Roman" w:eastAsia="Times New Roman" w:cs="Times New Roman"/>
          <w:sz w:val="24"/>
          <w:szCs w:val="24"/>
        </w:rPr>
        <w:t>95</w:t>
      </w:r>
      <w:r>
        <w:rPr>
          <w:rFonts w:ascii="宋体" w:hAnsi="宋体" w:eastAsia="宋体" w:cs="宋体"/>
          <w:spacing w:val="17"/>
          <w:sz w:val="24"/>
          <w:szCs w:val="24"/>
        </w:rPr>
        <w:t>％，</w:t>
      </w:r>
      <w:r>
        <w:rPr>
          <w:rFonts w:ascii="宋体" w:hAnsi="宋体" w:eastAsia="宋体" w:cs="宋体"/>
          <w:sz w:val="24"/>
          <w:szCs w:val="24"/>
        </w:rPr>
        <w:t>粪大肠菌群数≤</w:t>
      </w:r>
      <w:r>
        <w:rPr>
          <w:rFonts w:ascii="Times New Roman" w:hAnsi="Times New Roman" w:eastAsia="Times New Roman" w:cs="Times New Roman"/>
          <w:sz w:val="24"/>
          <w:szCs w:val="24"/>
        </w:rPr>
        <w:t>10</w:t>
      </w:r>
      <w:r>
        <w:rPr>
          <w:rFonts w:ascii="Times New Roman" w:hAnsi="Times New Roman" w:eastAsia="Times New Roman" w:cs="Times New Roman"/>
          <w:position w:val="8"/>
          <w:sz w:val="15"/>
          <w:szCs w:val="15"/>
        </w:rPr>
        <w:t>5</w:t>
      </w:r>
      <w:r>
        <w:rPr>
          <w:rFonts w:ascii="Times New Roman" w:hAnsi="Times New Roman" w:eastAsia="Times New Roman" w:cs="Times New Roman"/>
          <w:spacing w:val="11"/>
          <w:w w:val="102"/>
          <w:position w:val="8"/>
          <w:sz w:val="15"/>
          <w:szCs w:val="15"/>
        </w:rPr>
        <w:t xml:space="preserve"> </w:t>
      </w:r>
      <w:r>
        <w:rPr>
          <w:rFonts w:ascii="宋体" w:hAnsi="宋体" w:eastAsia="宋体" w:cs="宋体"/>
          <w:sz w:val="24"/>
          <w:szCs w:val="24"/>
        </w:rPr>
        <w:t>个</w:t>
      </w:r>
      <w:r>
        <w:rPr>
          <w:rFonts w:ascii="Times New Roman" w:hAnsi="Times New Roman" w:eastAsia="Times New Roman" w:cs="Times New Roman"/>
          <w:sz w:val="24"/>
          <w:szCs w:val="24"/>
        </w:rPr>
        <w:t>/kg</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 xml:space="preserve">的要 </w:t>
      </w:r>
      <w:r>
        <w:rPr>
          <w:rFonts w:ascii="宋体" w:hAnsi="宋体" w:eastAsia="宋体" w:cs="宋体"/>
          <w:spacing w:val="-2"/>
          <w:sz w:val="24"/>
          <w:szCs w:val="24"/>
        </w:rPr>
        <w:t>求后作为农用肥料。</w:t>
      </w:r>
    </w:p>
    <w:p w14:paraId="53B74D8E">
      <w:pPr>
        <w:spacing w:line="345" w:lineRule="auto"/>
        <w:rPr>
          <w:rFonts w:ascii="宋体" w:hAnsi="宋体" w:eastAsia="宋体" w:cs="宋体"/>
          <w:sz w:val="24"/>
          <w:szCs w:val="24"/>
        </w:rPr>
        <w:sectPr>
          <w:footerReference r:id="rId84" w:type="default"/>
          <w:pgSz w:w="11906" w:h="16839"/>
          <w:pgMar w:top="400" w:right="1475" w:bottom="1425" w:left="1475" w:header="0" w:footer="1265" w:gutter="0"/>
          <w:cols w:space="720" w:num="1"/>
        </w:sectPr>
      </w:pPr>
    </w:p>
    <w:p w14:paraId="215F533F">
      <w:pPr>
        <w:pStyle w:val="2"/>
        <w:spacing w:line="264" w:lineRule="auto"/>
      </w:pPr>
    </w:p>
    <w:p w14:paraId="2424FCCE">
      <w:pPr>
        <w:pStyle w:val="2"/>
        <w:spacing w:line="265" w:lineRule="auto"/>
      </w:pPr>
    </w:p>
    <w:p w14:paraId="125BEBC9">
      <w:pPr>
        <w:pStyle w:val="2"/>
        <w:spacing w:line="265" w:lineRule="auto"/>
      </w:pPr>
    </w:p>
    <w:p w14:paraId="3093FD19">
      <w:pPr>
        <w:pStyle w:val="2"/>
        <w:spacing w:line="265" w:lineRule="auto"/>
      </w:pPr>
    </w:p>
    <w:p w14:paraId="4213F18F">
      <w:pPr>
        <w:spacing w:before="78" w:line="369" w:lineRule="auto"/>
        <w:ind w:right="27" w:firstLine="481"/>
        <w:jc w:val="both"/>
        <w:rPr>
          <w:rFonts w:ascii="宋体" w:hAnsi="宋体" w:eastAsia="宋体" w:cs="宋体"/>
          <w:sz w:val="24"/>
          <w:szCs w:val="24"/>
        </w:rPr>
      </w:pPr>
      <w:r>
        <w:rPr>
          <w:rFonts w:ascii="宋体" w:hAnsi="宋体" w:eastAsia="宋体" w:cs="宋体"/>
          <w:spacing w:val="2"/>
          <w:sz w:val="24"/>
          <w:szCs w:val="24"/>
        </w:rPr>
        <w:t>堆肥发酵是目前畜禽养殖常用的处理方法，通过发酵使粪便中的有机物氧化分</w:t>
      </w:r>
      <w:r>
        <w:rPr>
          <w:rFonts w:ascii="宋体" w:hAnsi="宋体" w:eastAsia="宋体" w:cs="宋体"/>
          <w:spacing w:val="9"/>
          <w:sz w:val="24"/>
          <w:szCs w:val="24"/>
        </w:rPr>
        <w:t xml:space="preserve"> </w:t>
      </w:r>
      <w:r>
        <w:rPr>
          <w:rFonts w:ascii="宋体" w:hAnsi="宋体" w:eastAsia="宋体" w:cs="宋体"/>
          <w:spacing w:val="2"/>
          <w:sz w:val="24"/>
          <w:szCs w:val="24"/>
        </w:rPr>
        <w:t>解，得到无臭、无虫（卵）及病原菌的优质有机肥料和再生饲料。畜禽粪便中易分</w:t>
      </w:r>
      <w:r>
        <w:rPr>
          <w:rFonts w:ascii="宋体" w:hAnsi="宋体" w:eastAsia="宋体" w:cs="宋体"/>
          <w:spacing w:val="7"/>
          <w:sz w:val="24"/>
          <w:szCs w:val="24"/>
        </w:rPr>
        <w:t xml:space="preserve"> </w:t>
      </w:r>
      <w:r>
        <w:rPr>
          <w:rFonts w:ascii="宋体" w:hAnsi="宋体" w:eastAsia="宋体" w:cs="宋体"/>
          <w:spacing w:val="2"/>
          <w:sz w:val="24"/>
          <w:szCs w:val="24"/>
        </w:rPr>
        <w:t>解的有机物大部分被分解，既抑制臭气产生，又分解了对农作物不利的物质。制成</w:t>
      </w:r>
      <w:r>
        <w:rPr>
          <w:rFonts w:ascii="宋体" w:hAnsi="宋体" w:eastAsia="宋体" w:cs="宋体"/>
          <w:spacing w:val="7"/>
          <w:sz w:val="24"/>
          <w:szCs w:val="24"/>
        </w:rPr>
        <w:t xml:space="preserve"> </w:t>
      </w:r>
      <w:r>
        <w:rPr>
          <w:rFonts w:ascii="宋体" w:hAnsi="宋体" w:eastAsia="宋体" w:cs="宋体"/>
          <w:sz w:val="24"/>
          <w:szCs w:val="24"/>
        </w:rPr>
        <w:t>有机肥料后部分回用于项目区域内果树及周边山林种植物的</w:t>
      </w:r>
      <w:r>
        <w:rPr>
          <w:rFonts w:ascii="宋体" w:hAnsi="宋体" w:eastAsia="宋体" w:cs="宋体"/>
          <w:spacing w:val="-1"/>
          <w:sz w:val="24"/>
          <w:szCs w:val="24"/>
        </w:rPr>
        <w:t>施肥，其余部分外售。</w:t>
      </w:r>
    </w:p>
    <w:p w14:paraId="00AE8A15">
      <w:pPr>
        <w:spacing w:line="361" w:lineRule="exact"/>
        <w:ind w:left="477"/>
        <w:rPr>
          <w:rFonts w:ascii="宋体" w:hAnsi="宋体" w:eastAsia="宋体" w:cs="宋体"/>
          <w:sz w:val="24"/>
          <w:szCs w:val="24"/>
        </w:rPr>
      </w:pPr>
      <w:r>
        <w:rPr>
          <w:rFonts w:ascii="Times New Roman" w:hAnsi="Times New Roman" w:eastAsia="Times New Roman" w:cs="Times New Roman"/>
          <w:spacing w:val="-5"/>
          <w:position w:val="2"/>
          <w:sz w:val="24"/>
          <w:szCs w:val="24"/>
        </w:rPr>
        <w:t>2</w:t>
      </w:r>
      <w:r>
        <w:rPr>
          <w:rFonts w:ascii="Times New Roman" w:hAnsi="Times New Roman" w:eastAsia="Times New Roman" w:cs="Times New Roman"/>
          <w:spacing w:val="-32"/>
          <w:position w:val="2"/>
          <w:sz w:val="24"/>
          <w:szCs w:val="24"/>
        </w:rPr>
        <w:t xml:space="preserve"> </w:t>
      </w:r>
      <w:r>
        <w:rPr>
          <w:rFonts w:ascii="宋体" w:hAnsi="宋体" w:eastAsia="宋体" w:cs="宋体"/>
          <w:spacing w:val="-5"/>
          <w:position w:val="2"/>
          <w:sz w:val="24"/>
          <w:szCs w:val="24"/>
        </w:rPr>
        <w:t>、病死猪尸体</w:t>
      </w:r>
    </w:p>
    <w:p w14:paraId="3A055ED0">
      <w:pPr>
        <w:spacing w:before="129" w:line="366" w:lineRule="auto"/>
        <w:ind w:left="1" w:firstLine="479"/>
        <w:rPr>
          <w:rFonts w:ascii="宋体" w:hAnsi="宋体" w:eastAsia="宋体" w:cs="宋体"/>
          <w:sz w:val="24"/>
          <w:szCs w:val="24"/>
        </w:rPr>
      </w:pPr>
      <w:r>
        <w:rPr>
          <w:rFonts w:ascii="宋体" w:hAnsi="宋体" w:eastAsia="宋体" w:cs="宋体"/>
          <w:spacing w:val="1"/>
          <w:sz w:val="24"/>
          <w:szCs w:val="24"/>
        </w:rPr>
        <w:t>在无传染病的情况下，类比同规模养殖场生产情况，死亡率取</w:t>
      </w:r>
      <w:r>
        <w:rPr>
          <w:rFonts w:ascii="Times New Roman" w:hAnsi="Times New Roman" w:eastAsia="Times New Roman" w:cs="Times New Roman"/>
          <w:spacing w:val="1"/>
          <w:sz w:val="24"/>
          <w:szCs w:val="24"/>
        </w:rPr>
        <w:t>0.5%</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，则每</w:t>
      </w:r>
      <w:r>
        <w:rPr>
          <w:rFonts w:ascii="宋体" w:hAnsi="宋体" w:eastAsia="宋体" w:cs="宋体"/>
          <w:sz w:val="24"/>
          <w:szCs w:val="24"/>
        </w:rPr>
        <w:t>年死 猪约</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75</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只，平均体重按</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50kg </w:t>
      </w:r>
      <w:r>
        <w:rPr>
          <w:rFonts w:ascii="宋体" w:hAnsi="宋体" w:eastAsia="宋体" w:cs="宋体"/>
          <w:sz w:val="24"/>
          <w:szCs w:val="24"/>
        </w:rPr>
        <w:t>计，约</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1"/>
          <w:sz w:val="24"/>
          <w:szCs w:val="24"/>
        </w:rPr>
        <w:t>75t/a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。根据《畜禽病害肉尸及其产品无害化</w:t>
      </w:r>
      <w:r>
        <w:rPr>
          <w:rFonts w:ascii="宋体" w:hAnsi="宋体" w:eastAsia="宋体" w:cs="宋体"/>
          <w:sz w:val="24"/>
          <w:szCs w:val="24"/>
        </w:rPr>
        <w:t xml:space="preserve"> 处理规程》（</w:t>
      </w:r>
      <w:r>
        <w:rPr>
          <w:rFonts w:ascii="Times New Roman" w:hAnsi="Times New Roman" w:eastAsia="Times New Roman" w:cs="Times New Roman"/>
          <w:sz w:val="24"/>
          <w:szCs w:val="24"/>
        </w:rPr>
        <w:t>GB16548-1996</w:t>
      </w:r>
      <w:r>
        <w:rPr>
          <w:rFonts w:ascii="宋体" w:hAnsi="宋体" w:eastAsia="宋体" w:cs="宋体"/>
          <w:sz w:val="24"/>
          <w:szCs w:val="24"/>
        </w:rPr>
        <w:t>）和</w:t>
      </w:r>
      <w:r>
        <w:rPr>
          <w:rFonts w:ascii="宋体" w:hAnsi="宋体" w:eastAsia="宋体" w:cs="宋体"/>
          <w:spacing w:val="-1"/>
          <w:sz w:val="24"/>
          <w:szCs w:val="24"/>
        </w:rPr>
        <w:t>《畜禽养殖业污染防治技术规范》（</w:t>
      </w:r>
      <w:r>
        <w:rPr>
          <w:rFonts w:ascii="Times New Roman" w:hAnsi="Times New Roman" w:eastAsia="Times New Roman" w:cs="Times New Roman"/>
          <w:spacing w:val="-1"/>
          <w:sz w:val="24"/>
          <w:szCs w:val="24"/>
        </w:rPr>
        <w:t>HJ/T81-2001</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相关要求处理，项目病死猪采用安全填埋井进行填埋处理。</w:t>
      </w:r>
    </w:p>
    <w:p w14:paraId="2C58DE9D">
      <w:pPr>
        <w:spacing w:before="82" w:line="369" w:lineRule="auto"/>
        <w:ind w:right="24" w:firstLine="482"/>
        <w:rPr>
          <w:rFonts w:ascii="宋体" w:hAnsi="宋体" w:eastAsia="宋体" w:cs="宋体"/>
          <w:sz w:val="24"/>
          <w:szCs w:val="24"/>
        </w:rPr>
      </w:pPr>
      <w:r>
        <w:rPr>
          <w:rFonts w:ascii="宋体" w:hAnsi="宋体" w:eastAsia="宋体" w:cs="宋体"/>
          <w:spacing w:val="2"/>
          <w:sz w:val="24"/>
          <w:szCs w:val="24"/>
        </w:rPr>
        <w:t>本项目拟选择安全填埋井（化尸池）的处理方法处理病死猪。根据《病死动物</w:t>
      </w:r>
      <w:r>
        <w:rPr>
          <w:rFonts w:ascii="宋体" w:hAnsi="宋体" w:eastAsia="宋体" w:cs="宋体"/>
          <w:spacing w:val="9"/>
          <w:sz w:val="24"/>
          <w:szCs w:val="24"/>
        </w:rPr>
        <w:t xml:space="preserve"> </w:t>
      </w:r>
      <w:r>
        <w:rPr>
          <w:rFonts w:ascii="宋体" w:hAnsi="宋体" w:eastAsia="宋体" w:cs="宋体"/>
          <w:spacing w:val="1"/>
          <w:sz w:val="24"/>
          <w:szCs w:val="24"/>
        </w:rPr>
        <w:t>无害化处理技术规范》的通知（农医发〔</w:t>
      </w:r>
      <w:r>
        <w:rPr>
          <w:rFonts w:ascii="Times New Roman" w:hAnsi="Times New Roman" w:eastAsia="Times New Roman" w:cs="Times New Roman"/>
          <w:spacing w:val="1"/>
          <w:sz w:val="24"/>
          <w:szCs w:val="24"/>
        </w:rPr>
        <w:t>2013</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 xml:space="preserve">4.3.2  </w:t>
      </w:r>
      <w:r>
        <w:rPr>
          <w:rFonts w:ascii="宋体" w:hAnsi="宋体" w:eastAsia="宋体" w:cs="宋体"/>
          <w:spacing w:val="1"/>
          <w:sz w:val="24"/>
          <w:szCs w:val="24"/>
        </w:rPr>
        <w:t>化尸窖</w:t>
      </w:r>
      <w:r>
        <w:rPr>
          <w:rFonts w:ascii="宋体" w:hAnsi="宋体" w:eastAsia="宋体" w:cs="宋体"/>
          <w:spacing w:val="-85"/>
          <w:sz w:val="24"/>
          <w:szCs w:val="24"/>
        </w:rPr>
        <w:t xml:space="preserve"> </w:t>
      </w:r>
      <w:r>
        <w:rPr>
          <w:rFonts w:ascii="宋体" w:hAnsi="宋体" w:eastAsia="宋体" w:cs="宋体"/>
          <w:spacing w:val="1"/>
          <w:sz w:val="24"/>
          <w:szCs w:val="24"/>
        </w:rPr>
        <w:t>”的技术工</w:t>
      </w:r>
      <w:r>
        <w:rPr>
          <w:rFonts w:ascii="宋体" w:hAnsi="宋体" w:eastAsia="宋体" w:cs="宋体"/>
          <w:sz w:val="24"/>
          <w:szCs w:val="24"/>
        </w:rPr>
        <w:t xml:space="preserve"> </w:t>
      </w:r>
      <w:r>
        <w:rPr>
          <w:rFonts w:ascii="宋体" w:hAnsi="宋体" w:eastAsia="宋体" w:cs="宋体"/>
          <w:spacing w:val="-3"/>
          <w:sz w:val="24"/>
          <w:szCs w:val="24"/>
        </w:rPr>
        <w:t>艺及《畜禽养殖业污染防治技术规范》（</w:t>
      </w:r>
      <w:r>
        <w:rPr>
          <w:rFonts w:ascii="Times New Roman" w:hAnsi="Times New Roman" w:eastAsia="Times New Roman" w:cs="Times New Roman"/>
          <w:spacing w:val="-3"/>
          <w:sz w:val="24"/>
          <w:szCs w:val="24"/>
        </w:rPr>
        <w:t>HJ/T81-2001</w:t>
      </w:r>
      <w:r>
        <w:rPr>
          <w:rFonts w:ascii="宋体" w:hAnsi="宋体" w:eastAsia="宋体" w:cs="宋体"/>
          <w:spacing w:val="-3"/>
          <w:sz w:val="24"/>
          <w:szCs w:val="24"/>
        </w:rPr>
        <w:t xml:space="preserve">）第 </w:t>
      </w:r>
      <w:r>
        <w:rPr>
          <w:rFonts w:ascii="Times New Roman" w:hAnsi="Times New Roman" w:eastAsia="Times New Roman" w:cs="Times New Roman"/>
          <w:spacing w:val="-3"/>
          <w:sz w:val="24"/>
          <w:szCs w:val="24"/>
        </w:rPr>
        <w:t xml:space="preserve">9  </w:t>
      </w:r>
      <w:r>
        <w:rPr>
          <w:rFonts w:ascii="宋体" w:hAnsi="宋体" w:eastAsia="宋体" w:cs="宋体"/>
          <w:spacing w:val="-3"/>
          <w:sz w:val="24"/>
          <w:szCs w:val="24"/>
        </w:rPr>
        <w:t>条要求，化尸池为密闭</w:t>
      </w:r>
      <w:r>
        <w:rPr>
          <w:rFonts w:ascii="宋体" w:hAnsi="宋体" w:eastAsia="宋体" w:cs="宋体"/>
          <w:spacing w:val="17"/>
          <w:sz w:val="24"/>
          <w:szCs w:val="24"/>
        </w:rPr>
        <w:t xml:space="preserve"> </w:t>
      </w:r>
      <w:r>
        <w:rPr>
          <w:rFonts w:ascii="宋体" w:hAnsi="宋体" w:eastAsia="宋体" w:cs="宋体"/>
          <w:sz w:val="24"/>
          <w:szCs w:val="24"/>
        </w:rPr>
        <w:t xml:space="preserve">砖混结构，设井盖盖，坑壁 </w:t>
      </w:r>
      <w:r>
        <w:rPr>
          <w:rFonts w:ascii="Times New Roman" w:hAnsi="Times New Roman" w:eastAsia="Times New Roman" w:cs="Times New Roman"/>
          <w:sz w:val="24"/>
          <w:szCs w:val="24"/>
        </w:rPr>
        <w:t xml:space="preserve">30cm  </w:t>
      </w:r>
      <w:r>
        <w:rPr>
          <w:rFonts w:ascii="宋体" w:hAnsi="宋体" w:eastAsia="宋体" w:cs="宋体"/>
          <w:sz w:val="24"/>
          <w:szCs w:val="24"/>
        </w:rPr>
        <w:t>厚</w:t>
      </w:r>
      <w:r>
        <w:rPr>
          <w:rFonts w:ascii="宋体" w:hAnsi="宋体" w:eastAsia="宋体" w:cs="宋体"/>
          <w:spacing w:val="-1"/>
          <w:sz w:val="24"/>
          <w:szCs w:val="24"/>
        </w:rPr>
        <w:t xml:space="preserve">防渗混凝土，坑底为 </w:t>
      </w:r>
      <w:r>
        <w:rPr>
          <w:rFonts w:ascii="Times New Roman" w:hAnsi="Times New Roman" w:eastAsia="Times New Roman" w:cs="Times New Roman"/>
          <w:spacing w:val="-1"/>
          <w:sz w:val="24"/>
          <w:szCs w:val="24"/>
        </w:rPr>
        <w:t xml:space="preserve">20cm  </w:t>
      </w:r>
      <w:r>
        <w:rPr>
          <w:rFonts w:ascii="宋体" w:hAnsi="宋体" w:eastAsia="宋体" w:cs="宋体"/>
          <w:spacing w:val="-1"/>
          <w:sz w:val="24"/>
          <w:szCs w:val="24"/>
        </w:rPr>
        <w:t>厚的防渗混凝土；</w:t>
      </w:r>
      <w:r>
        <w:rPr>
          <w:rFonts w:ascii="宋体" w:hAnsi="宋体" w:eastAsia="宋体" w:cs="宋体"/>
          <w:sz w:val="24"/>
          <w:szCs w:val="24"/>
        </w:rPr>
        <w:t xml:space="preserve"> </w:t>
      </w:r>
      <w:r>
        <w:rPr>
          <w:rFonts w:ascii="宋体" w:hAnsi="宋体" w:eastAsia="宋体" w:cs="宋体"/>
          <w:spacing w:val="-1"/>
          <w:sz w:val="24"/>
          <w:szCs w:val="24"/>
        </w:rPr>
        <w:t xml:space="preserve">进行填埋时，每次投入畜禽尸体后，覆盖一层厚度 </w:t>
      </w:r>
      <w:r>
        <w:rPr>
          <w:rFonts w:ascii="Times New Roman" w:hAnsi="Times New Roman" w:eastAsia="Times New Roman" w:cs="Times New Roman"/>
          <w:spacing w:val="-1"/>
          <w:sz w:val="24"/>
          <w:szCs w:val="24"/>
        </w:rPr>
        <w:t xml:space="preserve">12cm   </w:t>
      </w:r>
      <w:r>
        <w:rPr>
          <w:rFonts w:ascii="宋体" w:hAnsi="宋体" w:eastAsia="宋体" w:cs="宋体"/>
          <w:spacing w:val="-1"/>
          <w:sz w:val="24"/>
          <w:szCs w:val="24"/>
        </w:rPr>
        <w:t>的熟石灰。当化尸池内动</w:t>
      </w:r>
      <w:r>
        <w:rPr>
          <w:rFonts w:ascii="宋体" w:hAnsi="宋体" w:eastAsia="宋体" w:cs="宋体"/>
          <w:spacing w:val="10"/>
          <w:sz w:val="24"/>
          <w:szCs w:val="24"/>
        </w:rPr>
        <w:t xml:space="preserve"> </w:t>
      </w:r>
      <w:r>
        <w:rPr>
          <w:rFonts w:ascii="宋体" w:hAnsi="宋体" w:eastAsia="宋体" w:cs="宋体"/>
          <w:sz w:val="24"/>
          <w:szCs w:val="24"/>
        </w:rPr>
        <w:t xml:space="preserve">物尸体达到容积的 </w:t>
      </w:r>
      <w:r>
        <w:rPr>
          <w:rFonts w:ascii="Times New Roman" w:hAnsi="Times New Roman" w:eastAsia="Times New Roman" w:cs="Times New Roman"/>
          <w:sz w:val="24"/>
          <w:szCs w:val="24"/>
        </w:rPr>
        <w:t xml:space="preserve">3/4  </w:t>
      </w:r>
      <w:r>
        <w:rPr>
          <w:rFonts w:ascii="宋体" w:hAnsi="宋体" w:eastAsia="宋体" w:cs="宋体"/>
          <w:sz w:val="24"/>
          <w:szCs w:val="24"/>
        </w:rPr>
        <w:t>时，应停止使用并密封。当封闭化尸窖内的动物尸体完全分</w:t>
      </w:r>
      <w:r>
        <w:rPr>
          <w:rFonts w:ascii="宋体" w:hAnsi="宋体" w:eastAsia="宋体" w:cs="宋体"/>
          <w:spacing w:val="13"/>
          <w:sz w:val="24"/>
          <w:szCs w:val="24"/>
        </w:rPr>
        <w:t xml:space="preserve"> </w:t>
      </w:r>
      <w:r>
        <w:rPr>
          <w:rFonts w:ascii="宋体" w:hAnsi="宋体" w:eastAsia="宋体" w:cs="宋体"/>
          <w:spacing w:val="2"/>
          <w:sz w:val="24"/>
          <w:szCs w:val="24"/>
        </w:rPr>
        <w:t>解后，应当对残留物进行清理，清理出的残留物进行焚烧或者掩埋处理，化尸窖池</w:t>
      </w:r>
      <w:r>
        <w:rPr>
          <w:rFonts w:ascii="宋体" w:hAnsi="宋体" w:eastAsia="宋体" w:cs="宋体"/>
          <w:spacing w:val="8"/>
          <w:sz w:val="24"/>
          <w:szCs w:val="24"/>
        </w:rPr>
        <w:t xml:space="preserve"> </w:t>
      </w:r>
      <w:r>
        <w:rPr>
          <w:rFonts w:ascii="宋体" w:hAnsi="宋体" w:eastAsia="宋体" w:cs="宋体"/>
          <w:spacing w:val="-1"/>
          <w:sz w:val="24"/>
          <w:szCs w:val="24"/>
        </w:rPr>
        <w:t>进行彻底消毒后，方可重新启用。</w:t>
      </w:r>
    </w:p>
    <w:p w14:paraId="6AFEB860">
      <w:pPr>
        <w:spacing w:before="44" w:line="360" w:lineRule="exact"/>
        <w:ind w:left="482"/>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、员工办公生活垃圾</w:t>
      </w:r>
    </w:p>
    <w:p w14:paraId="090C1E23">
      <w:pPr>
        <w:spacing w:before="127" w:line="375" w:lineRule="auto"/>
        <w:ind w:left="2" w:right="27" w:firstLine="480"/>
        <w:rPr>
          <w:rFonts w:ascii="宋体" w:hAnsi="宋体" w:eastAsia="宋体" w:cs="宋体"/>
          <w:sz w:val="24"/>
          <w:szCs w:val="24"/>
        </w:rPr>
      </w:pPr>
      <w:r>
        <w:rPr>
          <w:rFonts w:ascii="宋体" w:hAnsi="宋体" w:eastAsia="宋体" w:cs="宋体"/>
          <w:sz w:val="24"/>
          <w:szCs w:val="24"/>
        </w:rPr>
        <w:t>本项目共有员工</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12 </w:t>
      </w:r>
      <w:r>
        <w:rPr>
          <w:rFonts w:ascii="宋体" w:hAnsi="宋体" w:eastAsia="宋体" w:cs="宋体"/>
          <w:sz w:val="24"/>
          <w:szCs w:val="24"/>
        </w:rPr>
        <w:t>人，其中</w:t>
      </w:r>
      <w:r>
        <w:rPr>
          <w:rFonts w:ascii="Times New Roman" w:hAnsi="Times New Roman" w:eastAsia="Times New Roman" w:cs="Times New Roman"/>
          <w:sz w:val="24"/>
          <w:szCs w:val="24"/>
        </w:rPr>
        <w:t xml:space="preserve">4 </w:t>
      </w:r>
      <w:r>
        <w:rPr>
          <w:rFonts w:ascii="宋体" w:hAnsi="宋体" w:eastAsia="宋体" w:cs="宋体"/>
          <w:sz w:val="24"/>
          <w:szCs w:val="24"/>
        </w:rPr>
        <w:t>人在厂区内住宿，住宿</w:t>
      </w:r>
      <w:r>
        <w:rPr>
          <w:rFonts w:ascii="宋体" w:hAnsi="宋体" w:eastAsia="宋体" w:cs="宋体"/>
          <w:spacing w:val="-1"/>
          <w:sz w:val="24"/>
          <w:szCs w:val="24"/>
        </w:rPr>
        <w:t>员工每人每日产生生活垃</w:t>
      </w:r>
      <w:r>
        <w:rPr>
          <w:rFonts w:ascii="宋体" w:hAnsi="宋体" w:eastAsia="宋体" w:cs="宋体"/>
          <w:sz w:val="24"/>
          <w:szCs w:val="24"/>
        </w:rPr>
        <w:t xml:space="preserve"> </w:t>
      </w:r>
      <w:r>
        <w:rPr>
          <w:rFonts w:ascii="宋体" w:hAnsi="宋体" w:eastAsia="宋体" w:cs="宋体"/>
          <w:spacing w:val="1"/>
          <w:sz w:val="24"/>
          <w:szCs w:val="24"/>
        </w:rPr>
        <w:t>圾按</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计，不在厂区内住宿员工每人每日产</w:t>
      </w:r>
      <w:r>
        <w:rPr>
          <w:rFonts w:ascii="宋体" w:hAnsi="宋体" w:eastAsia="宋体" w:cs="宋体"/>
          <w:sz w:val="24"/>
          <w:szCs w:val="24"/>
        </w:rPr>
        <w:t>生生活垃圾按</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 xml:space="preserve">0.5kg </w:t>
      </w:r>
      <w:r>
        <w:rPr>
          <w:rFonts w:ascii="宋体" w:hAnsi="宋体" w:eastAsia="宋体" w:cs="宋体"/>
          <w:sz w:val="24"/>
          <w:szCs w:val="24"/>
        </w:rPr>
        <w:t>计，年工作</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365 </w:t>
      </w:r>
      <w:r>
        <w:rPr>
          <w:rFonts w:ascii="宋体" w:hAnsi="宋体" w:eastAsia="宋体" w:cs="宋体"/>
          <w:spacing w:val="-1"/>
          <w:sz w:val="24"/>
          <w:szCs w:val="24"/>
        </w:rPr>
        <w:t>天，则生活垃圾量</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0.008t/d</w:t>
      </w:r>
      <w:r>
        <w:rPr>
          <w:rFonts w:ascii="宋体" w:hAnsi="宋体" w:eastAsia="宋体" w:cs="宋体"/>
          <w:spacing w:val="-1"/>
          <w:sz w:val="24"/>
          <w:szCs w:val="24"/>
        </w:rPr>
        <w:t>（</w:t>
      </w:r>
      <w:r>
        <w:rPr>
          <w:rFonts w:ascii="Times New Roman" w:hAnsi="Times New Roman" w:eastAsia="Times New Roman" w:cs="Times New Roman"/>
          <w:spacing w:val="-1"/>
          <w:sz w:val="24"/>
          <w:szCs w:val="24"/>
        </w:rPr>
        <w:t>2.92t/a</w:t>
      </w:r>
      <w:r>
        <w:rPr>
          <w:rFonts w:ascii="宋体" w:hAnsi="宋体" w:eastAsia="宋体" w:cs="宋体"/>
          <w:spacing w:val="-1"/>
          <w:sz w:val="24"/>
          <w:szCs w:val="24"/>
        </w:rPr>
        <w:t>）。</w:t>
      </w:r>
    </w:p>
    <w:p w14:paraId="50AB2D30">
      <w:pPr>
        <w:spacing w:before="6" w:line="361" w:lineRule="exact"/>
        <w:ind w:left="476"/>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、医疗废物</w:t>
      </w:r>
    </w:p>
    <w:p w14:paraId="55188154">
      <w:pPr>
        <w:spacing w:before="163" w:line="373" w:lineRule="auto"/>
        <w:ind w:left="1" w:right="24" w:firstLine="479"/>
        <w:rPr>
          <w:rFonts w:ascii="宋体" w:hAnsi="宋体" w:eastAsia="宋体" w:cs="宋体"/>
          <w:sz w:val="24"/>
          <w:szCs w:val="24"/>
        </w:rPr>
      </w:pPr>
      <w:r>
        <w:rPr>
          <w:rFonts w:ascii="宋体" w:hAnsi="宋体" w:eastAsia="宋体" w:cs="宋体"/>
          <w:spacing w:val="2"/>
          <w:sz w:val="24"/>
          <w:szCs w:val="24"/>
        </w:rPr>
        <w:t>在养殖过程中牲畜需要注射一些疫苗，会产生少量针头、感染过的包装袋等。</w:t>
      </w:r>
      <w:r>
        <w:rPr>
          <w:rFonts w:ascii="宋体" w:hAnsi="宋体" w:eastAsia="宋体" w:cs="宋体"/>
          <w:spacing w:val="13"/>
          <w:sz w:val="24"/>
          <w:szCs w:val="24"/>
        </w:rPr>
        <w:t xml:space="preserve"> </w:t>
      </w:r>
      <w:r>
        <w:rPr>
          <w:rFonts w:ascii="宋体" w:hAnsi="宋体" w:eastAsia="宋体" w:cs="宋体"/>
          <w:sz w:val="24"/>
          <w:szCs w:val="24"/>
        </w:rPr>
        <w:t>类比同类型规模化养殖场，本项目运营期医疗废物的产生量为</w:t>
      </w:r>
      <w:r>
        <w:rPr>
          <w:rFonts w:ascii="Times New Roman" w:hAnsi="Times New Roman" w:eastAsia="Times New Roman" w:cs="Times New Roman"/>
          <w:sz w:val="24"/>
          <w:szCs w:val="24"/>
        </w:rPr>
        <w:t>0.2t/a</w:t>
      </w:r>
      <w:r>
        <w:rPr>
          <w:rFonts w:ascii="Times New Roman" w:hAnsi="Times New Roman" w:eastAsia="Times New Roman" w:cs="Times New Roman"/>
          <w:spacing w:val="-35"/>
          <w:sz w:val="24"/>
          <w:szCs w:val="24"/>
        </w:rPr>
        <w:t xml:space="preserve"> </w:t>
      </w:r>
      <w:r>
        <w:rPr>
          <w:rFonts w:ascii="宋体" w:hAnsi="宋体" w:eastAsia="宋体" w:cs="宋体"/>
          <w:sz w:val="24"/>
          <w:szCs w:val="24"/>
        </w:rPr>
        <w:t>，该</w:t>
      </w:r>
      <w:r>
        <w:rPr>
          <w:rFonts w:ascii="宋体" w:hAnsi="宋体" w:eastAsia="宋体" w:cs="宋体"/>
          <w:spacing w:val="-1"/>
          <w:sz w:val="24"/>
          <w:szCs w:val="24"/>
        </w:rPr>
        <w:t>部分固废属</w:t>
      </w:r>
      <w:r>
        <w:rPr>
          <w:rFonts w:ascii="宋体" w:hAnsi="宋体" w:eastAsia="宋体" w:cs="宋体"/>
          <w:sz w:val="24"/>
          <w:szCs w:val="24"/>
        </w:rPr>
        <w:t xml:space="preserve"> </w:t>
      </w:r>
      <w:r>
        <w:rPr>
          <w:rFonts w:ascii="宋体" w:hAnsi="宋体" w:eastAsia="宋体" w:cs="宋体"/>
          <w:spacing w:val="-1"/>
          <w:sz w:val="24"/>
          <w:szCs w:val="24"/>
        </w:rPr>
        <w:t>于危险废物，废物代码为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HW01</w:t>
      </w:r>
      <w:r>
        <w:rPr>
          <w:rFonts w:ascii="宋体" w:hAnsi="宋体" w:eastAsia="宋体" w:cs="宋体"/>
          <w:spacing w:val="-1"/>
          <w:sz w:val="24"/>
          <w:szCs w:val="24"/>
        </w:rPr>
        <w:t>，收集后交由有资质的单位处理。</w:t>
      </w:r>
    </w:p>
    <w:p w14:paraId="1E266E28">
      <w:pPr>
        <w:spacing w:before="12" w:line="221" w:lineRule="auto"/>
        <w:ind w:left="484"/>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、废包装物</w:t>
      </w:r>
    </w:p>
    <w:p w14:paraId="6F864289">
      <w:pPr>
        <w:spacing w:before="203" w:line="387" w:lineRule="auto"/>
        <w:ind w:left="47" w:right="27" w:firstLine="438"/>
        <w:rPr>
          <w:rFonts w:ascii="宋体" w:hAnsi="宋体" w:eastAsia="宋体" w:cs="宋体"/>
          <w:sz w:val="24"/>
          <w:szCs w:val="24"/>
        </w:rPr>
      </w:pPr>
      <w:r>
        <w:rPr>
          <w:rFonts w:ascii="宋体" w:hAnsi="宋体" w:eastAsia="宋体" w:cs="宋体"/>
          <w:spacing w:val="2"/>
          <w:sz w:val="24"/>
          <w:szCs w:val="24"/>
        </w:rPr>
        <w:t>项目运营过程将产生饲料等包装箱、包装袋等废包装，类比同类型项目，本项</w:t>
      </w:r>
      <w:r>
        <w:rPr>
          <w:rFonts w:ascii="宋体" w:hAnsi="宋体" w:eastAsia="宋体" w:cs="宋体"/>
          <w:spacing w:val="6"/>
          <w:sz w:val="24"/>
          <w:szCs w:val="24"/>
        </w:rPr>
        <w:t xml:space="preserve"> </w:t>
      </w:r>
      <w:r>
        <w:rPr>
          <w:rFonts w:ascii="宋体" w:hAnsi="宋体" w:eastAsia="宋体" w:cs="宋体"/>
          <w:sz w:val="24"/>
          <w:szCs w:val="24"/>
        </w:rPr>
        <w:t>目废包装产生量约为</w:t>
      </w:r>
      <w:r>
        <w:rPr>
          <w:rFonts w:ascii="Times New Roman" w:hAnsi="Times New Roman" w:eastAsia="Times New Roman" w:cs="Times New Roman"/>
          <w:sz w:val="24"/>
          <w:szCs w:val="24"/>
        </w:rPr>
        <w:t>2t/a</w:t>
      </w:r>
      <w:r>
        <w:rPr>
          <w:rFonts w:ascii="宋体" w:hAnsi="宋体" w:eastAsia="宋体" w:cs="宋体"/>
          <w:sz w:val="24"/>
          <w:szCs w:val="24"/>
        </w:rPr>
        <w:t>。</w:t>
      </w:r>
    </w:p>
    <w:p w14:paraId="1ECDFFA2">
      <w:pPr>
        <w:spacing w:line="387" w:lineRule="auto"/>
        <w:rPr>
          <w:rFonts w:ascii="宋体" w:hAnsi="宋体" w:eastAsia="宋体" w:cs="宋体"/>
          <w:sz w:val="24"/>
          <w:szCs w:val="24"/>
        </w:rPr>
        <w:sectPr>
          <w:footerReference r:id="rId85" w:type="default"/>
          <w:pgSz w:w="11906" w:h="16839"/>
          <w:pgMar w:top="400" w:right="1561" w:bottom="1485" w:left="1596" w:header="0" w:footer="1249" w:gutter="0"/>
          <w:cols w:space="720" w:num="1"/>
        </w:sectPr>
      </w:pPr>
    </w:p>
    <w:p w14:paraId="5FA8F9D4">
      <w:pPr>
        <w:pStyle w:val="2"/>
        <w:spacing w:line="264" w:lineRule="auto"/>
      </w:pPr>
    </w:p>
    <w:p w14:paraId="32141C20">
      <w:pPr>
        <w:pStyle w:val="2"/>
        <w:spacing w:line="264" w:lineRule="auto"/>
      </w:pPr>
    </w:p>
    <w:p w14:paraId="27120003">
      <w:pPr>
        <w:pStyle w:val="2"/>
        <w:spacing w:line="264" w:lineRule="auto"/>
      </w:pPr>
    </w:p>
    <w:p w14:paraId="216EC936">
      <w:pPr>
        <w:pStyle w:val="2"/>
        <w:spacing w:line="265" w:lineRule="auto"/>
      </w:pPr>
    </w:p>
    <w:p w14:paraId="0322B253">
      <w:pPr>
        <w:spacing w:before="78" w:line="219" w:lineRule="auto"/>
        <w:ind w:left="605"/>
        <w:rPr>
          <w:rFonts w:ascii="宋体" w:hAnsi="宋体" w:eastAsia="宋体" w:cs="宋体"/>
          <w:sz w:val="24"/>
          <w:szCs w:val="24"/>
        </w:rPr>
      </w:pPr>
      <w:r>
        <w:rPr>
          <w:rFonts w:ascii="宋体" w:hAnsi="宋体" w:eastAsia="宋体" w:cs="宋体"/>
          <w:spacing w:val="-1"/>
          <w:sz w:val="24"/>
          <w:szCs w:val="24"/>
        </w:rPr>
        <w:t>综上所述，本项目运营期固体废物产生情况见下表。</w:t>
      </w:r>
    </w:p>
    <w:p w14:paraId="75A049BA">
      <w:pPr>
        <w:spacing w:before="219" w:line="228" w:lineRule="auto"/>
        <w:ind w:left="2470"/>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3.5-12 </w:t>
      </w:r>
      <w:r>
        <w:rPr>
          <w:rFonts w:ascii="宋体" w:hAnsi="宋体" w:eastAsia="宋体" w:cs="宋体"/>
          <w:b/>
          <w:bCs/>
          <w:spacing w:val="6"/>
          <w:sz w:val="20"/>
          <w:szCs w:val="20"/>
        </w:rPr>
        <w:t>项目固体废物产生情况表单位：</w:t>
      </w:r>
      <w:r>
        <w:rPr>
          <w:rFonts w:ascii="Times New Roman" w:hAnsi="Times New Roman" w:eastAsia="Times New Roman" w:cs="Times New Roman"/>
          <w:b/>
          <w:bCs/>
          <w:spacing w:val="6"/>
          <w:sz w:val="20"/>
          <w:szCs w:val="20"/>
        </w:rPr>
        <w:t>t/a</w:t>
      </w:r>
    </w:p>
    <w:p w14:paraId="61A825B3">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3117"/>
        <w:gridCol w:w="1275"/>
        <w:gridCol w:w="3879"/>
      </w:tblGrid>
      <w:tr w14:paraId="77BBC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Align w:val="top"/>
          </w:tcPr>
          <w:p w14:paraId="0928BE76">
            <w:pPr>
              <w:pStyle w:val="6"/>
              <w:spacing w:before="62" w:line="230" w:lineRule="auto"/>
              <w:ind w:left="135"/>
            </w:pPr>
            <w:r>
              <w:rPr>
                <w:b/>
                <w:bCs/>
                <w:spacing w:val="4"/>
              </w:rPr>
              <w:t>序号</w:t>
            </w:r>
          </w:p>
        </w:tc>
        <w:tc>
          <w:tcPr>
            <w:tcW w:w="3117" w:type="dxa"/>
            <w:vAlign w:val="top"/>
          </w:tcPr>
          <w:p w14:paraId="4B8220FC">
            <w:pPr>
              <w:pStyle w:val="6"/>
              <w:spacing w:before="63" w:line="229" w:lineRule="auto"/>
              <w:ind w:left="1140"/>
            </w:pPr>
            <w:r>
              <w:rPr>
                <w:b/>
                <w:bCs/>
                <w:spacing w:val="6"/>
              </w:rPr>
              <w:t>废物名称</w:t>
            </w:r>
          </w:p>
        </w:tc>
        <w:tc>
          <w:tcPr>
            <w:tcW w:w="1275" w:type="dxa"/>
            <w:vAlign w:val="top"/>
          </w:tcPr>
          <w:p w14:paraId="2E1930C9">
            <w:pPr>
              <w:pStyle w:val="6"/>
              <w:spacing w:before="63" w:line="228" w:lineRule="auto"/>
              <w:ind w:left="328"/>
            </w:pPr>
            <w:r>
              <w:rPr>
                <w:b/>
                <w:bCs/>
                <w:spacing w:val="5"/>
              </w:rPr>
              <w:t>产生量</w:t>
            </w:r>
          </w:p>
        </w:tc>
        <w:tc>
          <w:tcPr>
            <w:tcW w:w="3879" w:type="dxa"/>
            <w:vAlign w:val="top"/>
          </w:tcPr>
          <w:p w14:paraId="3065ACD3">
            <w:pPr>
              <w:pStyle w:val="6"/>
              <w:spacing w:before="62" w:line="230" w:lineRule="auto"/>
              <w:ind w:left="1529"/>
            </w:pPr>
            <w:r>
              <w:rPr>
                <w:b/>
                <w:bCs/>
                <w:spacing w:val="5"/>
              </w:rPr>
              <w:t>处理方式</w:t>
            </w:r>
          </w:p>
        </w:tc>
      </w:tr>
      <w:tr w14:paraId="5A16C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79" w:type="dxa"/>
            <w:vAlign w:val="top"/>
          </w:tcPr>
          <w:p w14:paraId="685B7D11">
            <w:pPr>
              <w:spacing w:before="90"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117" w:type="dxa"/>
            <w:vAlign w:val="top"/>
          </w:tcPr>
          <w:p w14:paraId="3FF8209A">
            <w:pPr>
              <w:pStyle w:val="6"/>
              <w:spacing w:before="121" w:line="228" w:lineRule="auto"/>
              <w:ind w:left="1354"/>
            </w:pPr>
            <w:r>
              <w:rPr>
                <w:spacing w:val="3"/>
              </w:rPr>
              <w:t>粪便</w:t>
            </w:r>
          </w:p>
        </w:tc>
        <w:tc>
          <w:tcPr>
            <w:tcW w:w="1275" w:type="dxa"/>
            <w:vAlign w:val="top"/>
          </w:tcPr>
          <w:p w14:paraId="7E113030">
            <w:pPr>
              <w:spacing w:before="90"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3879" w:type="dxa"/>
            <w:vAlign w:val="top"/>
          </w:tcPr>
          <w:p w14:paraId="388DA962">
            <w:pPr>
              <w:pStyle w:val="6"/>
              <w:spacing w:before="120" w:line="228" w:lineRule="auto"/>
              <w:ind w:left="686"/>
            </w:pPr>
            <w:r>
              <w:rPr>
                <w:spacing w:val="9"/>
              </w:rPr>
              <w:t>转移至有机肥发酵车间制肥</w:t>
            </w:r>
          </w:p>
        </w:tc>
      </w:tr>
      <w:tr w14:paraId="4EDBD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79" w:type="dxa"/>
            <w:vAlign w:val="top"/>
          </w:tcPr>
          <w:p w14:paraId="719A2AFC">
            <w:pPr>
              <w:spacing w:before="28"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3117" w:type="dxa"/>
            <w:vAlign w:val="top"/>
          </w:tcPr>
          <w:p w14:paraId="1F82242C">
            <w:pPr>
              <w:pStyle w:val="6"/>
              <w:spacing w:before="59" w:line="229" w:lineRule="auto"/>
              <w:ind w:left="1037"/>
            </w:pPr>
            <w:r>
              <w:rPr>
                <w:spacing w:val="8"/>
              </w:rPr>
              <w:t>病死猪尸体</w:t>
            </w:r>
          </w:p>
        </w:tc>
        <w:tc>
          <w:tcPr>
            <w:tcW w:w="1275" w:type="dxa"/>
            <w:vAlign w:val="top"/>
          </w:tcPr>
          <w:p w14:paraId="50FC8DC1">
            <w:pPr>
              <w:spacing w:before="28"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3879" w:type="dxa"/>
            <w:vAlign w:val="top"/>
          </w:tcPr>
          <w:p w14:paraId="65340A88">
            <w:pPr>
              <w:pStyle w:val="6"/>
              <w:spacing w:before="59" w:line="229" w:lineRule="auto"/>
              <w:ind w:left="367"/>
            </w:pPr>
            <w:r>
              <w:rPr>
                <w:spacing w:val="9"/>
              </w:rPr>
              <w:t>进安全填埋井进行无害化处理填埋</w:t>
            </w:r>
          </w:p>
        </w:tc>
      </w:tr>
      <w:tr w14:paraId="0CE92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79" w:type="dxa"/>
            <w:vAlign w:val="top"/>
          </w:tcPr>
          <w:p w14:paraId="070C09E8">
            <w:pPr>
              <w:spacing w:before="2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117" w:type="dxa"/>
            <w:vAlign w:val="top"/>
          </w:tcPr>
          <w:p w14:paraId="1D7016B4">
            <w:pPr>
              <w:pStyle w:val="6"/>
              <w:spacing w:before="60" w:line="228" w:lineRule="auto"/>
              <w:ind w:left="937"/>
            </w:pPr>
            <w:r>
              <w:rPr>
                <w:spacing w:val="7"/>
              </w:rPr>
              <w:t>办公生活垃圾</w:t>
            </w:r>
          </w:p>
        </w:tc>
        <w:tc>
          <w:tcPr>
            <w:tcW w:w="1275" w:type="dxa"/>
            <w:vAlign w:val="top"/>
          </w:tcPr>
          <w:p w14:paraId="42BC23ED">
            <w:pPr>
              <w:spacing w:before="29" w:line="274" w:lineRule="exact"/>
              <w:ind w:left="4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3879" w:type="dxa"/>
            <w:vAlign w:val="top"/>
          </w:tcPr>
          <w:p w14:paraId="774823CA">
            <w:pPr>
              <w:pStyle w:val="6"/>
              <w:spacing w:before="60" w:line="228" w:lineRule="auto"/>
              <w:ind w:left="689"/>
            </w:pPr>
            <w:r>
              <w:rPr>
                <w:spacing w:val="8"/>
              </w:rPr>
              <w:t>交由环卫部门定期清运处理</w:t>
            </w:r>
          </w:p>
        </w:tc>
      </w:tr>
      <w:tr w14:paraId="305D6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79" w:type="dxa"/>
            <w:vAlign w:val="top"/>
          </w:tcPr>
          <w:p w14:paraId="7D1B0334">
            <w:pPr>
              <w:spacing w:before="100"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117" w:type="dxa"/>
            <w:vAlign w:val="top"/>
          </w:tcPr>
          <w:p w14:paraId="471EF5E5">
            <w:pPr>
              <w:pStyle w:val="6"/>
              <w:spacing w:before="61" w:line="229" w:lineRule="auto"/>
              <w:ind w:left="1151"/>
            </w:pPr>
            <w:r>
              <w:rPr>
                <w:spacing w:val="4"/>
              </w:rPr>
              <w:t>医疗废物</w:t>
            </w:r>
          </w:p>
        </w:tc>
        <w:tc>
          <w:tcPr>
            <w:tcW w:w="1275" w:type="dxa"/>
            <w:vAlign w:val="top"/>
          </w:tcPr>
          <w:p w14:paraId="6B70F74B">
            <w:pPr>
              <w:spacing w:before="30" w:line="274"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3879" w:type="dxa"/>
            <w:vAlign w:val="top"/>
          </w:tcPr>
          <w:p w14:paraId="3C6D09BD">
            <w:pPr>
              <w:pStyle w:val="6"/>
              <w:spacing w:before="61" w:line="229" w:lineRule="auto"/>
              <w:ind w:left="999"/>
            </w:pPr>
            <w:r>
              <w:rPr>
                <w:spacing w:val="9"/>
              </w:rPr>
              <w:t>委托有资质单位处理</w:t>
            </w:r>
          </w:p>
        </w:tc>
      </w:tr>
      <w:tr w14:paraId="50AD5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Align w:val="top"/>
          </w:tcPr>
          <w:p w14:paraId="09B86CA9">
            <w:pPr>
              <w:spacing w:before="31"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3117" w:type="dxa"/>
            <w:vAlign w:val="top"/>
          </w:tcPr>
          <w:p w14:paraId="10DDEBA2">
            <w:pPr>
              <w:pStyle w:val="6"/>
              <w:spacing w:before="62" w:line="229" w:lineRule="auto"/>
              <w:ind w:left="1140"/>
            </w:pPr>
            <w:r>
              <w:rPr>
                <w:spacing w:val="7"/>
              </w:rPr>
              <w:t>废包装物</w:t>
            </w:r>
          </w:p>
        </w:tc>
        <w:tc>
          <w:tcPr>
            <w:tcW w:w="1275" w:type="dxa"/>
            <w:vAlign w:val="top"/>
          </w:tcPr>
          <w:p w14:paraId="2A1D69E0">
            <w:pPr>
              <w:spacing w:before="31"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879" w:type="dxa"/>
            <w:vAlign w:val="top"/>
          </w:tcPr>
          <w:p w14:paraId="62659A25">
            <w:pPr>
              <w:pStyle w:val="6"/>
              <w:spacing w:before="61" w:line="228" w:lineRule="auto"/>
              <w:ind w:left="901"/>
            </w:pPr>
            <w:r>
              <w:rPr>
                <w:spacing w:val="8"/>
              </w:rPr>
              <w:t>收集后交由供应商回收</w:t>
            </w:r>
          </w:p>
        </w:tc>
      </w:tr>
    </w:tbl>
    <w:p w14:paraId="3C5558C6">
      <w:pPr>
        <w:pStyle w:val="2"/>
      </w:pPr>
    </w:p>
    <w:p w14:paraId="5DFA4455">
      <w:pPr>
        <w:sectPr>
          <w:footerReference r:id="rId86" w:type="default"/>
          <w:pgSz w:w="11906" w:h="16839"/>
          <w:pgMar w:top="400" w:right="1475" w:bottom="1425" w:left="1475" w:header="0" w:footer="1265" w:gutter="0"/>
          <w:cols w:space="720" w:num="1"/>
        </w:sectPr>
      </w:pPr>
    </w:p>
    <w:p w14:paraId="77FE277C">
      <w:pPr>
        <w:pStyle w:val="2"/>
        <w:spacing w:line="250" w:lineRule="auto"/>
      </w:pPr>
    </w:p>
    <w:p w14:paraId="5048546A">
      <w:pPr>
        <w:pStyle w:val="2"/>
        <w:spacing w:line="251" w:lineRule="auto"/>
      </w:pPr>
    </w:p>
    <w:p w14:paraId="1E042503">
      <w:pPr>
        <w:pStyle w:val="2"/>
        <w:spacing w:line="251" w:lineRule="auto"/>
      </w:pPr>
    </w:p>
    <w:p w14:paraId="18F71851">
      <w:pPr>
        <w:pStyle w:val="2"/>
        <w:spacing w:line="251" w:lineRule="auto"/>
      </w:pPr>
    </w:p>
    <w:p w14:paraId="63CBA83F">
      <w:pPr>
        <w:pStyle w:val="2"/>
        <w:spacing w:line="251" w:lineRule="auto"/>
      </w:pPr>
    </w:p>
    <w:p w14:paraId="18C9B8FC">
      <w:pPr>
        <w:spacing w:before="65" w:line="228" w:lineRule="auto"/>
        <w:ind w:left="469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3.5-13</w:t>
      </w:r>
      <w:r>
        <w:rPr>
          <w:rFonts w:ascii="Times New Roman" w:hAnsi="Times New Roman" w:eastAsia="Times New Roman" w:cs="Times New Roman"/>
          <w:b/>
          <w:bCs/>
          <w:spacing w:val="30"/>
          <w:w w:val="101"/>
          <w:sz w:val="20"/>
          <w:szCs w:val="20"/>
        </w:rPr>
        <w:t xml:space="preserve"> </w:t>
      </w:r>
      <w:r>
        <w:rPr>
          <w:rFonts w:ascii="宋体" w:hAnsi="宋体" w:eastAsia="宋体" w:cs="宋体"/>
          <w:b/>
          <w:bCs/>
          <w:spacing w:val="6"/>
          <w:sz w:val="20"/>
          <w:szCs w:val="20"/>
        </w:rPr>
        <w:t>固体废物污染源源强核算结果及相关参数一览表</w:t>
      </w:r>
    </w:p>
    <w:p w14:paraId="22A73639">
      <w:pPr>
        <w:spacing w:line="102" w:lineRule="exact"/>
      </w:pPr>
    </w:p>
    <w:tbl>
      <w:tblPr>
        <w:tblStyle w:val="5"/>
        <w:tblW w:w="139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279"/>
        <w:gridCol w:w="2397"/>
        <w:gridCol w:w="817"/>
        <w:gridCol w:w="1496"/>
        <w:gridCol w:w="1363"/>
        <w:gridCol w:w="2859"/>
        <w:gridCol w:w="1544"/>
        <w:gridCol w:w="1423"/>
      </w:tblGrid>
      <w:tr w14:paraId="70ABD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18" w:type="dxa"/>
            <w:vMerge w:val="restart"/>
            <w:tcBorders>
              <w:bottom w:val="nil"/>
            </w:tcBorders>
            <w:vAlign w:val="top"/>
          </w:tcPr>
          <w:p w14:paraId="25933B5F">
            <w:pPr>
              <w:pStyle w:val="6"/>
              <w:spacing w:before="62" w:line="230" w:lineRule="auto"/>
              <w:ind w:left="178"/>
              <w:rPr>
                <w:rFonts w:ascii="Times New Roman" w:hAnsi="Times New Roman" w:eastAsia="Times New Roman" w:cs="Times New Roman"/>
              </w:rPr>
            </w:pPr>
            <w:r>
              <w:rPr>
                <w:b/>
                <w:bCs/>
                <w:spacing w:val="2"/>
              </w:rPr>
              <w:t>工序</w:t>
            </w:r>
            <w:r>
              <w:rPr>
                <w:rFonts w:ascii="Times New Roman" w:hAnsi="Times New Roman" w:eastAsia="Times New Roman" w:cs="Times New Roman"/>
                <w:b/>
                <w:bCs/>
                <w:spacing w:val="2"/>
              </w:rPr>
              <w:t>/</w:t>
            </w:r>
          </w:p>
          <w:p w14:paraId="1159646B">
            <w:pPr>
              <w:pStyle w:val="6"/>
              <w:spacing w:before="77" w:line="228" w:lineRule="auto"/>
              <w:ind w:left="206"/>
            </w:pPr>
            <w:r>
              <w:rPr>
                <w:b/>
                <w:bCs/>
                <w:spacing w:val="3"/>
              </w:rPr>
              <w:t>生产</w:t>
            </w:r>
          </w:p>
          <w:p w14:paraId="3BF142E6">
            <w:pPr>
              <w:pStyle w:val="6"/>
              <w:spacing w:before="79" w:line="229" w:lineRule="auto"/>
              <w:ind w:left="313"/>
            </w:pPr>
            <w:r>
              <w:rPr>
                <w:b/>
                <w:bCs/>
                <w:spacing w:val="-3"/>
              </w:rPr>
              <w:t>线</w:t>
            </w:r>
          </w:p>
        </w:tc>
        <w:tc>
          <w:tcPr>
            <w:tcW w:w="1279" w:type="dxa"/>
            <w:vMerge w:val="restart"/>
            <w:tcBorders>
              <w:bottom w:val="nil"/>
            </w:tcBorders>
            <w:vAlign w:val="top"/>
          </w:tcPr>
          <w:p w14:paraId="264CA120">
            <w:pPr>
              <w:spacing w:line="322" w:lineRule="auto"/>
              <w:rPr>
                <w:rFonts w:ascii="Arial"/>
                <w:sz w:val="21"/>
              </w:rPr>
            </w:pPr>
          </w:p>
          <w:p w14:paraId="445EA677">
            <w:pPr>
              <w:pStyle w:val="6"/>
              <w:spacing w:before="65" w:line="229" w:lineRule="auto"/>
              <w:ind w:left="193"/>
            </w:pPr>
            <w:r>
              <w:rPr>
                <w:b/>
                <w:bCs/>
                <w:spacing w:val="5"/>
              </w:rPr>
              <w:t>装置</w:t>
            </w:r>
            <w:r>
              <w:rPr>
                <w:rFonts w:ascii="Times New Roman" w:hAnsi="Times New Roman" w:eastAsia="Times New Roman" w:cs="Times New Roman"/>
                <w:b/>
                <w:bCs/>
                <w:spacing w:val="5"/>
              </w:rPr>
              <w:t>/</w:t>
            </w:r>
            <w:r>
              <w:rPr>
                <w:b/>
                <w:bCs/>
                <w:spacing w:val="5"/>
              </w:rPr>
              <w:t>场所</w:t>
            </w:r>
          </w:p>
        </w:tc>
        <w:tc>
          <w:tcPr>
            <w:tcW w:w="2397" w:type="dxa"/>
            <w:vMerge w:val="restart"/>
            <w:tcBorders>
              <w:bottom w:val="nil"/>
            </w:tcBorders>
            <w:vAlign w:val="top"/>
          </w:tcPr>
          <w:p w14:paraId="064A4C0D">
            <w:pPr>
              <w:spacing w:line="322" w:lineRule="auto"/>
              <w:rPr>
                <w:rFonts w:ascii="Arial"/>
                <w:sz w:val="21"/>
              </w:rPr>
            </w:pPr>
          </w:p>
          <w:p w14:paraId="4AF80B65">
            <w:pPr>
              <w:pStyle w:val="6"/>
              <w:spacing w:before="65" w:line="229" w:lineRule="auto"/>
              <w:ind w:left="799"/>
            </w:pPr>
            <w:r>
              <w:rPr>
                <w:b/>
                <w:bCs/>
                <w:spacing w:val="2"/>
              </w:rPr>
              <w:t>固体废物</w:t>
            </w:r>
          </w:p>
        </w:tc>
        <w:tc>
          <w:tcPr>
            <w:tcW w:w="817" w:type="dxa"/>
            <w:vMerge w:val="restart"/>
            <w:tcBorders>
              <w:bottom w:val="nil"/>
            </w:tcBorders>
            <w:vAlign w:val="top"/>
          </w:tcPr>
          <w:p w14:paraId="52E44A05">
            <w:pPr>
              <w:pStyle w:val="6"/>
              <w:spacing w:before="226" w:line="229" w:lineRule="auto"/>
              <w:ind w:left="221"/>
            </w:pPr>
            <w:r>
              <w:rPr>
                <w:b/>
                <w:bCs/>
                <w:spacing w:val="-6"/>
              </w:rPr>
              <w:t>固废</w:t>
            </w:r>
          </w:p>
          <w:p w14:paraId="247ADE0E">
            <w:pPr>
              <w:pStyle w:val="6"/>
              <w:spacing w:before="78" w:line="230" w:lineRule="auto"/>
              <w:ind w:left="205"/>
            </w:pPr>
            <w:r>
              <w:rPr>
                <w:b/>
                <w:bCs/>
                <w:spacing w:val="3"/>
              </w:rPr>
              <w:t>属性</w:t>
            </w:r>
          </w:p>
        </w:tc>
        <w:tc>
          <w:tcPr>
            <w:tcW w:w="2859" w:type="dxa"/>
            <w:gridSpan w:val="2"/>
            <w:vAlign w:val="top"/>
          </w:tcPr>
          <w:p w14:paraId="4B0266BF">
            <w:pPr>
              <w:pStyle w:val="6"/>
              <w:spacing w:before="115" w:line="228" w:lineRule="auto"/>
              <w:ind w:left="1014"/>
            </w:pPr>
            <w:r>
              <w:rPr>
                <w:b/>
                <w:bCs/>
                <w:spacing w:val="6"/>
              </w:rPr>
              <w:t>产生情况</w:t>
            </w:r>
          </w:p>
        </w:tc>
        <w:tc>
          <w:tcPr>
            <w:tcW w:w="4403" w:type="dxa"/>
            <w:gridSpan w:val="2"/>
            <w:vAlign w:val="top"/>
          </w:tcPr>
          <w:p w14:paraId="69AAB106">
            <w:pPr>
              <w:pStyle w:val="6"/>
              <w:spacing w:before="115" w:line="229" w:lineRule="auto"/>
              <w:ind w:left="1792"/>
            </w:pPr>
            <w:r>
              <w:rPr>
                <w:b/>
                <w:bCs/>
                <w:spacing w:val="5"/>
              </w:rPr>
              <w:t>处理措施</w:t>
            </w:r>
          </w:p>
        </w:tc>
        <w:tc>
          <w:tcPr>
            <w:tcW w:w="1423" w:type="dxa"/>
            <w:vMerge w:val="restart"/>
            <w:tcBorders>
              <w:bottom w:val="nil"/>
            </w:tcBorders>
            <w:vAlign w:val="top"/>
          </w:tcPr>
          <w:p w14:paraId="5E91757E">
            <w:pPr>
              <w:spacing w:line="322" w:lineRule="auto"/>
              <w:rPr>
                <w:rFonts w:ascii="Arial"/>
                <w:sz w:val="21"/>
              </w:rPr>
            </w:pPr>
          </w:p>
          <w:p w14:paraId="4F8EA1A0">
            <w:pPr>
              <w:pStyle w:val="6"/>
              <w:spacing w:before="65" w:line="228" w:lineRule="auto"/>
              <w:ind w:left="299"/>
            </w:pPr>
            <w:r>
              <w:rPr>
                <w:b/>
                <w:bCs/>
                <w:spacing w:val="5"/>
              </w:rPr>
              <w:t>最终去向</w:t>
            </w:r>
          </w:p>
        </w:tc>
      </w:tr>
      <w:tr w14:paraId="1EE16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8" w:type="dxa"/>
            <w:vMerge w:val="continue"/>
            <w:tcBorders>
              <w:top w:val="nil"/>
            </w:tcBorders>
            <w:vAlign w:val="top"/>
          </w:tcPr>
          <w:p w14:paraId="7EA01172">
            <w:pPr>
              <w:rPr>
                <w:rFonts w:ascii="Arial"/>
                <w:sz w:val="21"/>
              </w:rPr>
            </w:pPr>
          </w:p>
        </w:tc>
        <w:tc>
          <w:tcPr>
            <w:tcW w:w="1279" w:type="dxa"/>
            <w:vMerge w:val="continue"/>
            <w:tcBorders>
              <w:top w:val="nil"/>
            </w:tcBorders>
            <w:vAlign w:val="top"/>
          </w:tcPr>
          <w:p w14:paraId="21C679B6">
            <w:pPr>
              <w:rPr>
                <w:rFonts w:ascii="Arial"/>
                <w:sz w:val="21"/>
              </w:rPr>
            </w:pPr>
          </w:p>
        </w:tc>
        <w:tc>
          <w:tcPr>
            <w:tcW w:w="2397" w:type="dxa"/>
            <w:vMerge w:val="continue"/>
            <w:tcBorders>
              <w:top w:val="nil"/>
            </w:tcBorders>
            <w:vAlign w:val="top"/>
          </w:tcPr>
          <w:p w14:paraId="17C6FFC2">
            <w:pPr>
              <w:rPr>
                <w:rFonts w:ascii="Arial"/>
                <w:sz w:val="21"/>
              </w:rPr>
            </w:pPr>
          </w:p>
        </w:tc>
        <w:tc>
          <w:tcPr>
            <w:tcW w:w="817" w:type="dxa"/>
            <w:vMerge w:val="continue"/>
            <w:tcBorders>
              <w:top w:val="nil"/>
            </w:tcBorders>
            <w:vAlign w:val="top"/>
          </w:tcPr>
          <w:p w14:paraId="715C88AA">
            <w:pPr>
              <w:rPr>
                <w:rFonts w:ascii="Arial"/>
                <w:sz w:val="21"/>
              </w:rPr>
            </w:pPr>
          </w:p>
        </w:tc>
        <w:tc>
          <w:tcPr>
            <w:tcW w:w="1496" w:type="dxa"/>
            <w:vAlign w:val="top"/>
          </w:tcPr>
          <w:p w14:paraId="48624434">
            <w:pPr>
              <w:pStyle w:val="6"/>
              <w:spacing w:before="166" w:line="228" w:lineRule="auto"/>
              <w:ind w:left="335"/>
            </w:pPr>
            <w:r>
              <w:rPr>
                <w:b/>
                <w:bCs/>
                <w:spacing w:val="5"/>
              </w:rPr>
              <w:t>核算方法</w:t>
            </w:r>
          </w:p>
        </w:tc>
        <w:tc>
          <w:tcPr>
            <w:tcW w:w="1363" w:type="dxa"/>
            <w:vAlign w:val="top"/>
          </w:tcPr>
          <w:p w14:paraId="5C7EA2EF">
            <w:pPr>
              <w:pStyle w:val="6"/>
              <w:spacing w:before="165" w:line="221" w:lineRule="auto"/>
              <w:ind w:left="158"/>
              <w:rPr>
                <w:rFonts w:ascii="Times New Roman" w:hAnsi="Times New Roman" w:eastAsia="Times New Roman" w:cs="Times New Roman"/>
              </w:rPr>
            </w:pPr>
            <w:r>
              <w:rPr>
                <w:b/>
                <w:bCs/>
                <w:spacing w:val="3"/>
              </w:rPr>
              <w:t>产生量</w:t>
            </w:r>
            <w:r>
              <w:rPr>
                <w:rFonts w:ascii="Times New Roman" w:hAnsi="Times New Roman" w:eastAsia="Times New Roman" w:cs="Times New Roman"/>
                <w:b/>
                <w:bCs/>
                <w:spacing w:val="3"/>
              </w:rPr>
              <w:t>/(t/a)</w:t>
            </w:r>
          </w:p>
        </w:tc>
        <w:tc>
          <w:tcPr>
            <w:tcW w:w="2859" w:type="dxa"/>
            <w:vAlign w:val="top"/>
          </w:tcPr>
          <w:p w14:paraId="7D1D08AD">
            <w:pPr>
              <w:pStyle w:val="6"/>
              <w:spacing w:before="165" w:line="239" w:lineRule="auto"/>
              <w:ind w:left="1227"/>
            </w:pPr>
            <w:r>
              <w:rPr>
                <w:b/>
                <w:bCs/>
                <w:spacing w:val="2"/>
              </w:rPr>
              <w:t>工艺</w:t>
            </w:r>
          </w:p>
        </w:tc>
        <w:tc>
          <w:tcPr>
            <w:tcW w:w="1544" w:type="dxa"/>
            <w:vAlign w:val="top"/>
          </w:tcPr>
          <w:p w14:paraId="3C57CBBB">
            <w:pPr>
              <w:pStyle w:val="6"/>
              <w:spacing w:before="165" w:line="221" w:lineRule="auto"/>
              <w:ind w:left="253"/>
              <w:rPr>
                <w:rFonts w:ascii="Times New Roman" w:hAnsi="Times New Roman" w:eastAsia="Times New Roman" w:cs="Times New Roman"/>
              </w:rPr>
            </w:pPr>
            <w:r>
              <w:rPr>
                <w:b/>
                <w:bCs/>
                <w:spacing w:val="3"/>
              </w:rPr>
              <w:t>处置量</w:t>
            </w:r>
            <w:r>
              <w:rPr>
                <w:rFonts w:ascii="Times New Roman" w:hAnsi="Times New Roman" w:eastAsia="Times New Roman" w:cs="Times New Roman"/>
                <w:b/>
                <w:bCs/>
                <w:spacing w:val="3"/>
              </w:rPr>
              <w:t>/(t/a)</w:t>
            </w:r>
          </w:p>
        </w:tc>
        <w:tc>
          <w:tcPr>
            <w:tcW w:w="1423" w:type="dxa"/>
            <w:vMerge w:val="continue"/>
            <w:tcBorders>
              <w:top w:val="nil"/>
            </w:tcBorders>
            <w:vAlign w:val="top"/>
          </w:tcPr>
          <w:p w14:paraId="04E81F85">
            <w:pPr>
              <w:rPr>
                <w:rFonts w:ascii="Arial"/>
                <w:sz w:val="21"/>
              </w:rPr>
            </w:pPr>
          </w:p>
        </w:tc>
      </w:tr>
      <w:tr w14:paraId="69F44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18" w:type="dxa"/>
            <w:vAlign w:val="top"/>
          </w:tcPr>
          <w:p w14:paraId="3843816F">
            <w:pPr>
              <w:pStyle w:val="6"/>
              <w:spacing w:before="60" w:line="230" w:lineRule="auto"/>
              <w:ind w:left="213"/>
            </w:pPr>
            <w:r>
              <w:t>员工</w:t>
            </w:r>
          </w:p>
          <w:p w14:paraId="70D454AE">
            <w:pPr>
              <w:pStyle w:val="6"/>
              <w:spacing w:before="77" w:line="229" w:lineRule="auto"/>
              <w:ind w:left="206"/>
            </w:pPr>
            <w:r>
              <w:rPr>
                <w:spacing w:val="3"/>
              </w:rPr>
              <w:t>生活</w:t>
            </w:r>
          </w:p>
        </w:tc>
        <w:tc>
          <w:tcPr>
            <w:tcW w:w="1279" w:type="dxa"/>
            <w:vAlign w:val="top"/>
          </w:tcPr>
          <w:p w14:paraId="5663F120">
            <w:pPr>
              <w:pStyle w:val="6"/>
              <w:spacing w:before="223" w:line="229" w:lineRule="auto"/>
              <w:ind w:left="436"/>
            </w:pPr>
            <w:r>
              <w:rPr>
                <w:spacing w:val="3"/>
              </w:rPr>
              <w:t>厂区</w:t>
            </w:r>
          </w:p>
        </w:tc>
        <w:tc>
          <w:tcPr>
            <w:tcW w:w="2397" w:type="dxa"/>
            <w:vAlign w:val="top"/>
          </w:tcPr>
          <w:p w14:paraId="744AA0AC">
            <w:pPr>
              <w:pStyle w:val="6"/>
              <w:spacing w:before="223" w:line="229" w:lineRule="auto"/>
              <w:ind w:left="783"/>
            </w:pPr>
            <w:r>
              <w:rPr>
                <w:spacing w:val="6"/>
              </w:rPr>
              <w:t>生活垃圾</w:t>
            </w:r>
          </w:p>
        </w:tc>
        <w:tc>
          <w:tcPr>
            <w:tcW w:w="817" w:type="dxa"/>
            <w:vAlign w:val="top"/>
          </w:tcPr>
          <w:p w14:paraId="5A7B9296">
            <w:pPr>
              <w:pStyle w:val="6"/>
              <w:spacing w:before="60" w:line="229" w:lineRule="auto"/>
              <w:ind w:left="205"/>
            </w:pPr>
            <w:r>
              <w:rPr>
                <w:spacing w:val="3"/>
              </w:rPr>
              <w:t>生活</w:t>
            </w:r>
          </w:p>
          <w:p w14:paraId="45082480">
            <w:pPr>
              <w:pStyle w:val="6"/>
              <w:spacing w:before="78" w:line="229" w:lineRule="auto"/>
              <w:ind w:left="205"/>
            </w:pPr>
            <w:r>
              <w:rPr>
                <w:spacing w:val="3"/>
              </w:rPr>
              <w:t>垃圾</w:t>
            </w:r>
          </w:p>
        </w:tc>
        <w:tc>
          <w:tcPr>
            <w:tcW w:w="1496" w:type="dxa"/>
            <w:vAlign w:val="top"/>
          </w:tcPr>
          <w:p w14:paraId="0D9B7130">
            <w:pPr>
              <w:pStyle w:val="6"/>
              <w:spacing w:before="224" w:line="228" w:lineRule="auto"/>
              <w:ind w:left="226"/>
            </w:pPr>
            <w:r>
              <w:rPr>
                <w:spacing w:val="8"/>
              </w:rPr>
              <w:t>产污系数法</w:t>
            </w:r>
          </w:p>
        </w:tc>
        <w:tc>
          <w:tcPr>
            <w:tcW w:w="1363" w:type="dxa"/>
            <w:vAlign w:val="top"/>
          </w:tcPr>
          <w:p w14:paraId="197F2141">
            <w:pPr>
              <w:spacing w:before="192" w:line="275"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2859" w:type="dxa"/>
            <w:vAlign w:val="top"/>
          </w:tcPr>
          <w:p w14:paraId="1208ECFA">
            <w:pPr>
              <w:pStyle w:val="6"/>
              <w:spacing w:before="224" w:line="228" w:lineRule="auto"/>
              <w:ind w:left="600"/>
            </w:pPr>
            <w:r>
              <w:rPr>
                <w:spacing w:val="8"/>
              </w:rPr>
              <w:t>交由环卫部门处理</w:t>
            </w:r>
          </w:p>
        </w:tc>
        <w:tc>
          <w:tcPr>
            <w:tcW w:w="1544" w:type="dxa"/>
            <w:vAlign w:val="top"/>
          </w:tcPr>
          <w:p w14:paraId="1AC1FB22">
            <w:pPr>
              <w:spacing w:before="192"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423" w:type="dxa"/>
            <w:vAlign w:val="top"/>
          </w:tcPr>
          <w:p w14:paraId="7136D56B">
            <w:pPr>
              <w:pStyle w:val="6"/>
              <w:spacing w:before="223" w:line="229" w:lineRule="auto"/>
              <w:ind w:left="298"/>
            </w:pPr>
            <w:r>
              <w:rPr>
                <w:spacing w:val="6"/>
              </w:rPr>
              <w:t>卫生填埋</w:t>
            </w:r>
          </w:p>
        </w:tc>
      </w:tr>
      <w:tr w14:paraId="497B1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18" w:type="dxa"/>
            <w:vMerge w:val="restart"/>
            <w:tcBorders>
              <w:bottom w:val="nil"/>
            </w:tcBorders>
            <w:vAlign w:val="top"/>
          </w:tcPr>
          <w:p w14:paraId="7B03224D">
            <w:pPr>
              <w:spacing w:line="330" w:lineRule="auto"/>
              <w:rPr>
                <w:rFonts w:ascii="Arial"/>
                <w:sz w:val="21"/>
              </w:rPr>
            </w:pPr>
          </w:p>
          <w:p w14:paraId="14913DD0">
            <w:pPr>
              <w:spacing w:line="330" w:lineRule="auto"/>
              <w:rPr>
                <w:rFonts w:ascii="Arial"/>
                <w:sz w:val="21"/>
              </w:rPr>
            </w:pPr>
          </w:p>
          <w:p w14:paraId="1347F060">
            <w:pPr>
              <w:pStyle w:val="6"/>
              <w:spacing w:before="65" w:line="228" w:lineRule="auto"/>
              <w:ind w:left="206"/>
            </w:pPr>
            <w:r>
              <w:rPr>
                <w:spacing w:val="3"/>
              </w:rPr>
              <w:t>生产</w:t>
            </w:r>
          </w:p>
          <w:p w14:paraId="543A169E">
            <w:pPr>
              <w:pStyle w:val="6"/>
              <w:spacing w:before="79" w:line="229" w:lineRule="auto"/>
              <w:ind w:left="205"/>
            </w:pPr>
            <w:r>
              <w:rPr>
                <w:spacing w:val="4"/>
              </w:rPr>
              <w:t>过程</w:t>
            </w:r>
          </w:p>
        </w:tc>
        <w:tc>
          <w:tcPr>
            <w:tcW w:w="1279" w:type="dxa"/>
            <w:vMerge w:val="restart"/>
            <w:tcBorders>
              <w:bottom w:val="nil"/>
            </w:tcBorders>
            <w:vAlign w:val="top"/>
          </w:tcPr>
          <w:p w14:paraId="098283BD">
            <w:pPr>
              <w:spacing w:line="326" w:lineRule="auto"/>
              <w:rPr>
                <w:rFonts w:ascii="Arial"/>
                <w:sz w:val="21"/>
              </w:rPr>
            </w:pPr>
          </w:p>
          <w:p w14:paraId="53C29D84">
            <w:pPr>
              <w:pStyle w:val="6"/>
              <w:spacing w:before="65" w:line="229" w:lineRule="auto"/>
              <w:ind w:left="433"/>
            </w:pPr>
            <w:r>
              <w:rPr>
                <w:spacing w:val="4"/>
              </w:rPr>
              <w:t>猪舍</w:t>
            </w:r>
          </w:p>
        </w:tc>
        <w:tc>
          <w:tcPr>
            <w:tcW w:w="2397" w:type="dxa"/>
            <w:vAlign w:val="top"/>
          </w:tcPr>
          <w:p w14:paraId="037686B6">
            <w:pPr>
              <w:pStyle w:val="6"/>
              <w:spacing w:before="62" w:line="228" w:lineRule="auto"/>
              <w:ind w:left="994"/>
            </w:pPr>
            <w:r>
              <w:rPr>
                <w:spacing w:val="3"/>
              </w:rPr>
              <w:t>粪便</w:t>
            </w:r>
          </w:p>
        </w:tc>
        <w:tc>
          <w:tcPr>
            <w:tcW w:w="817" w:type="dxa"/>
            <w:vMerge w:val="restart"/>
            <w:tcBorders>
              <w:bottom w:val="nil"/>
            </w:tcBorders>
            <w:vAlign w:val="top"/>
          </w:tcPr>
          <w:p w14:paraId="31364D90">
            <w:pPr>
              <w:pStyle w:val="6"/>
              <w:spacing w:before="234" w:line="230" w:lineRule="auto"/>
              <w:ind w:left="207"/>
            </w:pPr>
            <w:r>
              <w:rPr>
                <w:spacing w:val="3"/>
              </w:rPr>
              <w:t>一般</w:t>
            </w:r>
          </w:p>
          <w:p w14:paraId="49CC41AA">
            <w:pPr>
              <w:pStyle w:val="6"/>
              <w:spacing w:before="77" w:line="229" w:lineRule="auto"/>
              <w:ind w:left="221"/>
            </w:pPr>
            <w:r>
              <w:rPr>
                <w:spacing w:val="-5"/>
              </w:rPr>
              <w:t>固体</w:t>
            </w:r>
          </w:p>
          <w:p w14:paraId="75307858">
            <w:pPr>
              <w:pStyle w:val="6"/>
              <w:spacing w:before="78" w:line="229" w:lineRule="auto"/>
              <w:ind w:left="203"/>
            </w:pPr>
            <w:r>
              <w:rPr>
                <w:spacing w:val="5"/>
              </w:rPr>
              <w:t>废物</w:t>
            </w:r>
          </w:p>
        </w:tc>
        <w:tc>
          <w:tcPr>
            <w:tcW w:w="1496" w:type="dxa"/>
            <w:vAlign w:val="top"/>
          </w:tcPr>
          <w:p w14:paraId="3E605CE1">
            <w:pPr>
              <w:pStyle w:val="6"/>
              <w:spacing w:before="62" w:line="228" w:lineRule="auto"/>
              <w:ind w:left="226"/>
            </w:pPr>
            <w:r>
              <w:rPr>
                <w:spacing w:val="8"/>
              </w:rPr>
              <w:t>产污系数法</w:t>
            </w:r>
          </w:p>
        </w:tc>
        <w:tc>
          <w:tcPr>
            <w:tcW w:w="1363" w:type="dxa"/>
            <w:vAlign w:val="top"/>
          </w:tcPr>
          <w:p w14:paraId="060DCBE6">
            <w:pPr>
              <w:spacing w:before="31"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2859" w:type="dxa"/>
            <w:vAlign w:val="top"/>
          </w:tcPr>
          <w:p w14:paraId="78F0679B">
            <w:pPr>
              <w:pStyle w:val="6"/>
              <w:spacing w:before="61" w:line="228" w:lineRule="auto"/>
              <w:ind w:left="176"/>
            </w:pPr>
            <w:r>
              <w:rPr>
                <w:spacing w:val="9"/>
              </w:rPr>
              <w:t>转移至有机肥发酵车间制肥</w:t>
            </w:r>
          </w:p>
        </w:tc>
        <w:tc>
          <w:tcPr>
            <w:tcW w:w="1544" w:type="dxa"/>
            <w:vAlign w:val="top"/>
          </w:tcPr>
          <w:p w14:paraId="015CE66D">
            <w:pPr>
              <w:spacing w:before="31" w:line="274" w:lineRule="exact"/>
              <w:ind w:left="5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5110</w:t>
            </w:r>
          </w:p>
        </w:tc>
        <w:tc>
          <w:tcPr>
            <w:tcW w:w="1423" w:type="dxa"/>
            <w:vAlign w:val="top"/>
          </w:tcPr>
          <w:p w14:paraId="465F882C">
            <w:pPr>
              <w:pStyle w:val="6"/>
              <w:spacing w:before="62" w:line="228" w:lineRule="auto"/>
              <w:ind w:left="317"/>
            </w:pPr>
            <w:r>
              <w:rPr>
                <w:spacing w:val="2"/>
              </w:rPr>
              <w:t>回收利用</w:t>
            </w:r>
          </w:p>
        </w:tc>
      </w:tr>
      <w:tr w14:paraId="71A48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18" w:type="dxa"/>
            <w:vMerge w:val="continue"/>
            <w:tcBorders>
              <w:top w:val="nil"/>
              <w:bottom w:val="nil"/>
            </w:tcBorders>
            <w:vAlign w:val="top"/>
          </w:tcPr>
          <w:p w14:paraId="3E1D61DC">
            <w:pPr>
              <w:rPr>
                <w:rFonts w:ascii="Arial"/>
                <w:sz w:val="21"/>
              </w:rPr>
            </w:pPr>
          </w:p>
        </w:tc>
        <w:tc>
          <w:tcPr>
            <w:tcW w:w="1279" w:type="dxa"/>
            <w:vMerge w:val="continue"/>
            <w:tcBorders>
              <w:top w:val="nil"/>
            </w:tcBorders>
            <w:vAlign w:val="top"/>
          </w:tcPr>
          <w:p w14:paraId="63E09FBA">
            <w:pPr>
              <w:rPr>
                <w:rFonts w:ascii="Arial"/>
                <w:sz w:val="21"/>
              </w:rPr>
            </w:pPr>
          </w:p>
        </w:tc>
        <w:tc>
          <w:tcPr>
            <w:tcW w:w="2397" w:type="dxa"/>
            <w:vAlign w:val="top"/>
          </w:tcPr>
          <w:p w14:paraId="58B33EDB">
            <w:pPr>
              <w:pStyle w:val="6"/>
              <w:spacing w:before="225" w:line="229" w:lineRule="auto"/>
              <w:ind w:left="677"/>
            </w:pPr>
            <w:r>
              <w:rPr>
                <w:spacing w:val="8"/>
              </w:rPr>
              <w:t>病死猪尸体</w:t>
            </w:r>
          </w:p>
        </w:tc>
        <w:tc>
          <w:tcPr>
            <w:tcW w:w="817" w:type="dxa"/>
            <w:vMerge w:val="continue"/>
            <w:tcBorders>
              <w:top w:val="nil"/>
              <w:bottom w:val="nil"/>
            </w:tcBorders>
            <w:vAlign w:val="top"/>
          </w:tcPr>
          <w:p w14:paraId="3AB83A32">
            <w:pPr>
              <w:rPr>
                <w:rFonts w:ascii="Arial"/>
                <w:sz w:val="21"/>
              </w:rPr>
            </w:pPr>
          </w:p>
        </w:tc>
        <w:tc>
          <w:tcPr>
            <w:tcW w:w="1496" w:type="dxa"/>
            <w:vAlign w:val="top"/>
          </w:tcPr>
          <w:p w14:paraId="47270A12">
            <w:pPr>
              <w:pStyle w:val="6"/>
              <w:spacing w:before="225" w:line="228" w:lineRule="auto"/>
              <w:ind w:left="438"/>
            </w:pPr>
            <w:r>
              <w:rPr>
                <w:spacing w:val="6"/>
              </w:rPr>
              <w:t>类比法</w:t>
            </w:r>
          </w:p>
        </w:tc>
        <w:tc>
          <w:tcPr>
            <w:tcW w:w="1363" w:type="dxa"/>
            <w:vAlign w:val="top"/>
          </w:tcPr>
          <w:p w14:paraId="7C884860">
            <w:pPr>
              <w:spacing w:before="194" w:line="274" w:lineRule="exact"/>
              <w:ind w:left="5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2859" w:type="dxa"/>
            <w:vAlign w:val="top"/>
          </w:tcPr>
          <w:p w14:paraId="634DC1A1">
            <w:pPr>
              <w:pStyle w:val="6"/>
              <w:spacing w:before="62" w:line="229" w:lineRule="auto"/>
              <w:ind w:left="174"/>
            </w:pPr>
            <w:r>
              <w:rPr>
                <w:spacing w:val="9"/>
              </w:rPr>
              <w:t>进安全填埋井进行无害化处</w:t>
            </w:r>
          </w:p>
          <w:p w14:paraId="240E62B5">
            <w:pPr>
              <w:pStyle w:val="6"/>
              <w:spacing w:before="78" w:line="229" w:lineRule="auto"/>
              <w:ind w:left="1124"/>
            </w:pPr>
            <w:r>
              <w:rPr>
                <w:spacing w:val="6"/>
              </w:rPr>
              <w:t>理填埋</w:t>
            </w:r>
          </w:p>
        </w:tc>
        <w:tc>
          <w:tcPr>
            <w:tcW w:w="1544" w:type="dxa"/>
            <w:vAlign w:val="top"/>
          </w:tcPr>
          <w:p w14:paraId="6756D5ED">
            <w:pPr>
              <w:spacing w:before="194"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1423" w:type="dxa"/>
            <w:vAlign w:val="top"/>
          </w:tcPr>
          <w:p w14:paraId="53E16450">
            <w:pPr>
              <w:pStyle w:val="6"/>
              <w:spacing w:before="225" w:line="229" w:lineRule="auto"/>
              <w:ind w:left="301"/>
            </w:pPr>
            <w:r>
              <w:rPr>
                <w:spacing w:val="6"/>
              </w:rPr>
              <w:t>安全填埋</w:t>
            </w:r>
          </w:p>
        </w:tc>
      </w:tr>
      <w:tr w14:paraId="23848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18" w:type="dxa"/>
            <w:vMerge w:val="continue"/>
            <w:tcBorders>
              <w:top w:val="nil"/>
              <w:bottom w:val="nil"/>
            </w:tcBorders>
            <w:vAlign w:val="top"/>
          </w:tcPr>
          <w:p w14:paraId="26071A83">
            <w:pPr>
              <w:rPr>
                <w:rFonts w:ascii="Arial"/>
                <w:sz w:val="21"/>
              </w:rPr>
            </w:pPr>
          </w:p>
        </w:tc>
        <w:tc>
          <w:tcPr>
            <w:tcW w:w="1279" w:type="dxa"/>
            <w:vAlign w:val="top"/>
          </w:tcPr>
          <w:p w14:paraId="77810934">
            <w:pPr>
              <w:pStyle w:val="6"/>
              <w:spacing w:before="63" w:line="229" w:lineRule="auto"/>
              <w:ind w:left="115"/>
            </w:pPr>
            <w:r>
              <w:rPr>
                <w:spacing w:val="8"/>
              </w:rPr>
              <w:t>饲料加工房</w:t>
            </w:r>
          </w:p>
        </w:tc>
        <w:tc>
          <w:tcPr>
            <w:tcW w:w="2397" w:type="dxa"/>
            <w:vAlign w:val="top"/>
          </w:tcPr>
          <w:p w14:paraId="18A846A8">
            <w:pPr>
              <w:pStyle w:val="6"/>
              <w:spacing w:before="63" w:line="229" w:lineRule="auto"/>
              <w:ind w:left="780"/>
            </w:pPr>
            <w:r>
              <w:rPr>
                <w:spacing w:val="7"/>
              </w:rPr>
              <w:t>废包装物</w:t>
            </w:r>
          </w:p>
        </w:tc>
        <w:tc>
          <w:tcPr>
            <w:tcW w:w="817" w:type="dxa"/>
            <w:vMerge w:val="continue"/>
            <w:tcBorders>
              <w:top w:val="nil"/>
            </w:tcBorders>
            <w:vAlign w:val="top"/>
          </w:tcPr>
          <w:p w14:paraId="32B66724">
            <w:pPr>
              <w:rPr>
                <w:rFonts w:ascii="Arial"/>
                <w:sz w:val="21"/>
              </w:rPr>
            </w:pPr>
          </w:p>
        </w:tc>
        <w:tc>
          <w:tcPr>
            <w:tcW w:w="1496" w:type="dxa"/>
            <w:vAlign w:val="top"/>
          </w:tcPr>
          <w:p w14:paraId="643CC61D">
            <w:pPr>
              <w:pStyle w:val="6"/>
              <w:spacing w:before="63" w:line="228" w:lineRule="auto"/>
              <w:ind w:left="438"/>
            </w:pPr>
            <w:r>
              <w:rPr>
                <w:spacing w:val="6"/>
              </w:rPr>
              <w:t>类比法</w:t>
            </w:r>
          </w:p>
        </w:tc>
        <w:tc>
          <w:tcPr>
            <w:tcW w:w="1363" w:type="dxa"/>
            <w:vAlign w:val="top"/>
          </w:tcPr>
          <w:p w14:paraId="022CBD2B">
            <w:pPr>
              <w:spacing w:before="32" w:line="274" w:lineRule="exact"/>
              <w:ind w:left="63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859" w:type="dxa"/>
            <w:vAlign w:val="top"/>
          </w:tcPr>
          <w:p w14:paraId="4705CD9F">
            <w:pPr>
              <w:pStyle w:val="6"/>
              <w:spacing w:before="62" w:line="228" w:lineRule="auto"/>
              <w:ind w:left="392"/>
            </w:pPr>
            <w:r>
              <w:rPr>
                <w:spacing w:val="8"/>
              </w:rPr>
              <w:t>收集后交由供应商回收</w:t>
            </w:r>
          </w:p>
        </w:tc>
        <w:tc>
          <w:tcPr>
            <w:tcW w:w="1544" w:type="dxa"/>
            <w:vAlign w:val="top"/>
          </w:tcPr>
          <w:p w14:paraId="44E0A578">
            <w:pPr>
              <w:spacing w:before="32" w:line="274" w:lineRule="exact"/>
              <w:ind w:left="72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423" w:type="dxa"/>
            <w:vAlign w:val="top"/>
          </w:tcPr>
          <w:p w14:paraId="2CAAF267">
            <w:pPr>
              <w:pStyle w:val="6"/>
              <w:spacing w:before="63" w:line="228" w:lineRule="auto"/>
              <w:ind w:left="317"/>
            </w:pPr>
            <w:r>
              <w:rPr>
                <w:spacing w:val="2"/>
              </w:rPr>
              <w:t>回收利用</w:t>
            </w:r>
          </w:p>
        </w:tc>
      </w:tr>
      <w:tr w14:paraId="0B343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18" w:type="dxa"/>
            <w:vMerge w:val="continue"/>
            <w:tcBorders>
              <w:top w:val="nil"/>
            </w:tcBorders>
            <w:vAlign w:val="top"/>
          </w:tcPr>
          <w:p w14:paraId="3A40A83F">
            <w:pPr>
              <w:rPr>
                <w:rFonts w:ascii="Arial"/>
                <w:sz w:val="21"/>
              </w:rPr>
            </w:pPr>
          </w:p>
        </w:tc>
        <w:tc>
          <w:tcPr>
            <w:tcW w:w="1279" w:type="dxa"/>
            <w:vAlign w:val="top"/>
          </w:tcPr>
          <w:p w14:paraId="26B3EABF">
            <w:pPr>
              <w:pStyle w:val="6"/>
              <w:spacing w:before="227" w:line="229" w:lineRule="auto"/>
              <w:ind w:left="443"/>
            </w:pPr>
            <w:r>
              <w:rPr>
                <w:spacing w:val="-1"/>
              </w:rPr>
              <w:t>医疗</w:t>
            </w:r>
          </w:p>
        </w:tc>
        <w:tc>
          <w:tcPr>
            <w:tcW w:w="2397" w:type="dxa"/>
            <w:vAlign w:val="top"/>
          </w:tcPr>
          <w:p w14:paraId="7F24C920">
            <w:pPr>
              <w:pStyle w:val="6"/>
              <w:spacing w:before="227" w:line="229" w:lineRule="auto"/>
              <w:ind w:left="791"/>
            </w:pPr>
            <w:r>
              <w:rPr>
                <w:spacing w:val="4"/>
              </w:rPr>
              <w:t>医疗废物</w:t>
            </w:r>
          </w:p>
        </w:tc>
        <w:tc>
          <w:tcPr>
            <w:tcW w:w="817" w:type="dxa"/>
            <w:vAlign w:val="top"/>
          </w:tcPr>
          <w:p w14:paraId="5F512A12">
            <w:pPr>
              <w:pStyle w:val="6"/>
              <w:spacing w:before="64" w:line="229" w:lineRule="auto"/>
              <w:ind w:left="206"/>
            </w:pPr>
            <w:r>
              <w:rPr>
                <w:spacing w:val="3"/>
              </w:rPr>
              <w:t>危险</w:t>
            </w:r>
          </w:p>
          <w:p w14:paraId="35E94EB5">
            <w:pPr>
              <w:pStyle w:val="6"/>
              <w:spacing w:before="75" w:line="229" w:lineRule="auto"/>
              <w:ind w:left="203"/>
            </w:pPr>
            <w:r>
              <w:rPr>
                <w:spacing w:val="5"/>
              </w:rPr>
              <w:t>废物</w:t>
            </w:r>
          </w:p>
        </w:tc>
        <w:tc>
          <w:tcPr>
            <w:tcW w:w="1496" w:type="dxa"/>
            <w:vAlign w:val="top"/>
          </w:tcPr>
          <w:p w14:paraId="135DC6F1">
            <w:pPr>
              <w:pStyle w:val="6"/>
              <w:spacing w:before="227" w:line="228" w:lineRule="auto"/>
              <w:ind w:left="438"/>
            </w:pPr>
            <w:r>
              <w:rPr>
                <w:spacing w:val="6"/>
              </w:rPr>
              <w:t>类比法</w:t>
            </w:r>
          </w:p>
        </w:tc>
        <w:tc>
          <w:tcPr>
            <w:tcW w:w="1363" w:type="dxa"/>
            <w:vAlign w:val="top"/>
          </w:tcPr>
          <w:p w14:paraId="2151547D">
            <w:pPr>
              <w:spacing w:before="196"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2859" w:type="dxa"/>
            <w:vAlign w:val="top"/>
          </w:tcPr>
          <w:p w14:paraId="44550D0F">
            <w:pPr>
              <w:pStyle w:val="6"/>
              <w:spacing w:before="227" w:line="228" w:lineRule="auto"/>
              <w:ind w:left="280"/>
            </w:pPr>
            <w:r>
              <w:rPr>
                <w:spacing w:val="9"/>
              </w:rPr>
              <w:t>委托有资质单位回收处理</w:t>
            </w:r>
          </w:p>
        </w:tc>
        <w:tc>
          <w:tcPr>
            <w:tcW w:w="1544" w:type="dxa"/>
            <w:vAlign w:val="top"/>
          </w:tcPr>
          <w:p w14:paraId="19B6F1F7">
            <w:pPr>
              <w:spacing w:before="196"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23" w:type="dxa"/>
            <w:vAlign w:val="top"/>
          </w:tcPr>
          <w:p w14:paraId="2B921868">
            <w:pPr>
              <w:pStyle w:val="6"/>
              <w:spacing w:before="64" w:line="228" w:lineRule="auto"/>
              <w:ind w:left="193"/>
            </w:pPr>
            <w:r>
              <w:rPr>
                <w:spacing w:val="7"/>
              </w:rPr>
              <w:t>危废终端处</w:t>
            </w:r>
          </w:p>
          <w:p w14:paraId="4362657A">
            <w:pPr>
              <w:pStyle w:val="6"/>
              <w:spacing w:before="76" w:line="239" w:lineRule="auto"/>
              <w:ind w:left="613"/>
            </w:pPr>
            <w:r>
              <w:t>理</w:t>
            </w:r>
          </w:p>
        </w:tc>
      </w:tr>
    </w:tbl>
    <w:p w14:paraId="0EC4B8E7">
      <w:pPr>
        <w:pStyle w:val="2"/>
      </w:pPr>
    </w:p>
    <w:p w14:paraId="166F40D9">
      <w:pPr>
        <w:sectPr>
          <w:footerReference r:id="rId87" w:type="default"/>
          <w:pgSz w:w="16839" w:h="11906"/>
          <w:pgMar w:top="400" w:right="1531" w:bottom="1485" w:left="1305" w:header="0" w:footer="1249" w:gutter="0"/>
          <w:cols w:space="720" w:num="1"/>
        </w:sectPr>
      </w:pPr>
    </w:p>
    <w:p w14:paraId="574E1751">
      <w:pPr>
        <w:pStyle w:val="2"/>
        <w:spacing w:line="264" w:lineRule="auto"/>
      </w:pPr>
    </w:p>
    <w:p w14:paraId="15FCE20C">
      <w:pPr>
        <w:pStyle w:val="2"/>
        <w:spacing w:line="264" w:lineRule="auto"/>
      </w:pPr>
    </w:p>
    <w:p w14:paraId="5A6A40F9">
      <w:pPr>
        <w:pStyle w:val="2"/>
        <w:spacing w:line="264" w:lineRule="auto"/>
      </w:pPr>
    </w:p>
    <w:p w14:paraId="4992137D">
      <w:pPr>
        <w:pStyle w:val="2"/>
        <w:spacing w:line="265" w:lineRule="auto"/>
      </w:pPr>
    </w:p>
    <w:p w14:paraId="0C7A015B">
      <w:pPr>
        <w:spacing w:before="78" w:line="221" w:lineRule="auto"/>
        <w:ind w:left="139"/>
        <w:outlineLvl w:val="1"/>
        <w:rPr>
          <w:rFonts w:ascii="宋体" w:hAnsi="宋体" w:eastAsia="宋体" w:cs="宋体"/>
          <w:sz w:val="24"/>
          <w:szCs w:val="24"/>
        </w:rPr>
      </w:pPr>
      <w:r>
        <w:rPr>
          <w:rFonts w:ascii="Times New Roman" w:hAnsi="Times New Roman" w:eastAsia="Times New Roman" w:cs="Times New Roman"/>
          <w:b/>
          <w:bCs/>
          <w:spacing w:val="-2"/>
          <w:sz w:val="24"/>
          <w:szCs w:val="24"/>
        </w:rPr>
        <w:t>3.5.5</w:t>
      </w:r>
      <w:r>
        <w:rPr>
          <w:rFonts w:ascii="宋体" w:hAnsi="宋体" w:eastAsia="宋体" w:cs="宋体"/>
          <w:b/>
          <w:bCs/>
          <w:spacing w:val="-2"/>
          <w:sz w:val="24"/>
          <w:szCs w:val="24"/>
        </w:rPr>
        <w:t>污染源强汇总</w:t>
      </w:r>
    </w:p>
    <w:p w14:paraId="1A4EA933">
      <w:pPr>
        <w:spacing w:before="167" w:line="359" w:lineRule="exact"/>
        <w:ind w:left="624"/>
        <w:rPr>
          <w:rFonts w:ascii="宋体" w:hAnsi="宋体" w:eastAsia="宋体" w:cs="宋体"/>
          <w:sz w:val="24"/>
          <w:szCs w:val="24"/>
        </w:rPr>
      </w:pPr>
      <w:r>
        <w:rPr>
          <w:rFonts w:ascii="宋体" w:hAnsi="宋体" w:eastAsia="宋体" w:cs="宋体"/>
          <w:spacing w:val="-1"/>
          <w:position w:val="2"/>
          <w:sz w:val="24"/>
          <w:szCs w:val="24"/>
        </w:rPr>
        <w:t>根据以上分析，本项目污染物产生及排放情况如表</w:t>
      </w:r>
      <w:r>
        <w:rPr>
          <w:rFonts w:ascii="宋体" w:hAnsi="宋体" w:eastAsia="宋体" w:cs="宋体"/>
          <w:spacing w:val="-40"/>
          <w:position w:val="2"/>
          <w:sz w:val="24"/>
          <w:szCs w:val="24"/>
        </w:rPr>
        <w:t xml:space="preserve"> </w:t>
      </w:r>
      <w:r>
        <w:rPr>
          <w:rFonts w:ascii="Times New Roman" w:hAnsi="Times New Roman" w:eastAsia="Times New Roman" w:cs="Times New Roman"/>
          <w:spacing w:val="-1"/>
          <w:position w:val="2"/>
          <w:sz w:val="24"/>
          <w:szCs w:val="24"/>
        </w:rPr>
        <w:t xml:space="preserve">3.5-14 </w:t>
      </w:r>
      <w:r>
        <w:rPr>
          <w:rFonts w:ascii="宋体" w:hAnsi="宋体" w:eastAsia="宋体" w:cs="宋体"/>
          <w:spacing w:val="-1"/>
          <w:position w:val="2"/>
          <w:sz w:val="24"/>
          <w:szCs w:val="24"/>
        </w:rPr>
        <w:t>所示。</w:t>
      </w:r>
    </w:p>
    <w:p w14:paraId="0296C690">
      <w:pPr>
        <w:spacing w:before="180" w:line="229" w:lineRule="auto"/>
        <w:ind w:left="2674"/>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3.5-14 </w:t>
      </w:r>
      <w:r>
        <w:rPr>
          <w:rFonts w:ascii="宋体" w:hAnsi="宋体" w:eastAsia="宋体" w:cs="宋体"/>
          <w:b/>
          <w:bCs/>
          <w:spacing w:val="6"/>
          <w:sz w:val="20"/>
          <w:szCs w:val="20"/>
        </w:rPr>
        <w:t>项目营运期污染源强汇总表单位</w:t>
      </w:r>
      <w:r>
        <w:rPr>
          <w:rFonts w:ascii="宋体" w:hAnsi="宋体" w:eastAsia="宋体" w:cs="宋体"/>
          <w:spacing w:val="-41"/>
          <w:sz w:val="20"/>
          <w:szCs w:val="20"/>
        </w:rPr>
        <w:t xml:space="preserve"> </w:t>
      </w:r>
      <w:r>
        <w:rPr>
          <w:rFonts w:ascii="Times New Roman" w:hAnsi="Times New Roman" w:eastAsia="Times New Roman" w:cs="Times New Roman"/>
          <w:b/>
          <w:bCs/>
          <w:spacing w:val="6"/>
          <w:sz w:val="20"/>
          <w:szCs w:val="20"/>
        </w:rPr>
        <w:t>t/a</w:t>
      </w:r>
    </w:p>
    <w:p w14:paraId="6D04097B">
      <w:pPr>
        <w:spacing w:line="100" w:lineRule="exact"/>
      </w:pPr>
    </w:p>
    <w:tbl>
      <w:tblPr>
        <w:tblStyle w:val="5"/>
        <w:tblW w:w="89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603"/>
        <w:gridCol w:w="1417"/>
        <w:gridCol w:w="1915"/>
        <w:gridCol w:w="1507"/>
        <w:gridCol w:w="1732"/>
      </w:tblGrid>
      <w:tr w14:paraId="3AAD4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0" w:type="dxa"/>
            <w:vAlign w:val="top"/>
          </w:tcPr>
          <w:p w14:paraId="29C6F7A3">
            <w:pPr>
              <w:pStyle w:val="6"/>
              <w:spacing w:before="71" w:line="228" w:lineRule="auto"/>
              <w:ind w:left="205"/>
            </w:pPr>
            <w:r>
              <w:rPr>
                <w:b/>
                <w:bCs/>
                <w:spacing w:val="3"/>
              </w:rPr>
              <w:t>类型</w:t>
            </w:r>
          </w:p>
        </w:tc>
        <w:tc>
          <w:tcPr>
            <w:tcW w:w="3020" w:type="dxa"/>
            <w:gridSpan w:val="2"/>
            <w:vAlign w:val="top"/>
          </w:tcPr>
          <w:p w14:paraId="5B626EE0">
            <w:pPr>
              <w:pStyle w:val="6"/>
              <w:spacing w:before="70" w:line="229" w:lineRule="auto"/>
              <w:ind w:left="1202"/>
            </w:pPr>
            <w:r>
              <w:rPr>
                <w:b/>
                <w:bCs/>
                <w:spacing w:val="5"/>
              </w:rPr>
              <w:t>污染物</w:t>
            </w:r>
          </w:p>
        </w:tc>
        <w:tc>
          <w:tcPr>
            <w:tcW w:w="1915" w:type="dxa"/>
            <w:vAlign w:val="top"/>
          </w:tcPr>
          <w:p w14:paraId="795DD756">
            <w:pPr>
              <w:pStyle w:val="6"/>
              <w:spacing w:before="71" w:line="228" w:lineRule="auto"/>
              <w:ind w:left="649"/>
            </w:pPr>
            <w:r>
              <w:rPr>
                <w:b/>
                <w:bCs/>
                <w:spacing w:val="5"/>
              </w:rPr>
              <w:t>产生量</w:t>
            </w:r>
          </w:p>
        </w:tc>
        <w:tc>
          <w:tcPr>
            <w:tcW w:w="1507" w:type="dxa"/>
            <w:vAlign w:val="top"/>
          </w:tcPr>
          <w:p w14:paraId="273DDE2C">
            <w:pPr>
              <w:pStyle w:val="6"/>
              <w:spacing w:before="70" w:line="230" w:lineRule="auto"/>
              <w:ind w:left="459"/>
            </w:pPr>
            <w:r>
              <w:rPr>
                <w:b/>
                <w:bCs/>
                <w:spacing w:val="1"/>
              </w:rPr>
              <w:t>削减量</w:t>
            </w:r>
          </w:p>
        </w:tc>
        <w:tc>
          <w:tcPr>
            <w:tcW w:w="1732" w:type="dxa"/>
            <w:vAlign w:val="top"/>
          </w:tcPr>
          <w:p w14:paraId="3C513A64">
            <w:pPr>
              <w:pStyle w:val="6"/>
              <w:spacing w:before="70" w:line="230" w:lineRule="auto"/>
              <w:ind w:left="556"/>
            </w:pPr>
            <w:r>
              <w:rPr>
                <w:b/>
                <w:bCs/>
                <w:spacing w:val="5"/>
              </w:rPr>
              <w:t>排放量</w:t>
            </w:r>
          </w:p>
        </w:tc>
      </w:tr>
      <w:tr w14:paraId="18A85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20" w:type="dxa"/>
            <w:vAlign w:val="top"/>
          </w:tcPr>
          <w:p w14:paraId="7863D78E">
            <w:pPr>
              <w:pStyle w:val="6"/>
              <w:spacing w:before="223" w:line="228" w:lineRule="auto"/>
              <w:ind w:left="205"/>
            </w:pPr>
            <w:r>
              <w:rPr>
                <w:spacing w:val="5"/>
              </w:rPr>
              <w:t>废水</w:t>
            </w:r>
          </w:p>
        </w:tc>
        <w:tc>
          <w:tcPr>
            <w:tcW w:w="1603" w:type="dxa"/>
            <w:vAlign w:val="top"/>
          </w:tcPr>
          <w:p w14:paraId="1584C52B">
            <w:pPr>
              <w:pStyle w:val="6"/>
              <w:spacing w:before="60" w:line="228" w:lineRule="auto"/>
              <w:ind w:left="117"/>
              <w:rPr>
                <w:rFonts w:ascii="Times New Roman" w:hAnsi="Times New Roman" w:eastAsia="Times New Roman" w:cs="Times New Roman"/>
              </w:rPr>
            </w:pPr>
            <w:r>
              <w:rPr>
                <w:spacing w:val="8"/>
              </w:rPr>
              <w:t>猪只养殖废水</w:t>
            </w:r>
            <w:r>
              <w:rPr>
                <w:rFonts w:ascii="Times New Roman" w:hAnsi="Times New Roman" w:eastAsia="Times New Roman" w:cs="Times New Roman"/>
                <w:spacing w:val="8"/>
              </w:rPr>
              <w:t>+</w:t>
            </w:r>
          </w:p>
          <w:p w14:paraId="33BBC875">
            <w:pPr>
              <w:pStyle w:val="6"/>
              <w:spacing w:before="79" w:line="228" w:lineRule="auto"/>
              <w:ind w:left="388"/>
            </w:pPr>
            <w:r>
              <w:rPr>
                <w:spacing w:val="6"/>
              </w:rPr>
              <w:t>生活污水</w:t>
            </w:r>
          </w:p>
        </w:tc>
        <w:tc>
          <w:tcPr>
            <w:tcW w:w="1417" w:type="dxa"/>
            <w:vAlign w:val="top"/>
          </w:tcPr>
          <w:p w14:paraId="1284AFA6">
            <w:pPr>
              <w:pStyle w:val="6"/>
              <w:spacing w:before="223" w:line="228" w:lineRule="auto"/>
              <w:ind w:left="398"/>
            </w:pPr>
            <w:r>
              <w:rPr>
                <w:spacing w:val="7"/>
              </w:rPr>
              <w:t>废水量</w:t>
            </w:r>
          </w:p>
        </w:tc>
        <w:tc>
          <w:tcPr>
            <w:tcW w:w="1915" w:type="dxa"/>
            <w:vAlign w:val="top"/>
          </w:tcPr>
          <w:p w14:paraId="491BADB9">
            <w:pPr>
              <w:spacing w:before="192"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8908.26m3/a</w:t>
            </w:r>
          </w:p>
        </w:tc>
        <w:tc>
          <w:tcPr>
            <w:tcW w:w="1507" w:type="dxa"/>
            <w:vAlign w:val="top"/>
          </w:tcPr>
          <w:p w14:paraId="1B53EC0C">
            <w:pPr>
              <w:spacing w:before="192"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8908.26m3/a</w:t>
            </w:r>
          </w:p>
        </w:tc>
        <w:tc>
          <w:tcPr>
            <w:tcW w:w="1732" w:type="dxa"/>
            <w:vAlign w:val="top"/>
          </w:tcPr>
          <w:p w14:paraId="7A2E688C">
            <w:pPr>
              <w:spacing w:before="192" w:line="274" w:lineRule="exact"/>
              <w:ind w:left="630"/>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0m3/a</w:t>
            </w:r>
          </w:p>
        </w:tc>
      </w:tr>
      <w:tr w14:paraId="28EFC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0" w:type="dxa"/>
            <w:vMerge w:val="restart"/>
            <w:tcBorders>
              <w:bottom w:val="nil"/>
            </w:tcBorders>
            <w:vAlign w:val="top"/>
          </w:tcPr>
          <w:p w14:paraId="59E74C5C">
            <w:pPr>
              <w:spacing w:line="261" w:lineRule="auto"/>
              <w:rPr>
                <w:rFonts w:ascii="Arial"/>
                <w:sz w:val="21"/>
              </w:rPr>
            </w:pPr>
          </w:p>
          <w:p w14:paraId="0AF92B98">
            <w:pPr>
              <w:spacing w:line="262" w:lineRule="auto"/>
              <w:rPr>
                <w:rFonts w:ascii="Arial"/>
                <w:sz w:val="21"/>
              </w:rPr>
            </w:pPr>
          </w:p>
          <w:p w14:paraId="27F4BA9E">
            <w:pPr>
              <w:pStyle w:val="6"/>
              <w:spacing w:before="65" w:line="229" w:lineRule="auto"/>
              <w:ind w:left="205"/>
            </w:pPr>
            <w:r>
              <w:rPr>
                <w:spacing w:val="5"/>
              </w:rPr>
              <w:t>废气</w:t>
            </w:r>
          </w:p>
        </w:tc>
        <w:tc>
          <w:tcPr>
            <w:tcW w:w="1603" w:type="dxa"/>
            <w:vMerge w:val="restart"/>
            <w:tcBorders>
              <w:bottom w:val="nil"/>
            </w:tcBorders>
            <w:vAlign w:val="top"/>
          </w:tcPr>
          <w:p w14:paraId="108CEAA1">
            <w:pPr>
              <w:pStyle w:val="6"/>
              <w:spacing w:before="241" w:line="229" w:lineRule="auto"/>
              <w:ind w:left="595"/>
            </w:pPr>
            <w:r>
              <w:rPr>
                <w:spacing w:val="4"/>
              </w:rPr>
              <w:t>猪舍</w:t>
            </w:r>
          </w:p>
        </w:tc>
        <w:tc>
          <w:tcPr>
            <w:tcW w:w="1417" w:type="dxa"/>
            <w:vAlign w:val="top"/>
          </w:tcPr>
          <w:p w14:paraId="6DF22825">
            <w:pPr>
              <w:spacing w:before="107" w:line="236" w:lineRule="auto"/>
              <w:ind w:left="51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915" w:type="dxa"/>
            <w:vAlign w:val="top"/>
          </w:tcPr>
          <w:p w14:paraId="6B418B5E">
            <w:pPr>
              <w:spacing w:before="37" w:line="274" w:lineRule="exact"/>
              <w:ind w:left="7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1507" w:type="dxa"/>
            <w:vAlign w:val="top"/>
          </w:tcPr>
          <w:p w14:paraId="1D26F0C0">
            <w:pPr>
              <w:spacing w:before="37" w:line="274" w:lineRule="exact"/>
              <w:ind w:left="5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0.49</w:t>
            </w:r>
          </w:p>
        </w:tc>
        <w:tc>
          <w:tcPr>
            <w:tcW w:w="1732" w:type="dxa"/>
            <w:vAlign w:val="top"/>
          </w:tcPr>
          <w:p w14:paraId="46DBF581">
            <w:pPr>
              <w:spacing w:before="3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4B976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0" w:type="dxa"/>
            <w:vMerge w:val="continue"/>
            <w:tcBorders>
              <w:top w:val="nil"/>
              <w:bottom w:val="nil"/>
            </w:tcBorders>
            <w:vAlign w:val="top"/>
          </w:tcPr>
          <w:p w14:paraId="40653515">
            <w:pPr>
              <w:rPr>
                <w:rFonts w:ascii="Arial"/>
                <w:sz w:val="21"/>
              </w:rPr>
            </w:pPr>
          </w:p>
        </w:tc>
        <w:tc>
          <w:tcPr>
            <w:tcW w:w="1603" w:type="dxa"/>
            <w:vMerge w:val="continue"/>
            <w:tcBorders>
              <w:top w:val="nil"/>
            </w:tcBorders>
            <w:vAlign w:val="top"/>
          </w:tcPr>
          <w:p w14:paraId="55D57A25">
            <w:pPr>
              <w:rPr>
                <w:rFonts w:ascii="Arial"/>
                <w:sz w:val="21"/>
              </w:rPr>
            </w:pPr>
          </w:p>
        </w:tc>
        <w:tc>
          <w:tcPr>
            <w:tcW w:w="1417" w:type="dxa"/>
            <w:vAlign w:val="top"/>
          </w:tcPr>
          <w:p w14:paraId="69C25864">
            <w:pPr>
              <w:spacing w:before="103" w:line="241"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915" w:type="dxa"/>
            <w:vAlign w:val="top"/>
          </w:tcPr>
          <w:p w14:paraId="25DD530E">
            <w:pPr>
              <w:spacing w:before="36" w:line="274" w:lineRule="exact"/>
              <w:ind w:left="7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507" w:type="dxa"/>
            <w:vAlign w:val="top"/>
          </w:tcPr>
          <w:p w14:paraId="77FD7599">
            <w:pPr>
              <w:spacing w:before="36" w:line="274"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0.028</w:t>
            </w:r>
          </w:p>
        </w:tc>
        <w:tc>
          <w:tcPr>
            <w:tcW w:w="1732" w:type="dxa"/>
            <w:vAlign w:val="top"/>
          </w:tcPr>
          <w:p w14:paraId="251594E7">
            <w:pPr>
              <w:spacing w:before="36"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r>
      <w:tr w14:paraId="4C772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0" w:type="dxa"/>
            <w:vMerge w:val="continue"/>
            <w:tcBorders>
              <w:top w:val="nil"/>
              <w:bottom w:val="nil"/>
            </w:tcBorders>
            <w:vAlign w:val="top"/>
          </w:tcPr>
          <w:p w14:paraId="2CBC1D37">
            <w:pPr>
              <w:rPr>
                <w:rFonts w:ascii="Arial"/>
                <w:sz w:val="21"/>
              </w:rPr>
            </w:pPr>
          </w:p>
        </w:tc>
        <w:tc>
          <w:tcPr>
            <w:tcW w:w="1603" w:type="dxa"/>
            <w:vMerge w:val="restart"/>
            <w:tcBorders>
              <w:bottom w:val="nil"/>
            </w:tcBorders>
            <w:vAlign w:val="top"/>
          </w:tcPr>
          <w:p w14:paraId="3A7BCED8">
            <w:pPr>
              <w:pStyle w:val="6"/>
              <w:spacing w:before="243" w:line="228" w:lineRule="auto"/>
              <w:ind w:left="281"/>
            </w:pPr>
            <w:r>
              <w:rPr>
                <w:spacing w:val="7"/>
              </w:rPr>
              <w:t>有机肥车间</w:t>
            </w:r>
          </w:p>
        </w:tc>
        <w:tc>
          <w:tcPr>
            <w:tcW w:w="1417" w:type="dxa"/>
            <w:vAlign w:val="top"/>
          </w:tcPr>
          <w:p w14:paraId="47EB0E63">
            <w:pPr>
              <w:spacing w:before="107" w:line="236" w:lineRule="auto"/>
              <w:ind w:left="51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915" w:type="dxa"/>
            <w:vAlign w:val="top"/>
          </w:tcPr>
          <w:p w14:paraId="258B9403">
            <w:pPr>
              <w:spacing w:before="21" w:line="274" w:lineRule="exact"/>
              <w:ind w:left="7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0.613</w:t>
            </w:r>
          </w:p>
        </w:tc>
        <w:tc>
          <w:tcPr>
            <w:tcW w:w="1507" w:type="dxa"/>
            <w:vAlign w:val="top"/>
          </w:tcPr>
          <w:p w14:paraId="29DD039C">
            <w:pPr>
              <w:spacing w:before="38" w:line="274"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0.601</w:t>
            </w:r>
          </w:p>
        </w:tc>
        <w:tc>
          <w:tcPr>
            <w:tcW w:w="1732" w:type="dxa"/>
            <w:vAlign w:val="top"/>
          </w:tcPr>
          <w:p w14:paraId="6FBDF762">
            <w:pPr>
              <w:spacing w:before="21"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w:t>
            </w:r>
          </w:p>
        </w:tc>
      </w:tr>
      <w:tr w14:paraId="27D34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tcBorders>
            <w:vAlign w:val="top"/>
          </w:tcPr>
          <w:p w14:paraId="65752840">
            <w:pPr>
              <w:rPr>
                <w:rFonts w:ascii="Arial"/>
                <w:sz w:val="21"/>
              </w:rPr>
            </w:pPr>
          </w:p>
        </w:tc>
        <w:tc>
          <w:tcPr>
            <w:tcW w:w="1603" w:type="dxa"/>
            <w:vMerge w:val="continue"/>
            <w:tcBorders>
              <w:top w:val="nil"/>
            </w:tcBorders>
            <w:vAlign w:val="top"/>
          </w:tcPr>
          <w:p w14:paraId="5BAD9E8B">
            <w:pPr>
              <w:rPr>
                <w:rFonts w:ascii="Arial"/>
                <w:sz w:val="21"/>
              </w:rPr>
            </w:pPr>
          </w:p>
        </w:tc>
        <w:tc>
          <w:tcPr>
            <w:tcW w:w="1417" w:type="dxa"/>
            <w:vAlign w:val="top"/>
          </w:tcPr>
          <w:p w14:paraId="2D56963F">
            <w:pPr>
              <w:spacing w:before="105" w:line="239"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915" w:type="dxa"/>
            <w:vAlign w:val="top"/>
          </w:tcPr>
          <w:p w14:paraId="2D7E6C84">
            <w:pPr>
              <w:spacing w:before="22" w:line="274" w:lineRule="exact"/>
              <w:ind w:left="7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0.123</w:t>
            </w:r>
          </w:p>
        </w:tc>
        <w:tc>
          <w:tcPr>
            <w:tcW w:w="1507" w:type="dxa"/>
            <w:vAlign w:val="top"/>
          </w:tcPr>
          <w:p w14:paraId="09558F2B">
            <w:pPr>
              <w:spacing w:before="39"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0.118</w:t>
            </w:r>
          </w:p>
        </w:tc>
        <w:tc>
          <w:tcPr>
            <w:tcW w:w="1732" w:type="dxa"/>
            <w:vAlign w:val="top"/>
          </w:tcPr>
          <w:p w14:paraId="37B81499">
            <w:pPr>
              <w:spacing w:before="22"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r>
      <w:tr w14:paraId="3F171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restart"/>
            <w:tcBorders>
              <w:bottom w:val="nil"/>
            </w:tcBorders>
            <w:vAlign w:val="top"/>
          </w:tcPr>
          <w:p w14:paraId="4C1B26E5">
            <w:pPr>
              <w:spacing w:line="351" w:lineRule="auto"/>
              <w:rPr>
                <w:rFonts w:ascii="Arial"/>
                <w:sz w:val="21"/>
              </w:rPr>
            </w:pPr>
          </w:p>
          <w:p w14:paraId="54E85422">
            <w:pPr>
              <w:spacing w:line="351" w:lineRule="auto"/>
              <w:rPr>
                <w:rFonts w:ascii="Arial"/>
                <w:sz w:val="21"/>
              </w:rPr>
            </w:pPr>
          </w:p>
          <w:p w14:paraId="77C30D80">
            <w:pPr>
              <w:pStyle w:val="6"/>
              <w:spacing w:before="65" w:line="229" w:lineRule="auto"/>
              <w:ind w:left="223"/>
            </w:pPr>
            <w:r>
              <w:rPr>
                <w:spacing w:val="-5"/>
              </w:rPr>
              <w:t>固废</w:t>
            </w:r>
          </w:p>
        </w:tc>
        <w:tc>
          <w:tcPr>
            <w:tcW w:w="3020" w:type="dxa"/>
            <w:gridSpan w:val="2"/>
            <w:vAlign w:val="top"/>
          </w:tcPr>
          <w:p w14:paraId="4D784857">
            <w:pPr>
              <w:pStyle w:val="6"/>
              <w:spacing w:before="71" w:line="228" w:lineRule="auto"/>
              <w:ind w:left="1307"/>
            </w:pPr>
            <w:r>
              <w:rPr>
                <w:spacing w:val="3"/>
              </w:rPr>
              <w:t>粪便</w:t>
            </w:r>
          </w:p>
        </w:tc>
        <w:tc>
          <w:tcPr>
            <w:tcW w:w="1915" w:type="dxa"/>
            <w:vAlign w:val="top"/>
          </w:tcPr>
          <w:p w14:paraId="2EE58365">
            <w:pPr>
              <w:spacing w:before="39" w:line="275"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1507" w:type="dxa"/>
            <w:vAlign w:val="top"/>
          </w:tcPr>
          <w:p w14:paraId="3B18582B">
            <w:pPr>
              <w:spacing w:before="39" w:line="275"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1732" w:type="dxa"/>
            <w:vAlign w:val="top"/>
          </w:tcPr>
          <w:p w14:paraId="43BCD5D6">
            <w:pPr>
              <w:spacing w:before="39" w:line="275"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FF3B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bottom w:val="nil"/>
            </w:tcBorders>
            <w:vAlign w:val="top"/>
          </w:tcPr>
          <w:p w14:paraId="763EEF04">
            <w:pPr>
              <w:rPr>
                <w:rFonts w:ascii="Arial"/>
                <w:sz w:val="21"/>
              </w:rPr>
            </w:pPr>
          </w:p>
        </w:tc>
        <w:tc>
          <w:tcPr>
            <w:tcW w:w="3020" w:type="dxa"/>
            <w:gridSpan w:val="2"/>
            <w:vAlign w:val="top"/>
          </w:tcPr>
          <w:p w14:paraId="69BC1FA8">
            <w:pPr>
              <w:pStyle w:val="6"/>
              <w:spacing w:before="71" w:line="229" w:lineRule="auto"/>
              <w:ind w:left="988"/>
            </w:pPr>
            <w:r>
              <w:rPr>
                <w:spacing w:val="8"/>
              </w:rPr>
              <w:t>病死猪尸体</w:t>
            </w:r>
          </w:p>
        </w:tc>
        <w:tc>
          <w:tcPr>
            <w:tcW w:w="1915" w:type="dxa"/>
            <w:vAlign w:val="top"/>
          </w:tcPr>
          <w:p w14:paraId="0DD8E057">
            <w:pPr>
              <w:spacing w:before="40" w:line="274"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1507" w:type="dxa"/>
            <w:vAlign w:val="top"/>
          </w:tcPr>
          <w:p w14:paraId="2AB9C26A">
            <w:pPr>
              <w:spacing w:before="40"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1732" w:type="dxa"/>
            <w:vAlign w:val="top"/>
          </w:tcPr>
          <w:p w14:paraId="69A6C178">
            <w:pPr>
              <w:spacing w:before="40"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6977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bottom w:val="nil"/>
            </w:tcBorders>
            <w:vAlign w:val="top"/>
          </w:tcPr>
          <w:p w14:paraId="534E7390">
            <w:pPr>
              <w:rPr>
                <w:rFonts w:ascii="Arial"/>
                <w:sz w:val="21"/>
              </w:rPr>
            </w:pPr>
          </w:p>
        </w:tc>
        <w:tc>
          <w:tcPr>
            <w:tcW w:w="3020" w:type="dxa"/>
            <w:gridSpan w:val="2"/>
            <w:vAlign w:val="top"/>
          </w:tcPr>
          <w:p w14:paraId="2C5337FB">
            <w:pPr>
              <w:pStyle w:val="6"/>
              <w:spacing w:before="71" w:line="228" w:lineRule="auto"/>
              <w:ind w:left="890"/>
            </w:pPr>
            <w:r>
              <w:rPr>
                <w:spacing w:val="7"/>
              </w:rPr>
              <w:t>办公生活垃圾</w:t>
            </w:r>
          </w:p>
        </w:tc>
        <w:tc>
          <w:tcPr>
            <w:tcW w:w="1915" w:type="dxa"/>
            <w:vAlign w:val="top"/>
          </w:tcPr>
          <w:p w14:paraId="1F947FE8">
            <w:pPr>
              <w:spacing w:before="40"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507" w:type="dxa"/>
            <w:vAlign w:val="top"/>
          </w:tcPr>
          <w:p w14:paraId="0353A07D">
            <w:pPr>
              <w:spacing w:before="40" w:line="274" w:lineRule="exact"/>
              <w:ind w:left="5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732" w:type="dxa"/>
            <w:vAlign w:val="top"/>
          </w:tcPr>
          <w:p w14:paraId="197E1C80">
            <w:pPr>
              <w:spacing w:before="40"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2C64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bottom w:val="nil"/>
            </w:tcBorders>
            <w:vAlign w:val="top"/>
          </w:tcPr>
          <w:p w14:paraId="4F54BBA1">
            <w:pPr>
              <w:rPr>
                <w:rFonts w:ascii="Arial"/>
                <w:sz w:val="21"/>
              </w:rPr>
            </w:pPr>
          </w:p>
        </w:tc>
        <w:tc>
          <w:tcPr>
            <w:tcW w:w="3020" w:type="dxa"/>
            <w:gridSpan w:val="2"/>
            <w:vAlign w:val="top"/>
          </w:tcPr>
          <w:p w14:paraId="5246C220">
            <w:pPr>
              <w:pStyle w:val="6"/>
              <w:spacing w:before="69" w:line="229" w:lineRule="auto"/>
              <w:ind w:left="1104"/>
            </w:pPr>
            <w:r>
              <w:rPr>
                <w:spacing w:val="4"/>
              </w:rPr>
              <w:t>医疗废物</w:t>
            </w:r>
          </w:p>
        </w:tc>
        <w:tc>
          <w:tcPr>
            <w:tcW w:w="1915" w:type="dxa"/>
            <w:vAlign w:val="top"/>
          </w:tcPr>
          <w:p w14:paraId="4A2D6458">
            <w:pPr>
              <w:spacing w:before="38" w:line="274" w:lineRule="exact"/>
              <w:ind w:left="8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507" w:type="dxa"/>
            <w:vAlign w:val="top"/>
          </w:tcPr>
          <w:p w14:paraId="62829E45">
            <w:pPr>
              <w:spacing w:before="38" w:line="274" w:lineRule="exact"/>
              <w:ind w:left="6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732" w:type="dxa"/>
            <w:vAlign w:val="top"/>
          </w:tcPr>
          <w:p w14:paraId="37BDC383">
            <w:pPr>
              <w:spacing w:before="38"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A90A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0" w:type="dxa"/>
            <w:vMerge w:val="continue"/>
            <w:tcBorders>
              <w:top w:val="nil"/>
            </w:tcBorders>
            <w:vAlign w:val="top"/>
          </w:tcPr>
          <w:p w14:paraId="7C88B2F2">
            <w:pPr>
              <w:rPr>
                <w:rFonts w:ascii="Arial"/>
                <w:sz w:val="21"/>
              </w:rPr>
            </w:pPr>
          </w:p>
        </w:tc>
        <w:tc>
          <w:tcPr>
            <w:tcW w:w="3020" w:type="dxa"/>
            <w:gridSpan w:val="2"/>
            <w:vAlign w:val="top"/>
          </w:tcPr>
          <w:p w14:paraId="59EAB8AB">
            <w:pPr>
              <w:pStyle w:val="6"/>
              <w:spacing w:before="69" w:line="229" w:lineRule="auto"/>
              <w:ind w:left="1093"/>
            </w:pPr>
            <w:r>
              <w:rPr>
                <w:spacing w:val="7"/>
              </w:rPr>
              <w:t>废包装物</w:t>
            </w:r>
          </w:p>
        </w:tc>
        <w:tc>
          <w:tcPr>
            <w:tcW w:w="1915" w:type="dxa"/>
            <w:vAlign w:val="top"/>
          </w:tcPr>
          <w:p w14:paraId="643108A2">
            <w:pPr>
              <w:spacing w:before="39" w:line="274" w:lineRule="exact"/>
              <w:ind w:left="9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07" w:type="dxa"/>
            <w:vAlign w:val="top"/>
          </w:tcPr>
          <w:p w14:paraId="0601CB94">
            <w:pPr>
              <w:spacing w:before="39" w:line="274" w:lineRule="exact"/>
              <w:ind w:left="7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732" w:type="dxa"/>
            <w:vAlign w:val="top"/>
          </w:tcPr>
          <w:p w14:paraId="1EF024EB">
            <w:pPr>
              <w:spacing w:before="39"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bl>
    <w:p w14:paraId="07ED1E9B">
      <w:pPr>
        <w:pStyle w:val="2"/>
      </w:pPr>
    </w:p>
    <w:p w14:paraId="070DF756">
      <w:pPr>
        <w:sectPr>
          <w:footerReference r:id="rId88" w:type="default"/>
          <w:pgSz w:w="11906" w:h="16839"/>
          <w:pgMar w:top="400" w:right="1453" w:bottom="1485" w:left="1453" w:header="0" w:footer="1249" w:gutter="0"/>
          <w:cols w:space="720" w:num="1"/>
        </w:sectPr>
      </w:pPr>
    </w:p>
    <w:p w14:paraId="1A1E3343">
      <w:pPr>
        <w:pStyle w:val="2"/>
        <w:spacing w:line="261" w:lineRule="auto"/>
      </w:pPr>
    </w:p>
    <w:p w14:paraId="1414DBE0">
      <w:pPr>
        <w:pStyle w:val="2"/>
        <w:spacing w:line="261" w:lineRule="auto"/>
      </w:pPr>
    </w:p>
    <w:p w14:paraId="438E2497">
      <w:pPr>
        <w:pStyle w:val="2"/>
        <w:spacing w:line="262" w:lineRule="auto"/>
      </w:pPr>
    </w:p>
    <w:p w14:paraId="7169FD63">
      <w:pPr>
        <w:pStyle w:val="2"/>
        <w:spacing w:line="262" w:lineRule="auto"/>
      </w:pPr>
    </w:p>
    <w:p w14:paraId="73C332CC">
      <w:pPr>
        <w:spacing w:before="140" w:line="225" w:lineRule="auto"/>
        <w:ind w:left="1832"/>
        <w:outlineLvl w:val="0"/>
        <w:rPr>
          <w:rFonts w:ascii="黑体" w:hAnsi="黑体" w:eastAsia="黑体" w:cs="黑体"/>
          <w:sz w:val="43"/>
          <w:szCs w:val="43"/>
        </w:rPr>
      </w:pPr>
      <w:bookmarkStart w:id="25" w:name="bookmark23"/>
      <w:bookmarkEnd w:id="25"/>
      <w:bookmarkStart w:id="26" w:name="bookmark24"/>
      <w:bookmarkEnd w:id="26"/>
      <w:r>
        <w:rPr>
          <w:rFonts w:ascii="黑体" w:hAnsi="黑体" w:eastAsia="黑体" w:cs="黑体"/>
          <w:spacing w:val="9"/>
          <w:sz w:val="43"/>
          <w:szCs w:val="43"/>
        </w:rPr>
        <w:t>4环境质量现状监测与评价</w:t>
      </w:r>
    </w:p>
    <w:p w14:paraId="07516105">
      <w:pPr>
        <w:pStyle w:val="2"/>
        <w:spacing w:line="254" w:lineRule="auto"/>
      </w:pPr>
    </w:p>
    <w:p w14:paraId="48388A4F">
      <w:pPr>
        <w:pStyle w:val="2"/>
        <w:spacing w:line="254" w:lineRule="auto"/>
      </w:pPr>
    </w:p>
    <w:p w14:paraId="78D6D66C">
      <w:pPr>
        <w:spacing w:before="91" w:line="219" w:lineRule="auto"/>
        <w:ind w:left="1"/>
        <w:outlineLvl w:val="1"/>
        <w:rPr>
          <w:rFonts w:ascii="宋体" w:hAnsi="宋体" w:eastAsia="宋体" w:cs="宋体"/>
          <w:sz w:val="28"/>
          <w:szCs w:val="28"/>
        </w:rPr>
      </w:pPr>
      <w:bookmarkStart w:id="27" w:name="bookmark60"/>
      <w:bookmarkEnd w:id="27"/>
      <w:r>
        <w:rPr>
          <w:rFonts w:ascii="Times New Roman" w:hAnsi="Times New Roman" w:eastAsia="Times New Roman" w:cs="Times New Roman"/>
          <w:b/>
          <w:bCs/>
          <w:spacing w:val="-3"/>
          <w:sz w:val="28"/>
          <w:szCs w:val="28"/>
        </w:rPr>
        <w:t>4.1</w:t>
      </w:r>
      <w:r>
        <w:rPr>
          <w:rFonts w:ascii="宋体" w:hAnsi="宋体" w:eastAsia="宋体" w:cs="宋体"/>
          <w:b/>
          <w:bCs/>
          <w:spacing w:val="-3"/>
          <w:sz w:val="28"/>
          <w:szCs w:val="28"/>
        </w:rPr>
        <w:t>自然环境现状调查与评价</w:t>
      </w:r>
    </w:p>
    <w:p w14:paraId="4FB313AD">
      <w:pPr>
        <w:spacing w:before="258" w:line="222"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4.1.1</w:t>
      </w:r>
      <w:r>
        <w:rPr>
          <w:rFonts w:ascii="宋体" w:hAnsi="宋体" w:eastAsia="宋体" w:cs="宋体"/>
          <w:b/>
          <w:bCs/>
          <w:spacing w:val="-2"/>
          <w:sz w:val="24"/>
          <w:szCs w:val="24"/>
        </w:rPr>
        <w:t>地理位置</w:t>
      </w:r>
    </w:p>
    <w:p w14:paraId="2DD0A77A">
      <w:pPr>
        <w:spacing w:before="166" w:line="372" w:lineRule="auto"/>
        <w:ind w:left="1" w:firstLine="480"/>
        <w:jc w:val="both"/>
        <w:rPr>
          <w:rFonts w:ascii="宋体" w:hAnsi="宋体" w:eastAsia="宋体" w:cs="宋体"/>
          <w:sz w:val="24"/>
          <w:szCs w:val="24"/>
        </w:rPr>
      </w:pPr>
      <w:r>
        <w:rPr>
          <w:rFonts w:ascii="宋体" w:hAnsi="宋体" w:eastAsia="宋体" w:cs="宋体"/>
          <w:sz w:val="24"/>
          <w:szCs w:val="24"/>
        </w:rPr>
        <w:t>海丰县地处广东省南部，西距广州</w:t>
      </w:r>
      <w:r>
        <w:rPr>
          <w:rFonts w:ascii="Times New Roman" w:hAnsi="Times New Roman" w:eastAsia="Times New Roman" w:cs="Times New Roman"/>
          <w:sz w:val="24"/>
          <w:szCs w:val="24"/>
        </w:rPr>
        <w:t>290km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，距深圳</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197km</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，东距汕头</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18</w:t>
      </w:r>
      <w:r>
        <w:rPr>
          <w:rFonts w:ascii="Times New Roman" w:hAnsi="Times New Roman" w:eastAsia="Times New Roman" w:cs="Times New Roman"/>
          <w:spacing w:val="-1"/>
          <w:sz w:val="24"/>
          <w:szCs w:val="24"/>
        </w:rPr>
        <w:t>0km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水路由辖下联安镇西闸、三关妈</w:t>
      </w:r>
      <w:r>
        <w:rPr>
          <w:rFonts w:ascii="Times New Roman" w:hAnsi="Times New Roman" w:eastAsia="Times New Roman" w:cs="Times New Roman"/>
          <w:spacing w:val="1"/>
          <w:sz w:val="24"/>
          <w:szCs w:val="24"/>
        </w:rPr>
        <w:t>“</w:t>
      </w:r>
      <w:r>
        <w:rPr>
          <w:rFonts w:ascii="宋体" w:hAnsi="宋体" w:eastAsia="宋体" w:cs="宋体"/>
          <w:spacing w:val="1"/>
          <w:sz w:val="24"/>
          <w:szCs w:val="24"/>
        </w:rPr>
        <w:t>天然良好渔船避风塘</w:t>
      </w:r>
      <w:r>
        <w:rPr>
          <w:rFonts w:ascii="Times New Roman" w:hAnsi="Times New Roman" w:eastAsia="Times New Roman" w:cs="Times New Roman"/>
          <w:spacing w:val="1"/>
          <w:sz w:val="24"/>
          <w:szCs w:val="24"/>
        </w:rPr>
        <w:t>”</w:t>
      </w:r>
      <w:r>
        <w:rPr>
          <w:rFonts w:ascii="宋体" w:hAnsi="宋体" w:eastAsia="宋体" w:cs="宋体"/>
          <w:spacing w:val="1"/>
          <w:sz w:val="24"/>
          <w:szCs w:val="24"/>
        </w:rPr>
        <w:t>至香港</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83</w:t>
      </w:r>
      <w:r>
        <w:rPr>
          <w:rFonts w:ascii="宋体" w:hAnsi="宋体" w:eastAsia="宋体" w:cs="宋体"/>
          <w:spacing w:val="1"/>
          <w:sz w:val="24"/>
          <w:szCs w:val="24"/>
        </w:rPr>
        <w:t>海里，水陆</w:t>
      </w:r>
      <w:r>
        <w:rPr>
          <w:rFonts w:ascii="宋体" w:hAnsi="宋体" w:eastAsia="宋体" w:cs="宋体"/>
          <w:sz w:val="24"/>
          <w:szCs w:val="24"/>
        </w:rPr>
        <w:t>交通便 捷，是粤东地区陆上交通要津。海丰取义于</w:t>
      </w:r>
      <w:r>
        <w:rPr>
          <w:rFonts w:ascii="Times New Roman" w:hAnsi="Times New Roman" w:eastAsia="Times New Roman" w:cs="Times New Roman"/>
          <w:sz w:val="24"/>
          <w:szCs w:val="24"/>
        </w:rPr>
        <w:t>“</w:t>
      </w:r>
      <w:r>
        <w:rPr>
          <w:rFonts w:ascii="宋体" w:hAnsi="宋体" w:eastAsia="宋体" w:cs="宋体"/>
          <w:sz w:val="24"/>
          <w:szCs w:val="24"/>
        </w:rPr>
        <w:t>南海物丰</w:t>
      </w:r>
      <w:r>
        <w:rPr>
          <w:rFonts w:ascii="Times New Roman" w:hAnsi="Times New Roman" w:eastAsia="Times New Roman" w:cs="Times New Roman"/>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。全县有</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个镇，</w:t>
      </w:r>
      <w:r>
        <w:rPr>
          <w:rFonts w:ascii="Times New Roman" w:hAnsi="Times New Roman" w:eastAsia="Times New Roman" w:cs="Times New Roman"/>
          <w:spacing w:val="-1"/>
          <w:sz w:val="24"/>
          <w:szCs w:val="24"/>
        </w:rPr>
        <w:t xml:space="preserve">236 </w:t>
      </w:r>
      <w:r>
        <w:rPr>
          <w:rFonts w:ascii="宋体" w:hAnsi="宋体" w:eastAsia="宋体" w:cs="宋体"/>
          <w:spacing w:val="-1"/>
          <w:sz w:val="24"/>
          <w:szCs w:val="24"/>
        </w:rPr>
        <w:t>个村</w:t>
      </w:r>
      <w:r>
        <w:rPr>
          <w:rFonts w:ascii="宋体" w:hAnsi="宋体" w:eastAsia="宋体" w:cs="宋体"/>
          <w:sz w:val="24"/>
          <w:szCs w:val="24"/>
        </w:rPr>
        <w:t xml:space="preserve"> </w:t>
      </w:r>
      <w:r>
        <w:rPr>
          <w:rFonts w:ascii="宋体" w:hAnsi="宋体" w:eastAsia="宋体" w:cs="宋体"/>
          <w:spacing w:val="7"/>
          <w:sz w:val="24"/>
          <w:szCs w:val="24"/>
        </w:rPr>
        <w:t>民委员会，</w:t>
      </w:r>
      <w:r>
        <w:rPr>
          <w:rFonts w:ascii="Times New Roman" w:hAnsi="Times New Roman" w:eastAsia="Times New Roman" w:cs="Times New Roman"/>
          <w:spacing w:val="7"/>
          <w:sz w:val="24"/>
          <w:szCs w:val="24"/>
        </w:rPr>
        <w:t xml:space="preserve">42 </w:t>
      </w:r>
      <w:r>
        <w:rPr>
          <w:rFonts w:ascii="宋体" w:hAnsi="宋体" w:eastAsia="宋体" w:cs="宋体"/>
          <w:spacing w:val="7"/>
          <w:sz w:val="24"/>
          <w:szCs w:val="24"/>
        </w:rPr>
        <w:t>个社区居民委员会。海丰县人民政府驻地设在海城镇。全县总面积</w:t>
      </w:r>
      <w:r>
        <w:rPr>
          <w:rFonts w:ascii="宋体" w:hAnsi="宋体" w:eastAsia="宋体" w:cs="宋体"/>
          <w:spacing w:val="1"/>
          <w:sz w:val="24"/>
          <w:szCs w:val="24"/>
        </w:rPr>
        <w:t xml:space="preserve"> </w:t>
      </w:r>
      <w:r>
        <w:rPr>
          <w:rFonts w:ascii="Times New Roman" w:hAnsi="Times New Roman" w:eastAsia="Times New Roman" w:cs="Times New Roman"/>
          <w:spacing w:val="-2"/>
          <w:sz w:val="24"/>
          <w:szCs w:val="24"/>
        </w:rPr>
        <w:t>1750km</w:t>
      </w:r>
      <w:r>
        <w:rPr>
          <w:rFonts w:ascii="Times New Roman" w:hAnsi="Times New Roman" w:eastAsia="Times New Roman" w:cs="Times New Roman"/>
          <w:spacing w:val="-2"/>
          <w:position w:val="7"/>
          <w:sz w:val="15"/>
          <w:szCs w:val="15"/>
        </w:rPr>
        <w:t xml:space="preserve">2 </w:t>
      </w:r>
      <w:r>
        <w:rPr>
          <w:rFonts w:ascii="宋体" w:hAnsi="宋体" w:eastAsia="宋体" w:cs="宋体"/>
          <w:spacing w:val="-2"/>
          <w:sz w:val="24"/>
          <w:szCs w:val="24"/>
        </w:rPr>
        <w:t>。地势由西北向东南倾斜，炼化后三主峰海拔</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1337.</w:t>
      </w:r>
      <w:r>
        <w:rPr>
          <w:rFonts w:ascii="Times New Roman" w:hAnsi="Times New Roman" w:eastAsia="Times New Roman" w:cs="Times New Roman"/>
          <w:spacing w:val="-3"/>
          <w:sz w:val="24"/>
          <w:szCs w:val="24"/>
        </w:rPr>
        <w:t>3m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，莲花山脉横贯境北</w:t>
      </w:r>
      <w:r>
        <w:rPr>
          <w:rFonts w:ascii="宋体" w:hAnsi="宋体" w:eastAsia="宋体" w:cs="宋体"/>
          <w:sz w:val="24"/>
          <w:szCs w:val="24"/>
        </w:rPr>
        <w:t xml:space="preserve"> </w:t>
      </w:r>
      <w:r>
        <w:rPr>
          <w:rFonts w:ascii="宋体" w:hAnsi="宋体" w:eastAsia="宋体" w:cs="宋体"/>
          <w:spacing w:val="-2"/>
          <w:sz w:val="24"/>
          <w:szCs w:val="24"/>
        </w:rPr>
        <w:t>部。西北山峦叠嶂，中部为宽阔平原，土质肥沃，河涌交错，有赤石、大液、丽江、</w:t>
      </w:r>
      <w:r>
        <w:rPr>
          <w:rFonts w:ascii="宋体" w:hAnsi="宋体" w:eastAsia="宋体" w:cs="宋体"/>
          <w:sz w:val="24"/>
          <w:szCs w:val="24"/>
        </w:rPr>
        <w:t xml:space="preserve"> </w:t>
      </w:r>
      <w:r>
        <w:rPr>
          <w:rFonts w:ascii="宋体" w:hAnsi="宋体" w:eastAsia="宋体" w:cs="宋体"/>
          <w:spacing w:val="-2"/>
          <w:sz w:val="24"/>
          <w:szCs w:val="24"/>
        </w:rPr>
        <w:t>黄江</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大江河，东部濒临碣石湾，西部面向红海湾。年均气温</w:t>
      </w:r>
      <w:r>
        <w:rPr>
          <w:rFonts w:ascii="Times New Roman" w:hAnsi="Times New Roman" w:eastAsia="Times New Roman" w:cs="Times New Roman"/>
          <w:spacing w:val="-2"/>
          <w:sz w:val="24"/>
          <w:szCs w:val="24"/>
        </w:rPr>
        <w:t>22</w:t>
      </w:r>
      <w:r>
        <w:rPr>
          <w:rFonts w:ascii="宋体" w:hAnsi="宋体" w:eastAsia="宋体" w:cs="宋体"/>
          <w:spacing w:val="-2"/>
          <w:sz w:val="24"/>
          <w:szCs w:val="24"/>
        </w:rPr>
        <w:t>℃</w:t>
      </w:r>
      <w:r>
        <w:rPr>
          <w:rFonts w:ascii="宋体" w:hAnsi="宋体" w:eastAsia="宋体" w:cs="宋体"/>
          <w:spacing w:val="-93"/>
          <w:sz w:val="24"/>
          <w:szCs w:val="24"/>
        </w:rPr>
        <w:t xml:space="preserve"> </w:t>
      </w:r>
      <w:r>
        <w:rPr>
          <w:rFonts w:ascii="宋体" w:hAnsi="宋体" w:eastAsia="宋体" w:cs="宋体"/>
          <w:spacing w:val="-2"/>
          <w:sz w:val="24"/>
          <w:szCs w:val="24"/>
        </w:rPr>
        <w:t>,</w:t>
      </w:r>
      <w:r>
        <w:rPr>
          <w:rFonts w:ascii="宋体" w:hAnsi="宋体" w:eastAsia="宋体" w:cs="宋体"/>
          <w:spacing w:val="41"/>
          <w:sz w:val="24"/>
          <w:szCs w:val="24"/>
        </w:rPr>
        <w:t xml:space="preserve"> </w:t>
      </w:r>
      <w:r>
        <w:rPr>
          <w:rFonts w:ascii="宋体" w:hAnsi="宋体" w:eastAsia="宋体" w:cs="宋体"/>
          <w:spacing w:val="-2"/>
          <w:sz w:val="24"/>
          <w:szCs w:val="24"/>
        </w:rPr>
        <w:t>无霜期</w:t>
      </w:r>
      <w:r>
        <w:rPr>
          <w:rFonts w:ascii="Times New Roman" w:hAnsi="Times New Roman" w:eastAsia="Times New Roman" w:cs="Times New Roman"/>
          <w:spacing w:val="-2"/>
          <w:sz w:val="24"/>
          <w:szCs w:val="24"/>
        </w:rPr>
        <w:t>36</w:t>
      </w:r>
      <w:r>
        <w:rPr>
          <w:rFonts w:ascii="Times New Roman" w:hAnsi="Times New Roman" w:eastAsia="Times New Roman" w:cs="Times New Roman"/>
          <w:spacing w:val="-3"/>
          <w:sz w:val="24"/>
          <w:szCs w:val="24"/>
        </w:rPr>
        <w:t xml:space="preserve">0 </w:t>
      </w:r>
      <w:r>
        <w:rPr>
          <w:rFonts w:ascii="宋体" w:hAnsi="宋体" w:eastAsia="宋体" w:cs="宋体"/>
          <w:spacing w:val="-3"/>
          <w:sz w:val="24"/>
          <w:szCs w:val="24"/>
        </w:rPr>
        <w:t>天，</w:t>
      </w:r>
      <w:r>
        <w:rPr>
          <w:rFonts w:ascii="宋体" w:hAnsi="宋体" w:eastAsia="宋体" w:cs="宋体"/>
          <w:sz w:val="24"/>
          <w:szCs w:val="24"/>
        </w:rPr>
        <w:t xml:space="preserve"> 年均降水量</w:t>
      </w:r>
      <w:r>
        <w:rPr>
          <w:rFonts w:ascii="Times New Roman" w:hAnsi="Times New Roman" w:eastAsia="Times New Roman" w:cs="Times New Roman"/>
          <w:sz w:val="24"/>
          <w:szCs w:val="24"/>
        </w:rPr>
        <w:t>2389.5mm</w:t>
      </w:r>
      <w:r>
        <w:rPr>
          <w:rFonts w:ascii="宋体" w:hAnsi="宋体" w:eastAsia="宋体" w:cs="宋体"/>
          <w:sz w:val="24"/>
          <w:szCs w:val="24"/>
        </w:rPr>
        <w:t>。深汕特别合作区位于海丰县西部四镇，分别是鲘门镇、小漠</w:t>
      </w:r>
      <w:r>
        <w:rPr>
          <w:rFonts w:ascii="宋体" w:hAnsi="宋体" w:eastAsia="宋体" w:cs="宋体"/>
          <w:spacing w:val="9"/>
          <w:sz w:val="24"/>
          <w:szCs w:val="24"/>
        </w:rPr>
        <w:t xml:space="preserve"> </w:t>
      </w:r>
      <w:r>
        <w:rPr>
          <w:rFonts w:ascii="宋体" w:hAnsi="宋体" w:eastAsia="宋体" w:cs="宋体"/>
          <w:spacing w:val="-1"/>
          <w:sz w:val="24"/>
          <w:szCs w:val="24"/>
        </w:rPr>
        <w:t>镇、赤石镇和娥埠镇。</w:t>
      </w:r>
    </w:p>
    <w:p w14:paraId="696A000A">
      <w:pPr>
        <w:spacing w:before="8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4.1.2</w:t>
      </w:r>
      <w:r>
        <w:rPr>
          <w:rFonts w:ascii="宋体" w:hAnsi="宋体" w:eastAsia="宋体" w:cs="宋体"/>
          <w:b/>
          <w:bCs/>
          <w:spacing w:val="-2"/>
          <w:sz w:val="24"/>
          <w:szCs w:val="24"/>
        </w:rPr>
        <w:t>气候与气象</w:t>
      </w:r>
    </w:p>
    <w:p w14:paraId="7FBCF7F4">
      <w:pPr>
        <w:spacing w:before="169" w:line="376" w:lineRule="auto"/>
        <w:ind w:left="3" w:right="21" w:firstLine="479"/>
        <w:rPr>
          <w:rFonts w:ascii="宋体" w:hAnsi="宋体" w:eastAsia="宋体" w:cs="宋体"/>
          <w:sz w:val="24"/>
          <w:szCs w:val="24"/>
        </w:rPr>
      </w:pPr>
      <w:r>
        <w:rPr>
          <w:rFonts w:ascii="宋体" w:hAnsi="宋体" w:eastAsia="宋体" w:cs="宋体"/>
          <w:spacing w:val="-3"/>
          <w:sz w:val="24"/>
          <w:szCs w:val="24"/>
        </w:rPr>
        <w:t>海丰县地处北回归线南缘，属南亚热带气候区，年均气温</w:t>
      </w:r>
      <w:r>
        <w:rPr>
          <w:rFonts w:ascii="Times New Roman" w:hAnsi="Times New Roman" w:eastAsia="Times New Roman" w:cs="Times New Roman"/>
          <w:spacing w:val="-3"/>
          <w:sz w:val="24"/>
          <w:szCs w:val="24"/>
        </w:rPr>
        <w:t>22</w:t>
      </w:r>
      <w:r>
        <w:rPr>
          <w:rFonts w:ascii="宋体" w:hAnsi="宋体" w:eastAsia="宋体" w:cs="宋体"/>
          <w:spacing w:val="-3"/>
          <w:sz w:val="24"/>
          <w:szCs w:val="24"/>
        </w:rPr>
        <w:t>℃</w:t>
      </w:r>
      <w:r>
        <w:rPr>
          <w:rFonts w:ascii="宋体" w:hAnsi="宋体" w:eastAsia="宋体" w:cs="宋体"/>
          <w:spacing w:val="-93"/>
          <w:sz w:val="24"/>
          <w:szCs w:val="24"/>
        </w:rPr>
        <w:t xml:space="preserve"> </w:t>
      </w:r>
      <w:r>
        <w:rPr>
          <w:rFonts w:ascii="宋体" w:hAnsi="宋体" w:eastAsia="宋体" w:cs="宋体"/>
          <w:spacing w:val="-3"/>
          <w:sz w:val="24"/>
          <w:szCs w:val="24"/>
        </w:rPr>
        <w:t>,</w:t>
      </w:r>
      <w:r>
        <w:rPr>
          <w:rFonts w:ascii="宋体" w:hAnsi="宋体" w:eastAsia="宋体" w:cs="宋体"/>
          <w:spacing w:val="32"/>
          <w:sz w:val="24"/>
          <w:szCs w:val="24"/>
        </w:rPr>
        <w:t xml:space="preserve"> </w:t>
      </w:r>
      <w:r>
        <w:rPr>
          <w:rFonts w:ascii="宋体" w:hAnsi="宋体" w:eastAsia="宋体" w:cs="宋体"/>
          <w:spacing w:val="-3"/>
          <w:sz w:val="24"/>
          <w:szCs w:val="24"/>
        </w:rPr>
        <w:t>无霜期</w:t>
      </w:r>
      <w:r>
        <w:rPr>
          <w:rFonts w:ascii="Times New Roman" w:hAnsi="Times New Roman" w:eastAsia="Times New Roman" w:cs="Times New Roman"/>
          <w:spacing w:val="-3"/>
          <w:sz w:val="24"/>
          <w:szCs w:val="24"/>
        </w:rPr>
        <w:t>360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天，</w:t>
      </w:r>
      <w:r>
        <w:rPr>
          <w:rFonts w:ascii="宋体" w:hAnsi="宋体" w:eastAsia="宋体" w:cs="宋体"/>
          <w:sz w:val="24"/>
          <w:szCs w:val="24"/>
        </w:rPr>
        <w:t xml:space="preserve"> 年均降水量</w:t>
      </w:r>
      <w:r>
        <w:rPr>
          <w:rFonts w:ascii="Times New Roman" w:hAnsi="Times New Roman" w:eastAsia="Times New Roman" w:cs="Times New Roman"/>
          <w:sz w:val="24"/>
          <w:szCs w:val="24"/>
        </w:rPr>
        <w:t>2541.6mm</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，年平均降雨日为</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101 </w:t>
      </w:r>
      <w:r>
        <w:rPr>
          <w:rFonts w:ascii="宋体" w:hAnsi="宋体" w:eastAsia="宋体" w:cs="宋体"/>
          <w:sz w:val="24"/>
          <w:szCs w:val="24"/>
        </w:rPr>
        <w:t xml:space="preserve">天。海洋性气候明显，常年气温宜和、 </w:t>
      </w:r>
      <w:r>
        <w:rPr>
          <w:rFonts w:ascii="宋体" w:hAnsi="宋体" w:eastAsia="宋体" w:cs="宋体"/>
          <w:spacing w:val="3"/>
          <w:sz w:val="24"/>
          <w:szCs w:val="24"/>
        </w:rPr>
        <w:t>雨量丰沛、光能热量充足。夏季长，温高雨多且湿度大，多为西南风，常</w:t>
      </w:r>
      <w:r>
        <w:rPr>
          <w:rFonts w:ascii="宋体" w:hAnsi="宋体" w:eastAsia="宋体" w:cs="宋体"/>
          <w:spacing w:val="2"/>
          <w:sz w:val="24"/>
          <w:szCs w:val="24"/>
        </w:rPr>
        <w:t>有雨涝、</w:t>
      </w:r>
      <w:r>
        <w:rPr>
          <w:rFonts w:ascii="宋体" w:hAnsi="宋体" w:eastAsia="宋体" w:cs="宋体"/>
          <w:sz w:val="24"/>
          <w:szCs w:val="24"/>
        </w:rPr>
        <w:t xml:space="preserve"> </w:t>
      </w:r>
      <w:r>
        <w:rPr>
          <w:rFonts w:ascii="宋体" w:hAnsi="宋体" w:eastAsia="宋体" w:cs="宋体"/>
          <w:spacing w:val="3"/>
          <w:sz w:val="24"/>
          <w:szCs w:val="24"/>
        </w:rPr>
        <w:t>台风等气象灾害；冬季短，稍冷，雨少且较干燥，无雪少霜；夏前秋末气</w:t>
      </w:r>
      <w:r>
        <w:rPr>
          <w:rFonts w:ascii="宋体" w:hAnsi="宋体" w:eastAsia="宋体" w:cs="宋体"/>
          <w:spacing w:val="2"/>
          <w:sz w:val="24"/>
          <w:szCs w:val="24"/>
        </w:rPr>
        <w:t>温适中，</w:t>
      </w:r>
      <w:r>
        <w:rPr>
          <w:rFonts w:ascii="宋体" w:hAnsi="宋体" w:eastAsia="宋体" w:cs="宋体"/>
          <w:sz w:val="24"/>
          <w:szCs w:val="24"/>
        </w:rPr>
        <w:t xml:space="preserve"> </w:t>
      </w:r>
      <w:r>
        <w:rPr>
          <w:rFonts w:ascii="宋体" w:hAnsi="宋体" w:eastAsia="宋体" w:cs="宋体"/>
          <w:spacing w:val="3"/>
          <w:sz w:val="24"/>
          <w:szCs w:val="24"/>
        </w:rPr>
        <w:t>宜于作物生长。一年四季，绿叶常青。其四季气候特征为：高温多雨，雨</w:t>
      </w:r>
      <w:r>
        <w:rPr>
          <w:rFonts w:ascii="宋体" w:hAnsi="宋体" w:eastAsia="宋体" w:cs="宋体"/>
          <w:spacing w:val="2"/>
          <w:sz w:val="24"/>
          <w:szCs w:val="24"/>
        </w:rPr>
        <w:t>热同季，</w:t>
      </w:r>
      <w:r>
        <w:rPr>
          <w:rFonts w:ascii="宋体" w:hAnsi="宋体" w:eastAsia="宋体" w:cs="宋体"/>
          <w:sz w:val="24"/>
          <w:szCs w:val="24"/>
        </w:rPr>
        <w:t xml:space="preserve"> </w:t>
      </w:r>
      <w:r>
        <w:rPr>
          <w:rFonts w:ascii="宋体" w:hAnsi="宋体" w:eastAsia="宋体" w:cs="宋体"/>
          <w:spacing w:val="-1"/>
          <w:sz w:val="24"/>
          <w:szCs w:val="24"/>
        </w:rPr>
        <w:t>酷热期短，雨量多集中于春、夏两季，无霜期长，四季不甚分明。</w:t>
      </w:r>
    </w:p>
    <w:p w14:paraId="296586B1">
      <w:pPr>
        <w:spacing w:line="380" w:lineRule="auto"/>
        <w:ind w:left="2" w:firstLine="480"/>
        <w:jc w:val="both"/>
        <w:rPr>
          <w:rFonts w:ascii="宋体" w:hAnsi="宋体" w:eastAsia="宋体" w:cs="宋体"/>
          <w:sz w:val="24"/>
          <w:szCs w:val="24"/>
        </w:rPr>
      </w:pPr>
      <w:r>
        <w:rPr>
          <w:rFonts w:ascii="宋体" w:hAnsi="宋体" w:eastAsia="宋体" w:cs="宋体"/>
          <w:spacing w:val="-1"/>
          <w:sz w:val="24"/>
          <w:szCs w:val="24"/>
        </w:rPr>
        <w:t>海丰县年平均日照总时数为</w:t>
      </w:r>
      <w:r>
        <w:rPr>
          <w:rFonts w:ascii="Times New Roman" w:hAnsi="Times New Roman" w:eastAsia="Times New Roman" w:cs="Times New Roman"/>
          <w:spacing w:val="-1"/>
          <w:sz w:val="24"/>
          <w:szCs w:val="24"/>
        </w:rPr>
        <w:t>2217.7</w:t>
      </w:r>
      <w:r>
        <w:rPr>
          <w:rFonts w:ascii="Times New Roman" w:hAnsi="Times New Roman" w:eastAsia="Times New Roman" w:cs="Times New Roman"/>
          <w:spacing w:val="34"/>
          <w:w w:val="101"/>
          <w:sz w:val="24"/>
          <w:szCs w:val="24"/>
        </w:rPr>
        <w:t xml:space="preserve"> </w:t>
      </w:r>
      <w:r>
        <w:rPr>
          <w:rFonts w:ascii="宋体" w:hAnsi="宋体" w:eastAsia="宋体" w:cs="宋体"/>
          <w:spacing w:val="-1"/>
          <w:sz w:val="24"/>
          <w:szCs w:val="24"/>
        </w:rPr>
        <w:t>小时，</w:t>
      </w:r>
      <w:r>
        <w:rPr>
          <w:rFonts w:ascii="宋体" w:hAnsi="宋体" w:eastAsia="宋体" w:cs="宋体"/>
          <w:spacing w:val="-72"/>
          <w:sz w:val="24"/>
          <w:szCs w:val="24"/>
        </w:rPr>
        <w:t xml:space="preserve"> </w:t>
      </w:r>
      <w:r>
        <w:rPr>
          <w:rFonts w:ascii="宋体" w:hAnsi="宋体" w:eastAsia="宋体" w:cs="宋体"/>
          <w:spacing w:val="-1"/>
          <w:sz w:val="24"/>
          <w:szCs w:val="24"/>
        </w:rPr>
        <w:t>日照百分率达</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51%</w:t>
      </w:r>
      <w:r>
        <w:rPr>
          <w:rFonts w:ascii="宋体" w:hAnsi="宋体" w:eastAsia="宋体" w:cs="宋体"/>
          <w:spacing w:val="-1"/>
          <w:sz w:val="24"/>
          <w:szCs w:val="24"/>
        </w:rPr>
        <w:t>；由于受海洋气候</w:t>
      </w:r>
      <w:r>
        <w:rPr>
          <w:rFonts w:ascii="宋体" w:hAnsi="宋体" w:eastAsia="宋体" w:cs="宋体"/>
          <w:sz w:val="24"/>
          <w:szCs w:val="24"/>
        </w:rPr>
        <w:t xml:space="preserve"> </w:t>
      </w:r>
      <w:r>
        <w:rPr>
          <w:rFonts w:ascii="宋体" w:hAnsi="宋体" w:eastAsia="宋体" w:cs="宋体"/>
          <w:spacing w:val="-1"/>
          <w:sz w:val="24"/>
          <w:szCs w:val="24"/>
        </w:rPr>
        <w:t>影响，全区的灾害性天气主要有低温、霜冻、低温阴雨、寒露</w:t>
      </w:r>
      <w:r>
        <w:rPr>
          <w:rFonts w:ascii="宋体" w:hAnsi="宋体" w:eastAsia="宋体" w:cs="宋体"/>
          <w:spacing w:val="-2"/>
          <w:sz w:val="24"/>
          <w:szCs w:val="24"/>
        </w:rPr>
        <w:t>风、台风、</w:t>
      </w:r>
      <w:r>
        <w:rPr>
          <w:rFonts w:ascii="Times New Roman" w:hAnsi="Times New Roman" w:eastAsia="Times New Roman" w:cs="Times New Roman"/>
          <w:spacing w:val="-2"/>
          <w:sz w:val="24"/>
          <w:szCs w:val="24"/>
        </w:rPr>
        <w:t>“</w:t>
      </w:r>
      <w:r>
        <w:rPr>
          <w:rFonts w:ascii="宋体" w:hAnsi="宋体" w:eastAsia="宋体" w:cs="宋体"/>
          <w:spacing w:val="-2"/>
          <w:sz w:val="24"/>
          <w:szCs w:val="24"/>
        </w:rPr>
        <w:t>龙舟水</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春旱秋旱等。</w:t>
      </w:r>
    </w:p>
    <w:p w14:paraId="16165819">
      <w:pPr>
        <w:spacing w:before="22"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4.1.3</w:t>
      </w:r>
      <w:r>
        <w:rPr>
          <w:rFonts w:ascii="宋体" w:hAnsi="宋体" w:eastAsia="宋体" w:cs="宋体"/>
          <w:b/>
          <w:bCs/>
          <w:spacing w:val="-2"/>
          <w:sz w:val="24"/>
          <w:szCs w:val="24"/>
        </w:rPr>
        <w:t>水文特征</w:t>
      </w:r>
    </w:p>
    <w:p w14:paraId="1050B586">
      <w:pPr>
        <w:spacing w:before="200" w:line="377" w:lineRule="auto"/>
        <w:ind w:left="6" w:right="85" w:firstLine="476"/>
        <w:rPr>
          <w:rFonts w:ascii="宋体" w:hAnsi="宋体" w:eastAsia="宋体" w:cs="宋体"/>
          <w:sz w:val="24"/>
          <w:szCs w:val="24"/>
        </w:rPr>
      </w:pPr>
      <w:r>
        <w:rPr>
          <w:rFonts w:ascii="宋体" w:hAnsi="宋体" w:eastAsia="宋体" w:cs="宋体"/>
          <w:spacing w:val="2"/>
          <w:sz w:val="24"/>
          <w:szCs w:val="24"/>
        </w:rPr>
        <w:t>海丰县河涌交错，有赤石、大液、丽江、黄河四大江河，东部濒临碣石湾，西</w:t>
      </w:r>
      <w:r>
        <w:rPr>
          <w:rFonts w:ascii="宋体" w:hAnsi="宋体" w:eastAsia="宋体" w:cs="宋体"/>
          <w:spacing w:val="11"/>
          <w:sz w:val="24"/>
          <w:szCs w:val="24"/>
        </w:rPr>
        <w:t xml:space="preserve"> </w:t>
      </w:r>
      <w:r>
        <w:rPr>
          <w:rFonts w:ascii="宋体" w:hAnsi="宋体" w:eastAsia="宋体" w:cs="宋体"/>
          <w:spacing w:val="-2"/>
          <w:sz w:val="24"/>
          <w:szCs w:val="24"/>
        </w:rPr>
        <w:t>部面向红海湾。境内有长沙湾、高螺湾、九龙湾三大海湾，海岸线</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116km</w:t>
      </w:r>
      <w:r>
        <w:rPr>
          <w:rFonts w:ascii="宋体" w:hAnsi="宋体" w:eastAsia="宋体" w:cs="宋体"/>
          <w:spacing w:val="-2"/>
          <w:sz w:val="24"/>
          <w:szCs w:val="24"/>
        </w:rPr>
        <w:t>。</w:t>
      </w:r>
    </w:p>
    <w:p w14:paraId="4F2960F0">
      <w:pPr>
        <w:spacing w:before="2" w:line="305" w:lineRule="auto"/>
        <w:ind w:left="4" w:right="16" w:firstLine="478"/>
        <w:rPr>
          <w:rFonts w:ascii="宋体" w:hAnsi="宋体" w:eastAsia="宋体" w:cs="宋体"/>
          <w:sz w:val="24"/>
          <w:szCs w:val="24"/>
        </w:rPr>
      </w:pPr>
      <w:r>
        <w:pict>
          <v:shape id="_x0000_s1033" o:spid="_x0000_s1033" o:spt="202" type="#_x0000_t202" style="position:absolute;left:0pt;margin-left:176.1pt;margin-top:21.7pt;height:20.1pt;width:100.6pt;z-index:251664384;mso-width-relative:page;mso-height-relative:page;" filled="f" stroked="f" coordsize="21600,21600">
            <v:path/>
            <v:fill on="f" focussize="0,0"/>
            <v:stroke on="f"/>
            <v:imagedata o:title=""/>
            <o:lock v:ext="edit" aspectratio="f"/>
            <v:textbox inset="0mm,0mm,0mm,0mm">
              <w:txbxContent>
                <w:p w14:paraId="65A0D10C">
                  <w:pPr>
                    <w:spacing w:before="20" w:line="361" w:lineRule="exact"/>
                    <w:ind w:left="20"/>
                    <w:rPr>
                      <w:rFonts w:ascii="Times New Roman" w:hAnsi="Times New Roman" w:eastAsia="Times New Roman" w:cs="Times New Roman"/>
                      <w:sz w:val="24"/>
                      <w:szCs w:val="24"/>
                    </w:rPr>
                  </w:pPr>
                  <w:r>
                    <w:rPr>
                      <w:rFonts w:ascii="宋体" w:hAnsi="宋体" w:eastAsia="宋体" w:cs="宋体"/>
                      <w:spacing w:val="-5"/>
                      <w:position w:val="2"/>
                      <w:sz w:val="24"/>
                      <w:szCs w:val="24"/>
                    </w:rPr>
                    <w:t>主河道天然落差</w:t>
                  </w:r>
                  <w:r>
                    <w:rPr>
                      <w:rFonts w:ascii="宋体" w:hAnsi="宋体" w:eastAsia="宋体" w:cs="宋体"/>
                      <w:spacing w:val="-25"/>
                      <w:position w:val="2"/>
                      <w:sz w:val="24"/>
                      <w:szCs w:val="24"/>
                    </w:rPr>
                    <w:t xml:space="preserve"> </w:t>
                  </w:r>
                  <w:r>
                    <w:rPr>
                      <w:rFonts w:ascii="Times New Roman" w:hAnsi="Times New Roman" w:eastAsia="Times New Roman" w:cs="Times New Roman"/>
                      <w:spacing w:val="-5"/>
                      <w:position w:val="2"/>
                      <w:sz w:val="24"/>
                      <w:szCs w:val="24"/>
                    </w:rPr>
                    <w:t>10</w:t>
                  </w:r>
                </w:p>
              </w:txbxContent>
            </v:textbox>
          </v:shape>
        </w:pict>
      </w:r>
      <w:r>
        <w:rPr>
          <w:rFonts w:ascii="宋体" w:hAnsi="宋体" w:eastAsia="宋体" w:cs="宋体"/>
          <w:spacing w:val="3"/>
          <w:sz w:val="24"/>
          <w:szCs w:val="24"/>
        </w:rPr>
        <w:t xml:space="preserve">黄江河是海丰县境内最大的河流，发源于海丰县与惠东县交界处的莲花山脉， </w:t>
      </w:r>
      <w:r>
        <w:rPr>
          <w:rFonts w:ascii="宋体" w:hAnsi="宋体" w:eastAsia="宋体" w:cs="宋体"/>
          <w:spacing w:val="-7"/>
          <w:sz w:val="24"/>
          <w:szCs w:val="24"/>
        </w:rPr>
        <w:t>流域面积</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1368km</w:t>
      </w:r>
      <w:r>
        <w:rPr>
          <w:rFonts w:ascii="Times New Roman" w:hAnsi="Times New Roman" w:eastAsia="Times New Roman" w:cs="Times New Roman"/>
          <w:spacing w:val="-7"/>
          <w:position w:val="7"/>
          <w:sz w:val="15"/>
          <w:szCs w:val="15"/>
        </w:rPr>
        <w:t>2</w:t>
      </w:r>
      <w:r>
        <w:rPr>
          <w:rFonts w:ascii="宋体" w:hAnsi="宋体" w:eastAsia="宋体" w:cs="宋体"/>
          <w:spacing w:val="-7"/>
          <w:sz w:val="24"/>
          <w:szCs w:val="24"/>
        </w:rPr>
        <w:t>，主河长</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67km</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w:t>
      </w:r>
      <w:r>
        <w:rPr>
          <w:rFonts w:ascii="宋体" w:hAnsi="宋体" w:eastAsia="宋体" w:cs="宋体"/>
          <w:spacing w:val="7"/>
          <w:sz w:val="24"/>
          <w:szCs w:val="24"/>
        </w:rPr>
        <w:t xml:space="preserve">               </w:t>
      </w:r>
      <w:r>
        <w:rPr>
          <w:rFonts w:ascii="Times New Roman" w:hAnsi="Times New Roman" w:eastAsia="Times New Roman" w:cs="Times New Roman"/>
          <w:spacing w:val="-7"/>
          <w:sz w:val="24"/>
          <w:szCs w:val="24"/>
        </w:rPr>
        <w:t>54m</w:t>
      </w:r>
      <w:r>
        <w:rPr>
          <w:rFonts w:ascii="宋体" w:hAnsi="宋体" w:eastAsia="宋体" w:cs="宋体"/>
          <w:spacing w:val="-7"/>
          <w:sz w:val="24"/>
          <w:szCs w:val="24"/>
        </w:rPr>
        <w:t>，多年平</w:t>
      </w:r>
      <w:r>
        <w:rPr>
          <w:rFonts w:ascii="宋体" w:hAnsi="宋体" w:eastAsia="宋体" w:cs="宋体"/>
          <w:spacing w:val="-8"/>
          <w:sz w:val="24"/>
          <w:szCs w:val="24"/>
        </w:rPr>
        <w:t>均流速</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52.78m</w:t>
      </w:r>
      <w:r>
        <w:rPr>
          <w:rFonts w:ascii="Times New Roman" w:hAnsi="Times New Roman" w:eastAsia="Times New Roman" w:cs="Times New Roman"/>
          <w:spacing w:val="-8"/>
          <w:position w:val="7"/>
          <w:sz w:val="15"/>
          <w:szCs w:val="15"/>
        </w:rPr>
        <w:t xml:space="preserve">3 </w:t>
      </w:r>
      <w:r>
        <w:rPr>
          <w:rFonts w:ascii="Times New Roman" w:hAnsi="Times New Roman" w:eastAsia="Times New Roman" w:cs="Times New Roman"/>
          <w:spacing w:val="-8"/>
          <w:sz w:val="24"/>
          <w:szCs w:val="24"/>
        </w:rPr>
        <w:t>/s</w:t>
      </w:r>
      <w:r>
        <w:rPr>
          <w:rFonts w:ascii="宋体" w:hAnsi="宋体" w:eastAsia="宋体" w:cs="宋体"/>
          <w:spacing w:val="-8"/>
          <w:sz w:val="24"/>
          <w:szCs w:val="24"/>
        </w:rPr>
        <w:t>，</w:t>
      </w:r>
    </w:p>
    <w:p w14:paraId="383C85AE">
      <w:pPr>
        <w:spacing w:line="237" w:lineRule="exact"/>
        <w:ind w:left="44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80</w:t>
      </w:r>
    </w:p>
    <w:p w14:paraId="358D8943">
      <w:pPr>
        <w:spacing w:line="237" w:lineRule="exact"/>
        <w:rPr>
          <w:rFonts w:ascii="Times New Roman" w:hAnsi="Times New Roman" w:eastAsia="Times New Roman" w:cs="Times New Roman"/>
          <w:sz w:val="18"/>
          <w:szCs w:val="18"/>
        </w:rPr>
        <w:sectPr>
          <w:footerReference r:id="rId89" w:type="default"/>
          <w:pgSz w:w="11906" w:h="16839"/>
          <w:pgMar w:top="400" w:right="1503" w:bottom="400" w:left="1594" w:header="0" w:footer="0" w:gutter="0"/>
          <w:cols w:space="720" w:num="1"/>
        </w:sectPr>
      </w:pPr>
    </w:p>
    <w:p w14:paraId="39166067">
      <w:pPr>
        <w:pStyle w:val="2"/>
        <w:spacing w:line="264" w:lineRule="auto"/>
      </w:pPr>
    </w:p>
    <w:p w14:paraId="55E5C871">
      <w:pPr>
        <w:pStyle w:val="2"/>
        <w:spacing w:line="264" w:lineRule="auto"/>
      </w:pPr>
    </w:p>
    <w:p w14:paraId="1231DC42">
      <w:pPr>
        <w:pStyle w:val="2"/>
        <w:spacing w:line="264" w:lineRule="auto"/>
      </w:pPr>
    </w:p>
    <w:p w14:paraId="5B81545F">
      <w:pPr>
        <w:pStyle w:val="2"/>
        <w:spacing w:line="265" w:lineRule="auto"/>
      </w:pPr>
    </w:p>
    <w:p w14:paraId="0227A918">
      <w:pPr>
        <w:spacing w:before="78" w:line="220" w:lineRule="auto"/>
        <w:ind w:left="2"/>
        <w:rPr>
          <w:rFonts w:ascii="宋体" w:hAnsi="宋体" w:eastAsia="宋体" w:cs="宋体"/>
          <w:sz w:val="24"/>
          <w:szCs w:val="24"/>
        </w:rPr>
      </w:pPr>
      <w:r>
        <w:rPr>
          <w:rFonts w:ascii="宋体" w:hAnsi="宋体" w:eastAsia="宋体" w:cs="宋体"/>
          <w:spacing w:val="-1"/>
          <w:sz w:val="24"/>
          <w:szCs w:val="24"/>
        </w:rPr>
        <w:t>黄江河主要功能为农业用水。</w:t>
      </w:r>
    </w:p>
    <w:p w14:paraId="7289BCAC">
      <w:pPr>
        <w:spacing w:before="168" w:line="372" w:lineRule="auto"/>
        <w:ind w:left="5" w:firstLine="480"/>
        <w:rPr>
          <w:rFonts w:ascii="宋体" w:hAnsi="宋体" w:eastAsia="宋体" w:cs="宋体"/>
          <w:sz w:val="24"/>
          <w:szCs w:val="24"/>
        </w:rPr>
      </w:pPr>
      <w:r>
        <w:rPr>
          <w:rFonts w:ascii="宋体" w:hAnsi="宋体" w:eastAsia="宋体" w:cs="宋体"/>
          <w:spacing w:val="-9"/>
          <w:sz w:val="24"/>
          <w:szCs w:val="24"/>
        </w:rPr>
        <w:t>大液河属黄江最大支流，发源于莲花山主峰西侧，流域面积</w:t>
      </w:r>
      <w:r>
        <w:rPr>
          <w:rFonts w:ascii="宋体" w:hAnsi="宋体" w:eastAsia="宋体" w:cs="宋体"/>
          <w:spacing w:val="-34"/>
          <w:sz w:val="24"/>
          <w:szCs w:val="24"/>
        </w:rPr>
        <w:t xml:space="preserve"> </w:t>
      </w:r>
      <w:r>
        <w:rPr>
          <w:rFonts w:ascii="Times New Roman" w:hAnsi="Times New Roman" w:eastAsia="Times New Roman" w:cs="Times New Roman"/>
          <w:spacing w:val="-9"/>
          <w:sz w:val="24"/>
          <w:szCs w:val="24"/>
        </w:rPr>
        <w:t>161km</w:t>
      </w:r>
      <w:r>
        <w:rPr>
          <w:rFonts w:ascii="Times New Roman" w:hAnsi="Times New Roman" w:eastAsia="Times New Roman" w:cs="Times New Roman"/>
          <w:spacing w:val="-9"/>
          <w:position w:val="8"/>
          <w:sz w:val="15"/>
          <w:szCs w:val="15"/>
        </w:rPr>
        <w:t>2</w:t>
      </w:r>
      <w:r>
        <w:rPr>
          <w:rFonts w:ascii="宋体" w:hAnsi="宋体" w:eastAsia="宋体" w:cs="宋体"/>
          <w:spacing w:val="-12"/>
          <w:sz w:val="24"/>
          <w:szCs w:val="24"/>
        </w:rPr>
        <w:t>，主河长</w:t>
      </w:r>
      <w:r>
        <w:rPr>
          <w:rFonts w:ascii="Times New Roman" w:hAnsi="Times New Roman" w:eastAsia="Times New Roman" w:cs="Times New Roman"/>
          <w:spacing w:val="-12"/>
          <w:sz w:val="24"/>
          <w:szCs w:val="24"/>
        </w:rPr>
        <w:t>34km</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3"/>
          <w:sz w:val="24"/>
          <w:szCs w:val="24"/>
        </w:rPr>
        <w:t>主河道天然落差</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1338m</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，多年平均流速</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7.41m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21"/>
          <w:w w:val="102"/>
          <w:position w:val="7"/>
          <w:sz w:val="15"/>
          <w:szCs w:val="15"/>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，主要功能为农业用水。</w:t>
      </w:r>
    </w:p>
    <w:p w14:paraId="1D3865EF">
      <w:pPr>
        <w:spacing w:before="7" w:line="375" w:lineRule="auto"/>
        <w:ind w:left="2" w:right="180" w:firstLine="488"/>
        <w:jc w:val="both"/>
        <w:rPr>
          <w:rFonts w:ascii="宋体" w:hAnsi="宋体" w:eastAsia="宋体" w:cs="宋体"/>
          <w:sz w:val="24"/>
          <w:szCs w:val="24"/>
        </w:rPr>
      </w:pPr>
      <w:r>
        <w:rPr>
          <w:rFonts w:ascii="宋体" w:hAnsi="宋体" w:eastAsia="宋体" w:cs="宋体"/>
          <w:spacing w:val="-4"/>
          <w:sz w:val="24"/>
          <w:szCs w:val="24"/>
        </w:rPr>
        <w:t>赤石河发源于峰高</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1256m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与惠东交界的白马山，源头山溪河段</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7km</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叫北坑，进</w:t>
      </w:r>
      <w:r>
        <w:rPr>
          <w:rFonts w:ascii="宋体" w:hAnsi="宋体" w:eastAsia="宋体" w:cs="宋体"/>
          <w:sz w:val="24"/>
          <w:szCs w:val="24"/>
        </w:rPr>
        <w:t xml:space="preserve"> 入大安谷地流</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6km </w:t>
      </w:r>
      <w:r>
        <w:rPr>
          <w:rFonts w:ascii="宋体" w:hAnsi="宋体" w:eastAsia="宋体" w:cs="宋体"/>
          <w:sz w:val="24"/>
          <w:szCs w:val="24"/>
        </w:rPr>
        <w:t xml:space="preserve">至赤石镇大安管区的塘尾，有东坑和鸡笼山两水分别从左右岸汇 </w:t>
      </w:r>
      <w:r>
        <w:rPr>
          <w:rFonts w:ascii="宋体" w:hAnsi="宋体" w:eastAsia="宋体" w:cs="宋体"/>
          <w:spacing w:val="-1"/>
          <w:sz w:val="24"/>
          <w:szCs w:val="24"/>
        </w:rPr>
        <w:t>入。全长</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36km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，流域面积含鹅埠镇、赤石镇和园墩林场共计</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382km</w:t>
      </w:r>
      <w:r>
        <w:rPr>
          <w:rFonts w:ascii="Times New Roman" w:hAnsi="Times New Roman" w:eastAsia="Times New Roman" w:cs="Times New Roman"/>
          <w:spacing w:val="-1"/>
          <w:position w:val="8"/>
          <w:sz w:val="15"/>
          <w:szCs w:val="15"/>
        </w:rPr>
        <w:t xml:space="preserve">2 </w:t>
      </w:r>
      <w:r>
        <w:rPr>
          <w:rFonts w:ascii="宋体" w:hAnsi="宋体" w:eastAsia="宋体" w:cs="宋体"/>
          <w:spacing w:val="-1"/>
          <w:sz w:val="24"/>
          <w:szCs w:val="24"/>
        </w:rPr>
        <w:t>，</w:t>
      </w:r>
      <w:r>
        <w:rPr>
          <w:rFonts w:ascii="宋体" w:hAnsi="宋体" w:eastAsia="宋体" w:cs="宋体"/>
          <w:spacing w:val="-69"/>
          <w:sz w:val="24"/>
          <w:szCs w:val="24"/>
        </w:rPr>
        <w:t xml:space="preserve"> </w:t>
      </w:r>
      <w:r>
        <w:rPr>
          <w:rFonts w:ascii="宋体" w:hAnsi="宋体" w:eastAsia="宋体" w:cs="宋体"/>
          <w:spacing w:val="-1"/>
          <w:sz w:val="24"/>
          <w:szCs w:val="24"/>
        </w:rPr>
        <w:t>占全县总面</w:t>
      </w:r>
      <w:r>
        <w:rPr>
          <w:rFonts w:ascii="宋体" w:hAnsi="宋体" w:eastAsia="宋体" w:cs="宋体"/>
          <w:sz w:val="24"/>
          <w:szCs w:val="24"/>
        </w:rPr>
        <w:t xml:space="preserve"> </w:t>
      </w:r>
      <w:r>
        <w:rPr>
          <w:rFonts w:ascii="宋体" w:hAnsi="宋体" w:eastAsia="宋体" w:cs="宋体"/>
          <w:spacing w:val="-4"/>
          <w:sz w:val="24"/>
          <w:szCs w:val="24"/>
        </w:rPr>
        <w:t>积</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17.7%</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。多年平均流速</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17.59m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/s</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，赤石河主要功能为防洪。</w:t>
      </w:r>
    </w:p>
    <w:p w14:paraId="37CBC2F6">
      <w:pPr>
        <w:spacing w:before="48" w:line="367" w:lineRule="auto"/>
        <w:ind w:left="2" w:right="181" w:firstLine="480"/>
        <w:jc w:val="both"/>
        <w:rPr>
          <w:rFonts w:ascii="宋体" w:hAnsi="宋体" w:eastAsia="宋体" w:cs="宋体"/>
          <w:sz w:val="24"/>
          <w:szCs w:val="24"/>
        </w:rPr>
      </w:pPr>
      <w:r>
        <w:rPr>
          <w:rFonts w:ascii="宋体" w:hAnsi="宋体" w:eastAsia="宋体" w:cs="宋体"/>
          <w:spacing w:val="2"/>
          <w:sz w:val="24"/>
          <w:szCs w:val="24"/>
        </w:rPr>
        <w:t>海丰县城母亲河龙津河源于海丰县莲花山南麓，为黄江河的一条小支流，穿过</w:t>
      </w:r>
      <w:r>
        <w:rPr>
          <w:rFonts w:ascii="宋体" w:hAnsi="宋体" w:eastAsia="宋体" w:cs="宋体"/>
          <w:spacing w:val="11"/>
          <w:sz w:val="24"/>
          <w:szCs w:val="24"/>
        </w:rPr>
        <w:t xml:space="preserve"> </w:t>
      </w:r>
      <w:r>
        <w:rPr>
          <w:rFonts w:ascii="宋体" w:hAnsi="宋体" w:eastAsia="宋体" w:cs="宋体"/>
          <w:spacing w:val="1"/>
          <w:sz w:val="24"/>
          <w:szCs w:val="24"/>
        </w:rPr>
        <w:t>海丰县城后汇入丽江，再注入黄江河的中游下段，再从长沙湾出海，全长</w:t>
      </w:r>
      <w:r>
        <w:rPr>
          <w:rFonts w:ascii="Times New Roman" w:hAnsi="Times New Roman" w:eastAsia="Times New Roman" w:cs="Times New Roman"/>
          <w:spacing w:val="1"/>
          <w:sz w:val="24"/>
          <w:szCs w:val="24"/>
        </w:rPr>
        <w:t>31.5</w:t>
      </w:r>
      <w:r>
        <w:rPr>
          <w:rFonts w:ascii="Times New Roman" w:hAnsi="Times New Roman" w:eastAsia="Times New Roman" w:cs="Times New Roman"/>
          <w:sz w:val="24"/>
          <w:szCs w:val="24"/>
        </w:rPr>
        <w:t>km</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集雨面积为</w:t>
      </w:r>
      <w:r>
        <w:rPr>
          <w:rFonts w:ascii="Times New Roman" w:hAnsi="Times New Roman" w:eastAsia="Times New Roman" w:cs="Times New Roman"/>
          <w:spacing w:val="1"/>
          <w:sz w:val="24"/>
          <w:szCs w:val="24"/>
        </w:rPr>
        <w:t>40.47</w:t>
      </w:r>
      <w:r>
        <w:rPr>
          <w:rFonts w:ascii="Times New Roman" w:hAnsi="Times New Roman" w:eastAsia="Times New Roman" w:cs="Times New Roman"/>
          <w:sz w:val="24"/>
          <w:szCs w:val="24"/>
        </w:rPr>
        <w:t>km</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。人们把龙津河与它的下游丽江一带合为丽江流域。根据《海</w:t>
      </w:r>
      <w:r>
        <w:rPr>
          <w:rFonts w:ascii="宋体" w:hAnsi="宋体" w:eastAsia="宋体" w:cs="宋体"/>
          <w:sz w:val="24"/>
          <w:szCs w:val="24"/>
        </w:rPr>
        <w:t xml:space="preserve"> </w:t>
      </w:r>
      <w:r>
        <w:rPr>
          <w:rFonts w:ascii="宋体" w:hAnsi="宋体" w:eastAsia="宋体" w:cs="宋体"/>
          <w:spacing w:val="-1"/>
          <w:sz w:val="24"/>
          <w:szCs w:val="24"/>
        </w:rPr>
        <w:t>丰县水利志》，丽江是海丰县内的一段长约</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8km</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的小河流，是黄江下游支流，通过</w:t>
      </w:r>
      <w:r>
        <w:rPr>
          <w:rFonts w:ascii="宋体" w:hAnsi="宋体" w:eastAsia="宋体" w:cs="宋体"/>
          <w:sz w:val="24"/>
          <w:szCs w:val="24"/>
        </w:rPr>
        <w:t xml:space="preserve"> </w:t>
      </w:r>
      <w:r>
        <w:rPr>
          <w:rFonts w:ascii="宋体" w:hAnsi="宋体" w:eastAsia="宋体" w:cs="宋体"/>
          <w:spacing w:val="3"/>
          <w:sz w:val="24"/>
          <w:szCs w:val="24"/>
        </w:rPr>
        <w:t>极短的横河与下游龙津河段相接，与黄江下游河段分开成为</w:t>
      </w:r>
      <w:r>
        <w:rPr>
          <w:rFonts w:ascii="Times New Roman" w:hAnsi="Times New Roman" w:eastAsia="Times New Roman" w:cs="Times New Roman"/>
          <w:spacing w:val="3"/>
          <w:sz w:val="24"/>
          <w:szCs w:val="24"/>
        </w:rPr>
        <w:t>“</w:t>
      </w:r>
      <w:r>
        <w:rPr>
          <w:rFonts w:ascii="宋体" w:hAnsi="宋体" w:eastAsia="宋体" w:cs="宋体"/>
          <w:spacing w:val="3"/>
          <w:sz w:val="24"/>
          <w:szCs w:val="24"/>
        </w:rPr>
        <w:t>人</w:t>
      </w:r>
      <w:r>
        <w:rPr>
          <w:rFonts w:ascii="Times New Roman" w:hAnsi="Times New Roman" w:eastAsia="Times New Roman" w:cs="Times New Roman"/>
          <w:spacing w:val="3"/>
          <w:sz w:val="24"/>
          <w:szCs w:val="24"/>
        </w:rPr>
        <w:t>”</w:t>
      </w:r>
      <w:r>
        <w:rPr>
          <w:rFonts w:ascii="宋体" w:hAnsi="宋体" w:eastAsia="宋体" w:cs="宋体"/>
          <w:spacing w:val="3"/>
          <w:sz w:val="24"/>
          <w:szCs w:val="24"/>
        </w:rPr>
        <w:t>字形小河出</w:t>
      </w:r>
      <w:r>
        <w:rPr>
          <w:rFonts w:ascii="宋体" w:hAnsi="宋体" w:eastAsia="宋体" w:cs="宋体"/>
          <w:spacing w:val="2"/>
          <w:sz w:val="24"/>
          <w:szCs w:val="24"/>
        </w:rPr>
        <w:t>海，所</w:t>
      </w:r>
      <w:r>
        <w:rPr>
          <w:rFonts w:ascii="宋体" w:hAnsi="宋体" w:eastAsia="宋体" w:cs="宋体"/>
          <w:sz w:val="24"/>
          <w:szCs w:val="24"/>
        </w:rPr>
        <w:t xml:space="preserve"> </w:t>
      </w:r>
      <w:r>
        <w:rPr>
          <w:rFonts w:ascii="宋体" w:hAnsi="宋体" w:eastAsia="宋体" w:cs="宋体"/>
          <w:spacing w:val="-1"/>
          <w:sz w:val="24"/>
          <w:szCs w:val="24"/>
        </w:rPr>
        <w:t>以丽江实质是黄江的下游河段。</w:t>
      </w:r>
    </w:p>
    <w:p w14:paraId="18687618">
      <w:pPr>
        <w:spacing w:before="67"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4.1.4</w:t>
      </w:r>
      <w:r>
        <w:rPr>
          <w:rFonts w:ascii="宋体" w:hAnsi="宋体" w:eastAsia="宋体" w:cs="宋体"/>
          <w:b/>
          <w:bCs/>
          <w:spacing w:val="-2"/>
          <w:sz w:val="24"/>
          <w:szCs w:val="24"/>
        </w:rPr>
        <w:t>地形、地貌</w:t>
      </w:r>
    </w:p>
    <w:p w14:paraId="755C9C0F">
      <w:pPr>
        <w:spacing w:before="168" w:line="380" w:lineRule="auto"/>
        <w:ind w:left="3" w:right="177" w:firstLine="479"/>
        <w:jc w:val="both"/>
        <w:rPr>
          <w:rFonts w:ascii="宋体" w:hAnsi="宋体" w:eastAsia="宋体" w:cs="宋体"/>
          <w:sz w:val="24"/>
          <w:szCs w:val="24"/>
        </w:rPr>
      </w:pPr>
      <w:r>
        <w:rPr>
          <w:rFonts w:ascii="宋体" w:hAnsi="宋体" w:eastAsia="宋体" w:cs="宋体"/>
          <w:spacing w:val="-4"/>
          <w:sz w:val="24"/>
          <w:szCs w:val="24"/>
        </w:rPr>
        <w:t>海丰全县总面积</w:t>
      </w:r>
      <w:r>
        <w:rPr>
          <w:rFonts w:ascii="宋体" w:hAnsi="宋体" w:eastAsia="宋体" w:cs="宋体"/>
          <w:spacing w:val="-19"/>
          <w:sz w:val="24"/>
          <w:szCs w:val="24"/>
        </w:rPr>
        <w:t xml:space="preserve"> </w:t>
      </w:r>
      <w:r>
        <w:rPr>
          <w:rFonts w:ascii="Times New Roman" w:hAnsi="Times New Roman" w:eastAsia="Times New Roman" w:cs="Times New Roman"/>
          <w:spacing w:val="-4"/>
          <w:sz w:val="24"/>
          <w:szCs w:val="24"/>
        </w:rPr>
        <w:t>1750km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4"/>
          <w:szCs w:val="24"/>
        </w:rPr>
        <w:t>。地势由西北向东南倾斜，莲花山主峰海拔</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1337.3m</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莲花山脉横贯县境北部。西北山峦叠嶂，中部为宽阔平原，土质肥沃。海丰县地处</w:t>
      </w:r>
      <w:r>
        <w:rPr>
          <w:rFonts w:ascii="宋体" w:hAnsi="宋体" w:eastAsia="宋体" w:cs="宋体"/>
          <w:spacing w:val="6"/>
          <w:sz w:val="24"/>
          <w:szCs w:val="24"/>
        </w:rPr>
        <w:t xml:space="preserve"> </w:t>
      </w:r>
      <w:r>
        <w:rPr>
          <w:rFonts w:ascii="宋体" w:hAnsi="宋体" w:eastAsia="宋体" w:cs="宋体"/>
          <w:spacing w:val="1"/>
          <w:sz w:val="24"/>
          <w:szCs w:val="24"/>
        </w:rPr>
        <w:t>广东省东南部，全县总面积</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1747.95 </w:t>
      </w:r>
      <w:r>
        <w:rPr>
          <w:rFonts w:ascii="宋体" w:hAnsi="宋体" w:eastAsia="宋体" w:cs="宋体"/>
          <w:spacing w:val="1"/>
          <w:sz w:val="24"/>
          <w:szCs w:val="24"/>
        </w:rPr>
        <w:t>平方公里，中部是平原和丘陵，北窄南宽，平</w:t>
      </w:r>
      <w:r>
        <w:rPr>
          <w:rFonts w:ascii="宋体" w:hAnsi="宋体" w:eastAsia="宋体" w:cs="宋体"/>
          <w:sz w:val="24"/>
          <w:szCs w:val="24"/>
        </w:rPr>
        <w:t xml:space="preserve"> </w:t>
      </w:r>
      <w:r>
        <w:rPr>
          <w:rFonts w:ascii="宋体" w:hAnsi="宋体" w:eastAsia="宋体" w:cs="宋体"/>
          <w:spacing w:val="1"/>
          <w:sz w:val="24"/>
          <w:szCs w:val="24"/>
        </w:rPr>
        <w:t>面似三角形。其中山地</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791.37 </w:t>
      </w:r>
      <w:r>
        <w:rPr>
          <w:rFonts w:ascii="宋体" w:hAnsi="宋体" w:eastAsia="宋体" w:cs="宋体"/>
          <w:spacing w:val="1"/>
          <w:sz w:val="24"/>
          <w:szCs w:val="24"/>
        </w:rPr>
        <w:t>平方公里，丘陵、台地</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553.4 </w:t>
      </w:r>
      <w:r>
        <w:rPr>
          <w:rFonts w:ascii="宋体" w:hAnsi="宋体" w:eastAsia="宋体" w:cs="宋体"/>
          <w:spacing w:val="1"/>
          <w:sz w:val="24"/>
          <w:szCs w:val="24"/>
        </w:rPr>
        <w:t>平方公</w:t>
      </w:r>
      <w:r>
        <w:rPr>
          <w:rFonts w:ascii="宋体" w:hAnsi="宋体" w:eastAsia="宋体" w:cs="宋体"/>
          <w:sz w:val="24"/>
          <w:szCs w:val="24"/>
        </w:rPr>
        <w:t>里，平原</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320 </w:t>
      </w:r>
      <w:r>
        <w:rPr>
          <w:rFonts w:ascii="宋体" w:hAnsi="宋体" w:eastAsia="宋体" w:cs="宋体"/>
          <w:sz w:val="24"/>
          <w:szCs w:val="24"/>
        </w:rPr>
        <w:t>平 方公里，水面</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85.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 xml:space="preserve">18 </w:t>
      </w:r>
      <w:r>
        <w:rPr>
          <w:rFonts w:ascii="宋体" w:hAnsi="宋体" w:eastAsia="宋体" w:cs="宋体"/>
          <w:sz w:val="24"/>
          <w:szCs w:val="24"/>
        </w:rPr>
        <w:t>平方公里，现有耕地</w:t>
      </w:r>
      <w:r>
        <w:rPr>
          <w:rFonts w:ascii="宋体" w:hAnsi="宋体" w:eastAsia="宋体" w:cs="宋体"/>
          <w:spacing w:val="-1"/>
          <w:sz w:val="24"/>
          <w:szCs w:val="24"/>
        </w:rPr>
        <w:t>面积</w:t>
      </w:r>
      <w:r>
        <w:rPr>
          <w:rFonts w:ascii="Times New Roman" w:hAnsi="Times New Roman" w:eastAsia="Times New Roman" w:cs="Times New Roman"/>
          <w:spacing w:val="-1"/>
          <w:sz w:val="24"/>
          <w:szCs w:val="24"/>
        </w:rPr>
        <w:t>27037</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公顷。</w:t>
      </w:r>
    </w:p>
    <w:p w14:paraId="7F4B1FFF">
      <w:pPr>
        <w:spacing w:before="12" w:line="376" w:lineRule="auto"/>
        <w:ind w:left="7" w:right="183" w:firstLine="477"/>
        <w:jc w:val="both"/>
        <w:rPr>
          <w:rFonts w:ascii="宋体" w:hAnsi="宋体" w:eastAsia="宋体" w:cs="宋体"/>
          <w:sz w:val="24"/>
          <w:szCs w:val="24"/>
        </w:rPr>
      </w:pPr>
      <w:r>
        <w:rPr>
          <w:rFonts w:ascii="宋体" w:hAnsi="宋体" w:eastAsia="宋体" w:cs="宋体"/>
          <w:spacing w:val="2"/>
          <w:sz w:val="24"/>
          <w:szCs w:val="24"/>
        </w:rPr>
        <w:t>境内属华夏陆台的一部分，山脉走向也为东北－西南的华夏式走向，下部以古</w:t>
      </w:r>
      <w:r>
        <w:rPr>
          <w:rFonts w:ascii="宋体" w:hAnsi="宋体" w:eastAsia="宋体" w:cs="宋体"/>
          <w:spacing w:val="9"/>
          <w:sz w:val="24"/>
          <w:szCs w:val="24"/>
        </w:rPr>
        <w:t xml:space="preserve"> </w:t>
      </w:r>
      <w:r>
        <w:rPr>
          <w:rFonts w:ascii="宋体" w:hAnsi="宋体" w:eastAsia="宋体" w:cs="宋体"/>
          <w:spacing w:val="2"/>
          <w:sz w:val="24"/>
          <w:szCs w:val="24"/>
        </w:rPr>
        <w:t xml:space="preserve">老的变质岩为基础。到志留纪时，发生了海侵，沉积了至今分布在中部丘陵，平原 </w:t>
      </w:r>
      <w:r>
        <w:rPr>
          <w:rFonts w:ascii="宋体" w:hAnsi="宋体" w:eastAsia="宋体" w:cs="宋体"/>
          <w:spacing w:val="-2"/>
          <w:sz w:val="24"/>
          <w:szCs w:val="24"/>
        </w:rPr>
        <w:t>一带的沙页岩。</w:t>
      </w:r>
    </w:p>
    <w:p w14:paraId="40FCE098">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4.1.5</w:t>
      </w:r>
      <w:r>
        <w:rPr>
          <w:rFonts w:ascii="宋体" w:hAnsi="宋体" w:eastAsia="宋体" w:cs="宋体"/>
          <w:b/>
          <w:bCs/>
          <w:spacing w:val="-2"/>
          <w:sz w:val="24"/>
          <w:szCs w:val="24"/>
        </w:rPr>
        <w:t>自然资源</w:t>
      </w:r>
    </w:p>
    <w:p w14:paraId="58C51FA4">
      <w:pPr>
        <w:spacing w:before="200" w:line="368" w:lineRule="auto"/>
        <w:ind w:left="3" w:right="100" w:firstLine="479"/>
        <w:rPr>
          <w:rFonts w:ascii="宋体" w:hAnsi="宋体" w:eastAsia="宋体" w:cs="宋体"/>
          <w:sz w:val="24"/>
          <w:szCs w:val="24"/>
        </w:rPr>
      </w:pPr>
      <w:r>
        <w:rPr>
          <w:rFonts w:ascii="宋体" w:hAnsi="宋体" w:eastAsia="宋体" w:cs="宋体"/>
          <w:spacing w:val="-1"/>
          <w:sz w:val="24"/>
          <w:szCs w:val="24"/>
        </w:rPr>
        <w:t>海丰自然资源丰富，素有</w:t>
      </w:r>
      <w:r>
        <w:rPr>
          <w:rFonts w:ascii="Times New Roman" w:hAnsi="Times New Roman" w:eastAsia="Times New Roman" w:cs="Times New Roman"/>
          <w:spacing w:val="-1"/>
          <w:sz w:val="24"/>
          <w:szCs w:val="24"/>
        </w:rPr>
        <w:t>“</w:t>
      </w:r>
      <w:r>
        <w:rPr>
          <w:rFonts w:ascii="宋体" w:hAnsi="宋体" w:eastAsia="宋体" w:cs="宋体"/>
          <w:spacing w:val="-1"/>
          <w:sz w:val="24"/>
          <w:szCs w:val="24"/>
        </w:rPr>
        <w:t>鱼米之乡</w:t>
      </w:r>
      <w:r>
        <w:rPr>
          <w:rFonts w:ascii="Times New Roman" w:hAnsi="Times New Roman" w:eastAsia="Times New Roman" w:cs="Times New Roman"/>
          <w:spacing w:val="-1"/>
          <w:sz w:val="24"/>
          <w:szCs w:val="24"/>
        </w:rPr>
        <w:t>”</w:t>
      </w:r>
      <w:r>
        <w:rPr>
          <w:rFonts w:ascii="宋体" w:hAnsi="宋体" w:eastAsia="宋体" w:cs="宋体"/>
          <w:spacing w:val="-1"/>
          <w:sz w:val="24"/>
          <w:szCs w:val="24"/>
        </w:rPr>
        <w:t>之称。</w:t>
      </w:r>
      <w:r>
        <w:rPr>
          <w:rFonts w:ascii="宋体" w:hAnsi="宋体" w:eastAsia="宋体" w:cs="宋体"/>
          <w:spacing w:val="-2"/>
          <w:sz w:val="24"/>
          <w:szCs w:val="24"/>
        </w:rPr>
        <w:t>主要农产品有优质稻、番薯、大豆、</w:t>
      </w:r>
      <w:r>
        <w:rPr>
          <w:rFonts w:ascii="宋体" w:hAnsi="宋体" w:eastAsia="宋体" w:cs="宋体"/>
          <w:sz w:val="24"/>
          <w:szCs w:val="24"/>
        </w:rPr>
        <w:t xml:space="preserve"> </w:t>
      </w:r>
      <w:r>
        <w:rPr>
          <w:rFonts w:ascii="宋体" w:hAnsi="宋体" w:eastAsia="宋体" w:cs="宋体"/>
          <w:spacing w:val="3"/>
          <w:sz w:val="24"/>
          <w:szCs w:val="24"/>
        </w:rPr>
        <w:t>花生、甘蔗、荷兰豆、莲藕、沙姜等；林果有荔枝、菠萝、龙眼、芒果、</w:t>
      </w:r>
      <w:r>
        <w:rPr>
          <w:rFonts w:ascii="宋体" w:hAnsi="宋体" w:eastAsia="宋体" w:cs="宋体"/>
          <w:spacing w:val="2"/>
          <w:sz w:val="24"/>
          <w:szCs w:val="24"/>
        </w:rPr>
        <w:t>梅、李、</w:t>
      </w:r>
      <w:r>
        <w:rPr>
          <w:rFonts w:ascii="宋体" w:hAnsi="宋体" w:eastAsia="宋体" w:cs="宋体"/>
          <w:sz w:val="24"/>
          <w:szCs w:val="24"/>
        </w:rPr>
        <w:t xml:space="preserve"> </w:t>
      </w:r>
      <w:r>
        <w:rPr>
          <w:rFonts w:ascii="宋体" w:hAnsi="宋体" w:eastAsia="宋体" w:cs="宋体"/>
          <w:spacing w:val="-2"/>
          <w:sz w:val="24"/>
          <w:szCs w:val="24"/>
        </w:rPr>
        <w:t>柑、甘蔗等；主要海产品有马鲛、带鱼、龙虾、贝壳等；有海岸滩涂</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3340</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公顷、渔</w:t>
      </w:r>
      <w:r>
        <w:rPr>
          <w:rFonts w:ascii="宋体" w:hAnsi="宋体" w:eastAsia="宋体" w:cs="宋体"/>
          <w:sz w:val="24"/>
          <w:szCs w:val="24"/>
        </w:rPr>
        <w:t xml:space="preserve"> </w:t>
      </w:r>
      <w:r>
        <w:rPr>
          <w:rFonts w:ascii="宋体" w:hAnsi="宋体" w:eastAsia="宋体" w:cs="宋体"/>
          <w:spacing w:val="-6"/>
          <w:sz w:val="24"/>
          <w:szCs w:val="24"/>
        </w:rPr>
        <w:t>塘水库</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6660</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公顷，可供开发养殖鲍鱼、翡翠贻贝、花蛤、对虾、蟹、蚝、甲鱼、鲩、</w:t>
      </w:r>
      <w:r>
        <w:rPr>
          <w:rFonts w:ascii="宋体" w:hAnsi="宋体" w:eastAsia="宋体" w:cs="宋体"/>
          <w:sz w:val="24"/>
          <w:szCs w:val="24"/>
        </w:rPr>
        <w:t xml:space="preserve"> </w:t>
      </w:r>
      <w:r>
        <w:rPr>
          <w:rFonts w:ascii="宋体" w:hAnsi="宋体" w:eastAsia="宋体" w:cs="宋体"/>
          <w:spacing w:val="2"/>
          <w:sz w:val="24"/>
          <w:szCs w:val="24"/>
        </w:rPr>
        <w:t>鲤、珍珠等。海丰矿藏种类较多。主要有锡精矿、钨矿、水晶矿、绿柱石等；建筑</w:t>
      </w:r>
    </w:p>
    <w:p w14:paraId="67DB4EAD">
      <w:pPr>
        <w:spacing w:line="368" w:lineRule="auto"/>
        <w:rPr>
          <w:rFonts w:ascii="宋体" w:hAnsi="宋体" w:eastAsia="宋体" w:cs="宋体"/>
          <w:sz w:val="24"/>
          <w:szCs w:val="24"/>
        </w:rPr>
        <w:sectPr>
          <w:footerReference r:id="rId90" w:type="default"/>
          <w:pgSz w:w="11906" w:h="16839"/>
          <w:pgMar w:top="400" w:right="1405" w:bottom="1485" w:left="1594" w:header="0" w:footer="1249" w:gutter="0"/>
          <w:cols w:space="720" w:num="1"/>
        </w:sectPr>
      </w:pPr>
    </w:p>
    <w:p w14:paraId="2CC89A49">
      <w:pPr>
        <w:pStyle w:val="2"/>
        <w:spacing w:line="264" w:lineRule="auto"/>
      </w:pPr>
    </w:p>
    <w:p w14:paraId="4ACA6CE0">
      <w:pPr>
        <w:pStyle w:val="2"/>
        <w:spacing w:line="264" w:lineRule="auto"/>
      </w:pPr>
    </w:p>
    <w:p w14:paraId="26F230D6">
      <w:pPr>
        <w:pStyle w:val="2"/>
        <w:spacing w:line="264" w:lineRule="auto"/>
      </w:pPr>
    </w:p>
    <w:p w14:paraId="6F2F1754">
      <w:pPr>
        <w:pStyle w:val="2"/>
        <w:spacing w:line="265" w:lineRule="auto"/>
      </w:pPr>
    </w:p>
    <w:p w14:paraId="57D8F9AF">
      <w:pPr>
        <w:spacing w:before="78" w:line="220" w:lineRule="auto"/>
        <w:rPr>
          <w:rFonts w:ascii="宋体" w:hAnsi="宋体" w:eastAsia="宋体" w:cs="宋体"/>
          <w:sz w:val="24"/>
          <w:szCs w:val="24"/>
        </w:rPr>
      </w:pPr>
      <w:r>
        <w:rPr>
          <w:rFonts w:ascii="宋体" w:hAnsi="宋体" w:eastAsia="宋体" w:cs="宋体"/>
          <w:spacing w:val="-1"/>
          <w:sz w:val="24"/>
          <w:szCs w:val="24"/>
        </w:rPr>
        <w:t>石料、沙、花岗岩和陶瓷粘土等蕴藏量丰富。</w:t>
      </w:r>
    </w:p>
    <w:p w14:paraId="6EDEF54B">
      <w:pPr>
        <w:spacing w:before="199" w:line="380" w:lineRule="auto"/>
        <w:ind w:firstLine="479"/>
        <w:rPr>
          <w:rFonts w:ascii="宋体" w:hAnsi="宋体" w:eastAsia="宋体" w:cs="宋体"/>
          <w:sz w:val="24"/>
          <w:szCs w:val="24"/>
        </w:rPr>
      </w:pPr>
      <w:r>
        <w:rPr>
          <w:rFonts w:ascii="宋体" w:hAnsi="宋体" w:eastAsia="宋体" w:cs="宋体"/>
          <w:spacing w:val="-1"/>
          <w:sz w:val="24"/>
          <w:szCs w:val="24"/>
        </w:rPr>
        <w:t>海丰自然资源丰富，素有</w:t>
      </w:r>
      <w:r>
        <w:rPr>
          <w:rFonts w:ascii="Times New Roman" w:hAnsi="Times New Roman" w:eastAsia="Times New Roman" w:cs="Times New Roman"/>
          <w:spacing w:val="-1"/>
          <w:sz w:val="24"/>
          <w:szCs w:val="24"/>
        </w:rPr>
        <w:t>“</w:t>
      </w:r>
      <w:r>
        <w:rPr>
          <w:rFonts w:ascii="宋体" w:hAnsi="宋体" w:eastAsia="宋体" w:cs="宋体"/>
          <w:spacing w:val="-1"/>
          <w:sz w:val="24"/>
          <w:szCs w:val="24"/>
        </w:rPr>
        <w:t>鱼米之乡</w:t>
      </w:r>
      <w:r>
        <w:rPr>
          <w:rFonts w:ascii="Times New Roman" w:hAnsi="Times New Roman" w:eastAsia="Times New Roman" w:cs="Times New Roman"/>
          <w:spacing w:val="-1"/>
          <w:sz w:val="24"/>
          <w:szCs w:val="24"/>
        </w:rPr>
        <w:t>”</w:t>
      </w:r>
      <w:r>
        <w:rPr>
          <w:rFonts w:ascii="宋体" w:hAnsi="宋体" w:eastAsia="宋体" w:cs="宋体"/>
          <w:spacing w:val="-1"/>
          <w:sz w:val="24"/>
          <w:szCs w:val="24"/>
        </w:rPr>
        <w:t>之称。</w:t>
      </w:r>
      <w:r>
        <w:rPr>
          <w:rFonts w:ascii="宋体" w:hAnsi="宋体" w:eastAsia="宋体" w:cs="宋体"/>
          <w:spacing w:val="-2"/>
          <w:sz w:val="24"/>
          <w:szCs w:val="24"/>
        </w:rPr>
        <w:t>主要农产品有优质稻、番薯、大豆、</w:t>
      </w:r>
      <w:r>
        <w:rPr>
          <w:rFonts w:ascii="宋体" w:hAnsi="宋体" w:eastAsia="宋体" w:cs="宋体"/>
          <w:sz w:val="24"/>
          <w:szCs w:val="24"/>
        </w:rPr>
        <w:t xml:space="preserve"> </w:t>
      </w:r>
      <w:r>
        <w:rPr>
          <w:rFonts w:ascii="宋体" w:hAnsi="宋体" w:eastAsia="宋体" w:cs="宋体"/>
          <w:spacing w:val="3"/>
          <w:sz w:val="24"/>
          <w:szCs w:val="24"/>
        </w:rPr>
        <w:t>花生、甘蔗、荷兰豆、莲藕、沙姜等；林果有荔枝、菠萝、龙眼、芒果、</w:t>
      </w:r>
      <w:r>
        <w:rPr>
          <w:rFonts w:ascii="宋体" w:hAnsi="宋体" w:eastAsia="宋体" w:cs="宋体"/>
          <w:spacing w:val="2"/>
          <w:sz w:val="24"/>
          <w:szCs w:val="24"/>
        </w:rPr>
        <w:t>梅、李、</w:t>
      </w:r>
      <w:r>
        <w:rPr>
          <w:rFonts w:ascii="宋体" w:hAnsi="宋体" w:eastAsia="宋体" w:cs="宋体"/>
          <w:sz w:val="24"/>
          <w:szCs w:val="24"/>
        </w:rPr>
        <w:t xml:space="preserve"> </w:t>
      </w:r>
      <w:r>
        <w:rPr>
          <w:rFonts w:ascii="宋体" w:hAnsi="宋体" w:eastAsia="宋体" w:cs="宋体"/>
          <w:spacing w:val="-2"/>
          <w:sz w:val="24"/>
          <w:szCs w:val="24"/>
        </w:rPr>
        <w:t>柑、甘蔗等；主要海产品有马鲛、带鱼、龙虾、贝壳等；有海岸滩涂</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3340</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公顷、渔</w:t>
      </w:r>
      <w:r>
        <w:rPr>
          <w:rFonts w:ascii="宋体" w:hAnsi="宋体" w:eastAsia="宋体" w:cs="宋体"/>
          <w:sz w:val="24"/>
          <w:szCs w:val="24"/>
        </w:rPr>
        <w:t xml:space="preserve"> </w:t>
      </w:r>
      <w:r>
        <w:rPr>
          <w:rFonts w:ascii="宋体" w:hAnsi="宋体" w:eastAsia="宋体" w:cs="宋体"/>
          <w:spacing w:val="-6"/>
          <w:sz w:val="24"/>
          <w:szCs w:val="24"/>
        </w:rPr>
        <w:t>塘水库</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6660</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公顷，可供开发养殖鲍鱼、翡翠贻贝、花蛤、对虾、蟹、蚝、甲鱼、鲩、</w:t>
      </w:r>
      <w:r>
        <w:rPr>
          <w:rFonts w:ascii="宋体" w:hAnsi="宋体" w:eastAsia="宋体" w:cs="宋体"/>
          <w:sz w:val="24"/>
          <w:szCs w:val="24"/>
        </w:rPr>
        <w:t xml:space="preserve"> </w:t>
      </w:r>
      <w:r>
        <w:rPr>
          <w:rFonts w:ascii="宋体" w:hAnsi="宋体" w:eastAsia="宋体" w:cs="宋体"/>
          <w:spacing w:val="2"/>
          <w:sz w:val="24"/>
          <w:szCs w:val="24"/>
        </w:rPr>
        <w:t>鲤、珍珠等。海丰矿藏种类较多。主要有锡精矿、钨矿、水晶矿、绿柱石等；建筑</w:t>
      </w:r>
      <w:r>
        <w:rPr>
          <w:rFonts w:ascii="宋体" w:hAnsi="宋体" w:eastAsia="宋体" w:cs="宋体"/>
          <w:spacing w:val="6"/>
          <w:sz w:val="24"/>
          <w:szCs w:val="24"/>
        </w:rPr>
        <w:t xml:space="preserve"> </w:t>
      </w:r>
      <w:r>
        <w:rPr>
          <w:rFonts w:ascii="宋体" w:hAnsi="宋体" w:eastAsia="宋体" w:cs="宋体"/>
          <w:spacing w:val="2"/>
          <w:sz w:val="24"/>
          <w:szCs w:val="24"/>
        </w:rPr>
        <w:t>石料、沙、花岗岩和陶瓷粘土等蕴藏量丰富。海丰自古民风淳朴，人文蔚然，为广</w:t>
      </w:r>
      <w:r>
        <w:rPr>
          <w:rFonts w:ascii="宋体" w:hAnsi="宋体" w:eastAsia="宋体" w:cs="宋体"/>
          <w:spacing w:val="6"/>
          <w:sz w:val="24"/>
          <w:szCs w:val="24"/>
        </w:rPr>
        <w:t xml:space="preserve"> </w:t>
      </w:r>
      <w:r>
        <w:rPr>
          <w:rFonts w:ascii="宋体" w:hAnsi="宋体" w:eastAsia="宋体" w:cs="宋体"/>
          <w:spacing w:val="1"/>
          <w:sz w:val="24"/>
          <w:szCs w:val="24"/>
        </w:rPr>
        <w:t>东历史文化名城，全国</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13</w:t>
      </w:r>
      <w:r>
        <w:rPr>
          <w:rFonts w:ascii="宋体" w:hAnsi="宋体" w:eastAsia="宋体" w:cs="宋体"/>
          <w:spacing w:val="1"/>
          <w:sz w:val="24"/>
          <w:szCs w:val="24"/>
        </w:rPr>
        <w:t>块红色根据地之一。</w:t>
      </w:r>
    </w:p>
    <w:p w14:paraId="6E459CEC">
      <w:pPr>
        <w:spacing w:line="380" w:lineRule="auto"/>
        <w:rPr>
          <w:rFonts w:ascii="宋体" w:hAnsi="宋体" w:eastAsia="宋体" w:cs="宋体"/>
          <w:sz w:val="24"/>
          <w:szCs w:val="24"/>
        </w:rPr>
        <w:sectPr>
          <w:footerReference r:id="rId91" w:type="default"/>
          <w:pgSz w:w="11906" w:h="16839"/>
          <w:pgMar w:top="400" w:right="1505" w:bottom="1485" w:left="1598" w:header="0" w:footer="1249" w:gutter="0"/>
          <w:cols w:space="720" w:num="1"/>
        </w:sectPr>
      </w:pPr>
    </w:p>
    <w:p w14:paraId="0AF584F3">
      <w:pPr>
        <w:pStyle w:val="2"/>
        <w:spacing w:line="276" w:lineRule="auto"/>
      </w:pPr>
    </w:p>
    <w:p w14:paraId="62D082D2">
      <w:pPr>
        <w:pStyle w:val="2"/>
        <w:spacing w:line="276" w:lineRule="auto"/>
      </w:pPr>
    </w:p>
    <w:p w14:paraId="1E043434">
      <w:pPr>
        <w:pStyle w:val="2"/>
        <w:spacing w:line="276" w:lineRule="auto"/>
      </w:pPr>
    </w:p>
    <w:p w14:paraId="660BF486">
      <w:pPr>
        <w:pStyle w:val="2"/>
        <w:spacing w:line="277" w:lineRule="auto"/>
      </w:pPr>
    </w:p>
    <w:p w14:paraId="07154513">
      <w:pPr>
        <w:spacing w:before="91" w:line="219" w:lineRule="auto"/>
        <w:ind w:left="30"/>
        <w:outlineLvl w:val="1"/>
        <w:rPr>
          <w:rFonts w:ascii="宋体" w:hAnsi="宋体" w:eastAsia="宋体" w:cs="宋体"/>
          <w:sz w:val="28"/>
          <w:szCs w:val="28"/>
        </w:rPr>
      </w:pPr>
      <w:bookmarkStart w:id="28" w:name="bookmark25"/>
      <w:bookmarkEnd w:id="28"/>
      <w:r>
        <w:rPr>
          <w:rFonts w:ascii="Times New Roman" w:hAnsi="Times New Roman" w:eastAsia="Times New Roman" w:cs="Times New Roman"/>
          <w:b/>
          <w:bCs/>
          <w:spacing w:val="-3"/>
          <w:sz w:val="28"/>
          <w:szCs w:val="28"/>
        </w:rPr>
        <w:t>4.2</w:t>
      </w:r>
      <w:r>
        <w:rPr>
          <w:rFonts w:ascii="宋体" w:hAnsi="宋体" w:eastAsia="宋体" w:cs="宋体"/>
          <w:b/>
          <w:bCs/>
          <w:spacing w:val="-3"/>
          <w:sz w:val="28"/>
          <w:szCs w:val="28"/>
        </w:rPr>
        <w:t>地下水环境质量现状评价</w:t>
      </w:r>
    </w:p>
    <w:p w14:paraId="7BE4A025">
      <w:pPr>
        <w:spacing w:before="260" w:line="381" w:lineRule="auto"/>
        <w:ind w:left="33" w:right="23" w:firstLine="479"/>
        <w:rPr>
          <w:rFonts w:ascii="宋体" w:hAnsi="宋体" w:eastAsia="宋体" w:cs="宋体"/>
          <w:sz w:val="24"/>
          <w:szCs w:val="24"/>
        </w:rPr>
      </w:pPr>
      <w:r>
        <w:rPr>
          <w:rFonts w:ascii="宋体" w:hAnsi="宋体" w:eastAsia="宋体" w:cs="宋体"/>
          <w:spacing w:val="2"/>
          <w:sz w:val="24"/>
          <w:szCs w:val="24"/>
        </w:rPr>
        <w:t>根据项目周围环境状况，本项目地下环境质量现状现状监测委托广东惠利通检</w:t>
      </w:r>
      <w:r>
        <w:rPr>
          <w:rFonts w:ascii="宋体" w:hAnsi="宋体" w:eastAsia="宋体" w:cs="宋体"/>
          <w:spacing w:val="10"/>
          <w:sz w:val="24"/>
          <w:szCs w:val="24"/>
        </w:rPr>
        <w:t xml:space="preserve"> </w:t>
      </w:r>
      <w:r>
        <w:rPr>
          <w:rFonts w:ascii="宋体" w:hAnsi="宋体" w:eastAsia="宋体" w:cs="宋体"/>
          <w:spacing w:val="5"/>
          <w:sz w:val="24"/>
          <w:szCs w:val="24"/>
        </w:rPr>
        <w:t>测技术有限公司进行监测，监测点位布设情</w:t>
      </w:r>
      <w:r>
        <w:rPr>
          <w:rFonts w:ascii="宋体" w:hAnsi="宋体" w:eastAsia="宋体" w:cs="宋体"/>
          <w:spacing w:val="4"/>
          <w:sz w:val="24"/>
          <w:szCs w:val="24"/>
        </w:rPr>
        <w:t>况具体如表</w:t>
      </w:r>
      <w:r>
        <w:rPr>
          <w:rFonts w:ascii="Times New Roman" w:hAnsi="Times New Roman" w:eastAsia="Times New Roman" w:cs="Times New Roman"/>
          <w:spacing w:val="4"/>
          <w:sz w:val="24"/>
          <w:szCs w:val="24"/>
        </w:rPr>
        <w:t>4.2-1</w:t>
      </w:r>
      <w:r>
        <w:rPr>
          <w:rFonts w:ascii="宋体" w:hAnsi="宋体" w:eastAsia="宋体" w:cs="宋体"/>
          <w:spacing w:val="4"/>
          <w:sz w:val="24"/>
          <w:szCs w:val="24"/>
        </w:rPr>
        <w:t>和图</w:t>
      </w:r>
      <w:r>
        <w:rPr>
          <w:rFonts w:ascii="Times New Roman" w:hAnsi="Times New Roman" w:eastAsia="Times New Roman" w:cs="Times New Roman"/>
          <w:spacing w:val="4"/>
          <w:sz w:val="24"/>
          <w:szCs w:val="24"/>
        </w:rPr>
        <w:t>4.2-1</w:t>
      </w:r>
      <w:r>
        <w:rPr>
          <w:rFonts w:ascii="宋体" w:hAnsi="宋体" w:eastAsia="宋体" w:cs="宋体"/>
          <w:spacing w:val="4"/>
          <w:sz w:val="24"/>
          <w:szCs w:val="24"/>
        </w:rPr>
        <w:t>。</w:t>
      </w:r>
    </w:p>
    <w:p w14:paraId="23B8EF79">
      <w:pPr>
        <w:spacing w:line="228" w:lineRule="auto"/>
        <w:ind w:left="262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6"/>
          <w:sz w:val="20"/>
          <w:szCs w:val="20"/>
        </w:rPr>
        <w:t xml:space="preserve">4.2-1  </w:t>
      </w:r>
      <w:r>
        <w:rPr>
          <w:rFonts w:ascii="宋体" w:hAnsi="宋体" w:eastAsia="宋体" w:cs="宋体"/>
          <w:b/>
          <w:bCs/>
          <w:spacing w:val="6"/>
          <w:sz w:val="20"/>
          <w:szCs w:val="20"/>
        </w:rPr>
        <w:t>地下水环境质量现状调查监测点位</w:t>
      </w:r>
    </w:p>
    <w:p w14:paraId="39BE53B4">
      <w:pPr>
        <w:spacing w:line="103" w:lineRule="exact"/>
      </w:pPr>
    </w:p>
    <w:tbl>
      <w:tblPr>
        <w:tblStyle w:val="5"/>
        <w:tblW w:w="87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4"/>
        <w:gridCol w:w="3773"/>
        <w:gridCol w:w="3773"/>
      </w:tblGrid>
      <w:tr w14:paraId="4794E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224" w:type="dxa"/>
            <w:vAlign w:val="top"/>
          </w:tcPr>
          <w:p w14:paraId="44003402">
            <w:pPr>
              <w:pStyle w:val="6"/>
              <w:spacing w:before="115" w:line="228" w:lineRule="auto"/>
              <w:ind w:left="410"/>
            </w:pPr>
            <w:r>
              <w:rPr>
                <w:b/>
                <w:bCs/>
                <w:spacing w:val="3"/>
              </w:rPr>
              <w:t>编号</w:t>
            </w:r>
          </w:p>
        </w:tc>
        <w:tc>
          <w:tcPr>
            <w:tcW w:w="3773" w:type="dxa"/>
            <w:vAlign w:val="top"/>
          </w:tcPr>
          <w:p w14:paraId="35D29EEB">
            <w:pPr>
              <w:pStyle w:val="6"/>
              <w:spacing w:before="115" w:line="228" w:lineRule="auto"/>
              <w:ind w:left="1472"/>
            </w:pPr>
            <w:r>
              <w:rPr>
                <w:b/>
                <w:bCs/>
                <w:spacing w:val="6"/>
              </w:rPr>
              <w:t>监测断面</w:t>
            </w:r>
          </w:p>
        </w:tc>
        <w:tc>
          <w:tcPr>
            <w:tcW w:w="3773" w:type="dxa"/>
            <w:vAlign w:val="top"/>
          </w:tcPr>
          <w:p w14:paraId="1F7D2034">
            <w:pPr>
              <w:pStyle w:val="6"/>
              <w:spacing w:before="114" w:line="229" w:lineRule="auto"/>
              <w:ind w:left="1472"/>
            </w:pPr>
            <w:r>
              <w:rPr>
                <w:b/>
                <w:bCs/>
                <w:spacing w:val="6"/>
              </w:rPr>
              <w:t>监测项目</w:t>
            </w:r>
          </w:p>
        </w:tc>
      </w:tr>
      <w:tr w14:paraId="3C57F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224" w:type="dxa"/>
            <w:vAlign w:val="top"/>
          </w:tcPr>
          <w:p w14:paraId="78CE2298">
            <w:pPr>
              <w:spacing w:before="71" w:line="275"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U1</w:t>
            </w:r>
          </w:p>
        </w:tc>
        <w:tc>
          <w:tcPr>
            <w:tcW w:w="3773" w:type="dxa"/>
            <w:vAlign w:val="top"/>
          </w:tcPr>
          <w:p w14:paraId="4F31D152">
            <w:pPr>
              <w:pStyle w:val="6"/>
              <w:spacing w:before="110" w:line="274" w:lineRule="exact"/>
              <w:ind w:left="1519"/>
            </w:pPr>
            <w:r>
              <w:rPr>
                <w:rFonts w:ascii="Times New Roman" w:hAnsi="Times New Roman" w:eastAsia="Times New Roman" w:cs="Times New Roman"/>
                <w:spacing w:val="1"/>
                <w:position w:val="1"/>
              </w:rPr>
              <w:t>U</w:t>
            </w:r>
            <w:r>
              <w:rPr>
                <w:rFonts w:ascii="Times New Roman" w:hAnsi="Times New Roman" w:eastAsia="Times New Roman" w:cs="Times New Roman"/>
                <w:spacing w:val="-21"/>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15"/>
                <w:w w:val="101"/>
                <w:position w:val="1"/>
              </w:rPr>
              <w:t xml:space="preserve"> </w:t>
            </w:r>
            <w:r>
              <w:rPr>
                <w:spacing w:val="1"/>
                <w:position w:val="1"/>
              </w:rPr>
              <w:t>项目水井</w:t>
            </w:r>
          </w:p>
        </w:tc>
        <w:tc>
          <w:tcPr>
            <w:tcW w:w="3773" w:type="dxa"/>
            <w:vMerge w:val="restart"/>
            <w:tcBorders>
              <w:bottom w:val="nil"/>
            </w:tcBorders>
            <w:vAlign w:val="top"/>
          </w:tcPr>
          <w:p w14:paraId="54CCD39A">
            <w:pPr>
              <w:pStyle w:val="6"/>
              <w:spacing w:before="208" w:line="221" w:lineRule="auto"/>
              <w:ind w:left="49"/>
            </w:pPr>
            <w:r>
              <w:rPr>
                <w:rFonts w:ascii="Times New Roman" w:hAnsi="Times New Roman" w:eastAsia="Times New Roman" w:cs="Times New Roman"/>
              </w:rPr>
              <w:t>pH</w:t>
            </w:r>
            <w:r>
              <w:rPr>
                <w:rFonts w:ascii="Times New Roman" w:hAnsi="Times New Roman" w:eastAsia="Times New Roman" w:cs="Times New Roman"/>
                <w:spacing w:val="10"/>
              </w:rPr>
              <w:t xml:space="preserve"> </w:t>
            </w:r>
            <w:r>
              <w:rPr>
                <w:spacing w:val="10"/>
              </w:rPr>
              <w:t>值、总硬度、溶解性总固体、耗氧量</w:t>
            </w:r>
          </w:p>
          <w:p w14:paraId="51D743E7">
            <w:pPr>
              <w:pStyle w:val="6"/>
              <w:spacing w:before="60" w:line="275" w:lineRule="exact"/>
              <w:jc w:val="right"/>
            </w:pPr>
            <w:r>
              <w:rPr>
                <w:position w:val="1"/>
              </w:rPr>
              <w:t>（</w:t>
            </w:r>
            <w:r>
              <w:rPr>
                <w:rFonts w:ascii="Times New Roman" w:hAnsi="Times New Roman" w:eastAsia="Times New Roman" w:cs="Times New Roman"/>
                <w:position w:val="1"/>
              </w:rPr>
              <w:t>COD</w:t>
            </w:r>
            <w:r>
              <w:rPr>
                <w:rFonts w:ascii="Times New Roman" w:hAnsi="Times New Roman" w:eastAsia="Times New Roman" w:cs="Times New Roman"/>
                <w:sz w:val="13"/>
                <w:szCs w:val="13"/>
              </w:rPr>
              <w:t xml:space="preserve">Mn </w:t>
            </w:r>
            <w:r>
              <w:rPr>
                <w:position w:val="1"/>
              </w:rPr>
              <w:t>法，以</w:t>
            </w:r>
            <w:r>
              <w:rPr>
                <w:spacing w:val="-33"/>
                <w:position w:val="1"/>
              </w:rPr>
              <w:t xml:space="preserve"> </w:t>
            </w:r>
            <w:r>
              <w:rPr>
                <w:rFonts w:ascii="Times New Roman" w:hAnsi="Times New Roman" w:eastAsia="Times New Roman" w:cs="Times New Roman"/>
                <w:position w:val="1"/>
              </w:rPr>
              <w:t>O</w:t>
            </w:r>
            <w:r>
              <w:rPr>
                <w:rFonts w:ascii="Times New Roman" w:hAnsi="Times New Roman" w:eastAsia="Times New Roman" w:cs="Times New Roman"/>
                <w:sz w:val="13"/>
                <w:szCs w:val="13"/>
              </w:rPr>
              <w:t xml:space="preserve">2 </w:t>
            </w:r>
            <w:r>
              <w:rPr>
                <w:position w:val="1"/>
              </w:rPr>
              <w:t>计）、氨氮、硝酸盐、</w:t>
            </w:r>
          </w:p>
          <w:p w14:paraId="21569D89">
            <w:pPr>
              <w:pStyle w:val="6"/>
              <w:spacing w:before="49" w:line="228" w:lineRule="auto"/>
              <w:ind w:left="1053"/>
            </w:pPr>
            <w:r>
              <w:rPr>
                <w:spacing w:val="8"/>
              </w:rPr>
              <w:t>总大肠菌群、埋深</w:t>
            </w:r>
          </w:p>
        </w:tc>
      </w:tr>
      <w:tr w14:paraId="512D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224" w:type="dxa"/>
            <w:vAlign w:val="top"/>
          </w:tcPr>
          <w:p w14:paraId="7997223F">
            <w:pPr>
              <w:spacing w:before="72"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U2</w:t>
            </w:r>
          </w:p>
        </w:tc>
        <w:tc>
          <w:tcPr>
            <w:tcW w:w="3773" w:type="dxa"/>
            <w:vAlign w:val="top"/>
          </w:tcPr>
          <w:p w14:paraId="78263D8C">
            <w:pPr>
              <w:pStyle w:val="6"/>
              <w:spacing w:before="108" w:line="274" w:lineRule="exact"/>
              <w:ind w:left="1414"/>
            </w:pPr>
            <w:r>
              <w:rPr>
                <w:rFonts w:ascii="Times New Roman" w:hAnsi="Times New Roman" w:eastAsia="Times New Roman" w:cs="Times New Roman"/>
                <w:spacing w:val="7"/>
                <w:position w:val="1"/>
              </w:rPr>
              <w:t>U2</w:t>
            </w:r>
            <w:r>
              <w:rPr>
                <w:rFonts w:ascii="Times New Roman" w:hAnsi="Times New Roman" w:eastAsia="Times New Roman" w:cs="Times New Roman"/>
                <w:spacing w:val="13"/>
                <w:w w:val="101"/>
                <w:position w:val="1"/>
              </w:rPr>
              <w:t xml:space="preserve"> </w:t>
            </w:r>
            <w:r>
              <w:rPr>
                <w:spacing w:val="7"/>
                <w:position w:val="1"/>
              </w:rPr>
              <w:t>后山村水井</w:t>
            </w:r>
          </w:p>
        </w:tc>
        <w:tc>
          <w:tcPr>
            <w:tcW w:w="3773" w:type="dxa"/>
            <w:vMerge w:val="continue"/>
            <w:tcBorders>
              <w:top w:val="nil"/>
              <w:bottom w:val="nil"/>
            </w:tcBorders>
            <w:vAlign w:val="top"/>
          </w:tcPr>
          <w:p w14:paraId="0B31C6CD">
            <w:pPr>
              <w:rPr>
                <w:rFonts w:ascii="Arial"/>
                <w:sz w:val="21"/>
              </w:rPr>
            </w:pPr>
          </w:p>
        </w:tc>
      </w:tr>
      <w:tr w14:paraId="51D03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224" w:type="dxa"/>
            <w:vAlign w:val="top"/>
          </w:tcPr>
          <w:p w14:paraId="74962C7A">
            <w:pPr>
              <w:spacing w:before="80"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U3</w:t>
            </w:r>
          </w:p>
        </w:tc>
        <w:tc>
          <w:tcPr>
            <w:tcW w:w="3773" w:type="dxa"/>
            <w:vAlign w:val="top"/>
          </w:tcPr>
          <w:p w14:paraId="3A82ADF4">
            <w:pPr>
              <w:pStyle w:val="6"/>
              <w:spacing w:before="109" w:line="274" w:lineRule="exact"/>
              <w:ind w:left="1310"/>
            </w:pPr>
            <w:r>
              <w:rPr>
                <w:rFonts w:ascii="Times New Roman" w:hAnsi="Times New Roman" w:eastAsia="Times New Roman" w:cs="Times New Roman"/>
                <w:spacing w:val="7"/>
                <w:position w:val="1"/>
              </w:rPr>
              <w:t xml:space="preserve">U3 </w:t>
            </w:r>
            <w:r>
              <w:rPr>
                <w:spacing w:val="7"/>
                <w:position w:val="1"/>
              </w:rPr>
              <w:t>龙岗村村水井</w:t>
            </w:r>
          </w:p>
        </w:tc>
        <w:tc>
          <w:tcPr>
            <w:tcW w:w="3773" w:type="dxa"/>
            <w:vMerge w:val="continue"/>
            <w:tcBorders>
              <w:top w:val="nil"/>
            </w:tcBorders>
            <w:vAlign w:val="top"/>
          </w:tcPr>
          <w:p w14:paraId="1680489D">
            <w:pPr>
              <w:rPr>
                <w:rFonts w:ascii="Arial"/>
                <w:sz w:val="21"/>
              </w:rPr>
            </w:pPr>
          </w:p>
        </w:tc>
      </w:tr>
      <w:tr w14:paraId="04E8F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224" w:type="dxa"/>
            <w:vAlign w:val="top"/>
          </w:tcPr>
          <w:p w14:paraId="6A44C5D8">
            <w:pPr>
              <w:spacing w:before="81" w:line="275"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U4</w:t>
            </w:r>
          </w:p>
        </w:tc>
        <w:tc>
          <w:tcPr>
            <w:tcW w:w="3773" w:type="dxa"/>
            <w:vAlign w:val="top"/>
          </w:tcPr>
          <w:p w14:paraId="6C8E0A3C">
            <w:pPr>
              <w:pStyle w:val="6"/>
              <w:spacing w:before="110" w:line="274" w:lineRule="exact"/>
              <w:ind w:left="1519"/>
            </w:pPr>
            <w:r>
              <w:rPr>
                <w:rFonts w:ascii="Times New Roman" w:hAnsi="Times New Roman" w:eastAsia="Times New Roman" w:cs="Times New Roman"/>
                <w:spacing w:val="6"/>
                <w:position w:val="1"/>
              </w:rPr>
              <w:t>U4</w:t>
            </w:r>
            <w:r>
              <w:rPr>
                <w:rFonts w:ascii="Times New Roman" w:hAnsi="Times New Roman" w:eastAsia="Times New Roman" w:cs="Times New Roman"/>
                <w:spacing w:val="15"/>
                <w:position w:val="1"/>
              </w:rPr>
              <w:t xml:space="preserve"> </w:t>
            </w:r>
            <w:r>
              <w:rPr>
                <w:spacing w:val="6"/>
                <w:position w:val="1"/>
              </w:rPr>
              <w:t>项目水井</w:t>
            </w:r>
          </w:p>
        </w:tc>
        <w:tc>
          <w:tcPr>
            <w:tcW w:w="3773" w:type="dxa"/>
            <w:vMerge w:val="restart"/>
            <w:tcBorders>
              <w:bottom w:val="nil"/>
            </w:tcBorders>
            <w:vAlign w:val="top"/>
          </w:tcPr>
          <w:p w14:paraId="783FF063">
            <w:pPr>
              <w:spacing w:line="242" w:lineRule="auto"/>
              <w:rPr>
                <w:rFonts w:ascii="Arial"/>
                <w:sz w:val="21"/>
              </w:rPr>
            </w:pPr>
          </w:p>
          <w:p w14:paraId="463BBDFA">
            <w:pPr>
              <w:spacing w:line="242" w:lineRule="auto"/>
              <w:rPr>
                <w:rFonts w:ascii="Arial"/>
                <w:sz w:val="21"/>
              </w:rPr>
            </w:pPr>
          </w:p>
          <w:p w14:paraId="07ED3747">
            <w:pPr>
              <w:pStyle w:val="6"/>
              <w:spacing w:before="65" w:line="231" w:lineRule="auto"/>
              <w:ind w:left="1680"/>
            </w:pPr>
            <w:r>
              <w:rPr>
                <w:spacing w:val="4"/>
              </w:rPr>
              <w:t>埋深</w:t>
            </w:r>
          </w:p>
        </w:tc>
      </w:tr>
      <w:tr w14:paraId="622F3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224" w:type="dxa"/>
            <w:vAlign w:val="top"/>
          </w:tcPr>
          <w:p w14:paraId="6D700184">
            <w:pPr>
              <w:spacing w:before="152" w:line="192"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U5</w:t>
            </w:r>
          </w:p>
        </w:tc>
        <w:tc>
          <w:tcPr>
            <w:tcW w:w="3773" w:type="dxa"/>
            <w:vAlign w:val="top"/>
          </w:tcPr>
          <w:p w14:paraId="7F98966F">
            <w:pPr>
              <w:pStyle w:val="6"/>
              <w:spacing w:before="143" w:line="228" w:lineRule="auto"/>
              <w:ind w:left="1414"/>
            </w:pPr>
            <w:r>
              <w:rPr>
                <w:rFonts w:ascii="Times New Roman" w:hAnsi="Times New Roman" w:eastAsia="Times New Roman" w:cs="Times New Roman"/>
                <w:spacing w:val="6"/>
              </w:rPr>
              <w:t>U5</w:t>
            </w:r>
            <w:r>
              <w:rPr>
                <w:rFonts w:ascii="Times New Roman" w:hAnsi="Times New Roman" w:eastAsia="Times New Roman" w:cs="Times New Roman"/>
                <w:spacing w:val="20"/>
              </w:rPr>
              <w:t xml:space="preserve"> </w:t>
            </w:r>
            <w:r>
              <w:rPr>
                <w:spacing w:val="6"/>
              </w:rPr>
              <w:t>紫头崛水井</w:t>
            </w:r>
          </w:p>
        </w:tc>
        <w:tc>
          <w:tcPr>
            <w:tcW w:w="3773" w:type="dxa"/>
            <w:vMerge w:val="continue"/>
            <w:tcBorders>
              <w:top w:val="nil"/>
              <w:bottom w:val="nil"/>
            </w:tcBorders>
            <w:vAlign w:val="top"/>
          </w:tcPr>
          <w:p w14:paraId="654172DF">
            <w:pPr>
              <w:rPr>
                <w:rFonts w:ascii="Arial"/>
                <w:sz w:val="21"/>
              </w:rPr>
            </w:pPr>
          </w:p>
        </w:tc>
      </w:tr>
      <w:tr w14:paraId="20C48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224" w:type="dxa"/>
            <w:vAlign w:val="top"/>
          </w:tcPr>
          <w:p w14:paraId="542964BA">
            <w:pPr>
              <w:spacing w:before="84"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U6</w:t>
            </w:r>
          </w:p>
        </w:tc>
        <w:tc>
          <w:tcPr>
            <w:tcW w:w="3773" w:type="dxa"/>
            <w:vAlign w:val="top"/>
          </w:tcPr>
          <w:p w14:paraId="08C346B5">
            <w:pPr>
              <w:pStyle w:val="6"/>
              <w:spacing w:before="113" w:line="274" w:lineRule="exact"/>
              <w:ind w:left="1099"/>
            </w:pPr>
            <w:r>
              <w:rPr>
                <w:rFonts w:ascii="Times New Roman" w:hAnsi="Times New Roman" w:eastAsia="Times New Roman" w:cs="Times New Roman"/>
                <w:spacing w:val="8"/>
                <w:position w:val="1"/>
              </w:rPr>
              <w:t xml:space="preserve">U6 </w:t>
            </w:r>
            <w:r>
              <w:rPr>
                <w:spacing w:val="8"/>
                <w:position w:val="1"/>
              </w:rPr>
              <w:t>潭头垅新村村水井</w:t>
            </w:r>
          </w:p>
        </w:tc>
        <w:tc>
          <w:tcPr>
            <w:tcW w:w="3773" w:type="dxa"/>
            <w:vMerge w:val="continue"/>
            <w:tcBorders>
              <w:top w:val="nil"/>
            </w:tcBorders>
            <w:vAlign w:val="top"/>
          </w:tcPr>
          <w:p w14:paraId="4033629B">
            <w:pPr>
              <w:rPr>
                <w:rFonts w:ascii="Arial"/>
                <w:sz w:val="21"/>
              </w:rPr>
            </w:pPr>
          </w:p>
        </w:tc>
      </w:tr>
    </w:tbl>
    <w:p w14:paraId="4CAF6705">
      <w:pPr>
        <w:pStyle w:val="2"/>
      </w:pPr>
    </w:p>
    <w:p w14:paraId="2B45DDEC">
      <w:pPr>
        <w:sectPr>
          <w:footerReference r:id="rId92" w:type="default"/>
          <w:pgSz w:w="11906" w:h="16839"/>
          <w:pgMar w:top="400" w:right="1565" w:bottom="1485" w:left="1565" w:header="0" w:footer="1249" w:gutter="0"/>
          <w:cols w:space="720" w:num="1"/>
        </w:sectPr>
      </w:pPr>
    </w:p>
    <w:p w14:paraId="333DDDCA">
      <w:pPr>
        <w:pStyle w:val="2"/>
        <w:spacing w:line="275" w:lineRule="auto"/>
      </w:pPr>
    </w:p>
    <w:p w14:paraId="0A212EB4">
      <w:pPr>
        <w:pStyle w:val="2"/>
        <w:spacing w:line="275" w:lineRule="auto"/>
      </w:pPr>
    </w:p>
    <w:p w14:paraId="11DC27F9">
      <w:pPr>
        <w:pStyle w:val="2"/>
        <w:spacing w:line="275" w:lineRule="auto"/>
      </w:pPr>
    </w:p>
    <w:p w14:paraId="511B857C">
      <w:pPr>
        <w:pStyle w:val="2"/>
        <w:spacing w:line="275" w:lineRule="auto"/>
      </w:pPr>
    </w:p>
    <w:p w14:paraId="7F087C10">
      <w:pPr>
        <w:spacing w:line="7973" w:lineRule="exact"/>
        <w:ind w:firstLine="164"/>
      </w:pPr>
      <w:r>
        <w:rPr>
          <w:position w:val="-159"/>
        </w:rPr>
        <w:drawing>
          <wp:inline distT="0" distB="0" distL="0" distR="0">
            <wp:extent cx="5071745" cy="50622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16"/>
                    <a:stretch>
                      <a:fillRect/>
                    </a:stretch>
                  </pic:blipFill>
                  <pic:spPr>
                    <a:xfrm>
                      <a:off x="0" y="0"/>
                      <a:ext cx="5071871" cy="5062728"/>
                    </a:xfrm>
                    <a:prstGeom prst="rect">
                      <a:avLst/>
                    </a:prstGeom>
                  </pic:spPr>
                </pic:pic>
              </a:graphicData>
            </a:graphic>
          </wp:inline>
        </w:drawing>
      </w:r>
    </w:p>
    <w:p w14:paraId="65307909">
      <w:pPr>
        <w:pStyle w:val="2"/>
        <w:spacing w:line="252" w:lineRule="auto"/>
      </w:pPr>
    </w:p>
    <w:p w14:paraId="516D44EE">
      <w:pPr>
        <w:spacing w:before="78" w:line="222" w:lineRule="auto"/>
        <w:ind w:left="2806"/>
        <w:rPr>
          <w:rFonts w:ascii="宋体" w:hAnsi="宋体" w:eastAsia="宋体" w:cs="宋体"/>
          <w:sz w:val="20"/>
          <w:szCs w:val="20"/>
        </w:rPr>
      </w:pPr>
      <w:r>
        <w:rPr>
          <w:rFonts w:ascii="宋体" w:hAnsi="宋体" w:eastAsia="宋体" w:cs="宋体"/>
          <w:b/>
          <w:bCs/>
          <w:spacing w:val="3"/>
          <w:sz w:val="24"/>
          <w:szCs w:val="24"/>
        </w:rPr>
        <w:t>图</w:t>
      </w:r>
      <w:r>
        <w:rPr>
          <w:rFonts w:ascii="宋体" w:hAnsi="宋体" w:eastAsia="宋体" w:cs="宋体"/>
          <w:spacing w:val="-47"/>
          <w:sz w:val="24"/>
          <w:szCs w:val="24"/>
        </w:rPr>
        <w:t xml:space="preserve"> </w:t>
      </w:r>
      <w:r>
        <w:rPr>
          <w:rFonts w:ascii="Times New Roman" w:hAnsi="Times New Roman" w:eastAsia="Times New Roman" w:cs="Times New Roman"/>
          <w:b/>
          <w:bCs/>
          <w:spacing w:val="3"/>
          <w:sz w:val="24"/>
          <w:szCs w:val="24"/>
        </w:rPr>
        <w:t xml:space="preserve">4.2-1  </w:t>
      </w:r>
      <w:r>
        <w:rPr>
          <w:rFonts w:ascii="宋体" w:hAnsi="宋体" w:eastAsia="宋体" w:cs="宋体"/>
          <w:b/>
          <w:bCs/>
          <w:spacing w:val="3"/>
          <w:sz w:val="20"/>
          <w:szCs w:val="20"/>
        </w:rPr>
        <w:t>地下水环境质量现状监测布点</w:t>
      </w:r>
    </w:p>
    <w:p w14:paraId="33A7C5C6">
      <w:pPr>
        <w:pStyle w:val="2"/>
        <w:spacing w:line="418" w:lineRule="auto"/>
      </w:pPr>
    </w:p>
    <w:p w14:paraId="75FFB253">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4.2.1</w:t>
      </w:r>
      <w:r>
        <w:rPr>
          <w:rFonts w:ascii="宋体" w:hAnsi="宋体" w:eastAsia="宋体" w:cs="宋体"/>
          <w:b/>
          <w:bCs/>
          <w:spacing w:val="-2"/>
          <w:sz w:val="24"/>
          <w:szCs w:val="24"/>
        </w:rPr>
        <w:t>监测时间频率与监测项目</w:t>
      </w:r>
    </w:p>
    <w:p w14:paraId="1CBD7A3D">
      <w:pPr>
        <w:pStyle w:val="2"/>
        <w:spacing w:line="242" w:lineRule="auto"/>
      </w:pPr>
    </w:p>
    <w:p w14:paraId="1551ADD4">
      <w:pPr>
        <w:spacing w:before="78" w:line="360" w:lineRule="exact"/>
        <w:ind w:left="484"/>
        <w:rPr>
          <w:rFonts w:ascii="宋体" w:hAnsi="宋体" w:eastAsia="宋体" w:cs="宋体"/>
          <w:sz w:val="24"/>
          <w:szCs w:val="24"/>
        </w:rPr>
      </w:pPr>
      <w:r>
        <w:rPr>
          <w:rFonts w:ascii="宋体" w:hAnsi="宋体" w:eastAsia="宋体" w:cs="宋体"/>
          <w:spacing w:val="-4"/>
          <w:position w:val="2"/>
          <w:sz w:val="24"/>
          <w:szCs w:val="24"/>
        </w:rPr>
        <w:t>监测时间为</w:t>
      </w:r>
      <w:r>
        <w:rPr>
          <w:rFonts w:ascii="宋体" w:hAnsi="宋体" w:eastAsia="宋体" w:cs="宋体"/>
          <w:spacing w:val="-37"/>
          <w:position w:val="2"/>
          <w:sz w:val="24"/>
          <w:szCs w:val="24"/>
        </w:rPr>
        <w:t xml:space="preserve"> </w:t>
      </w:r>
      <w:r>
        <w:rPr>
          <w:rFonts w:ascii="Times New Roman" w:hAnsi="Times New Roman" w:eastAsia="Times New Roman" w:cs="Times New Roman"/>
          <w:spacing w:val="-4"/>
          <w:position w:val="2"/>
          <w:sz w:val="24"/>
          <w:szCs w:val="24"/>
        </w:rPr>
        <w:t xml:space="preserve">2020 </w:t>
      </w:r>
      <w:r>
        <w:rPr>
          <w:rFonts w:ascii="宋体" w:hAnsi="宋体" w:eastAsia="宋体" w:cs="宋体"/>
          <w:spacing w:val="-4"/>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 xml:space="preserve">11 </w:t>
      </w:r>
      <w:r>
        <w:rPr>
          <w:rFonts w:ascii="宋体" w:hAnsi="宋体" w:eastAsia="宋体" w:cs="宋体"/>
          <w:spacing w:val="-4"/>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 xml:space="preserve">10  </w:t>
      </w:r>
      <w:r>
        <w:rPr>
          <w:rFonts w:ascii="宋体" w:hAnsi="宋体" w:eastAsia="宋体" w:cs="宋体"/>
          <w:spacing w:val="-4"/>
          <w:position w:val="2"/>
          <w:sz w:val="24"/>
          <w:szCs w:val="24"/>
        </w:rPr>
        <w:t xml:space="preserve">日，监测 </w:t>
      </w: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29"/>
          <w:position w:val="2"/>
          <w:sz w:val="24"/>
          <w:szCs w:val="24"/>
        </w:rPr>
        <w:t xml:space="preserve"> </w:t>
      </w:r>
      <w:r>
        <w:rPr>
          <w:rFonts w:ascii="宋体" w:hAnsi="宋体" w:eastAsia="宋体" w:cs="宋体"/>
          <w:spacing w:val="-4"/>
          <w:position w:val="2"/>
          <w:sz w:val="24"/>
          <w:szCs w:val="24"/>
        </w:rPr>
        <w:t xml:space="preserve">天，每天监测 </w:t>
      </w: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4"/>
          <w:position w:val="2"/>
          <w:sz w:val="24"/>
          <w:szCs w:val="24"/>
        </w:rPr>
        <w:t>次。</w:t>
      </w:r>
    </w:p>
    <w:p w14:paraId="79144112">
      <w:pPr>
        <w:spacing w:before="166" w:line="367" w:lineRule="auto"/>
        <w:ind w:left="2"/>
        <w:jc w:val="both"/>
        <w:rPr>
          <w:rFonts w:ascii="宋体" w:hAnsi="宋体" w:eastAsia="宋体" w:cs="宋体"/>
          <w:sz w:val="24"/>
          <w:szCs w:val="24"/>
        </w:rPr>
      </w:pPr>
      <w:r>
        <w:rPr>
          <w:rFonts w:ascii="宋体" w:hAnsi="宋体" w:eastAsia="宋体" w:cs="宋体"/>
          <w:spacing w:val="-2"/>
          <w:sz w:val="24"/>
          <w:szCs w:val="24"/>
        </w:rPr>
        <w:t>根据项目粪污污染物排放特点，本评价选取</w:t>
      </w:r>
      <w:r>
        <w:rPr>
          <w:rFonts w:ascii="宋体" w:hAnsi="宋体" w:eastAsia="宋体" w:cs="宋体"/>
          <w:spacing w:val="-60"/>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值、总硬度、溶解性总固体、耗氧量</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Mn</w:t>
      </w:r>
      <w:r>
        <w:rPr>
          <w:rFonts w:ascii="Times New Roman" w:hAnsi="Times New Roman" w:eastAsia="Times New Roman" w:cs="Times New Roman"/>
          <w:spacing w:val="10"/>
          <w:w w:val="101"/>
          <w:position w:val="-1"/>
          <w:sz w:val="15"/>
          <w:szCs w:val="15"/>
        </w:rPr>
        <w:t xml:space="preserve"> </w:t>
      </w:r>
      <w:r>
        <w:rPr>
          <w:rFonts w:ascii="宋体" w:hAnsi="宋体" w:eastAsia="宋体" w:cs="宋体"/>
          <w:spacing w:val="-2"/>
          <w:sz w:val="24"/>
          <w:szCs w:val="24"/>
        </w:rPr>
        <w:t>法，以</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9"/>
          <w:w w:val="101"/>
          <w:position w:val="-1"/>
          <w:sz w:val="15"/>
          <w:szCs w:val="15"/>
        </w:rPr>
        <w:t xml:space="preserve"> </w:t>
      </w:r>
      <w:r>
        <w:rPr>
          <w:rFonts w:ascii="宋体" w:hAnsi="宋体" w:eastAsia="宋体" w:cs="宋体"/>
          <w:spacing w:val="-2"/>
          <w:sz w:val="24"/>
          <w:szCs w:val="24"/>
        </w:rPr>
        <w:t>计）、氨氮、硝酸盐、总大肠菌群作为地下</w:t>
      </w:r>
      <w:r>
        <w:rPr>
          <w:rFonts w:ascii="宋体" w:hAnsi="宋体" w:eastAsia="宋体" w:cs="宋体"/>
          <w:spacing w:val="-3"/>
          <w:sz w:val="24"/>
          <w:szCs w:val="24"/>
        </w:rPr>
        <w:t>水环境质量现状监测</w:t>
      </w:r>
      <w:r>
        <w:rPr>
          <w:rFonts w:ascii="宋体" w:hAnsi="宋体" w:eastAsia="宋体" w:cs="宋体"/>
          <w:sz w:val="24"/>
          <w:szCs w:val="24"/>
        </w:rPr>
        <w:t xml:space="preserve"> </w:t>
      </w:r>
      <w:r>
        <w:rPr>
          <w:rFonts w:ascii="宋体" w:hAnsi="宋体" w:eastAsia="宋体" w:cs="宋体"/>
          <w:spacing w:val="-1"/>
          <w:sz w:val="24"/>
          <w:szCs w:val="24"/>
        </w:rPr>
        <w:t>评价因子，同时监测埋深。</w:t>
      </w:r>
    </w:p>
    <w:p w14:paraId="5B48B606">
      <w:pPr>
        <w:pStyle w:val="2"/>
        <w:spacing w:line="252" w:lineRule="auto"/>
      </w:pPr>
    </w:p>
    <w:p w14:paraId="69E02EA8">
      <w:pPr>
        <w:spacing w:before="79" w:line="222"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4.2.2</w:t>
      </w:r>
      <w:r>
        <w:rPr>
          <w:rFonts w:ascii="宋体" w:hAnsi="宋体" w:eastAsia="宋体" w:cs="宋体"/>
          <w:b/>
          <w:bCs/>
          <w:spacing w:val="-2"/>
          <w:sz w:val="24"/>
          <w:szCs w:val="24"/>
        </w:rPr>
        <w:t>监测方法</w:t>
      </w:r>
    </w:p>
    <w:p w14:paraId="7A295C91">
      <w:pPr>
        <w:spacing w:before="288" w:line="325" w:lineRule="auto"/>
        <w:ind w:left="242" w:right="143" w:firstLine="487"/>
        <w:jc w:val="both"/>
        <w:rPr>
          <w:rFonts w:ascii="宋体" w:hAnsi="宋体" w:eastAsia="宋体" w:cs="宋体"/>
          <w:sz w:val="24"/>
          <w:szCs w:val="24"/>
        </w:rPr>
      </w:pPr>
      <w:r>
        <w:rPr>
          <w:rFonts w:ascii="宋体" w:hAnsi="宋体" w:eastAsia="宋体" w:cs="宋体"/>
          <w:sz w:val="24"/>
          <w:szCs w:val="24"/>
        </w:rPr>
        <w:t>样品按《地表水环境质量标准》（</w:t>
      </w:r>
      <w:r>
        <w:rPr>
          <w:rFonts w:ascii="Times New Roman" w:hAnsi="Times New Roman" w:eastAsia="Times New Roman" w:cs="Times New Roman"/>
          <w:sz w:val="24"/>
          <w:szCs w:val="24"/>
        </w:rPr>
        <w:t>GB3838-2002</w:t>
      </w:r>
      <w:r>
        <w:rPr>
          <w:rFonts w:ascii="宋体" w:hAnsi="宋体" w:eastAsia="宋体" w:cs="宋体"/>
          <w:sz w:val="24"/>
          <w:szCs w:val="24"/>
        </w:rPr>
        <w:t>）中表</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4</w:t>
      </w:r>
      <w:r>
        <w:rPr>
          <w:rFonts w:ascii="宋体" w:hAnsi="宋体" w:eastAsia="宋体" w:cs="宋体"/>
          <w:spacing w:val="-1"/>
          <w:sz w:val="24"/>
          <w:szCs w:val="24"/>
        </w:rPr>
        <w:t>地表水质量标准基</w:t>
      </w:r>
      <w:r>
        <w:rPr>
          <w:rFonts w:ascii="宋体" w:hAnsi="宋体" w:eastAsia="宋体" w:cs="宋体"/>
          <w:sz w:val="24"/>
          <w:szCs w:val="24"/>
        </w:rPr>
        <w:t xml:space="preserve"> </w:t>
      </w:r>
      <w:r>
        <w:rPr>
          <w:rFonts w:ascii="宋体" w:hAnsi="宋体" w:eastAsia="宋体" w:cs="宋体"/>
          <w:spacing w:val="5"/>
          <w:sz w:val="24"/>
          <w:szCs w:val="24"/>
        </w:rPr>
        <w:t>本项目分析方法和国家环保局《水和废水监测分析方法》第四版进</w:t>
      </w:r>
      <w:r>
        <w:rPr>
          <w:rFonts w:ascii="宋体" w:hAnsi="宋体" w:eastAsia="宋体" w:cs="宋体"/>
          <w:spacing w:val="4"/>
          <w:sz w:val="24"/>
          <w:szCs w:val="24"/>
        </w:rPr>
        <w:t>行分析。水</w:t>
      </w:r>
      <w:r>
        <w:rPr>
          <w:rFonts w:ascii="宋体" w:hAnsi="宋体" w:eastAsia="宋体" w:cs="宋体"/>
          <w:sz w:val="24"/>
          <w:szCs w:val="24"/>
        </w:rPr>
        <w:t xml:space="preserve"> </w:t>
      </w:r>
      <w:r>
        <w:rPr>
          <w:rFonts w:ascii="宋体" w:hAnsi="宋体" w:eastAsia="宋体" w:cs="宋体"/>
          <w:spacing w:val="-2"/>
          <w:sz w:val="24"/>
          <w:szCs w:val="24"/>
        </w:rPr>
        <w:t>样的采集、保存、分析的原则和方法按《环境监测技术规范》进行。具体分析方</w:t>
      </w:r>
    </w:p>
    <w:p w14:paraId="761AFC84">
      <w:pPr>
        <w:spacing w:line="325" w:lineRule="auto"/>
        <w:rPr>
          <w:rFonts w:ascii="宋体" w:hAnsi="宋体" w:eastAsia="宋体" w:cs="宋体"/>
          <w:sz w:val="24"/>
          <w:szCs w:val="24"/>
        </w:rPr>
        <w:sectPr>
          <w:footerReference r:id="rId93" w:type="default"/>
          <w:pgSz w:w="11906" w:h="16839"/>
          <w:pgMar w:top="400" w:right="1588" w:bottom="1485" w:left="1594" w:header="0" w:footer="1249" w:gutter="0"/>
          <w:cols w:space="720" w:num="1"/>
        </w:sectPr>
      </w:pPr>
    </w:p>
    <w:p w14:paraId="1A94C37B">
      <w:pPr>
        <w:pStyle w:val="2"/>
        <w:spacing w:line="256" w:lineRule="auto"/>
      </w:pPr>
    </w:p>
    <w:p w14:paraId="7437625B">
      <w:pPr>
        <w:pStyle w:val="2"/>
        <w:spacing w:line="256" w:lineRule="auto"/>
      </w:pPr>
    </w:p>
    <w:p w14:paraId="1E2363AD">
      <w:pPr>
        <w:pStyle w:val="2"/>
        <w:spacing w:line="256" w:lineRule="auto"/>
      </w:pPr>
    </w:p>
    <w:p w14:paraId="624B91C4">
      <w:pPr>
        <w:pStyle w:val="2"/>
        <w:spacing w:line="256" w:lineRule="auto"/>
      </w:pPr>
    </w:p>
    <w:p w14:paraId="5F443058">
      <w:pPr>
        <w:spacing w:before="78" w:line="220" w:lineRule="auto"/>
        <w:ind w:left="363"/>
        <w:rPr>
          <w:rFonts w:ascii="宋体" w:hAnsi="宋体" w:eastAsia="宋体" w:cs="宋体"/>
          <w:sz w:val="24"/>
          <w:szCs w:val="24"/>
        </w:rPr>
      </w:pPr>
      <w:r>
        <w:rPr>
          <w:rFonts w:ascii="宋体" w:hAnsi="宋体" w:eastAsia="宋体" w:cs="宋体"/>
          <w:spacing w:val="-2"/>
          <w:sz w:val="24"/>
          <w:szCs w:val="24"/>
        </w:rPr>
        <w:t>法及检出限见下表。</w:t>
      </w:r>
    </w:p>
    <w:p w14:paraId="671C7D29">
      <w:pPr>
        <w:spacing w:before="182" w:line="228" w:lineRule="auto"/>
        <w:ind w:left="2192"/>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7"/>
          <w:sz w:val="20"/>
          <w:szCs w:val="20"/>
        </w:rPr>
        <w:t xml:space="preserve">4.2-2  </w:t>
      </w:r>
      <w:r>
        <w:rPr>
          <w:rFonts w:ascii="宋体" w:hAnsi="宋体" w:eastAsia="宋体" w:cs="宋体"/>
          <w:b/>
          <w:bCs/>
          <w:spacing w:val="7"/>
          <w:sz w:val="20"/>
          <w:szCs w:val="20"/>
        </w:rPr>
        <w:t>地下水水水质分析方法及最低检出</w:t>
      </w:r>
      <w:r>
        <w:rPr>
          <w:rFonts w:ascii="宋体" w:hAnsi="宋体" w:eastAsia="宋体" w:cs="宋体"/>
          <w:b/>
          <w:bCs/>
          <w:spacing w:val="6"/>
          <w:sz w:val="20"/>
          <w:szCs w:val="20"/>
        </w:rPr>
        <w:t>浓度一览表</w:t>
      </w:r>
    </w:p>
    <w:p w14:paraId="007610E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1551"/>
        <w:gridCol w:w="3143"/>
        <w:gridCol w:w="2044"/>
        <w:gridCol w:w="1349"/>
      </w:tblGrid>
      <w:tr w14:paraId="3360A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63" w:type="dxa"/>
            <w:vAlign w:val="top"/>
          </w:tcPr>
          <w:p w14:paraId="6A98E4EF">
            <w:pPr>
              <w:pStyle w:val="6"/>
              <w:spacing w:before="61" w:line="272" w:lineRule="auto"/>
              <w:ind w:left="298" w:right="84" w:hanging="146"/>
            </w:pPr>
            <w:r>
              <w:rPr>
                <w:spacing w:val="6"/>
              </w:rPr>
              <w:t>检测类</w:t>
            </w:r>
            <w:r>
              <w:rPr>
                <w:spacing w:val="1"/>
              </w:rPr>
              <w:t xml:space="preserve"> </w:t>
            </w:r>
            <w:r>
              <w:t>别</w:t>
            </w:r>
          </w:p>
        </w:tc>
        <w:tc>
          <w:tcPr>
            <w:tcW w:w="1551" w:type="dxa"/>
            <w:vAlign w:val="top"/>
          </w:tcPr>
          <w:p w14:paraId="36C8F406">
            <w:pPr>
              <w:pStyle w:val="6"/>
              <w:spacing w:before="225" w:line="228" w:lineRule="auto"/>
              <w:ind w:left="424"/>
            </w:pPr>
            <w:r>
              <w:rPr>
                <w:spacing w:val="7"/>
              </w:rPr>
              <w:t>检测项目</w:t>
            </w:r>
          </w:p>
        </w:tc>
        <w:tc>
          <w:tcPr>
            <w:tcW w:w="3143" w:type="dxa"/>
            <w:vAlign w:val="top"/>
          </w:tcPr>
          <w:p w14:paraId="1FF91235">
            <w:pPr>
              <w:pStyle w:val="6"/>
              <w:spacing w:before="225" w:line="228" w:lineRule="auto"/>
              <w:ind w:left="1223"/>
            </w:pPr>
            <w:r>
              <w:rPr>
                <w:spacing w:val="7"/>
              </w:rPr>
              <w:t>检测方法</w:t>
            </w:r>
          </w:p>
        </w:tc>
        <w:tc>
          <w:tcPr>
            <w:tcW w:w="2044" w:type="dxa"/>
            <w:vAlign w:val="top"/>
          </w:tcPr>
          <w:p w14:paraId="2947BE88">
            <w:pPr>
              <w:pStyle w:val="6"/>
              <w:spacing w:before="225" w:line="228" w:lineRule="auto"/>
              <w:ind w:left="638"/>
            </w:pPr>
            <w:r>
              <w:rPr>
                <w:spacing w:val="7"/>
              </w:rPr>
              <w:t>检测仪器</w:t>
            </w:r>
          </w:p>
        </w:tc>
        <w:tc>
          <w:tcPr>
            <w:tcW w:w="1349" w:type="dxa"/>
            <w:vAlign w:val="top"/>
          </w:tcPr>
          <w:p w14:paraId="35AAF82F">
            <w:pPr>
              <w:pStyle w:val="6"/>
              <w:spacing w:before="225" w:line="228" w:lineRule="auto"/>
              <w:ind w:left="421"/>
            </w:pPr>
            <w:r>
              <w:rPr>
                <w:spacing w:val="6"/>
              </w:rPr>
              <w:t>检出限</w:t>
            </w:r>
          </w:p>
        </w:tc>
      </w:tr>
      <w:tr w14:paraId="3938A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3" w:type="dxa"/>
            <w:vMerge w:val="restart"/>
            <w:tcBorders>
              <w:bottom w:val="nil"/>
            </w:tcBorders>
            <w:vAlign w:val="top"/>
          </w:tcPr>
          <w:p w14:paraId="40ADD3B0">
            <w:pPr>
              <w:spacing w:line="252" w:lineRule="auto"/>
              <w:rPr>
                <w:rFonts w:ascii="Arial"/>
                <w:sz w:val="21"/>
              </w:rPr>
            </w:pPr>
          </w:p>
          <w:p w14:paraId="68E6D716">
            <w:pPr>
              <w:spacing w:line="252" w:lineRule="auto"/>
              <w:rPr>
                <w:rFonts w:ascii="Arial"/>
                <w:sz w:val="21"/>
              </w:rPr>
            </w:pPr>
          </w:p>
          <w:p w14:paraId="25D3D558">
            <w:pPr>
              <w:spacing w:line="252" w:lineRule="auto"/>
              <w:rPr>
                <w:rFonts w:ascii="Arial"/>
                <w:sz w:val="21"/>
              </w:rPr>
            </w:pPr>
          </w:p>
          <w:p w14:paraId="1B88A477">
            <w:pPr>
              <w:spacing w:line="252" w:lineRule="auto"/>
              <w:rPr>
                <w:rFonts w:ascii="Arial"/>
                <w:sz w:val="21"/>
              </w:rPr>
            </w:pPr>
          </w:p>
          <w:p w14:paraId="7529E923">
            <w:pPr>
              <w:spacing w:line="252" w:lineRule="auto"/>
              <w:rPr>
                <w:rFonts w:ascii="Arial"/>
                <w:sz w:val="21"/>
              </w:rPr>
            </w:pPr>
          </w:p>
          <w:p w14:paraId="1C1A3E26">
            <w:pPr>
              <w:spacing w:line="252" w:lineRule="auto"/>
              <w:rPr>
                <w:rFonts w:ascii="Arial"/>
                <w:sz w:val="21"/>
              </w:rPr>
            </w:pPr>
          </w:p>
          <w:p w14:paraId="60912364">
            <w:pPr>
              <w:spacing w:line="252" w:lineRule="auto"/>
              <w:rPr>
                <w:rFonts w:ascii="Arial"/>
                <w:sz w:val="21"/>
              </w:rPr>
            </w:pPr>
          </w:p>
          <w:p w14:paraId="566FB2F4">
            <w:pPr>
              <w:spacing w:line="252" w:lineRule="auto"/>
              <w:rPr>
                <w:rFonts w:ascii="Arial"/>
                <w:sz w:val="21"/>
              </w:rPr>
            </w:pPr>
          </w:p>
          <w:p w14:paraId="2D3C012C">
            <w:pPr>
              <w:spacing w:line="252" w:lineRule="auto"/>
              <w:rPr>
                <w:rFonts w:ascii="Arial"/>
                <w:sz w:val="21"/>
              </w:rPr>
            </w:pPr>
          </w:p>
          <w:p w14:paraId="56DEAFEE">
            <w:pPr>
              <w:spacing w:line="252" w:lineRule="auto"/>
              <w:rPr>
                <w:rFonts w:ascii="Arial"/>
                <w:sz w:val="21"/>
              </w:rPr>
            </w:pPr>
          </w:p>
          <w:p w14:paraId="626D0E8E">
            <w:pPr>
              <w:spacing w:line="252" w:lineRule="auto"/>
              <w:rPr>
                <w:rFonts w:ascii="Arial"/>
                <w:sz w:val="21"/>
              </w:rPr>
            </w:pPr>
          </w:p>
          <w:p w14:paraId="32FA1CE8">
            <w:pPr>
              <w:pStyle w:val="6"/>
              <w:spacing w:before="66" w:line="228" w:lineRule="auto"/>
              <w:ind w:left="152"/>
            </w:pPr>
            <w:r>
              <w:rPr>
                <w:spacing w:val="6"/>
              </w:rPr>
              <w:t>地表水</w:t>
            </w:r>
          </w:p>
        </w:tc>
        <w:tc>
          <w:tcPr>
            <w:tcW w:w="1551" w:type="dxa"/>
            <w:vAlign w:val="top"/>
          </w:tcPr>
          <w:p w14:paraId="6F98D485">
            <w:pPr>
              <w:pStyle w:val="6"/>
              <w:spacing w:before="279" w:line="221" w:lineRule="auto"/>
              <w:ind w:left="512"/>
            </w:pPr>
            <w:r>
              <w:rPr>
                <w:rFonts w:ascii="Times New Roman" w:hAnsi="Times New Roman" w:eastAsia="Times New Roman" w:cs="Times New Roman"/>
              </w:rPr>
              <w:t>pH</w:t>
            </w:r>
            <w:r>
              <w:rPr>
                <w:rFonts w:ascii="Times New Roman" w:hAnsi="Times New Roman" w:eastAsia="Times New Roman" w:cs="Times New Roman"/>
                <w:spacing w:val="8"/>
              </w:rPr>
              <w:t xml:space="preserve"> </w:t>
            </w:r>
            <w:r>
              <w:rPr>
                <w:spacing w:val="13"/>
              </w:rPr>
              <w:t>值</w:t>
            </w:r>
          </w:p>
        </w:tc>
        <w:tc>
          <w:tcPr>
            <w:tcW w:w="3143" w:type="dxa"/>
            <w:vAlign w:val="top"/>
          </w:tcPr>
          <w:p w14:paraId="50E6507A">
            <w:pPr>
              <w:pStyle w:val="6"/>
              <w:spacing w:before="112" w:line="258" w:lineRule="auto"/>
              <w:ind w:left="685" w:right="120" w:hanging="560"/>
            </w:pPr>
            <w:r>
              <w:rPr>
                <w:rFonts w:ascii="Times New Roman" w:hAnsi="Times New Roman" w:eastAsia="Times New Roman" w:cs="Times New Roman"/>
              </w:rPr>
              <w:t>GB</w:t>
            </w:r>
            <w:r>
              <w:rPr>
                <w:rFonts w:ascii="Times New Roman" w:hAnsi="Times New Roman" w:eastAsia="Times New Roman" w:cs="Times New Roman"/>
                <w:spacing w:val="6"/>
              </w:rPr>
              <w:t>/T 6920-1986</w:t>
            </w:r>
            <w:r>
              <w:rPr>
                <w:spacing w:val="6"/>
              </w:rPr>
              <w:t xml:space="preserve">《水质 </w:t>
            </w:r>
            <w:r>
              <w:rPr>
                <w:rFonts w:ascii="Times New Roman" w:hAnsi="Times New Roman" w:eastAsia="Times New Roman" w:cs="Times New Roman"/>
              </w:rPr>
              <w:t>pH</w:t>
            </w:r>
            <w:r>
              <w:rPr>
                <w:rFonts w:ascii="Times New Roman" w:hAnsi="Times New Roman" w:eastAsia="Times New Roman" w:cs="Times New Roman"/>
                <w:spacing w:val="6"/>
              </w:rPr>
              <w:t xml:space="preserve"> </w:t>
            </w:r>
            <w:r>
              <w:rPr>
                <w:spacing w:val="6"/>
              </w:rPr>
              <w:t>值的</w:t>
            </w:r>
            <w:r>
              <w:rPr>
                <w:spacing w:val="10"/>
              </w:rPr>
              <w:t xml:space="preserve"> </w:t>
            </w:r>
            <w:r>
              <w:rPr>
                <w:spacing w:val="7"/>
              </w:rPr>
              <w:t>测定 玻璃电极法》</w:t>
            </w:r>
          </w:p>
        </w:tc>
        <w:tc>
          <w:tcPr>
            <w:tcW w:w="2044" w:type="dxa"/>
            <w:vAlign w:val="top"/>
          </w:tcPr>
          <w:p w14:paraId="365FA828">
            <w:pPr>
              <w:pStyle w:val="6"/>
              <w:spacing w:before="159" w:line="265" w:lineRule="auto"/>
              <w:ind w:left="595" w:right="8" w:hanging="595"/>
              <w:rPr>
                <w:rFonts w:ascii="Times New Roman" w:hAnsi="Times New Roman" w:eastAsia="Times New Roman" w:cs="Times New Roman"/>
              </w:rPr>
            </w:pPr>
            <w:r>
              <w:rPr>
                <w:spacing w:val="3"/>
              </w:rPr>
              <w:t>便携式多参数分析仪：</w:t>
            </w:r>
            <w:r>
              <w:t xml:space="preserve"> </w:t>
            </w:r>
            <w:r>
              <w:rPr>
                <w:rFonts w:ascii="Times New Roman" w:hAnsi="Times New Roman" w:eastAsia="Times New Roman" w:cs="Times New Roman"/>
              </w:rPr>
              <w:t>DZB</w:t>
            </w:r>
            <w:r>
              <w:rPr>
                <w:rFonts w:ascii="Times New Roman" w:hAnsi="Times New Roman" w:eastAsia="Times New Roman" w:cs="Times New Roman"/>
                <w:spacing w:val="7"/>
              </w:rPr>
              <w:t>-718</w:t>
            </w:r>
          </w:p>
        </w:tc>
        <w:tc>
          <w:tcPr>
            <w:tcW w:w="1349" w:type="dxa"/>
            <w:vAlign w:val="top"/>
          </w:tcPr>
          <w:p w14:paraId="15412973">
            <w:pPr>
              <w:spacing w:line="258"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w:t>
            </w:r>
          </w:p>
          <w:p w14:paraId="7ACDBE93">
            <w:pPr>
              <w:pStyle w:val="6"/>
              <w:spacing w:before="133" w:line="229" w:lineRule="auto"/>
              <w:ind w:left="95"/>
            </w:pPr>
            <w:r>
              <w:rPr>
                <w:spacing w:val="3"/>
              </w:rPr>
              <w:t>（无量纲）</w:t>
            </w:r>
          </w:p>
        </w:tc>
      </w:tr>
      <w:tr w14:paraId="40A5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63" w:type="dxa"/>
            <w:vMerge w:val="continue"/>
            <w:tcBorders>
              <w:top w:val="nil"/>
              <w:bottom w:val="nil"/>
            </w:tcBorders>
            <w:vAlign w:val="top"/>
          </w:tcPr>
          <w:p w14:paraId="46EC427A">
            <w:pPr>
              <w:rPr>
                <w:rFonts w:ascii="Arial"/>
                <w:sz w:val="21"/>
              </w:rPr>
            </w:pPr>
          </w:p>
        </w:tc>
        <w:tc>
          <w:tcPr>
            <w:tcW w:w="1551" w:type="dxa"/>
            <w:vAlign w:val="top"/>
          </w:tcPr>
          <w:p w14:paraId="785F30FD">
            <w:pPr>
              <w:pStyle w:val="6"/>
              <w:spacing w:before="33" w:line="229" w:lineRule="auto"/>
              <w:ind w:left="468"/>
            </w:pPr>
            <w:r>
              <w:rPr>
                <w:spacing w:val="6"/>
              </w:rPr>
              <w:t>总硬度</w:t>
            </w:r>
          </w:p>
          <w:p w14:paraId="68EAD4C0">
            <w:pPr>
              <w:pStyle w:val="6"/>
              <w:spacing w:before="23" w:line="217" w:lineRule="auto"/>
              <w:ind w:left="31"/>
            </w:pPr>
            <w:r>
              <w:rPr>
                <w:spacing w:val="4"/>
              </w:rPr>
              <w:t>（以</w:t>
            </w:r>
            <w:r>
              <w:rPr>
                <w:spacing w:val="-39"/>
              </w:rPr>
              <w:t xml:space="preserve"> </w:t>
            </w:r>
            <w:r>
              <w:rPr>
                <w:rFonts w:ascii="Times New Roman" w:hAnsi="Times New Roman" w:eastAsia="Times New Roman" w:cs="Times New Roman"/>
              </w:rPr>
              <w:t>CaCO</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10"/>
                <w:w w:val="101"/>
                <w:position w:val="-1"/>
                <w:sz w:val="13"/>
                <w:szCs w:val="13"/>
              </w:rPr>
              <w:t xml:space="preserve"> </w:t>
            </w:r>
            <w:r>
              <w:rPr>
                <w:spacing w:val="4"/>
              </w:rPr>
              <w:t>计）</w:t>
            </w:r>
          </w:p>
        </w:tc>
        <w:tc>
          <w:tcPr>
            <w:tcW w:w="3143" w:type="dxa"/>
            <w:vAlign w:val="top"/>
          </w:tcPr>
          <w:p w14:paraId="2B82CE23">
            <w:pPr>
              <w:pStyle w:val="6"/>
              <w:spacing w:before="2" w:line="248" w:lineRule="auto"/>
              <w:ind w:left="387" w:right="105" w:hanging="274"/>
            </w:pPr>
            <w:r>
              <w:rPr>
                <w:rFonts w:ascii="Times New Roman" w:hAnsi="Times New Roman" w:eastAsia="Times New Roman" w:cs="Times New Roman"/>
              </w:rPr>
              <w:t>GB</w:t>
            </w:r>
            <w:r>
              <w:rPr>
                <w:rFonts w:ascii="Times New Roman" w:hAnsi="Times New Roman" w:eastAsia="Times New Roman" w:cs="Times New Roman"/>
                <w:spacing w:val="2"/>
              </w:rPr>
              <w:t>/T 7477-1987</w:t>
            </w:r>
            <w:r>
              <w:rPr>
                <w:spacing w:val="2"/>
              </w:rPr>
              <w:t>《水质 钙和镁总</w:t>
            </w:r>
            <w:r>
              <w:rPr>
                <w:spacing w:val="5"/>
              </w:rPr>
              <w:t xml:space="preserve"> </w:t>
            </w:r>
            <w:r>
              <w:rPr>
                <w:spacing w:val="7"/>
              </w:rPr>
              <w:t xml:space="preserve">量的测定 </w:t>
            </w:r>
            <w:r>
              <w:rPr>
                <w:rFonts w:ascii="Times New Roman" w:hAnsi="Times New Roman" w:eastAsia="Times New Roman" w:cs="Times New Roman"/>
              </w:rPr>
              <w:t>EDTA</w:t>
            </w:r>
            <w:r>
              <w:rPr>
                <w:rFonts w:ascii="Times New Roman" w:hAnsi="Times New Roman" w:eastAsia="Times New Roman" w:cs="Times New Roman"/>
                <w:spacing w:val="7"/>
              </w:rPr>
              <w:t xml:space="preserve"> </w:t>
            </w:r>
            <w:r>
              <w:rPr>
                <w:spacing w:val="7"/>
              </w:rPr>
              <w:t>滴定法》</w:t>
            </w:r>
          </w:p>
        </w:tc>
        <w:tc>
          <w:tcPr>
            <w:tcW w:w="2044" w:type="dxa"/>
            <w:vAlign w:val="top"/>
          </w:tcPr>
          <w:p w14:paraId="0E42D5AD">
            <w:pPr>
              <w:pStyle w:val="6"/>
              <w:spacing w:before="167" w:line="229" w:lineRule="auto"/>
              <w:ind w:left="573"/>
            </w:pPr>
            <w:r>
              <w:rPr>
                <w:spacing w:val="6"/>
              </w:rPr>
              <w:t>滴定装置</w:t>
            </w:r>
          </w:p>
        </w:tc>
        <w:tc>
          <w:tcPr>
            <w:tcW w:w="1349" w:type="dxa"/>
            <w:vAlign w:val="top"/>
          </w:tcPr>
          <w:p w14:paraId="5518893B">
            <w:pPr>
              <w:spacing w:before="136" w:line="275"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31B11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63" w:type="dxa"/>
            <w:vMerge w:val="continue"/>
            <w:tcBorders>
              <w:top w:val="nil"/>
              <w:bottom w:val="nil"/>
            </w:tcBorders>
            <w:vAlign w:val="top"/>
          </w:tcPr>
          <w:p w14:paraId="721D6C17">
            <w:pPr>
              <w:rPr>
                <w:rFonts w:ascii="Arial"/>
                <w:sz w:val="21"/>
              </w:rPr>
            </w:pPr>
          </w:p>
        </w:tc>
        <w:tc>
          <w:tcPr>
            <w:tcW w:w="1551" w:type="dxa"/>
            <w:vAlign w:val="top"/>
          </w:tcPr>
          <w:p w14:paraId="5C7E59A0">
            <w:pPr>
              <w:pStyle w:val="6"/>
              <w:spacing w:before="169" w:line="229" w:lineRule="auto"/>
              <w:ind w:left="151"/>
            </w:pPr>
            <w:r>
              <w:rPr>
                <w:spacing w:val="7"/>
              </w:rPr>
              <w:t>溶解性总固体</w:t>
            </w:r>
          </w:p>
        </w:tc>
        <w:tc>
          <w:tcPr>
            <w:tcW w:w="3143" w:type="dxa"/>
            <w:vAlign w:val="top"/>
          </w:tcPr>
          <w:p w14:paraId="5888923B">
            <w:pPr>
              <w:pStyle w:val="6"/>
              <w:spacing w:before="2" w:line="248" w:lineRule="auto"/>
              <w:ind w:left="111" w:right="106" w:firstLine="41"/>
            </w:pPr>
            <w:r>
              <w:rPr>
                <w:rFonts w:ascii="Times New Roman" w:hAnsi="Times New Roman" w:eastAsia="Times New Roman" w:cs="Times New Roman"/>
              </w:rPr>
              <w:t>DZ</w:t>
            </w:r>
            <w:r>
              <w:rPr>
                <w:rFonts w:ascii="Times New Roman" w:hAnsi="Times New Roman" w:eastAsia="Times New Roman" w:cs="Times New Roman"/>
                <w:spacing w:val="6"/>
              </w:rPr>
              <w:t>/T 0064.9-1993</w:t>
            </w:r>
            <w:r>
              <w:rPr>
                <w:spacing w:val="6"/>
              </w:rPr>
              <w:t>《地下水质检</w:t>
            </w:r>
            <w:r>
              <w:rPr>
                <w:spacing w:val="3"/>
              </w:rPr>
              <w:t xml:space="preserve"> </w:t>
            </w:r>
            <w:r>
              <w:rPr>
                <w:spacing w:val="8"/>
              </w:rPr>
              <w:t>验方法溶解性固体总量的测定》</w:t>
            </w:r>
          </w:p>
        </w:tc>
        <w:tc>
          <w:tcPr>
            <w:tcW w:w="2044" w:type="dxa"/>
            <w:vAlign w:val="top"/>
          </w:tcPr>
          <w:p w14:paraId="657B7FF1">
            <w:pPr>
              <w:pStyle w:val="6"/>
              <w:spacing w:before="138" w:line="274" w:lineRule="exact"/>
              <w:ind w:left="73"/>
              <w:rPr>
                <w:rFonts w:ascii="Times New Roman" w:hAnsi="Times New Roman" w:eastAsia="Times New Roman" w:cs="Times New Roman"/>
              </w:rPr>
            </w:pPr>
            <w:r>
              <w:rPr>
                <w:spacing w:val="6"/>
                <w:position w:val="1"/>
              </w:rPr>
              <w:t>电子天平：</w:t>
            </w:r>
            <w:r>
              <w:rPr>
                <w:rFonts w:ascii="Times New Roman" w:hAnsi="Times New Roman" w:eastAsia="Times New Roman" w:cs="Times New Roman"/>
                <w:position w:val="1"/>
              </w:rPr>
              <w:t>BSA</w:t>
            </w:r>
            <w:r>
              <w:rPr>
                <w:rFonts w:ascii="Times New Roman" w:hAnsi="Times New Roman" w:eastAsia="Times New Roman" w:cs="Times New Roman"/>
                <w:spacing w:val="6"/>
                <w:position w:val="1"/>
              </w:rPr>
              <w:t>224S</w:t>
            </w:r>
          </w:p>
        </w:tc>
        <w:tc>
          <w:tcPr>
            <w:tcW w:w="1349" w:type="dxa"/>
            <w:vAlign w:val="top"/>
          </w:tcPr>
          <w:p w14:paraId="416FBEEA">
            <w:pPr>
              <w:spacing w:before="78"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8160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63" w:type="dxa"/>
            <w:vMerge w:val="continue"/>
            <w:tcBorders>
              <w:top w:val="nil"/>
              <w:bottom w:val="nil"/>
            </w:tcBorders>
            <w:vAlign w:val="top"/>
          </w:tcPr>
          <w:p w14:paraId="77EFFBFD">
            <w:pPr>
              <w:rPr>
                <w:rFonts w:ascii="Arial"/>
                <w:sz w:val="21"/>
              </w:rPr>
            </w:pPr>
          </w:p>
        </w:tc>
        <w:tc>
          <w:tcPr>
            <w:tcW w:w="1551" w:type="dxa"/>
            <w:vAlign w:val="top"/>
          </w:tcPr>
          <w:p w14:paraId="3F14FF29">
            <w:pPr>
              <w:pStyle w:val="6"/>
              <w:spacing w:before="31" w:line="228" w:lineRule="auto"/>
              <w:ind w:left="466"/>
            </w:pPr>
            <w:r>
              <w:rPr>
                <w:spacing w:val="6"/>
              </w:rPr>
              <w:t>耗氧量</w:t>
            </w:r>
          </w:p>
          <w:p w14:paraId="7A142370">
            <w:pPr>
              <w:pStyle w:val="6"/>
              <w:spacing w:before="24" w:line="231" w:lineRule="auto"/>
              <w:jc w:val="right"/>
            </w:pPr>
            <w:r>
              <w:rPr>
                <w:spacing w:val="10"/>
              </w:rPr>
              <w:t>（</w:t>
            </w:r>
            <w:r>
              <w:rPr>
                <w:rFonts w:ascii="Times New Roman" w:hAnsi="Times New Roman" w:eastAsia="Times New Roman" w:cs="Times New Roman"/>
              </w:rPr>
              <w:t>COD</w:t>
            </w:r>
            <w:r>
              <w:rPr>
                <w:rFonts w:ascii="Times New Roman" w:hAnsi="Times New Roman" w:eastAsia="Times New Roman" w:cs="Times New Roman"/>
                <w:position w:val="-1"/>
                <w:sz w:val="13"/>
                <w:szCs w:val="13"/>
              </w:rPr>
              <w:t>Mn</w:t>
            </w:r>
            <w:r>
              <w:rPr>
                <w:rFonts w:ascii="Times New Roman" w:hAnsi="Times New Roman" w:eastAsia="Times New Roman" w:cs="Times New Roman"/>
                <w:spacing w:val="10"/>
                <w:position w:val="-1"/>
                <w:sz w:val="13"/>
                <w:szCs w:val="13"/>
              </w:rPr>
              <w:t xml:space="preserve"> </w:t>
            </w:r>
            <w:r>
              <w:rPr>
                <w:spacing w:val="10"/>
              </w:rPr>
              <w:t>法，以</w:t>
            </w:r>
          </w:p>
          <w:p w14:paraId="1EC6A3CA">
            <w:pPr>
              <w:pStyle w:val="6"/>
              <w:spacing w:before="23" w:line="216" w:lineRule="auto"/>
              <w:ind w:left="440"/>
            </w:pPr>
            <w:r>
              <w:rPr>
                <w:rFonts w:ascii="Times New Roman" w:hAnsi="Times New Roman" w:eastAsia="Times New Roman" w:cs="Times New Roman"/>
              </w:rPr>
              <w:t>O</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13"/>
                <w:position w:val="-1"/>
                <w:sz w:val="13"/>
                <w:szCs w:val="13"/>
              </w:rPr>
              <w:t xml:space="preserve"> </w:t>
            </w:r>
            <w:r>
              <w:t>计）</w:t>
            </w:r>
          </w:p>
        </w:tc>
        <w:tc>
          <w:tcPr>
            <w:tcW w:w="3143" w:type="dxa"/>
            <w:vAlign w:val="top"/>
          </w:tcPr>
          <w:p w14:paraId="1B4214D8">
            <w:pPr>
              <w:pStyle w:val="6"/>
              <w:spacing w:before="2" w:line="367" w:lineRule="auto"/>
              <w:ind w:left="580" w:right="120" w:hanging="32"/>
            </w:pPr>
            <w:r>
              <w:rPr>
                <w:rFonts w:ascii="Times New Roman" w:hAnsi="Times New Roman" w:eastAsia="Times New Roman" w:cs="Times New Roman"/>
              </w:rPr>
              <w:t>GB</w:t>
            </w:r>
            <w:r>
              <w:rPr>
                <w:rFonts w:ascii="Times New Roman" w:hAnsi="Times New Roman" w:eastAsia="Times New Roman" w:cs="Times New Roman"/>
                <w:spacing w:val="4"/>
              </w:rPr>
              <w:t>/T</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4"/>
              </w:rPr>
              <w:t>11892-1989</w:t>
            </w:r>
            <w:r>
              <w:rPr>
                <w:spacing w:val="4"/>
              </w:rPr>
              <w:t>《水质 高</w:t>
            </w:r>
            <w:r>
              <w:t xml:space="preserve"> </w:t>
            </w:r>
            <w:r>
              <w:rPr>
                <w:spacing w:val="7"/>
              </w:rPr>
              <w:t>锰酸盐指数的测定》</w:t>
            </w:r>
          </w:p>
        </w:tc>
        <w:tc>
          <w:tcPr>
            <w:tcW w:w="2044" w:type="dxa"/>
            <w:vAlign w:val="top"/>
          </w:tcPr>
          <w:p w14:paraId="16871369">
            <w:pPr>
              <w:pStyle w:val="6"/>
              <w:spacing w:before="303" w:line="229" w:lineRule="auto"/>
              <w:ind w:left="573"/>
            </w:pPr>
            <w:r>
              <w:rPr>
                <w:spacing w:val="6"/>
              </w:rPr>
              <w:t>滴定装置</w:t>
            </w:r>
          </w:p>
        </w:tc>
        <w:tc>
          <w:tcPr>
            <w:tcW w:w="1349" w:type="dxa"/>
            <w:vAlign w:val="top"/>
          </w:tcPr>
          <w:p w14:paraId="287EC4EA">
            <w:pPr>
              <w:spacing w:before="272"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6F109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863" w:type="dxa"/>
            <w:vMerge w:val="continue"/>
            <w:tcBorders>
              <w:top w:val="nil"/>
              <w:bottom w:val="nil"/>
            </w:tcBorders>
            <w:vAlign w:val="top"/>
          </w:tcPr>
          <w:p w14:paraId="4785DF54">
            <w:pPr>
              <w:rPr>
                <w:rFonts w:ascii="Arial"/>
                <w:sz w:val="21"/>
              </w:rPr>
            </w:pPr>
          </w:p>
        </w:tc>
        <w:tc>
          <w:tcPr>
            <w:tcW w:w="1551" w:type="dxa"/>
            <w:vAlign w:val="top"/>
          </w:tcPr>
          <w:p w14:paraId="6E1D6CD4">
            <w:pPr>
              <w:spacing w:line="319" w:lineRule="auto"/>
              <w:rPr>
                <w:rFonts w:ascii="Arial"/>
                <w:sz w:val="21"/>
              </w:rPr>
            </w:pPr>
          </w:p>
          <w:p w14:paraId="0C303E36">
            <w:pPr>
              <w:pStyle w:val="6"/>
              <w:spacing w:before="65" w:line="228" w:lineRule="auto"/>
              <w:ind w:left="21"/>
            </w:pPr>
            <w:r>
              <w:rPr>
                <w:spacing w:val="6"/>
              </w:rPr>
              <w:t>氨氮（以</w:t>
            </w:r>
            <w:r>
              <w:rPr>
                <w:spacing w:val="-46"/>
              </w:rPr>
              <w:t xml:space="preserve"> </w:t>
            </w:r>
            <w:r>
              <w:rPr>
                <w:rFonts w:ascii="Times New Roman" w:hAnsi="Times New Roman" w:eastAsia="Times New Roman" w:cs="Times New Roman"/>
                <w:spacing w:val="6"/>
              </w:rPr>
              <w:t xml:space="preserve">N </w:t>
            </w:r>
            <w:r>
              <w:rPr>
                <w:spacing w:val="6"/>
              </w:rPr>
              <w:t>计）</w:t>
            </w:r>
          </w:p>
        </w:tc>
        <w:tc>
          <w:tcPr>
            <w:tcW w:w="3143" w:type="dxa"/>
            <w:vAlign w:val="top"/>
          </w:tcPr>
          <w:p w14:paraId="6FB1BF23">
            <w:pPr>
              <w:pStyle w:val="6"/>
              <w:spacing w:before="111" w:line="397" w:lineRule="auto"/>
              <w:ind w:left="266" w:right="132" w:firstLine="289"/>
            </w:pPr>
            <w:r>
              <w:rPr>
                <w:rFonts w:ascii="Times New Roman" w:hAnsi="Times New Roman" w:eastAsia="Times New Roman" w:cs="Times New Roman"/>
              </w:rPr>
              <w:t>HJ</w:t>
            </w:r>
            <w:r>
              <w:rPr>
                <w:rFonts w:ascii="Times New Roman" w:hAnsi="Times New Roman" w:eastAsia="Times New Roman" w:cs="Times New Roman"/>
                <w:spacing w:val="6"/>
              </w:rPr>
              <w:t xml:space="preserve"> 535-2009</w:t>
            </w:r>
            <w:r>
              <w:rPr>
                <w:spacing w:val="6"/>
              </w:rPr>
              <w:t>《水质 氨氮的</w:t>
            </w:r>
            <w:r>
              <w:rPr>
                <w:spacing w:val="13"/>
              </w:rPr>
              <w:t xml:space="preserve"> </w:t>
            </w:r>
            <w:r>
              <w:rPr>
                <w:spacing w:val="7"/>
              </w:rPr>
              <w:t>测定 纳氏试剂分光光度法》</w:t>
            </w:r>
          </w:p>
        </w:tc>
        <w:tc>
          <w:tcPr>
            <w:tcW w:w="2044" w:type="dxa"/>
            <w:vAlign w:val="top"/>
          </w:tcPr>
          <w:p w14:paraId="10F85662">
            <w:pPr>
              <w:pStyle w:val="6"/>
              <w:spacing w:before="142" w:line="228" w:lineRule="auto"/>
              <w:jc w:val="right"/>
            </w:pPr>
            <w:r>
              <w:rPr>
                <w:spacing w:val="3"/>
              </w:rPr>
              <w:t>紫外可见分光光度计：</w:t>
            </w:r>
          </w:p>
          <w:p w14:paraId="03CDDB15">
            <w:pPr>
              <w:spacing w:before="209" w:line="274" w:lineRule="exact"/>
              <w:ind w:left="8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T6</w:t>
            </w:r>
          </w:p>
        </w:tc>
        <w:tc>
          <w:tcPr>
            <w:tcW w:w="1349" w:type="dxa"/>
            <w:vAlign w:val="top"/>
          </w:tcPr>
          <w:p w14:paraId="1B8C5C72">
            <w:pPr>
              <w:spacing w:line="294" w:lineRule="auto"/>
              <w:rPr>
                <w:rFonts w:ascii="Arial"/>
                <w:sz w:val="21"/>
              </w:rPr>
            </w:pPr>
          </w:p>
          <w:p w14:paraId="328A953E">
            <w:pPr>
              <w:spacing w:before="57" w:line="275"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0.025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67277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863" w:type="dxa"/>
            <w:vMerge w:val="continue"/>
            <w:tcBorders>
              <w:top w:val="nil"/>
              <w:bottom w:val="nil"/>
            </w:tcBorders>
            <w:vAlign w:val="top"/>
          </w:tcPr>
          <w:p w14:paraId="4E942F4A">
            <w:pPr>
              <w:rPr>
                <w:rFonts w:ascii="Arial"/>
                <w:sz w:val="21"/>
              </w:rPr>
            </w:pPr>
          </w:p>
        </w:tc>
        <w:tc>
          <w:tcPr>
            <w:tcW w:w="1551" w:type="dxa"/>
            <w:vAlign w:val="top"/>
          </w:tcPr>
          <w:p w14:paraId="4BE5EE94">
            <w:pPr>
              <w:pStyle w:val="6"/>
              <w:spacing w:before="141" w:line="230" w:lineRule="auto"/>
              <w:ind w:left="215"/>
              <w:rPr>
                <w:rFonts w:ascii="Times New Roman" w:hAnsi="Times New Roman" w:eastAsia="Times New Roman" w:cs="Times New Roman"/>
              </w:rPr>
            </w:pPr>
            <w:r>
              <w:rPr>
                <w:spacing w:val="8"/>
              </w:rPr>
              <w:t>硝酸盐（以</w:t>
            </w:r>
            <w:r>
              <w:rPr>
                <w:spacing w:val="-50"/>
              </w:rPr>
              <w:t xml:space="preserve"> </w:t>
            </w:r>
            <w:r>
              <w:rPr>
                <w:rFonts w:ascii="Times New Roman" w:hAnsi="Times New Roman" w:eastAsia="Times New Roman" w:cs="Times New Roman"/>
                <w:spacing w:val="8"/>
              </w:rPr>
              <w:t>N</w:t>
            </w:r>
          </w:p>
          <w:p w14:paraId="3E95DF53">
            <w:pPr>
              <w:pStyle w:val="6"/>
              <w:spacing w:before="240" w:line="230" w:lineRule="auto"/>
              <w:ind w:left="568"/>
            </w:pPr>
            <w:r>
              <w:t>计）</w:t>
            </w:r>
          </w:p>
        </w:tc>
        <w:tc>
          <w:tcPr>
            <w:tcW w:w="3143" w:type="dxa"/>
            <w:vAlign w:val="top"/>
          </w:tcPr>
          <w:p w14:paraId="06C6D7C1">
            <w:pPr>
              <w:pStyle w:val="6"/>
              <w:spacing w:before="84" w:line="274" w:lineRule="exact"/>
              <w:ind w:left="150"/>
            </w:pPr>
            <w:r>
              <w:rPr>
                <w:rFonts w:ascii="Times New Roman" w:hAnsi="Times New Roman" w:eastAsia="Times New Roman" w:cs="Times New Roman"/>
                <w:position w:val="1"/>
              </w:rPr>
              <w:t>HJ</w:t>
            </w:r>
            <w:r>
              <w:rPr>
                <w:rFonts w:ascii="Times New Roman" w:hAnsi="Times New Roman" w:eastAsia="Times New Roman" w:cs="Times New Roman"/>
                <w:spacing w:val="6"/>
                <w:position w:val="1"/>
              </w:rPr>
              <w:t>/T 346-2007</w:t>
            </w:r>
            <w:r>
              <w:rPr>
                <w:spacing w:val="6"/>
                <w:position w:val="1"/>
              </w:rPr>
              <w:t>《水质 硝酸盐氮</w:t>
            </w:r>
          </w:p>
          <w:p w14:paraId="16C96D7D">
            <w:pPr>
              <w:pStyle w:val="6"/>
              <w:spacing w:before="28" w:line="228" w:lineRule="auto"/>
              <w:ind w:left="283"/>
            </w:pPr>
            <w:r>
              <w:rPr>
                <w:spacing w:val="7"/>
              </w:rPr>
              <w:t>的测定 紫外分光光度法（试</w:t>
            </w:r>
          </w:p>
          <w:p w14:paraId="6A5BCF3D">
            <w:pPr>
              <w:pStyle w:val="6"/>
              <w:spacing w:before="23" w:line="229" w:lineRule="auto"/>
              <w:ind w:left="1265"/>
            </w:pPr>
            <w:r>
              <w:rPr>
                <w:spacing w:val="9"/>
              </w:rPr>
              <w:t>行）》</w:t>
            </w:r>
          </w:p>
        </w:tc>
        <w:tc>
          <w:tcPr>
            <w:tcW w:w="2044" w:type="dxa"/>
            <w:vAlign w:val="top"/>
          </w:tcPr>
          <w:p w14:paraId="2EDC8B42">
            <w:pPr>
              <w:pStyle w:val="6"/>
              <w:spacing w:before="265" w:line="209" w:lineRule="auto"/>
              <w:jc w:val="right"/>
            </w:pPr>
            <w:r>
              <w:rPr>
                <w:spacing w:val="3"/>
              </w:rPr>
              <w:t>紫外可见分光光度计：</w:t>
            </w:r>
          </w:p>
          <w:p w14:paraId="39ED28A8">
            <w:pPr>
              <w:spacing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T6</w:t>
            </w:r>
          </w:p>
        </w:tc>
        <w:tc>
          <w:tcPr>
            <w:tcW w:w="1349" w:type="dxa"/>
            <w:vAlign w:val="top"/>
          </w:tcPr>
          <w:p w14:paraId="55FFFE2E">
            <w:pPr>
              <w:spacing w:line="296" w:lineRule="auto"/>
              <w:rPr>
                <w:rFonts w:ascii="Arial"/>
                <w:sz w:val="21"/>
              </w:rPr>
            </w:pPr>
          </w:p>
          <w:p w14:paraId="7B470200">
            <w:pPr>
              <w:spacing w:before="57" w:line="274"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2EB0B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863" w:type="dxa"/>
            <w:vMerge w:val="continue"/>
            <w:tcBorders>
              <w:top w:val="nil"/>
            </w:tcBorders>
            <w:vAlign w:val="top"/>
          </w:tcPr>
          <w:p w14:paraId="4EB6CE72">
            <w:pPr>
              <w:rPr>
                <w:rFonts w:ascii="Arial"/>
                <w:sz w:val="21"/>
              </w:rPr>
            </w:pPr>
          </w:p>
        </w:tc>
        <w:tc>
          <w:tcPr>
            <w:tcW w:w="1551" w:type="dxa"/>
            <w:vAlign w:val="top"/>
          </w:tcPr>
          <w:p w14:paraId="6516DEEE">
            <w:pPr>
              <w:spacing w:line="376" w:lineRule="auto"/>
              <w:rPr>
                <w:rFonts w:ascii="Arial"/>
                <w:sz w:val="21"/>
              </w:rPr>
            </w:pPr>
          </w:p>
          <w:p w14:paraId="3EC3AA88">
            <w:pPr>
              <w:pStyle w:val="6"/>
              <w:spacing w:before="65" w:line="228" w:lineRule="auto"/>
              <w:ind w:left="317"/>
            </w:pPr>
            <w:r>
              <w:rPr>
                <w:spacing w:val="7"/>
              </w:rPr>
              <w:t>总大肠菌群</w:t>
            </w:r>
          </w:p>
        </w:tc>
        <w:tc>
          <w:tcPr>
            <w:tcW w:w="3143" w:type="dxa"/>
            <w:vAlign w:val="top"/>
          </w:tcPr>
          <w:p w14:paraId="2C9F86B0">
            <w:pPr>
              <w:pStyle w:val="6"/>
              <w:spacing w:before="4" w:line="274" w:lineRule="exact"/>
              <w:ind w:left="152"/>
            </w:pPr>
            <w:r>
              <w:rPr>
                <w:rFonts w:ascii="Times New Roman" w:hAnsi="Times New Roman" w:eastAsia="Times New Roman" w:cs="Times New Roman"/>
                <w:position w:val="1"/>
              </w:rPr>
              <w:t>GB</w:t>
            </w:r>
            <w:r>
              <w:rPr>
                <w:rFonts w:ascii="Times New Roman" w:hAnsi="Times New Roman" w:eastAsia="Times New Roman" w:cs="Times New Roman"/>
                <w:spacing w:val="1"/>
                <w:position w:val="1"/>
              </w:rPr>
              <w:t>/T 5750.</w:t>
            </w:r>
            <w:r>
              <w:rPr>
                <w:rFonts w:ascii="Times New Roman" w:hAnsi="Times New Roman" w:eastAsia="Times New Roman" w:cs="Times New Roman"/>
                <w:spacing w:val="-12"/>
                <w:position w:val="1"/>
              </w:rPr>
              <w:t xml:space="preserve"> </w:t>
            </w:r>
            <w:r>
              <w:rPr>
                <w:rFonts w:ascii="Times New Roman" w:hAnsi="Times New Roman" w:eastAsia="Times New Roman" w:cs="Times New Roman"/>
                <w:spacing w:val="1"/>
                <w:position w:val="1"/>
              </w:rPr>
              <w:t>12-2006</w:t>
            </w:r>
            <w:r>
              <w:rPr>
                <w:spacing w:val="1"/>
                <w:position w:val="1"/>
              </w:rPr>
              <w:t>《生活饮用水</w:t>
            </w:r>
          </w:p>
          <w:p w14:paraId="295945FF">
            <w:pPr>
              <w:pStyle w:val="6"/>
              <w:spacing w:before="164" w:line="228" w:lineRule="auto"/>
              <w:ind w:left="161"/>
            </w:pPr>
            <w:r>
              <w:rPr>
                <w:spacing w:val="9"/>
              </w:rPr>
              <w:t>标准检验方法 微生物指标》多</w:t>
            </w:r>
          </w:p>
          <w:p w14:paraId="73A85841">
            <w:pPr>
              <w:pStyle w:val="6"/>
              <w:spacing w:before="129" w:line="275" w:lineRule="exact"/>
              <w:ind w:left="819"/>
            </w:pPr>
            <w:r>
              <w:rPr>
                <w:spacing w:val="2"/>
                <w:position w:val="1"/>
              </w:rPr>
              <w:t>管发酵法（</w:t>
            </w:r>
            <w:r>
              <w:rPr>
                <w:rFonts w:ascii="Times New Roman" w:hAnsi="Times New Roman" w:eastAsia="Times New Roman" w:cs="Times New Roman"/>
                <w:spacing w:val="2"/>
                <w:position w:val="1"/>
              </w:rPr>
              <w:t>2.</w:t>
            </w:r>
            <w:r>
              <w:rPr>
                <w:rFonts w:ascii="Times New Roman" w:hAnsi="Times New Roman" w:eastAsia="Times New Roman" w:cs="Times New Roman"/>
                <w:spacing w:val="-18"/>
                <w:position w:val="1"/>
              </w:rPr>
              <w:t xml:space="preserve"> </w:t>
            </w:r>
            <w:r>
              <w:rPr>
                <w:rFonts w:ascii="Times New Roman" w:hAnsi="Times New Roman" w:eastAsia="Times New Roman" w:cs="Times New Roman"/>
                <w:spacing w:val="2"/>
                <w:position w:val="1"/>
              </w:rPr>
              <w:t>1</w:t>
            </w:r>
            <w:r>
              <w:rPr>
                <w:spacing w:val="2"/>
                <w:position w:val="1"/>
              </w:rPr>
              <w:t>）</w:t>
            </w:r>
          </w:p>
        </w:tc>
        <w:tc>
          <w:tcPr>
            <w:tcW w:w="2044" w:type="dxa"/>
            <w:vAlign w:val="top"/>
          </w:tcPr>
          <w:p w14:paraId="2D7CA404">
            <w:pPr>
              <w:spacing w:line="279" w:lineRule="auto"/>
              <w:rPr>
                <w:rFonts w:ascii="Arial"/>
                <w:sz w:val="21"/>
              </w:rPr>
            </w:pPr>
          </w:p>
          <w:p w14:paraId="79057F32">
            <w:pPr>
              <w:pStyle w:val="6"/>
              <w:spacing w:before="65" w:line="320" w:lineRule="auto"/>
              <w:ind w:left="312" w:right="270" w:hanging="136"/>
              <w:rPr>
                <w:rFonts w:ascii="Times New Roman" w:hAnsi="Times New Roman" w:eastAsia="Times New Roman" w:cs="Times New Roman"/>
              </w:rPr>
            </w:pPr>
            <w:r>
              <w:rPr>
                <w:spacing w:val="-1"/>
              </w:rPr>
              <w:t>电热恒温培养箱：</w:t>
            </w:r>
            <w:r>
              <w:t xml:space="preserve"> </w:t>
            </w:r>
            <w:r>
              <w:rPr>
                <w:rFonts w:ascii="Times New Roman" w:hAnsi="Times New Roman" w:eastAsia="Times New Roman" w:cs="Times New Roman"/>
              </w:rPr>
              <w:t>HPX</w:t>
            </w:r>
            <w:r>
              <w:rPr>
                <w:rFonts w:ascii="Times New Roman" w:hAnsi="Times New Roman" w:eastAsia="Times New Roman" w:cs="Times New Roman"/>
                <w:spacing w:val="11"/>
              </w:rPr>
              <w:t>-9272</w:t>
            </w:r>
            <w:r>
              <w:rPr>
                <w:rFonts w:ascii="Times New Roman" w:hAnsi="Times New Roman" w:eastAsia="Times New Roman" w:cs="Times New Roman"/>
              </w:rPr>
              <w:t>MBE</w:t>
            </w:r>
          </w:p>
        </w:tc>
        <w:tc>
          <w:tcPr>
            <w:tcW w:w="1349" w:type="dxa"/>
            <w:vAlign w:val="top"/>
          </w:tcPr>
          <w:p w14:paraId="2630397F">
            <w:pPr>
              <w:spacing w:line="419" w:lineRule="auto"/>
              <w:rPr>
                <w:rFonts w:ascii="Arial"/>
                <w:sz w:val="21"/>
              </w:rPr>
            </w:pPr>
          </w:p>
          <w:p w14:paraId="6639B1F9">
            <w:pPr>
              <w:spacing w:before="58" w:line="274" w:lineRule="exact"/>
              <w:ind w:left="6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14F6E19C">
      <w:pPr>
        <w:pStyle w:val="2"/>
        <w:spacing w:line="342" w:lineRule="auto"/>
      </w:pPr>
    </w:p>
    <w:p w14:paraId="65FF5FAF">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4.2.3</w:t>
      </w:r>
      <w:r>
        <w:rPr>
          <w:rFonts w:ascii="宋体" w:hAnsi="宋体" w:eastAsia="宋体" w:cs="宋体"/>
          <w:b/>
          <w:bCs/>
          <w:spacing w:val="-2"/>
          <w:sz w:val="24"/>
          <w:szCs w:val="24"/>
        </w:rPr>
        <w:t>评价标准</w:t>
      </w:r>
    </w:p>
    <w:p w14:paraId="3D68F70A">
      <w:pPr>
        <w:pStyle w:val="2"/>
        <w:spacing w:line="280" w:lineRule="auto"/>
      </w:pPr>
    </w:p>
    <w:p w14:paraId="3E4D423B">
      <w:pPr>
        <w:spacing w:before="78" w:line="390" w:lineRule="auto"/>
        <w:ind w:left="134" w:right="127" w:firstLine="468"/>
        <w:rPr>
          <w:rFonts w:ascii="宋体" w:hAnsi="宋体" w:eastAsia="宋体" w:cs="宋体"/>
          <w:sz w:val="24"/>
          <w:szCs w:val="24"/>
        </w:rPr>
      </w:pPr>
      <w:r>
        <w:rPr>
          <w:rFonts w:ascii="宋体" w:hAnsi="宋体" w:eastAsia="宋体" w:cs="宋体"/>
          <w:spacing w:val="9"/>
          <w:sz w:val="24"/>
          <w:szCs w:val="24"/>
        </w:rPr>
        <w:t>根据各调查水域的水体功能类别，本项目所在区域执行《地下水质量标准》</w:t>
      </w:r>
      <w:r>
        <w:rPr>
          <w:rFonts w:ascii="宋体" w:hAnsi="宋体" w:eastAsia="宋体" w:cs="宋体"/>
          <w:spacing w:val="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3"/>
          <w:sz w:val="24"/>
          <w:szCs w:val="24"/>
        </w:rPr>
        <w:t>14848-93</w:t>
      </w:r>
      <w:r>
        <w:rPr>
          <w:rFonts w:ascii="宋体" w:hAnsi="宋体" w:eastAsia="宋体" w:cs="宋体"/>
          <w:spacing w:val="-3"/>
          <w:sz w:val="24"/>
          <w:szCs w:val="24"/>
        </w:rPr>
        <w:t>）中的Ⅲ类水质标准。</w:t>
      </w:r>
    </w:p>
    <w:p w14:paraId="75ACF258">
      <w:pPr>
        <w:spacing w:before="263"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4.2.4</w:t>
      </w:r>
      <w:r>
        <w:rPr>
          <w:rFonts w:ascii="宋体" w:hAnsi="宋体" w:eastAsia="宋体" w:cs="宋体"/>
          <w:b/>
          <w:bCs/>
          <w:spacing w:val="-2"/>
          <w:sz w:val="24"/>
          <w:szCs w:val="24"/>
        </w:rPr>
        <w:t>评价方法</w:t>
      </w:r>
    </w:p>
    <w:p w14:paraId="39EFFE65">
      <w:pPr>
        <w:pStyle w:val="2"/>
        <w:spacing w:line="242" w:lineRule="auto"/>
      </w:pPr>
    </w:p>
    <w:p w14:paraId="7D0243E6">
      <w:pPr>
        <w:spacing w:before="79" w:line="368" w:lineRule="auto"/>
        <w:ind w:left="123" w:right="110" w:firstLine="480"/>
        <w:rPr>
          <w:rFonts w:ascii="宋体" w:hAnsi="宋体" w:eastAsia="宋体" w:cs="宋体"/>
          <w:sz w:val="24"/>
          <w:szCs w:val="24"/>
        </w:rPr>
      </w:pPr>
      <w:r>
        <w:rPr>
          <w:rFonts w:ascii="宋体" w:hAnsi="宋体" w:eastAsia="宋体" w:cs="宋体"/>
          <w:spacing w:val="2"/>
          <w:sz w:val="24"/>
          <w:szCs w:val="24"/>
        </w:rPr>
        <w:t>按照《环境影响评价技术导则—地下水环境》（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2"/>
          <w:sz w:val="24"/>
          <w:szCs w:val="24"/>
        </w:rPr>
        <w:t>）所推荐的单项评</w:t>
      </w:r>
      <w:r>
        <w:rPr>
          <w:rFonts w:ascii="宋体" w:hAnsi="宋体" w:eastAsia="宋体" w:cs="宋体"/>
          <w:spacing w:val="18"/>
          <w:sz w:val="24"/>
          <w:szCs w:val="24"/>
        </w:rPr>
        <w:t xml:space="preserve"> </w:t>
      </w:r>
      <w:r>
        <w:rPr>
          <w:rFonts w:ascii="宋体" w:hAnsi="宋体" w:eastAsia="宋体" w:cs="宋体"/>
          <w:spacing w:val="-1"/>
          <w:sz w:val="24"/>
          <w:szCs w:val="24"/>
        </w:rPr>
        <w:t>价标准指数法进行地下水水质现状评价。</w:t>
      </w:r>
    </w:p>
    <w:p w14:paraId="6E9C07B1">
      <w:pPr>
        <w:spacing w:before="24" w:line="333" w:lineRule="exact"/>
        <w:ind w:left="604"/>
        <w:rPr>
          <w:rFonts w:ascii="宋体" w:hAnsi="宋体" w:eastAsia="宋体" w:cs="宋体"/>
          <w:sz w:val="24"/>
          <w:szCs w:val="24"/>
        </w:rPr>
      </w:pPr>
      <w:r>
        <w:rPr>
          <w:rFonts w:ascii="宋体" w:hAnsi="宋体" w:eastAsia="宋体" w:cs="宋体"/>
          <w:spacing w:val="-1"/>
          <w:position w:val="3"/>
          <w:sz w:val="24"/>
          <w:szCs w:val="24"/>
        </w:rPr>
        <w:t>单项水质参数</w:t>
      </w:r>
      <w:r>
        <w:rPr>
          <w:rFonts w:ascii="宋体" w:hAnsi="宋体" w:eastAsia="宋体" w:cs="宋体"/>
          <w:spacing w:val="-47"/>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 xml:space="preserve">在第 </w:t>
      </w:r>
      <w:r>
        <w:rPr>
          <w:rFonts w:ascii="Times New Roman" w:hAnsi="Times New Roman" w:eastAsia="Times New Roman" w:cs="Times New Roman"/>
          <w:spacing w:val="-1"/>
          <w:position w:val="3"/>
          <w:sz w:val="24"/>
          <w:szCs w:val="24"/>
        </w:rPr>
        <w:t xml:space="preserve">j  </w:t>
      </w:r>
      <w:r>
        <w:rPr>
          <w:rFonts w:ascii="宋体" w:hAnsi="宋体" w:eastAsia="宋体" w:cs="宋体"/>
          <w:spacing w:val="-1"/>
          <w:position w:val="3"/>
          <w:sz w:val="24"/>
          <w:szCs w:val="24"/>
        </w:rPr>
        <w:t>点的标准指数计算公式如下：</w:t>
      </w:r>
    </w:p>
    <w:p w14:paraId="2DBFBDFF">
      <w:pPr>
        <w:spacing w:before="156" w:line="315" w:lineRule="exact"/>
        <w:ind w:left="3883"/>
        <w:outlineLvl w:val="0"/>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Pi,j=Ci,j/Csi</w:t>
      </w:r>
    </w:p>
    <w:p w14:paraId="4813B44C">
      <w:pPr>
        <w:spacing w:before="173" w:line="332" w:lineRule="exact"/>
        <w:ind w:left="607"/>
        <w:rPr>
          <w:rFonts w:ascii="宋体" w:hAnsi="宋体" w:eastAsia="宋体" w:cs="宋体"/>
          <w:sz w:val="24"/>
          <w:szCs w:val="24"/>
        </w:rPr>
      </w:pPr>
      <w:r>
        <w:rPr>
          <w:rFonts w:ascii="宋体" w:hAnsi="宋体" w:eastAsia="宋体" w:cs="宋体"/>
          <w:spacing w:val="-1"/>
          <w:position w:val="3"/>
          <w:sz w:val="24"/>
          <w:szCs w:val="24"/>
        </w:rPr>
        <w:t>式中：</w:t>
      </w:r>
      <w:r>
        <w:rPr>
          <w:rFonts w:ascii="Times New Roman" w:hAnsi="Times New Roman" w:eastAsia="Times New Roman" w:cs="Times New Roman"/>
          <w:spacing w:val="-1"/>
          <w:position w:val="3"/>
          <w:sz w:val="24"/>
          <w:szCs w:val="24"/>
        </w:rPr>
        <w:t>Pi,j</w:t>
      </w:r>
      <w:r>
        <w:rPr>
          <w:rFonts w:ascii="宋体" w:hAnsi="宋体" w:eastAsia="宋体" w:cs="宋体"/>
          <w:spacing w:val="-1"/>
          <w:position w:val="3"/>
          <w:sz w:val="24"/>
          <w:szCs w:val="24"/>
        </w:rPr>
        <w:t>：单项水质评价因子</w:t>
      </w:r>
      <w:r>
        <w:rPr>
          <w:rFonts w:ascii="宋体" w:hAnsi="宋体" w:eastAsia="宋体" w:cs="宋体"/>
          <w:spacing w:val="-44"/>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 xml:space="preserve">在第 </w:t>
      </w:r>
      <w:r>
        <w:rPr>
          <w:rFonts w:ascii="Times New Roman" w:hAnsi="Times New Roman" w:eastAsia="Times New Roman" w:cs="Times New Roman"/>
          <w:spacing w:val="-1"/>
          <w:position w:val="3"/>
          <w:sz w:val="24"/>
          <w:szCs w:val="24"/>
        </w:rPr>
        <w:t xml:space="preserve">j  </w:t>
      </w:r>
      <w:r>
        <w:rPr>
          <w:rFonts w:ascii="宋体" w:hAnsi="宋体" w:eastAsia="宋体" w:cs="宋体"/>
          <w:spacing w:val="-1"/>
          <w:position w:val="3"/>
          <w:sz w:val="24"/>
          <w:szCs w:val="24"/>
        </w:rPr>
        <w:t>取样点的标准指数；</w:t>
      </w:r>
    </w:p>
    <w:p w14:paraId="3AF15B10">
      <w:pPr>
        <w:spacing w:before="157" w:line="333" w:lineRule="exact"/>
        <w:ind w:left="602"/>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Cij</w:t>
      </w:r>
      <w:r>
        <w:rPr>
          <w:rFonts w:ascii="宋体" w:hAnsi="宋体" w:eastAsia="宋体" w:cs="宋体"/>
          <w:spacing w:val="-1"/>
          <w:position w:val="3"/>
          <w:sz w:val="24"/>
          <w:szCs w:val="24"/>
        </w:rPr>
        <w:t>：水质评价因子</w:t>
      </w:r>
      <w:r>
        <w:rPr>
          <w:rFonts w:ascii="宋体" w:hAnsi="宋体" w:eastAsia="宋体" w:cs="宋体"/>
          <w:spacing w:val="-44"/>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 xml:space="preserve">在第 </w:t>
      </w:r>
      <w:r>
        <w:rPr>
          <w:rFonts w:ascii="Times New Roman" w:hAnsi="Times New Roman" w:eastAsia="Times New Roman" w:cs="Times New Roman"/>
          <w:spacing w:val="-1"/>
          <w:position w:val="3"/>
          <w:sz w:val="24"/>
          <w:szCs w:val="24"/>
        </w:rPr>
        <w:t xml:space="preserve">j  </w:t>
      </w:r>
      <w:r>
        <w:rPr>
          <w:rFonts w:ascii="宋体" w:hAnsi="宋体" w:eastAsia="宋体" w:cs="宋体"/>
          <w:spacing w:val="-1"/>
          <w:position w:val="3"/>
          <w:sz w:val="24"/>
          <w:szCs w:val="24"/>
        </w:rPr>
        <w:t>取样点的浓度，</w:t>
      </w:r>
      <w:r>
        <w:rPr>
          <w:rFonts w:ascii="Times New Roman" w:hAnsi="Times New Roman" w:eastAsia="Times New Roman" w:cs="Times New Roman"/>
          <w:spacing w:val="-1"/>
          <w:position w:val="3"/>
          <w:sz w:val="24"/>
          <w:szCs w:val="24"/>
        </w:rPr>
        <w:t>mg/L;</w:t>
      </w:r>
    </w:p>
    <w:p w14:paraId="34CD593D">
      <w:pPr>
        <w:spacing w:before="157" w:line="333" w:lineRule="exact"/>
        <w:ind w:left="602"/>
        <w:rPr>
          <w:rFonts w:ascii="宋体" w:hAnsi="宋体" w:eastAsia="宋体" w:cs="宋体"/>
          <w:sz w:val="24"/>
          <w:szCs w:val="24"/>
        </w:rPr>
      </w:pPr>
      <w:r>
        <w:rPr>
          <w:rFonts w:ascii="Times New Roman" w:hAnsi="Times New Roman" w:eastAsia="Times New Roman" w:cs="Times New Roman"/>
          <w:spacing w:val="-3"/>
          <w:position w:val="3"/>
          <w:sz w:val="24"/>
          <w:szCs w:val="24"/>
        </w:rPr>
        <w:t>Csi</w:t>
      </w:r>
      <w:r>
        <w:rPr>
          <w:rFonts w:ascii="宋体" w:hAnsi="宋体" w:eastAsia="宋体" w:cs="宋体"/>
          <w:spacing w:val="-3"/>
          <w:position w:val="3"/>
          <w:sz w:val="24"/>
          <w:szCs w:val="24"/>
        </w:rPr>
        <w:t>：评价因子</w:t>
      </w:r>
      <w:r>
        <w:rPr>
          <w:rFonts w:ascii="宋体" w:hAnsi="宋体" w:eastAsia="宋体" w:cs="宋体"/>
          <w:spacing w:val="-42"/>
          <w:position w:val="3"/>
          <w:sz w:val="24"/>
          <w:szCs w:val="24"/>
        </w:rPr>
        <w:t xml:space="preserve"> </w:t>
      </w:r>
      <w:r>
        <w:rPr>
          <w:rFonts w:ascii="Times New Roman" w:hAnsi="Times New Roman" w:eastAsia="Times New Roman" w:cs="Times New Roman"/>
          <w:spacing w:val="-3"/>
          <w:position w:val="3"/>
          <w:sz w:val="24"/>
          <w:szCs w:val="24"/>
        </w:rPr>
        <w:t>i</w:t>
      </w:r>
      <w:r>
        <w:rPr>
          <w:rFonts w:ascii="Times New Roman" w:hAnsi="Times New Roman" w:eastAsia="Times New Roman" w:cs="Times New Roman"/>
          <w:spacing w:val="27"/>
          <w:w w:val="101"/>
          <w:position w:val="3"/>
          <w:sz w:val="24"/>
          <w:szCs w:val="24"/>
        </w:rPr>
        <w:t xml:space="preserve"> </w:t>
      </w:r>
      <w:r>
        <w:rPr>
          <w:rFonts w:ascii="宋体" w:hAnsi="宋体" w:eastAsia="宋体" w:cs="宋体"/>
          <w:spacing w:val="-3"/>
          <w:position w:val="3"/>
          <w:sz w:val="24"/>
          <w:szCs w:val="24"/>
        </w:rPr>
        <w:t>的评价标准，</w:t>
      </w:r>
      <w:r>
        <w:rPr>
          <w:rFonts w:ascii="Times New Roman" w:hAnsi="Times New Roman" w:eastAsia="Times New Roman" w:cs="Times New Roman"/>
          <w:spacing w:val="-3"/>
          <w:position w:val="3"/>
          <w:sz w:val="24"/>
          <w:szCs w:val="24"/>
        </w:rPr>
        <w:t>mg/L</w:t>
      </w:r>
      <w:r>
        <w:rPr>
          <w:rFonts w:ascii="宋体" w:hAnsi="宋体" w:eastAsia="宋体" w:cs="宋体"/>
          <w:spacing w:val="-3"/>
          <w:position w:val="3"/>
          <w:sz w:val="24"/>
          <w:szCs w:val="24"/>
        </w:rPr>
        <w:t>。</w:t>
      </w:r>
    </w:p>
    <w:p w14:paraId="19290B1C">
      <w:pPr>
        <w:spacing w:line="333" w:lineRule="exact"/>
        <w:rPr>
          <w:rFonts w:ascii="宋体" w:hAnsi="宋体" w:eastAsia="宋体" w:cs="宋体"/>
          <w:sz w:val="24"/>
          <w:szCs w:val="24"/>
        </w:rPr>
        <w:sectPr>
          <w:footerReference r:id="rId94" w:type="default"/>
          <w:pgSz w:w="11906" w:h="16839"/>
          <w:pgMar w:top="400" w:right="1475" w:bottom="1485" w:left="1475" w:header="0" w:footer="1249" w:gutter="0"/>
          <w:cols w:space="720" w:num="1"/>
        </w:sectPr>
      </w:pPr>
    </w:p>
    <w:p w14:paraId="033EAC82">
      <w:pPr>
        <w:pStyle w:val="2"/>
        <w:spacing w:line="264" w:lineRule="auto"/>
      </w:pPr>
    </w:p>
    <w:p w14:paraId="40C015B8">
      <w:pPr>
        <w:pStyle w:val="2"/>
        <w:spacing w:line="264" w:lineRule="auto"/>
      </w:pPr>
    </w:p>
    <w:p w14:paraId="06B6902C">
      <w:pPr>
        <w:pStyle w:val="2"/>
        <w:spacing w:line="264" w:lineRule="auto"/>
      </w:pPr>
    </w:p>
    <w:p w14:paraId="3A0383A8">
      <w:pPr>
        <w:pStyle w:val="2"/>
        <w:spacing w:line="265" w:lineRule="auto"/>
      </w:pPr>
    </w:p>
    <w:p w14:paraId="1BF35C0A">
      <w:pPr>
        <w:spacing w:before="78" w:line="212" w:lineRule="auto"/>
        <w:ind w:left="593"/>
        <w:rPr>
          <w:rFonts w:ascii="宋体" w:hAnsi="宋体" w:eastAsia="宋体" w:cs="宋体"/>
          <w:sz w:val="24"/>
          <w:szCs w:val="24"/>
        </w:rPr>
      </w:pP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值单因子指数按下式计算：</w:t>
      </w:r>
    </w:p>
    <w:p w14:paraId="43217BC9">
      <w:pPr>
        <w:spacing w:before="179" w:line="361" w:lineRule="auto"/>
        <w:ind w:left="2200" w:right="2157" w:hanging="52"/>
        <w:rPr>
          <w:rFonts w:ascii="宋体" w:hAnsi="宋体" w:eastAsia="宋体" w:cs="宋体"/>
          <w:sz w:val="24"/>
          <w:szCs w:val="24"/>
        </w:rPr>
      </w:pPr>
      <w:r>
        <w:rPr>
          <w:rFonts w:ascii="Times New Roman" w:hAnsi="Times New Roman" w:eastAsia="Times New Roman" w:cs="Times New Roman"/>
          <w:spacing w:val="-1"/>
          <w:sz w:val="24"/>
          <w:szCs w:val="24"/>
        </w:rPr>
        <w:t xml:space="preserve">PpH,j=(7.0- pHj)/ (7.0- pHsd)  </w:t>
      </w:r>
      <w:r>
        <w:rPr>
          <w:rFonts w:ascii="宋体" w:hAnsi="宋体" w:eastAsia="宋体" w:cs="宋体"/>
          <w:spacing w:val="-1"/>
          <w:sz w:val="24"/>
          <w:szCs w:val="24"/>
        </w:rPr>
        <w:t xml:space="preserve">（当 </w:t>
      </w:r>
      <w:r>
        <w:rPr>
          <w:rFonts w:ascii="Times New Roman" w:hAnsi="Times New Roman" w:eastAsia="Times New Roman" w:cs="Times New Roman"/>
          <w:spacing w:val="-1"/>
          <w:sz w:val="24"/>
          <w:szCs w:val="24"/>
        </w:rPr>
        <w:t>pH</w:t>
      </w:r>
      <w:r>
        <w:rPr>
          <w:rFonts w:ascii="宋体" w:hAnsi="宋体" w:eastAsia="宋体" w:cs="宋体"/>
          <w:spacing w:val="-1"/>
          <w:sz w:val="24"/>
          <w:szCs w:val="24"/>
        </w:rPr>
        <w:t>≤</w:t>
      </w:r>
      <w:r>
        <w:rPr>
          <w:rFonts w:ascii="Times New Roman" w:hAnsi="Times New Roman" w:eastAsia="Times New Roman" w:cs="Times New Roman"/>
          <w:spacing w:val="-1"/>
          <w:sz w:val="24"/>
          <w:szCs w:val="24"/>
        </w:rPr>
        <w:t>7.0</w:t>
      </w:r>
      <w:r>
        <w:rPr>
          <w:rFonts w:ascii="宋体" w:hAnsi="宋体" w:eastAsia="宋体" w:cs="宋体"/>
          <w:spacing w:val="-1"/>
          <w:sz w:val="24"/>
          <w:szCs w:val="24"/>
        </w:rPr>
        <w:t>）</w:t>
      </w:r>
      <w:r>
        <w:rPr>
          <w:rFonts w:ascii="宋体" w:hAnsi="宋体" w:eastAsia="宋体" w:cs="宋体"/>
          <w:spacing w:val="15"/>
          <w:sz w:val="24"/>
          <w:szCs w:val="24"/>
        </w:rPr>
        <w:t xml:space="preserve"> </w:t>
      </w:r>
      <w:r>
        <w:rPr>
          <w:rFonts w:ascii="Times New Roman" w:hAnsi="Times New Roman" w:eastAsia="Times New Roman" w:cs="Times New Roman"/>
          <w:sz w:val="24"/>
          <w:szCs w:val="24"/>
        </w:rPr>
        <w:t xml:space="preserve">PpH,j=( pHj-7.0)/ (pHsu -7.0)  </w:t>
      </w:r>
      <w:r>
        <w:rPr>
          <w:rFonts w:ascii="宋体" w:hAnsi="宋体" w:eastAsia="宋体" w:cs="宋体"/>
          <w:sz w:val="24"/>
          <w:szCs w:val="24"/>
        </w:rPr>
        <w:t xml:space="preserve">（当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H&gt;7.0</w:t>
      </w:r>
      <w:r>
        <w:rPr>
          <w:rFonts w:ascii="宋体" w:hAnsi="宋体" w:eastAsia="宋体" w:cs="宋体"/>
          <w:spacing w:val="-1"/>
          <w:sz w:val="24"/>
          <w:szCs w:val="24"/>
        </w:rPr>
        <w:t>）</w:t>
      </w:r>
    </w:p>
    <w:p w14:paraId="375F1439">
      <w:pPr>
        <w:spacing w:before="36" w:line="333" w:lineRule="exact"/>
        <w:ind w:left="607"/>
        <w:rPr>
          <w:rFonts w:ascii="宋体" w:hAnsi="宋体" w:eastAsia="宋体" w:cs="宋体"/>
          <w:sz w:val="24"/>
          <w:szCs w:val="24"/>
        </w:rPr>
      </w:pPr>
      <w:r>
        <w:rPr>
          <w:rFonts w:ascii="宋体" w:hAnsi="宋体" w:eastAsia="宋体" w:cs="宋体"/>
          <w:spacing w:val="-2"/>
          <w:position w:val="3"/>
          <w:sz w:val="24"/>
          <w:szCs w:val="24"/>
        </w:rPr>
        <w:t>式中：</w:t>
      </w:r>
      <w:r>
        <w:rPr>
          <w:rFonts w:ascii="Times New Roman" w:hAnsi="Times New Roman" w:eastAsia="Times New Roman" w:cs="Times New Roman"/>
          <w:spacing w:val="-2"/>
          <w:position w:val="3"/>
          <w:sz w:val="24"/>
          <w:szCs w:val="24"/>
        </w:rPr>
        <w:t>pHj</w:t>
      </w:r>
      <w:r>
        <w:rPr>
          <w:rFonts w:ascii="宋体" w:hAnsi="宋体" w:eastAsia="宋体" w:cs="宋体"/>
          <w:spacing w:val="-2"/>
          <w:position w:val="3"/>
          <w:sz w:val="24"/>
          <w:szCs w:val="24"/>
        </w:rPr>
        <w:t>：监测值；</w:t>
      </w:r>
    </w:p>
    <w:p w14:paraId="7A9DDDDE">
      <w:pPr>
        <w:spacing w:before="157" w:line="333" w:lineRule="exact"/>
        <w:ind w:left="593"/>
        <w:rPr>
          <w:rFonts w:ascii="宋体" w:hAnsi="宋体" w:eastAsia="宋体" w:cs="宋体"/>
          <w:sz w:val="24"/>
          <w:szCs w:val="24"/>
        </w:rPr>
      </w:pPr>
      <w:r>
        <w:rPr>
          <w:rFonts w:ascii="Times New Roman" w:hAnsi="Times New Roman" w:eastAsia="Times New Roman" w:cs="Times New Roman"/>
          <w:spacing w:val="-2"/>
          <w:position w:val="3"/>
          <w:sz w:val="24"/>
          <w:szCs w:val="24"/>
        </w:rPr>
        <w:t>pHsd</w:t>
      </w:r>
      <w:r>
        <w:rPr>
          <w:rFonts w:ascii="宋体" w:hAnsi="宋体" w:eastAsia="宋体" w:cs="宋体"/>
          <w:spacing w:val="-2"/>
          <w:position w:val="3"/>
          <w:sz w:val="24"/>
          <w:szCs w:val="24"/>
        </w:rPr>
        <w:t xml:space="preserve">：水质标准中规定的 </w:t>
      </w:r>
      <w:r>
        <w:rPr>
          <w:rFonts w:ascii="Times New Roman" w:hAnsi="Times New Roman" w:eastAsia="Times New Roman" w:cs="Times New Roman"/>
          <w:spacing w:val="-2"/>
          <w:position w:val="3"/>
          <w:sz w:val="24"/>
          <w:szCs w:val="24"/>
        </w:rPr>
        <w:t>pH</w:t>
      </w:r>
      <w:r>
        <w:rPr>
          <w:rFonts w:ascii="Times New Roman" w:hAnsi="Times New Roman" w:eastAsia="Times New Roman" w:cs="Times New Roman"/>
          <w:spacing w:val="20"/>
          <w:position w:val="3"/>
          <w:sz w:val="24"/>
          <w:szCs w:val="24"/>
        </w:rPr>
        <w:t xml:space="preserve">  </w:t>
      </w:r>
      <w:r>
        <w:rPr>
          <w:rFonts w:ascii="宋体" w:hAnsi="宋体" w:eastAsia="宋体" w:cs="宋体"/>
          <w:spacing w:val="-2"/>
          <w:position w:val="3"/>
          <w:sz w:val="24"/>
          <w:szCs w:val="24"/>
        </w:rPr>
        <w:t>的下限值；</w:t>
      </w:r>
    </w:p>
    <w:p w14:paraId="15AA64C7">
      <w:pPr>
        <w:spacing w:before="192" w:line="212" w:lineRule="auto"/>
        <w:ind w:left="593"/>
        <w:rPr>
          <w:rFonts w:ascii="宋体" w:hAnsi="宋体" w:eastAsia="宋体" w:cs="宋体"/>
          <w:sz w:val="24"/>
          <w:szCs w:val="24"/>
        </w:rPr>
      </w:pPr>
      <w:r>
        <w:rPr>
          <w:rFonts w:ascii="Times New Roman" w:hAnsi="Times New Roman" w:eastAsia="Times New Roman" w:cs="Times New Roman"/>
          <w:spacing w:val="-2"/>
          <w:sz w:val="24"/>
          <w:szCs w:val="24"/>
        </w:rPr>
        <w:t>pHsu</w:t>
      </w:r>
      <w:r>
        <w:rPr>
          <w:rFonts w:ascii="宋体" w:hAnsi="宋体" w:eastAsia="宋体" w:cs="宋体"/>
          <w:spacing w:val="-2"/>
          <w:sz w:val="24"/>
          <w:szCs w:val="24"/>
        </w:rPr>
        <w:t xml:space="preserve">：水质标准中规定的 </w:t>
      </w:r>
      <w:r>
        <w:rPr>
          <w:rFonts w:ascii="Times New Roman" w:hAnsi="Times New Roman" w:eastAsia="Times New Roman" w:cs="Times New Roman"/>
          <w:spacing w:val="-2"/>
          <w:sz w:val="24"/>
          <w:szCs w:val="24"/>
        </w:rPr>
        <w:t>pH</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的上限值。</w:t>
      </w:r>
    </w:p>
    <w:p w14:paraId="0CAE1C0E">
      <w:pPr>
        <w:spacing w:before="176" w:line="368" w:lineRule="auto"/>
        <w:ind w:left="122" w:right="113" w:firstLine="482"/>
        <w:rPr>
          <w:rFonts w:ascii="宋体" w:hAnsi="宋体" w:eastAsia="宋体" w:cs="宋体"/>
          <w:sz w:val="24"/>
          <w:szCs w:val="24"/>
        </w:rPr>
      </w:pPr>
      <w:r>
        <w:rPr>
          <w:rFonts w:ascii="宋体" w:hAnsi="宋体" w:eastAsia="宋体" w:cs="宋体"/>
          <w:sz w:val="24"/>
          <w:szCs w:val="24"/>
        </w:rPr>
        <w:t>水质参数的标准指数</w:t>
      </w:r>
      <w:r>
        <w:rPr>
          <w:rFonts w:ascii="Times New Roman" w:hAnsi="Times New Roman" w:eastAsia="Times New Roman" w:cs="Times New Roman"/>
          <w:sz w:val="24"/>
          <w:szCs w:val="24"/>
        </w:rPr>
        <w:t>&gt;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，表明该水质参数超过了规定的水质标准限值。已不能 满足水质功能要求。水质参数的指标指数越</w:t>
      </w:r>
      <w:r>
        <w:rPr>
          <w:rFonts w:ascii="宋体" w:hAnsi="宋体" w:eastAsia="宋体" w:cs="宋体"/>
          <w:spacing w:val="-1"/>
          <w:sz w:val="24"/>
          <w:szCs w:val="24"/>
        </w:rPr>
        <w:t>大，则水质超标越严重。</w:t>
      </w:r>
    </w:p>
    <w:p w14:paraId="40F663BF">
      <w:pPr>
        <w:pStyle w:val="2"/>
        <w:spacing w:line="274" w:lineRule="auto"/>
      </w:pPr>
    </w:p>
    <w:p w14:paraId="6254C35C">
      <w:pPr>
        <w:spacing w:before="79" w:line="219" w:lineRule="auto"/>
        <w:ind w:left="119"/>
        <w:outlineLvl w:val="1"/>
        <w:rPr>
          <w:rFonts w:ascii="宋体" w:hAnsi="宋体" w:eastAsia="宋体" w:cs="宋体"/>
          <w:sz w:val="24"/>
          <w:szCs w:val="24"/>
        </w:rPr>
      </w:pPr>
      <w:r>
        <w:rPr>
          <w:rFonts w:ascii="Times New Roman" w:hAnsi="Times New Roman" w:eastAsia="Times New Roman" w:cs="Times New Roman"/>
          <w:b/>
          <w:bCs/>
          <w:spacing w:val="-2"/>
          <w:sz w:val="24"/>
          <w:szCs w:val="24"/>
        </w:rPr>
        <w:t>4.2.5</w:t>
      </w:r>
      <w:r>
        <w:rPr>
          <w:rFonts w:ascii="宋体" w:hAnsi="宋体" w:eastAsia="宋体" w:cs="宋体"/>
          <w:b/>
          <w:bCs/>
          <w:spacing w:val="-2"/>
          <w:sz w:val="24"/>
          <w:szCs w:val="24"/>
        </w:rPr>
        <w:t>评价结果</w:t>
      </w:r>
    </w:p>
    <w:p w14:paraId="309DEDEE">
      <w:pPr>
        <w:pStyle w:val="2"/>
        <w:spacing w:line="282" w:lineRule="auto"/>
      </w:pPr>
    </w:p>
    <w:p w14:paraId="49612018">
      <w:pPr>
        <w:spacing w:before="78" w:line="382" w:lineRule="auto"/>
        <w:ind w:left="125" w:right="113" w:firstLine="479"/>
        <w:rPr>
          <w:rFonts w:ascii="宋体" w:hAnsi="宋体" w:eastAsia="宋体" w:cs="宋体"/>
          <w:sz w:val="24"/>
          <w:szCs w:val="24"/>
        </w:rPr>
      </w:pPr>
      <w:r>
        <w:rPr>
          <w:rFonts w:ascii="宋体" w:hAnsi="宋体" w:eastAsia="宋体" w:cs="宋体"/>
          <w:spacing w:val="2"/>
          <w:sz w:val="24"/>
          <w:szCs w:val="24"/>
        </w:rPr>
        <w:t>经计算，可得到评价区域地下水各个监测点监测指标的标准指数值，具体结果</w:t>
      </w:r>
      <w:r>
        <w:rPr>
          <w:rFonts w:ascii="宋体" w:hAnsi="宋体" w:eastAsia="宋体" w:cs="宋体"/>
          <w:spacing w:val="8"/>
          <w:sz w:val="24"/>
          <w:szCs w:val="24"/>
        </w:rPr>
        <w:t xml:space="preserve"> </w:t>
      </w:r>
      <w:r>
        <w:rPr>
          <w:rFonts w:ascii="宋体" w:hAnsi="宋体" w:eastAsia="宋体" w:cs="宋体"/>
          <w:spacing w:val="-2"/>
          <w:sz w:val="24"/>
          <w:szCs w:val="24"/>
        </w:rPr>
        <w:t xml:space="preserve">详见 </w:t>
      </w:r>
      <w:r>
        <w:rPr>
          <w:rFonts w:ascii="Times New Roman" w:hAnsi="Times New Roman" w:eastAsia="Times New Roman" w:cs="Times New Roman"/>
          <w:spacing w:val="-2"/>
          <w:sz w:val="24"/>
          <w:szCs w:val="24"/>
        </w:rPr>
        <w:t>4.2-3</w:t>
      </w:r>
      <w:r>
        <w:rPr>
          <w:rFonts w:ascii="宋体" w:hAnsi="宋体" w:eastAsia="宋体" w:cs="宋体"/>
          <w:spacing w:val="-2"/>
          <w:sz w:val="24"/>
          <w:szCs w:val="24"/>
        </w:rPr>
        <w:t>。</w:t>
      </w:r>
    </w:p>
    <w:p w14:paraId="762CAC7F">
      <w:pPr>
        <w:spacing w:before="1" w:line="228" w:lineRule="auto"/>
        <w:ind w:left="248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 xml:space="preserve">4.2-3  </w:t>
      </w:r>
      <w:r>
        <w:rPr>
          <w:rFonts w:ascii="宋体" w:hAnsi="宋体" w:eastAsia="宋体" w:cs="宋体"/>
          <w:b/>
          <w:bCs/>
          <w:spacing w:val="6"/>
          <w:sz w:val="20"/>
          <w:szCs w:val="20"/>
        </w:rPr>
        <w:t>地下水水值监测指标的标准指数值</w:t>
      </w:r>
    </w:p>
    <w:p w14:paraId="18D6721B">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249"/>
        <w:gridCol w:w="962"/>
        <w:gridCol w:w="777"/>
        <w:gridCol w:w="798"/>
        <w:gridCol w:w="801"/>
        <w:gridCol w:w="1207"/>
        <w:gridCol w:w="1189"/>
        <w:gridCol w:w="1094"/>
      </w:tblGrid>
      <w:tr w14:paraId="0E5F0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873" w:type="dxa"/>
            <w:vAlign w:val="top"/>
          </w:tcPr>
          <w:p w14:paraId="5D4F705C">
            <w:pPr>
              <w:rPr>
                <w:rFonts w:ascii="Arial"/>
                <w:sz w:val="21"/>
              </w:rPr>
            </w:pPr>
          </w:p>
          <w:p w14:paraId="5DD8CE05">
            <w:pPr>
              <w:pStyle w:val="6"/>
              <w:spacing w:before="65" w:line="230" w:lineRule="auto"/>
              <w:ind w:left="127"/>
            </w:pPr>
            <w:r>
              <w:rPr>
                <w:b/>
                <w:bCs/>
                <w:spacing w:val="5"/>
              </w:rPr>
              <w:t>监测点</w:t>
            </w:r>
          </w:p>
          <w:p w14:paraId="5A1A6A76">
            <w:pPr>
              <w:pStyle w:val="6"/>
              <w:spacing w:before="22" w:line="230" w:lineRule="auto"/>
              <w:ind w:left="337"/>
            </w:pPr>
            <w:r>
              <w:rPr>
                <w:b/>
                <w:bCs/>
                <w:spacing w:val="-2"/>
              </w:rPr>
              <w:t>位</w:t>
            </w:r>
          </w:p>
        </w:tc>
        <w:tc>
          <w:tcPr>
            <w:tcW w:w="1249" w:type="dxa"/>
            <w:vAlign w:val="top"/>
          </w:tcPr>
          <w:p w14:paraId="578D1A22">
            <w:pPr>
              <w:spacing w:line="377" w:lineRule="auto"/>
              <w:rPr>
                <w:rFonts w:ascii="Arial"/>
                <w:sz w:val="21"/>
              </w:rPr>
            </w:pPr>
          </w:p>
          <w:p w14:paraId="2A5C715D">
            <w:pPr>
              <w:pStyle w:val="6"/>
              <w:spacing w:before="65" w:line="229" w:lineRule="auto"/>
              <w:ind w:left="423"/>
            </w:pPr>
            <w:r>
              <w:rPr>
                <w:b/>
                <w:bCs/>
                <w:spacing w:val="2"/>
              </w:rPr>
              <w:t>项目</w:t>
            </w:r>
          </w:p>
        </w:tc>
        <w:tc>
          <w:tcPr>
            <w:tcW w:w="962" w:type="dxa"/>
            <w:vAlign w:val="top"/>
          </w:tcPr>
          <w:p w14:paraId="2A66CE75">
            <w:pPr>
              <w:spacing w:line="422" w:lineRule="auto"/>
              <w:rPr>
                <w:rFonts w:ascii="Arial"/>
                <w:sz w:val="21"/>
              </w:rPr>
            </w:pPr>
          </w:p>
          <w:p w14:paraId="735ED429">
            <w:pPr>
              <w:spacing w:before="58" w:line="194" w:lineRule="auto"/>
              <w:ind w:left="34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777" w:type="dxa"/>
            <w:vAlign w:val="top"/>
          </w:tcPr>
          <w:p w14:paraId="7F75CCE4">
            <w:pPr>
              <w:spacing w:line="376" w:lineRule="auto"/>
              <w:rPr>
                <w:rFonts w:ascii="Arial"/>
                <w:sz w:val="21"/>
              </w:rPr>
            </w:pPr>
          </w:p>
          <w:p w14:paraId="5896970E">
            <w:pPr>
              <w:pStyle w:val="6"/>
              <w:spacing w:before="65" w:line="228" w:lineRule="auto"/>
              <w:ind w:left="183"/>
            </w:pPr>
            <w:r>
              <w:rPr>
                <w:b/>
                <w:bCs/>
                <w:spacing w:val="3"/>
              </w:rPr>
              <w:t>氨氮</w:t>
            </w:r>
          </w:p>
        </w:tc>
        <w:tc>
          <w:tcPr>
            <w:tcW w:w="798" w:type="dxa"/>
            <w:vAlign w:val="top"/>
          </w:tcPr>
          <w:p w14:paraId="40FD003B">
            <w:pPr>
              <w:rPr>
                <w:rFonts w:ascii="Arial"/>
                <w:sz w:val="21"/>
              </w:rPr>
            </w:pPr>
          </w:p>
          <w:p w14:paraId="68CA4025">
            <w:pPr>
              <w:pStyle w:val="6"/>
              <w:spacing w:before="65" w:line="255" w:lineRule="auto"/>
              <w:ind w:left="300" w:right="186" w:hanging="105"/>
            </w:pPr>
            <w:r>
              <w:rPr>
                <w:b/>
                <w:bCs/>
                <w:spacing w:val="3"/>
              </w:rPr>
              <w:t>硝酸</w:t>
            </w:r>
            <w:r>
              <w:t xml:space="preserve"> </w:t>
            </w:r>
            <w:r>
              <w:rPr>
                <w:b/>
                <w:bCs/>
                <w:spacing w:val="-3"/>
              </w:rPr>
              <w:t>盐</w:t>
            </w:r>
          </w:p>
        </w:tc>
        <w:tc>
          <w:tcPr>
            <w:tcW w:w="801" w:type="dxa"/>
            <w:vAlign w:val="top"/>
          </w:tcPr>
          <w:p w14:paraId="5A7015D9">
            <w:pPr>
              <w:spacing w:line="241" w:lineRule="auto"/>
              <w:rPr>
                <w:rFonts w:ascii="Arial"/>
                <w:sz w:val="21"/>
              </w:rPr>
            </w:pPr>
          </w:p>
          <w:p w14:paraId="6A633FD4">
            <w:pPr>
              <w:pStyle w:val="6"/>
              <w:spacing w:before="65" w:line="252" w:lineRule="auto"/>
              <w:ind w:left="299" w:right="188" w:hanging="102"/>
            </w:pPr>
            <w:r>
              <w:rPr>
                <w:b/>
                <w:bCs/>
                <w:spacing w:val="2"/>
              </w:rPr>
              <w:t>总硬</w:t>
            </w:r>
            <w:r>
              <w:t xml:space="preserve"> </w:t>
            </w:r>
            <w:r>
              <w:rPr>
                <w:b/>
                <w:bCs/>
                <w:spacing w:val="-1"/>
              </w:rPr>
              <w:t>度</w:t>
            </w:r>
          </w:p>
        </w:tc>
        <w:tc>
          <w:tcPr>
            <w:tcW w:w="1207" w:type="dxa"/>
            <w:vAlign w:val="top"/>
          </w:tcPr>
          <w:p w14:paraId="623F2BD4">
            <w:pPr>
              <w:spacing w:line="241" w:lineRule="auto"/>
              <w:rPr>
                <w:rFonts w:ascii="Arial"/>
                <w:sz w:val="21"/>
              </w:rPr>
            </w:pPr>
          </w:p>
          <w:p w14:paraId="265074B9">
            <w:pPr>
              <w:pStyle w:val="6"/>
              <w:spacing w:before="65" w:line="229" w:lineRule="auto"/>
              <w:ind w:left="191"/>
            </w:pPr>
            <w:r>
              <w:rPr>
                <w:b/>
                <w:bCs/>
                <w:spacing w:val="5"/>
              </w:rPr>
              <w:t>溶解性总</w:t>
            </w:r>
          </w:p>
          <w:p w14:paraId="0A725C43">
            <w:pPr>
              <w:pStyle w:val="6"/>
              <w:spacing w:before="23" w:line="229" w:lineRule="auto"/>
              <w:ind w:left="417"/>
            </w:pPr>
            <w:r>
              <w:rPr>
                <w:b/>
                <w:bCs/>
                <w:spacing w:val="-6"/>
              </w:rPr>
              <w:t>固体</w:t>
            </w:r>
          </w:p>
        </w:tc>
        <w:tc>
          <w:tcPr>
            <w:tcW w:w="1189" w:type="dxa"/>
            <w:vAlign w:val="top"/>
          </w:tcPr>
          <w:p w14:paraId="51EA1A22">
            <w:pPr>
              <w:pStyle w:val="6"/>
              <w:spacing w:before="36" w:line="251" w:lineRule="auto"/>
              <w:ind w:left="146" w:right="130" w:firstLine="141"/>
              <w:rPr>
                <w:rFonts w:ascii="Times New Roman" w:hAnsi="Times New Roman" w:eastAsia="Times New Roman" w:cs="Times New Roman"/>
                <w:sz w:val="13"/>
                <w:szCs w:val="13"/>
              </w:rPr>
            </w:pPr>
            <w:r>
              <w:rPr>
                <w:b/>
                <w:bCs/>
                <w:spacing w:val="5"/>
              </w:rPr>
              <w:t>耗氧量</w:t>
            </w:r>
            <w:r>
              <w:t xml:space="preserve">  </w:t>
            </w:r>
            <w:r>
              <w:rPr>
                <w:b/>
                <w:bCs/>
                <w:spacing w:val="48"/>
              </w:rPr>
              <w:t>（</w:t>
            </w:r>
            <w:r>
              <w:rPr>
                <w:rFonts w:ascii="Times New Roman" w:hAnsi="Times New Roman" w:eastAsia="Times New Roman" w:cs="Times New Roman"/>
                <w:b/>
                <w:bCs/>
              </w:rPr>
              <w:t>COD</w:t>
            </w:r>
            <w:r>
              <w:rPr>
                <w:rFonts w:ascii="Times New Roman" w:hAnsi="Times New Roman" w:eastAsia="Times New Roman" w:cs="Times New Roman"/>
                <w:b/>
                <w:bCs/>
                <w:position w:val="-1"/>
                <w:sz w:val="13"/>
                <w:szCs w:val="13"/>
              </w:rPr>
              <w:t xml:space="preserve">Mn  </w:t>
            </w:r>
            <w:r>
              <w:rPr>
                <w:b/>
                <w:bCs/>
                <w:spacing w:val="3"/>
              </w:rPr>
              <w:t>法，以</w:t>
            </w:r>
            <w:r>
              <w:rPr>
                <w:spacing w:val="-37"/>
              </w:rPr>
              <w:t xml:space="preserve"> </w:t>
            </w:r>
            <w:r>
              <w:rPr>
                <w:rFonts w:ascii="Times New Roman" w:hAnsi="Times New Roman" w:eastAsia="Times New Roman" w:cs="Times New Roman"/>
                <w:b/>
                <w:bCs/>
                <w:spacing w:val="3"/>
              </w:rPr>
              <w:t>O</w:t>
            </w:r>
            <w:r>
              <w:rPr>
                <w:rFonts w:ascii="Times New Roman" w:hAnsi="Times New Roman" w:eastAsia="Times New Roman" w:cs="Times New Roman"/>
                <w:b/>
                <w:bCs/>
                <w:spacing w:val="3"/>
                <w:position w:val="-1"/>
                <w:sz w:val="13"/>
                <w:szCs w:val="13"/>
              </w:rPr>
              <w:t>2</w:t>
            </w:r>
          </w:p>
          <w:p w14:paraId="041B860D">
            <w:pPr>
              <w:pStyle w:val="6"/>
              <w:spacing w:line="217" w:lineRule="auto"/>
              <w:ind w:left="392"/>
            </w:pPr>
            <w:r>
              <w:rPr>
                <w:b/>
                <w:bCs/>
                <w:spacing w:val="-2"/>
              </w:rPr>
              <w:t>计）</w:t>
            </w:r>
          </w:p>
        </w:tc>
        <w:tc>
          <w:tcPr>
            <w:tcW w:w="1094" w:type="dxa"/>
            <w:vAlign w:val="top"/>
          </w:tcPr>
          <w:p w14:paraId="76359761">
            <w:pPr>
              <w:spacing w:line="241" w:lineRule="auto"/>
              <w:rPr>
                <w:rFonts w:ascii="Arial"/>
                <w:sz w:val="21"/>
              </w:rPr>
            </w:pPr>
          </w:p>
          <w:p w14:paraId="13DC9F66">
            <w:pPr>
              <w:pStyle w:val="6"/>
              <w:spacing w:before="65" w:line="228" w:lineRule="auto"/>
              <w:ind w:left="135"/>
            </w:pPr>
            <w:r>
              <w:rPr>
                <w:b/>
                <w:bCs/>
                <w:spacing w:val="5"/>
              </w:rPr>
              <w:t>总大肠菌</w:t>
            </w:r>
          </w:p>
          <w:p w14:paraId="18948F88">
            <w:pPr>
              <w:pStyle w:val="6"/>
              <w:spacing w:before="24" w:line="228" w:lineRule="auto"/>
              <w:ind w:left="447"/>
            </w:pPr>
            <w:r>
              <w:rPr>
                <w:b/>
                <w:bCs/>
                <w:spacing w:val="-2"/>
              </w:rPr>
              <w:t>群</w:t>
            </w:r>
          </w:p>
        </w:tc>
      </w:tr>
      <w:tr w14:paraId="25B7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3" w:type="dxa"/>
            <w:vMerge w:val="restart"/>
            <w:tcBorders>
              <w:bottom w:val="nil"/>
            </w:tcBorders>
            <w:vAlign w:val="top"/>
          </w:tcPr>
          <w:p w14:paraId="58BD8EF0">
            <w:pPr>
              <w:spacing w:line="247" w:lineRule="auto"/>
              <w:rPr>
                <w:rFonts w:ascii="Arial"/>
                <w:sz w:val="21"/>
              </w:rPr>
            </w:pPr>
          </w:p>
          <w:p w14:paraId="666799BA">
            <w:pPr>
              <w:spacing w:line="248" w:lineRule="auto"/>
              <w:rPr>
                <w:rFonts w:ascii="Arial"/>
                <w:sz w:val="21"/>
              </w:rPr>
            </w:pPr>
          </w:p>
          <w:p w14:paraId="0F1C7CEC">
            <w:pPr>
              <w:spacing w:line="248" w:lineRule="auto"/>
              <w:rPr>
                <w:rFonts w:ascii="Arial"/>
                <w:sz w:val="21"/>
              </w:rPr>
            </w:pPr>
          </w:p>
          <w:p w14:paraId="23432BA3">
            <w:pPr>
              <w:spacing w:before="58"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U1</w:t>
            </w:r>
          </w:p>
        </w:tc>
        <w:tc>
          <w:tcPr>
            <w:tcW w:w="1249" w:type="dxa"/>
            <w:vAlign w:val="top"/>
          </w:tcPr>
          <w:p w14:paraId="40CCEF0C">
            <w:pPr>
              <w:pStyle w:val="6"/>
              <w:spacing w:before="121" w:line="228" w:lineRule="auto"/>
              <w:ind w:left="314"/>
            </w:pPr>
            <w:r>
              <w:rPr>
                <w:spacing w:val="6"/>
              </w:rPr>
              <w:t>监测值</w:t>
            </w:r>
          </w:p>
        </w:tc>
        <w:tc>
          <w:tcPr>
            <w:tcW w:w="962" w:type="dxa"/>
            <w:vAlign w:val="top"/>
          </w:tcPr>
          <w:p w14:paraId="2C85C1F8">
            <w:pPr>
              <w:spacing w:before="92" w:line="27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7.24</w:t>
            </w:r>
          </w:p>
        </w:tc>
        <w:tc>
          <w:tcPr>
            <w:tcW w:w="777" w:type="dxa"/>
            <w:vAlign w:val="top"/>
          </w:tcPr>
          <w:p w14:paraId="63737A12">
            <w:pPr>
              <w:spacing w:before="92"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0.057</w:t>
            </w:r>
          </w:p>
        </w:tc>
        <w:tc>
          <w:tcPr>
            <w:tcW w:w="798" w:type="dxa"/>
            <w:vAlign w:val="top"/>
          </w:tcPr>
          <w:p w14:paraId="5505A014">
            <w:pPr>
              <w:spacing w:before="92" w:line="275"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c>
          <w:tcPr>
            <w:tcW w:w="801" w:type="dxa"/>
            <w:vAlign w:val="top"/>
          </w:tcPr>
          <w:p w14:paraId="45476534">
            <w:pPr>
              <w:spacing w:before="92" w:line="275"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7.28</w:t>
            </w:r>
          </w:p>
        </w:tc>
        <w:tc>
          <w:tcPr>
            <w:tcW w:w="1207" w:type="dxa"/>
            <w:vAlign w:val="top"/>
          </w:tcPr>
          <w:p w14:paraId="017402BB">
            <w:pPr>
              <w:spacing w:before="92" w:line="275" w:lineRule="exact"/>
              <w:ind w:left="5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1189" w:type="dxa"/>
            <w:vAlign w:val="top"/>
          </w:tcPr>
          <w:p w14:paraId="0C8AD10C">
            <w:pPr>
              <w:spacing w:before="92" w:line="275" w:lineRule="exact"/>
              <w:ind w:left="4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1094" w:type="dxa"/>
            <w:vAlign w:val="top"/>
          </w:tcPr>
          <w:p w14:paraId="7951A0AA">
            <w:pPr>
              <w:pStyle w:val="6"/>
              <w:spacing w:before="121" w:line="228" w:lineRule="auto"/>
              <w:ind w:left="241"/>
            </w:pPr>
            <w:r>
              <w:rPr>
                <w:spacing w:val="5"/>
              </w:rPr>
              <w:t>未检出</w:t>
            </w:r>
          </w:p>
        </w:tc>
      </w:tr>
      <w:tr w14:paraId="71C21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bottom w:val="nil"/>
            </w:tcBorders>
            <w:vAlign w:val="top"/>
          </w:tcPr>
          <w:p w14:paraId="0A36920F">
            <w:pPr>
              <w:rPr>
                <w:rFonts w:ascii="Arial"/>
                <w:sz w:val="21"/>
              </w:rPr>
            </w:pPr>
          </w:p>
        </w:tc>
        <w:tc>
          <w:tcPr>
            <w:tcW w:w="1249" w:type="dxa"/>
            <w:vAlign w:val="top"/>
          </w:tcPr>
          <w:p w14:paraId="28167632">
            <w:pPr>
              <w:pStyle w:val="6"/>
              <w:spacing w:before="124" w:line="228" w:lineRule="auto"/>
              <w:ind w:left="314"/>
            </w:pPr>
            <w:r>
              <w:rPr>
                <w:spacing w:val="6"/>
              </w:rPr>
              <w:t>标准值</w:t>
            </w:r>
          </w:p>
        </w:tc>
        <w:tc>
          <w:tcPr>
            <w:tcW w:w="962" w:type="dxa"/>
            <w:vAlign w:val="top"/>
          </w:tcPr>
          <w:p w14:paraId="0C85C350">
            <w:pPr>
              <w:spacing w:before="9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6.5~8.5</w:t>
            </w:r>
          </w:p>
        </w:tc>
        <w:tc>
          <w:tcPr>
            <w:tcW w:w="777" w:type="dxa"/>
            <w:vAlign w:val="top"/>
          </w:tcPr>
          <w:p w14:paraId="5326A7EF">
            <w:pPr>
              <w:spacing w:before="93"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798" w:type="dxa"/>
            <w:vAlign w:val="top"/>
          </w:tcPr>
          <w:p w14:paraId="1A682DC7">
            <w:pPr>
              <w:spacing w:before="93"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1" w:type="dxa"/>
            <w:vAlign w:val="top"/>
          </w:tcPr>
          <w:p w14:paraId="0FA42BF6">
            <w:pPr>
              <w:spacing w:before="93"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207" w:type="dxa"/>
            <w:vAlign w:val="top"/>
          </w:tcPr>
          <w:p w14:paraId="25E1F7BD">
            <w:pPr>
              <w:spacing w:before="93"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89" w:type="dxa"/>
            <w:vAlign w:val="top"/>
          </w:tcPr>
          <w:p w14:paraId="02DF3FB8">
            <w:pPr>
              <w:spacing w:before="93"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94" w:type="dxa"/>
            <w:vAlign w:val="top"/>
          </w:tcPr>
          <w:p w14:paraId="78B64996">
            <w:pPr>
              <w:spacing w:before="93" w:line="274"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27DC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873" w:type="dxa"/>
            <w:vMerge w:val="continue"/>
            <w:tcBorders>
              <w:top w:val="nil"/>
              <w:bottom w:val="nil"/>
            </w:tcBorders>
            <w:vAlign w:val="top"/>
          </w:tcPr>
          <w:p w14:paraId="41947D98">
            <w:pPr>
              <w:rPr>
                <w:rFonts w:ascii="Arial"/>
                <w:sz w:val="21"/>
              </w:rPr>
            </w:pPr>
          </w:p>
        </w:tc>
        <w:tc>
          <w:tcPr>
            <w:tcW w:w="1249" w:type="dxa"/>
            <w:vAlign w:val="top"/>
          </w:tcPr>
          <w:p w14:paraId="2729BCF1">
            <w:pPr>
              <w:pStyle w:val="6"/>
              <w:spacing w:before="142" w:line="228" w:lineRule="auto"/>
              <w:ind w:left="209"/>
            </w:pPr>
            <w:r>
              <w:rPr>
                <w:spacing w:val="7"/>
              </w:rPr>
              <w:t>标准指数</w:t>
            </w:r>
          </w:p>
        </w:tc>
        <w:tc>
          <w:tcPr>
            <w:tcW w:w="962" w:type="dxa"/>
            <w:vAlign w:val="top"/>
          </w:tcPr>
          <w:p w14:paraId="7F1BF3B6">
            <w:pPr>
              <w:spacing w:before="111"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0.37</w:t>
            </w:r>
          </w:p>
        </w:tc>
        <w:tc>
          <w:tcPr>
            <w:tcW w:w="777" w:type="dxa"/>
            <w:vAlign w:val="top"/>
          </w:tcPr>
          <w:p w14:paraId="36AACAA0">
            <w:pPr>
              <w:spacing w:before="111"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798" w:type="dxa"/>
            <w:vAlign w:val="top"/>
          </w:tcPr>
          <w:p w14:paraId="464745AB">
            <w:pPr>
              <w:spacing w:before="111"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801" w:type="dxa"/>
            <w:vAlign w:val="top"/>
          </w:tcPr>
          <w:p w14:paraId="4A2507C8">
            <w:pPr>
              <w:spacing w:before="111"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07" w:type="dxa"/>
            <w:vAlign w:val="top"/>
          </w:tcPr>
          <w:p w14:paraId="0C8F2E61">
            <w:pPr>
              <w:spacing w:before="111" w:line="274"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189" w:type="dxa"/>
            <w:vAlign w:val="top"/>
          </w:tcPr>
          <w:p w14:paraId="488B9A31">
            <w:pPr>
              <w:spacing w:before="89" w:line="315" w:lineRule="exact"/>
              <w:ind w:left="56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094" w:type="dxa"/>
            <w:vAlign w:val="top"/>
          </w:tcPr>
          <w:p w14:paraId="66AF4AC2">
            <w:pPr>
              <w:spacing w:before="111"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EA0F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tcBorders>
            <w:vAlign w:val="top"/>
          </w:tcPr>
          <w:p w14:paraId="573A3F84">
            <w:pPr>
              <w:rPr>
                <w:rFonts w:ascii="Arial"/>
                <w:sz w:val="21"/>
              </w:rPr>
            </w:pPr>
          </w:p>
        </w:tc>
        <w:tc>
          <w:tcPr>
            <w:tcW w:w="1249" w:type="dxa"/>
            <w:vAlign w:val="top"/>
          </w:tcPr>
          <w:p w14:paraId="0095632D">
            <w:pPr>
              <w:pStyle w:val="6"/>
              <w:spacing w:before="124" w:line="229" w:lineRule="auto"/>
              <w:ind w:left="207"/>
            </w:pPr>
            <w:r>
              <w:rPr>
                <w:spacing w:val="7"/>
              </w:rPr>
              <w:t>达标情况</w:t>
            </w:r>
          </w:p>
        </w:tc>
        <w:tc>
          <w:tcPr>
            <w:tcW w:w="962" w:type="dxa"/>
            <w:vAlign w:val="top"/>
          </w:tcPr>
          <w:p w14:paraId="5B878F11">
            <w:pPr>
              <w:pStyle w:val="6"/>
              <w:spacing w:before="124" w:line="229" w:lineRule="auto"/>
              <w:ind w:left="273"/>
            </w:pPr>
            <w:r>
              <w:rPr>
                <w:spacing w:val="5"/>
              </w:rPr>
              <w:t>达标</w:t>
            </w:r>
          </w:p>
        </w:tc>
        <w:tc>
          <w:tcPr>
            <w:tcW w:w="777" w:type="dxa"/>
            <w:vAlign w:val="top"/>
          </w:tcPr>
          <w:p w14:paraId="4144B95F">
            <w:pPr>
              <w:pStyle w:val="6"/>
              <w:spacing w:before="124" w:line="229" w:lineRule="auto"/>
              <w:ind w:left="183"/>
            </w:pPr>
            <w:r>
              <w:rPr>
                <w:spacing w:val="5"/>
              </w:rPr>
              <w:t>达标</w:t>
            </w:r>
          </w:p>
        </w:tc>
        <w:tc>
          <w:tcPr>
            <w:tcW w:w="798" w:type="dxa"/>
            <w:vAlign w:val="top"/>
          </w:tcPr>
          <w:p w14:paraId="3246AA97">
            <w:pPr>
              <w:pStyle w:val="6"/>
              <w:spacing w:before="124" w:line="229" w:lineRule="auto"/>
              <w:ind w:left="193"/>
            </w:pPr>
            <w:r>
              <w:rPr>
                <w:spacing w:val="5"/>
              </w:rPr>
              <w:t>达标</w:t>
            </w:r>
          </w:p>
        </w:tc>
        <w:tc>
          <w:tcPr>
            <w:tcW w:w="801" w:type="dxa"/>
            <w:vAlign w:val="top"/>
          </w:tcPr>
          <w:p w14:paraId="31B6903D">
            <w:pPr>
              <w:pStyle w:val="6"/>
              <w:spacing w:before="124" w:line="229" w:lineRule="auto"/>
              <w:ind w:left="194"/>
            </w:pPr>
            <w:r>
              <w:rPr>
                <w:spacing w:val="5"/>
              </w:rPr>
              <w:t>达标</w:t>
            </w:r>
          </w:p>
        </w:tc>
        <w:tc>
          <w:tcPr>
            <w:tcW w:w="1207" w:type="dxa"/>
            <w:vAlign w:val="top"/>
          </w:tcPr>
          <w:p w14:paraId="310CCEA9">
            <w:pPr>
              <w:pStyle w:val="6"/>
              <w:spacing w:before="124" w:line="229" w:lineRule="auto"/>
              <w:ind w:left="399"/>
            </w:pPr>
            <w:r>
              <w:rPr>
                <w:spacing w:val="5"/>
              </w:rPr>
              <w:t>达标</w:t>
            </w:r>
          </w:p>
        </w:tc>
        <w:tc>
          <w:tcPr>
            <w:tcW w:w="1189" w:type="dxa"/>
            <w:vAlign w:val="top"/>
          </w:tcPr>
          <w:p w14:paraId="71D0FFB2">
            <w:pPr>
              <w:spacing w:before="93" w:line="274"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4" w:type="dxa"/>
            <w:vAlign w:val="top"/>
          </w:tcPr>
          <w:p w14:paraId="6143B7C2">
            <w:pPr>
              <w:pStyle w:val="6"/>
              <w:spacing w:before="124" w:line="229" w:lineRule="auto"/>
              <w:ind w:left="343"/>
            </w:pPr>
            <w:r>
              <w:rPr>
                <w:spacing w:val="5"/>
              </w:rPr>
              <w:t>达标</w:t>
            </w:r>
          </w:p>
        </w:tc>
      </w:tr>
      <w:tr w14:paraId="594C5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restart"/>
            <w:tcBorders>
              <w:bottom w:val="nil"/>
            </w:tcBorders>
            <w:vAlign w:val="top"/>
          </w:tcPr>
          <w:p w14:paraId="54FD8CC9">
            <w:pPr>
              <w:spacing w:line="243" w:lineRule="auto"/>
              <w:rPr>
                <w:rFonts w:ascii="Arial"/>
                <w:sz w:val="21"/>
              </w:rPr>
            </w:pPr>
          </w:p>
          <w:p w14:paraId="22355F58">
            <w:pPr>
              <w:spacing w:line="243" w:lineRule="auto"/>
              <w:rPr>
                <w:rFonts w:ascii="Arial"/>
                <w:sz w:val="21"/>
              </w:rPr>
            </w:pPr>
          </w:p>
          <w:p w14:paraId="611DBE0A">
            <w:pPr>
              <w:spacing w:line="243" w:lineRule="auto"/>
              <w:rPr>
                <w:rFonts w:ascii="Arial"/>
                <w:sz w:val="21"/>
              </w:rPr>
            </w:pPr>
          </w:p>
          <w:p w14:paraId="1B26B78B">
            <w:pPr>
              <w:spacing w:before="57"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U2</w:t>
            </w:r>
          </w:p>
        </w:tc>
        <w:tc>
          <w:tcPr>
            <w:tcW w:w="1249" w:type="dxa"/>
            <w:vAlign w:val="top"/>
          </w:tcPr>
          <w:p w14:paraId="373190E6">
            <w:pPr>
              <w:pStyle w:val="6"/>
              <w:spacing w:before="123" w:line="228" w:lineRule="auto"/>
              <w:ind w:left="314"/>
            </w:pPr>
            <w:r>
              <w:rPr>
                <w:spacing w:val="6"/>
              </w:rPr>
              <w:t>监测值</w:t>
            </w:r>
          </w:p>
        </w:tc>
        <w:tc>
          <w:tcPr>
            <w:tcW w:w="962" w:type="dxa"/>
            <w:vAlign w:val="top"/>
          </w:tcPr>
          <w:p w14:paraId="5FB88F33">
            <w:pPr>
              <w:spacing w:before="95" w:line="274"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7.31</w:t>
            </w:r>
          </w:p>
        </w:tc>
        <w:tc>
          <w:tcPr>
            <w:tcW w:w="777" w:type="dxa"/>
            <w:vAlign w:val="top"/>
          </w:tcPr>
          <w:p w14:paraId="4964416D">
            <w:pPr>
              <w:spacing w:before="9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0.048</w:t>
            </w:r>
          </w:p>
        </w:tc>
        <w:tc>
          <w:tcPr>
            <w:tcW w:w="798" w:type="dxa"/>
            <w:vAlign w:val="top"/>
          </w:tcPr>
          <w:p w14:paraId="268AD8DA">
            <w:pPr>
              <w:spacing w:before="95"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801" w:type="dxa"/>
            <w:vAlign w:val="top"/>
          </w:tcPr>
          <w:p w14:paraId="2730E9F2">
            <w:pPr>
              <w:spacing w:before="95"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50.1</w:t>
            </w:r>
          </w:p>
        </w:tc>
        <w:tc>
          <w:tcPr>
            <w:tcW w:w="1207" w:type="dxa"/>
            <w:vAlign w:val="top"/>
          </w:tcPr>
          <w:p w14:paraId="09C0713A">
            <w:pPr>
              <w:spacing w:before="95" w:line="274"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295</w:t>
            </w:r>
          </w:p>
        </w:tc>
        <w:tc>
          <w:tcPr>
            <w:tcW w:w="1189" w:type="dxa"/>
            <w:vAlign w:val="top"/>
          </w:tcPr>
          <w:p w14:paraId="7D895809">
            <w:pPr>
              <w:spacing w:before="95"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w:t>
            </w:r>
          </w:p>
        </w:tc>
        <w:tc>
          <w:tcPr>
            <w:tcW w:w="1094" w:type="dxa"/>
            <w:vAlign w:val="top"/>
          </w:tcPr>
          <w:p w14:paraId="6355FC36">
            <w:pPr>
              <w:pStyle w:val="6"/>
              <w:spacing w:before="123" w:line="228" w:lineRule="auto"/>
              <w:ind w:left="241"/>
            </w:pPr>
            <w:r>
              <w:rPr>
                <w:spacing w:val="5"/>
              </w:rPr>
              <w:t>未检出</w:t>
            </w:r>
          </w:p>
        </w:tc>
      </w:tr>
      <w:tr w14:paraId="72DB5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3" w:type="dxa"/>
            <w:vMerge w:val="continue"/>
            <w:tcBorders>
              <w:top w:val="nil"/>
              <w:bottom w:val="nil"/>
            </w:tcBorders>
            <w:vAlign w:val="top"/>
          </w:tcPr>
          <w:p w14:paraId="3C35787B">
            <w:pPr>
              <w:rPr>
                <w:rFonts w:ascii="Arial"/>
                <w:sz w:val="21"/>
              </w:rPr>
            </w:pPr>
          </w:p>
        </w:tc>
        <w:tc>
          <w:tcPr>
            <w:tcW w:w="1249" w:type="dxa"/>
            <w:vAlign w:val="top"/>
          </w:tcPr>
          <w:p w14:paraId="594BE38E">
            <w:pPr>
              <w:pStyle w:val="6"/>
              <w:spacing w:before="125" w:line="228" w:lineRule="auto"/>
              <w:ind w:left="314"/>
            </w:pPr>
            <w:r>
              <w:rPr>
                <w:spacing w:val="6"/>
              </w:rPr>
              <w:t>标准值</w:t>
            </w:r>
          </w:p>
        </w:tc>
        <w:tc>
          <w:tcPr>
            <w:tcW w:w="962" w:type="dxa"/>
            <w:vAlign w:val="top"/>
          </w:tcPr>
          <w:p w14:paraId="75652851">
            <w:pPr>
              <w:spacing w:before="94"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6.5~8.5</w:t>
            </w:r>
          </w:p>
        </w:tc>
        <w:tc>
          <w:tcPr>
            <w:tcW w:w="777" w:type="dxa"/>
            <w:vAlign w:val="top"/>
          </w:tcPr>
          <w:p w14:paraId="0E867449">
            <w:pPr>
              <w:spacing w:before="94"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798" w:type="dxa"/>
            <w:vAlign w:val="top"/>
          </w:tcPr>
          <w:p w14:paraId="2BBE3747">
            <w:pPr>
              <w:spacing w:before="94"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1" w:type="dxa"/>
            <w:vAlign w:val="top"/>
          </w:tcPr>
          <w:p w14:paraId="1CDF9ECD">
            <w:pPr>
              <w:spacing w:before="94"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207" w:type="dxa"/>
            <w:vAlign w:val="top"/>
          </w:tcPr>
          <w:p w14:paraId="3F976CB5">
            <w:pPr>
              <w:spacing w:before="94"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89" w:type="dxa"/>
            <w:vAlign w:val="top"/>
          </w:tcPr>
          <w:p w14:paraId="456D787F">
            <w:pPr>
              <w:spacing w:before="94"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94" w:type="dxa"/>
            <w:vAlign w:val="top"/>
          </w:tcPr>
          <w:p w14:paraId="6B3C18E8">
            <w:pPr>
              <w:spacing w:before="94" w:line="274"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5C885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bottom w:val="nil"/>
            </w:tcBorders>
            <w:vAlign w:val="top"/>
          </w:tcPr>
          <w:p w14:paraId="75B20B52">
            <w:pPr>
              <w:rPr>
                <w:rFonts w:ascii="Arial"/>
                <w:sz w:val="21"/>
              </w:rPr>
            </w:pPr>
          </w:p>
        </w:tc>
        <w:tc>
          <w:tcPr>
            <w:tcW w:w="1249" w:type="dxa"/>
            <w:vAlign w:val="top"/>
          </w:tcPr>
          <w:p w14:paraId="2BA499D1">
            <w:pPr>
              <w:pStyle w:val="6"/>
              <w:spacing w:before="125" w:line="228" w:lineRule="auto"/>
              <w:ind w:left="209"/>
            </w:pPr>
            <w:r>
              <w:rPr>
                <w:spacing w:val="7"/>
              </w:rPr>
              <w:t>标准指数</w:t>
            </w:r>
          </w:p>
        </w:tc>
        <w:tc>
          <w:tcPr>
            <w:tcW w:w="962" w:type="dxa"/>
            <w:vAlign w:val="top"/>
          </w:tcPr>
          <w:p w14:paraId="2D8D339B">
            <w:pPr>
              <w:spacing w:before="94"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0.41</w:t>
            </w:r>
          </w:p>
        </w:tc>
        <w:tc>
          <w:tcPr>
            <w:tcW w:w="777" w:type="dxa"/>
            <w:vAlign w:val="top"/>
          </w:tcPr>
          <w:p w14:paraId="5F4F2EB1">
            <w:pPr>
              <w:spacing w:before="94"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798" w:type="dxa"/>
            <w:vAlign w:val="top"/>
          </w:tcPr>
          <w:p w14:paraId="2083CB1C">
            <w:pPr>
              <w:spacing w:before="94"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801" w:type="dxa"/>
            <w:vAlign w:val="top"/>
          </w:tcPr>
          <w:p w14:paraId="5DB16EF3">
            <w:pPr>
              <w:spacing w:before="94"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1207" w:type="dxa"/>
            <w:vAlign w:val="top"/>
          </w:tcPr>
          <w:p w14:paraId="24F3E363">
            <w:pPr>
              <w:spacing w:before="94"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0.30</w:t>
            </w:r>
          </w:p>
        </w:tc>
        <w:tc>
          <w:tcPr>
            <w:tcW w:w="1189" w:type="dxa"/>
            <w:vAlign w:val="top"/>
          </w:tcPr>
          <w:p w14:paraId="259CD0C1">
            <w:pPr>
              <w:spacing w:before="94"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0.87</w:t>
            </w:r>
          </w:p>
        </w:tc>
        <w:tc>
          <w:tcPr>
            <w:tcW w:w="1094" w:type="dxa"/>
            <w:vAlign w:val="top"/>
          </w:tcPr>
          <w:p w14:paraId="43723429">
            <w:pPr>
              <w:spacing w:before="94"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B2D1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tcBorders>
            <w:vAlign w:val="top"/>
          </w:tcPr>
          <w:p w14:paraId="5581EBC2">
            <w:pPr>
              <w:rPr>
                <w:rFonts w:ascii="Arial"/>
                <w:sz w:val="21"/>
              </w:rPr>
            </w:pPr>
          </w:p>
        </w:tc>
        <w:tc>
          <w:tcPr>
            <w:tcW w:w="1249" w:type="dxa"/>
            <w:vAlign w:val="top"/>
          </w:tcPr>
          <w:p w14:paraId="4711EF28">
            <w:pPr>
              <w:pStyle w:val="6"/>
              <w:spacing w:before="124" w:line="229" w:lineRule="auto"/>
              <w:ind w:left="207"/>
            </w:pPr>
            <w:r>
              <w:rPr>
                <w:spacing w:val="7"/>
              </w:rPr>
              <w:t>达标情况</w:t>
            </w:r>
          </w:p>
        </w:tc>
        <w:tc>
          <w:tcPr>
            <w:tcW w:w="962" w:type="dxa"/>
            <w:vAlign w:val="top"/>
          </w:tcPr>
          <w:p w14:paraId="3530D44E">
            <w:pPr>
              <w:pStyle w:val="6"/>
              <w:spacing w:before="124" w:line="229" w:lineRule="auto"/>
              <w:ind w:left="273"/>
            </w:pPr>
            <w:r>
              <w:rPr>
                <w:spacing w:val="5"/>
              </w:rPr>
              <w:t>达标</w:t>
            </w:r>
          </w:p>
        </w:tc>
        <w:tc>
          <w:tcPr>
            <w:tcW w:w="777" w:type="dxa"/>
            <w:vAlign w:val="top"/>
          </w:tcPr>
          <w:p w14:paraId="4B285A33">
            <w:pPr>
              <w:pStyle w:val="6"/>
              <w:spacing w:before="124" w:line="229" w:lineRule="auto"/>
              <w:ind w:left="183"/>
            </w:pPr>
            <w:r>
              <w:rPr>
                <w:spacing w:val="5"/>
              </w:rPr>
              <w:t>达标</w:t>
            </w:r>
          </w:p>
        </w:tc>
        <w:tc>
          <w:tcPr>
            <w:tcW w:w="798" w:type="dxa"/>
            <w:vAlign w:val="top"/>
          </w:tcPr>
          <w:p w14:paraId="647BE0BA">
            <w:pPr>
              <w:pStyle w:val="6"/>
              <w:spacing w:before="124" w:line="229" w:lineRule="auto"/>
              <w:ind w:left="193"/>
            </w:pPr>
            <w:r>
              <w:rPr>
                <w:spacing w:val="5"/>
              </w:rPr>
              <w:t>达标</w:t>
            </w:r>
          </w:p>
        </w:tc>
        <w:tc>
          <w:tcPr>
            <w:tcW w:w="801" w:type="dxa"/>
            <w:vAlign w:val="top"/>
          </w:tcPr>
          <w:p w14:paraId="015C5439">
            <w:pPr>
              <w:pStyle w:val="6"/>
              <w:spacing w:before="124" w:line="229" w:lineRule="auto"/>
              <w:ind w:left="194"/>
            </w:pPr>
            <w:r>
              <w:rPr>
                <w:spacing w:val="5"/>
              </w:rPr>
              <w:t>达标</w:t>
            </w:r>
          </w:p>
        </w:tc>
        <w:tc>
          <w:tcPr>
            <w:tcW w:w="1207" w:type="dxa"/>
            <w:vAlign w:val="top"/>
          </w:tcPr>
          <w:p w14:paraId="75435EF0">
            <w:pPr>
              <w:pStyle w:val="6"/>
              <w:spacing w:before="124" w:line="229" w:lineRule="auto"/>
              <w:ind w:left="399"/>
            </w:pPr>
            <w:r>
              <w:rPr>
                <w:spacing w:val="5"/>
              </w:rPr>
              <w:t>达标</w:t>
            </w:r>
          </w:p>
        </w:tc>
        <w:tc>
          <w:tcPr>
            <w:tcW w:w="1189" w:type="dxa"/>
            <w:vAlign w:val="top"/>
          </w:tcPr>
          <w:p w14:paraId="4C54BAC1">
            <w:pPr>
              <w:pStyle w:val="6"/>
              <w:spacing w:before="124" w:line="229" w:lineRule="auto"/>
              <w:ind w:left="392"/>
            </w:pPr>
            <w:r>
              <w:rPr>
                <w:spacing w:val="5"/>
              </w:rPr>
              <w:t>达标</w:t>
            </w:r>
          </w:p>
        </w:tc>
        <w:tc>
          <w:tcPr>
            <w:tcW w:w="1094" w:type="dxa"/>
            <w:vAlign w:val="top"/>
          </w:tcPr>
          <w:p w14:paraId="2994D49A">
            <w:pPr>
              <w:pStyle w:val="6"/>
              <w:spacing w:before="124" w:line="229" w:lineRule="auto"/>
              <w:ind w:left="343"/>
            </w:pPr>
            <w:r>
              <w:rPr>
                <w:spacing w:val="5"/>
              </w:rPr>
              <w:t>达标</w:t>
            </w:r>
          </w:p>
        </w:tc>
      </w:tr>
      <w:tr w14:paraId="287EB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restart"/>
            <w:tcBorders>
              <w:bottom w:val="nil"/>
            </w:tcBorders>
            <w:vAlign w:val="top"/>
          </w:tcPr>
          <w:p w14:paraId="2C2D2FFB">
            <w:pPr>
              <w:spacing w:line="243" w:lineRule="auto"/>
              <w:rPr>
                <w:rFonts w:ascii="Arial"/>
                <w:sz w:val="21"/>
              </w:rPr>
            </w:pPr>
          </w:p>
          <w:p w14:paraId="0C42C4B9">
            <w:pPr>
              <w:spacing w:line="243" w:lineRule="auto"/>
              <w:rPr>
                <w:rFonts w:ascii="Arial"/>
                <w:sz w:val="21"/>
              </w:rPr>
            </w:pPr>
          </w:p>
          <w:p w14:paraId="63ABCBC3">
            <w:pPr>
              <w:spacing w:line="243" w:lineRule="auto"/>
              <w:rPr>
                <w:rFonts w:ascii="Arial"/>
                <w:sz w:val="21"/>
              </w:rPr>
            </w:pPr>
          </w:p>
          <w:p w14:paraId="6F1913D8">
            <w:pPr>
              <w:spacing w:before="57"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U3</w:t>
            </w:r>
          </w:p>
        </w:tc>
        <w:tc>
          <w:tcPr>
            <w:tcW w:w="1249" w:type="dxa"/>
            <w:vAlign w:val="top"/>
          </w:tcPr>
          <w:p w14:paraId="49F2E818">
            <w:pPr>
              <w:pStyle w:val="6"/>
              <w:spacing w:before="126" w:line="228" w:lineRule="auto"/>
              <w:ind w:left="314"/>
            </w:pPr>
            <w:r>
              <w:rPr>
                <w:spacing w:val="6"/>
              </w:rPr>
              <w:t>监测值</w:t>
            </w:r>
          </w:p>
        </w:tc>
        <w:tc>
          <w:tcPr>
            <w:tcW w:w="962" w:type="dxa"/>
            <w:vAlign w:val="top"/>
          </w:tcPr>
          <w:p w14:paraId="0573316A">
            <w:pPr>
              <w:spacing w:before="95" w:line="274"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7.29</w:t>
            </w:r>
          </w:p>
        </w:tc>
        <w:tc>
          <w:tcPr>
            <w:tcW w:w="777" w:type="dxa"/>
            <w:vAlign w:val="top"/>
          </w:tcPr>
          <w:p w14:paraId="0FDD518C">
            <w:pPr>
              <w:spacing w:before="9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0.031</w:t>
            </w:r>
          </w:p>
        </w:tc>
        <w:tc>
          <w:tcPr>
            <w:tcW w:w="798" w:type="dxa"/>
            <w:vAlign w:val="top"/>
          </w:tcPr>
          <w:p w14:paraId="6E7F4614">
            <w:pPr>
              <w:spacing w:before="95"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0.45</w:t>
            </w:r>
          </w:p>
        </w:tc>
        <w:tc>
          <w:tcPr>
            <w:tcW w:w="801" w:type="dxa"/>
            <w:vAlign w:val="top"/>
          </w:tcPr>
          <w:p w14:paraId="5AB8F834">
            <w:pPr>
              <w:spacing w:before="95"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20.6</w:t>
            </w:r>
          </w:p>
        </w:tc>
        <w:tc>
          <w:tcPr>
            <w:tcW w:w="1207" w:type="dxa"/>
            <w:vAlign w:val="top"/>
          </w:tcPr>
          <w:p w14:paraId="46EBCF51">
            <w:pPr>
              <w:spacing w:before="95" w:line="274"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1189" w:type="dxa"/>
            <w:vAlign w:val="top"/>
          </w:tcPr>
          <w:p w14:paraId="39313BC9">
            <w:pPr>
              <w:spacing w:before="95"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w:t>
            </w:r>
          </w:p>
        </w:tc>
        <w:tc>
          <w:tcPr>
            <w:tcW w:w="1094" w:type="dxa"/>
            <w:vAlign w:val="top"/>
          </w:tcPr>
          <w:p w14:paraId="6A31D637">
            <w:pPr>
              <w:pStyle w:val="6"/>
              <w:spacing w:before="126" w:line="228" w:lineRule="auto"/>
              <w:ind w:left="241"/>
            </w:pPr>
            <w:r>
              <w:rPr>
                <w:spacing w:val="5"/>
              </w:rPr>
              <w:t>未检出</w:t>
            </w:r>
          </w:p>
        </w:tc>
      </w:tr>
      <w:tr w14:paraId="63EE3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bottom w:val="nil"/>
            </w:tcBorders>
            <w:vAlign w:val="top"/>
          </w:tcPr>
          <w:p w14:paraId="22BD50FE">
            <w:pPr>
              <w:rPr>
                <w:rFonts w:ascii="Arial"/>
                <w:sz w:val="21"/>
              </w:rPr>
            </w:pPr>
          </w:p>
        </w:tc>
        <w:tc>
          <w:tcPr>
            <w:tcW w:w="1249" w:type="dxa"/>
            <w:vAlign w:val="top"/>
          </w:tcPr>
          <w:p w14:paraId="36C73A1F">
            <w:pPr>
              <w:pStyle w:val="6"/>
              <w:spacing w:before="125" w:line="228" w:lineRule="auto"/>
              <w:ind w:left="314"/>
            </w:pPr>
            <w:r>
              <w:rPr>
                <w:spacing w:val="6"/>
              </w:rPr>
              <w:t>标准值</w:t>
            </w:r>
          </w:p>
        </w:tc>
        <w:tc>
          <w:tcPr>
            <w:tcW w:w="962" w:type="dxa"/>
            <w:vAlign w:val="top"/>
          </w:tcPr>
          <w:p w14:paraId="70CF8946">
            <w:pPr>
              <w:spacing w:before="94"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6.5~8.5</w:t>
            </w:r>
          </w:p>
        </w:tc>
        <w:tc>
          <w:tcPr>
            <w:tcW w:w="777" w:type="dxa"/>
            <w:vAlign w:val="top"/>
          </w:tcPr>
          <w:p w14:paraId="0DEA04E8">
            <w:pPr>
              <w:spacing w:before="94"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798" w:type="dxa"/>
            <w:vAlign w:val="top"/>
          </w:tcPr>
          <w:p w14:paraId="2EE6EB51">
            <w:pPr>
              <w:spacing w:before="94"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1" w:type="dxa"/>
            <w:vAlign w:val="top"/>
          </w:tcPr>
          <w:p w14:paraId="43DDA994">
            <w:pPr>
              <w:spacing w:before="94"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207" w:type="dxa"/>
            <w:vAlign w:val="top"/>
          </w:tcPr>
          <w:p w14:paraId="4CEE7DD1">
            <w:pPr>
              <w:spacing w:before="94"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89" w:type="dxa"/>
            <w:vAlign w:val="top"/>
          </w:tcPr>
          <w:p w14:paraId="10E0BBF8">
            <w:pPr>
              <w:spacing w:before="94"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94" w:type="dxa"/>
            <w:vAlign w:val="top"/>
          </w:tcPr>
          <w:p w14:paraId="355B0A95">
            <w:pPr>
              <w:spacing w:before="94" w:line="274"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5BF90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3" w:type="dxa"/>
            <w:vMerge w:val="continue"/>
            <w:tcBorders>
              <w:top w:val="nil"/>
              <w:bottom w:val="nil"/>
            </w:tcBorders>
            <w:vAlign w:val="top"/>
          </w:tcPr>
          <w:p w14:paraId="5B38907B">
            <w:pPr>
              <w:rPr>
                <w:rFonts w:ascii="Arial"/>
                <w:sz w:val="21"/>
              </w:rPr>
            </w:pPr>
          </w:p>
        </w:tc>
        <w:tc>
          <w:tcPr>
            <w:tcW w:w="1249" w:type="dxa"/>
            <w:vAlign w:val="top"/>
          </w:tcPr>
          <w:p w14:paraId="6BDA65B8">
            <w:pPr>
              <w:pStyle w:val="6"/>
              <w:spacing w:before="124" w:line="228" w:lineRule="auto"/>
              <w:ind w:left="209"/>
            </w:pPr>
            <w:r>
              <w:rPr>
                <w:spacing w:val="7"/>
              </w:rPr>
              <w:t>标准指数</w:t>
            </w:r>
          </w:p>
        </w:tc>
        <w:tc>
          <w:tcPr>
            <w:tcW w:w="962" w:type="dxa"/>
            <w:vAlign w:val="top"/>
          </w:tcPr>
          <w:p w14:paraId="593ED04E">
            <w:pPr>
              <w:spacing w:before="96"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c>
          <w:tcPr>
            <w:tcW w:w="777" w:type="dxa"/>
            <w:vAlign w:val="top"/>
          </w:tcPr>
          <w:p w14:paraId="46236113">
            <w:pPr>
              <w:spacing w:before="96"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798" w:type="dxa"/>
            <w:vAlign w:val="top"/>
          </w:tcPr>
          <w:p w14:paraId="3740BDEC">
            <w:pPr>
              <w:spacing w:before="96"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801" w:type="dxa"/>
            <w:vAlign w:val="top"/>
          </w:tcPr>
          <w:p w14:paraId="3DA0EE04">
            <w:pPr>
              <w:spacing w:before="96"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207" w:type="dxa"/>
            <w:vAlign w:val="top"/>
          </w:tcPr>
          <w:p w14:paraId="603EF40A">
            <w:pPr>
              <w:spacing w:before="96"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189" w:type="dxa"/>
            <w:vAlign w:val="top"/>
          </w:tcPr>
          <w:p w14:paraId="11D5DB44">
            <w:pPr>
              <w:spacing w:before="96"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0.43</w:t>
            </w:r>
          </w:p>
        </w:tc>
        <w:tc>
          <w:tcPr>
            <w:tcW w:w="1094" w:type="dxa"/>
            <w:vAlign w:val="top"/>
          </w:tcPr>
          <w:p w14:paraId="78144A16">
            <w:pPr>
              <w:spacing w:before="96"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376C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tcBorders>
            <w:vAlign w:val="top"/>
          </w:tcPr>
          <w:p w14:paraId="5EF686E1">
            <w:pPr>
              <w:rPr>
                <w:rFonts w:ascii="Arial"/>
                <w:sz w:val="21"/>
              </w:rPr>
            </w:pPr>
          </w:p>
        </w:tc>
        <w:tc>
          <w:tcPr>
            <w:tcW w:w="1249" w:type="dxa"/>
            <w:vAlign w:val="top"/>
          </w:tcPr>
          <w:p w14:paraId="6759B6DD">
            <w:pPr>
              <w:pStyle w:val="6"/>
              <w:spacing w:before="127" w:line="229" w:lineRule="auto"/>
              <w:ind w:left="207"/>
            </w:pPr>
            <w:r>
              <w:rPr>
                <w:spacing w:val="7"/>
              </w:rPr>
              <w:t>达标情况</w:t>
            </w:r>
          </w:p>
        </w:tc>
        <w:tc>
          <w:tcPr>
            <w:tcW w:w="962" w:type="dxa"/>
            <w:vAlign w:val="top"/>
          </w:tcPr>
          <w:p w14:paraId="029A283C">
            <w:pPr>
              <w:pStyle w:val="6"/>
              <w:spacing w:before="127" w:line="229" w:lineRule="auto"/>
              <w:ind w:left="273"/>
            </w:pPr>
            <w:r>
              <w:rPr>
                <w:spacing w:val="5"/>
              </w:rPr>
              <w:t>达标</w:t>
            </w:r>
          </w:p>
        </w:tc>
        <w:tc>
          <w:tcPr>
            <w:tcW w:w="777" w:type="dxa"/>
            <w:vAlign w:val="top"/>
          </w:tcPr>
          <w:p w14:paraId="06D55FB6">
            <w:pPr>
              <w:pStyle w:val="6"/>
              <w:spacing w:before="127" w:line="229" w:lineRule="auto"/>
              <w:ind w:left="183"/>
            </w:pPr>
            <w:r>
              <w:rPr>
                <w:spacing w:val="5"/>
              </w:rPr>
              <w:t>达标</w:t>
            </w:r>
          </w:p>
        </w:tc>
        <w:tc>
          <w:tcPr>
            <w:tcW w:w="798" w:type="dxa"/>
            <w:vAlign w:val="top"/>
          </w:tcPr>
          <w:p w14:paraId="52F72A3C">
            <w:pPr>
              <w:pStyle w:val="6"/>
              <w:spacing w:before="127" w:line="229" w:lineRule="auto"/>
              <w:ind w:left="193"/>
            </w:pPr>
            <w:r>
              <w:rPr>
                <w:spacing w:val="5"/>
              </w:rPr>
              <w:t>达标</w:t>
            </w:r>
          </w:p>
        </w:tc>
        <w:tc>
          <w:tcPr>
            <w:tcW w:w="801" w:type="dxa"/>
            <w:vAlign w:val="top"/>
          </w:tcPr>
          <w:p w14:paraId="146FFFA0">
            <w:pPr>
              <w:pStyle w:val="6"/>
              <w:spacing w:before="127" w:line="229" w:lineRule="auto"/>
              <w:ind w:left="194"/>
            </w:pPr>
            <w:r>
              <w:rPr>
                <w:spacing w:val="5"/>
              </w:rPr>
              <w:t>达标</w:t>
            </w:r>
          </w:p>
        </w:tc>
        <w:tc>
          <w:tcPr>
            <w:tcW w:w="1207" w:type="dxa"/>
            <w:vAlign w:val="top"/>
          </w:tcPr>
          <w:p w14:paraId="0C0046A2">
            <w:pPr>
              <w:pStyle w:val="6"/>
              <w:spacing w:before="127" w:line="229" w:lineRule="auto"/>
              <w:ind w:left="399"/>
            </w:pPr>
            <w:r>
              <w:rPr>
                <w:spacing w:val="5"/>
              </w:rPr>
              <w:t>达标</w:t>
            </w:r>
          </w:p>
        </w:tc>
        <w:tc>
          <w:tcPr>
            <w:tcW w:w="1189" w:type="dxa"/>
            <w:vAlign w:val="top"/>
          </w:tcPr>
          <w:p w14:paraId="7658FA5F">
            <w:pPr>
              <w:pStyle w:val="6"/>
              <w:spacing w:before="127" w:line="229" w:lineRule="auto"/>
              <w:ind w:left="392"/>
            </w:pPr>
            <w:r>
              <w:rPr>
                <w:spacing w:val="5"/>
              </w:rPr>
              <w:t>达标</w:t>
            </w:r>
          </w:p>
        </w:tc>
        <w:tc>
          <w:tcPr>
            <w:tcW w:w="1094" w:type="dxa"/>
            <w:vAlign w:val="top"/>
          </w:tcPr>
          <w:p w14:paraId="70FFE7F7">
            <w:pPr>
              <w:pStyle w:val="6"/>
              <w:spacing w:before="127" w:line="229" w:lineRule="auto"/>
              <w:ind w:left="343"/>
            </w:pPr>
            <w:r>
              <w:rPr>
                <w:spacing w:val="5"/>
              </w:rPr>
              <w:t>达标</w:t>
            </w:r>
          </w:p>
        </w:tc>
      </w:tr>
      <w:tr w14:paraId="2216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950" w:type="dxa"/>
            <w:gridSpan w:val="9"/>
            <w:vAlign w:val="top"/>
          </w:tcPr>
          <w:p w14:paraId="1CBCE140">
            <w:pPr>
              <w:pStyle w:val="6"/>
              <w:spacing w:before="126" w:line="229" w:lineRule="auto"/>
              <w:ind w:left="3851"/>
            </w:pPr>
            <w:r>
              <w:rPr>
                <w:spacing w:val="8"/>
              </w:rPr>
              <w:t>埋深监测结果</w:t>
            </w:r>
          </w:p>
        </w:tc>
      </w:tr>
    </w:tbl>
    <w:p w14:paraId="40E1B9CA">
      <w:pPr>
        <w:pStyle w:val="2"/>
      </w:pPr>
    </w:p>
    <w:p w14:paraId="462CF858">
      <w:pPr>
        <w:sectPr>
          <w:footerReference r:id="rId95" w:type="default"/>
          <w:pgSz w:w="11906" w:h="16839"/>
          <w:pgMar w:top="400" w:right="1475" w:bottom="1485" w:left="1475" w:header="0" w:footer="1249" w:gutter="0"/>
          <w:cols w:space="720" w:num="1"/>
        </w:sectPr>
      </w:pPr>
    </w:p>
    <w:p w14:paraId="58D02385">
      <w:pPr>
        <w:spacing w:before="13"/>
      </w:pPr>
    </w:p>
    <w:p w14:paraId="799E1068">
      <w:pPr>
        <w:spacing w:before="13"/>
      </w:pPr>
    </w:p>
    <w:p w14:paraId="57AAAE12">
      <w:pPr>
        <w:spacing w:before="13"/>
      </w:pPr>
    </w:p>
    <w:p w14:paraId="176BDEA9">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2"/>
        <w:gridCol w:w="1483"/>
        <w:gridCol w:w="1395"/>
        <w:gridCol w:w="1194"/>
        <w:gridCol w:w="1188"/>
        <w:gridCol w:w="1259"/>
        <w:gridCol w:w="1389"/>
      </w:tblGrid>
      <w:tr w14:paraId="418E1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042" w:type="dxa"/>
            <w:vAlign w:val="top"/>
          </w:tcPr>
          <w:p w14:paraId="7AB85076">
            <w:pPr>
              <w:pStyle w:val="6"/>
              <w:spacing w:before="145" w:line="230" w:lineRule="auto"/>
              <w:ind w:left="213"/>
            </w:pPr>
            <w:r>
              <w:rPr>
                <w:spacing w:val="6"/>
              </w:rPr>
              <w:t>监测点</w:t>
            </w:r>
          </w:p>
        </w:tc>
        <w:tc>
          <w:tcPr>
            <w:tcW w:w="1483" w:type="dxa"/>
            <w:vAlign w:val="top"/>
          </w:tcPr>
          <w:p w14:paraId="3DF4B369">
            <w:pPr>
              <w:spacing w:before="114" w:line="275"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U1</w:t>
            </w:r>
          </w:p>
        </w:tc>
        <w:tc>
          <w:tcPr>
            <w:tcW w:w="1395" w:type="dxa"/>
            <w:vAlign w:val="top"/>
          </w:tcPr>
          <w:p w14:paraId="6BA8EEDB">
            <w:pPr>
              <w:spacing w:before="114" w:line="275" w:lineRule="exact"/>
              <w:ind w:left="56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U2</w:t>
            </w:r>
          </w:p>
        </w:tc>
        <w:tc>
          <w:tcPr>
            <w:tcW w:w="1194" w:type="dxa"/>
            <w:vAlign w:val="top"/>
          </w:tcPr>
          <w:p w14:paraId="5FF45D00">
            <w:pPr>
              <w:spacing w:before="114" w:line="275" w:lineRule="exact"/>
              <w:ind w:left="4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U3</w:t>
            </w:r>
          </w:p>
        </w:tc>
        <w:tc>
          <w:tcPr>
            <w:tcW w:w="1188" w:type="dxa"/>
            <w:vAlign w:val="top"/>
          </w:tcPr>
          <w:p w14:paraId="59EA3F13">
            <w:pPr>
              <w:spacing w:before="114" w:line="275"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U4</w:t>
            </w:r>
          </w:p>
        </w:tc>
        <w:tc>
          <w:tcPr>
            <w:tcW w:w="1259" w:type="dxa"/>
            <w:vAlign w:val="top"/>
          </w:tcPr>
          <w:p w14:paraId="0BD34999">
            <w:pPr>
              <w:spacing w:before="184" w:line="192"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U5</w:t>
            </w:r>
          </w:p>
        </w:tc>
        <w:tc>
          <w:tcPr>
            <w:tcW w:w="1389" w:type="dxa"/>
            <w:vAlign w:val="top"/>
          </w:tcPr>
          <w:p w14:paraId="2C0CA7C3">
            <w:pPr>
              <w:spacing w:before="114" w:line="275"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U6</w:t>
            </w:r>
          </w:p>
        </w:tc>
      </w:tr>
      <w:tr w14:paraId="4C501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42" w:type="dxa"/>
            <w:vAlign w:val="top"/>
          </w:tcPr>
          <w:p w14:paraId="623CF1A5">
            <w:pPr>
              <w:pStyle w:val="6"/>
              <w:spacing w:before="124" w:line="231" w:lineRule="auto"/>
              <w:ind w:right="14"/>
              <w:jc w:val="right"/>
            </w:pPr>
            <w:r>
              <w:rPr>
                <w:spacing w:val="-11"/>
              </w:rPr>
              <w:t>埋深（</w:t>
            </w:r>
            <w:r>
              <w:rPr>
                <w:rFonts w:ascii="Times New Roman" w:hAnsi="Times New Roman" w:eastAsia="Times New Roman" w:cs="Times New Roman"/>
                <w:spacing w:val="-11"/>
              </w:rPr>
              <w:t>m</w:t>
            </w:r>
            <w:r>
              <w:rPr>
                <w:spacing w:val="-11"/>
              </w:rPr>
              <w:t>）</w:t>
            </w:r>
          </w:p>
        </w:tc>
        <w:tc>
          <w:tcPr>
            <w:tcW w:w="1483" w:type="dxa"/>
            <w:vAlign w:val="top"/>
          </w:tcPr>
          <w:p w14:paraId="19D51F22">
            <w:pPr>
              <w:spacing w:before="95" w:line="274" w:lineRule="exact"/>
              <w:ind w:left="6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1395" w:type="dxa"/>
            <w:vAlign w:val="top"/>
          </w:tcPr>
          <w:p w14:paraId="4BF054AF">
            <w:pPr>
              <w:spacing w:before="95" w:line="274" w:lineRule="exact"/>
              <w:ind w:left="5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1194" w:type="dxa"/>
            <w:vAlign w:val="top"/>
          </w:tcPr>
          <w:p w14:paraId="7EC5B7C3">
            <w:pPr>
              <w:spacing w:before="95" w:line="274" w:lineRule="exact"/>
              <w:ind w:left="54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88" w:type="dxa"/>
            <w:vAlign w:val="top"/>
          </w:tcPr>
          <w:p w14:paraId="4C6E8646">
            <w:pPr>
              <w:spacing w:before="95"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1259" w:type="dxa"/>
            <w:vAlign w:val="top"/>
          </w:tcPr>
          <w:p w14:paraId="50C6C2D8">
            <w:pPr>
              <w:spacing w:before="95"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389" w:type="dxa"/>
            <w:vAlign w:val="top"/>
          </w:tcPr>
          <w:p w14:paraId="6EDDE3FF">
            <w:pPr>
              <w:spacing w:before="95" w:line="274" w:lineRule="exact"/>
              <w:ind w:left="6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bl>
    <w:p w14:paraId="54AD4C37">
      <w:pPr>
        <w:spacing w:before="251" w:line="365" w:lineRule="auto"/>
        <w:ind w:left="124" w:right="110" w:firstLine="480"/>
        <w:jc w:val="both"/>
        <w:rPr>
          <w:rFonts w:ascii="宋体" w:hAnsi="宋体" w:eastAsia="宋体" w:cs="宋体"/>
          <w:sz w:val="24"/>
          <w:szCs w:val="24"/>
        </w:rPr>
      </w:pPr>
      <w:r>
        <w:rPr>
          <w:rFonts w:ascii="宋体" w:hAnsi="宋体" w:eastAsia="宋体" w:cs="宋体"/>
          <w:spacing w:val="1"/>
          <w:sz w:val="24"/>
          <w:szCs w:val="24"/>
        </w:rPr>
        <w:t>从表</w:t>
      </w:r>
      <w:r>
        <w:rPr>
          <w:rFonts w:ascii="Times New Roman" w:hAnsi="Times New Roman" w:eastAsia="Times New Roman" w:cs="Times New Roman"/>
          <w:spacing w:val="1"/>
          <w:sz w:val="24"/>
          <w:szCs w:val="24"/>
        </w:rPr>
        <w:t>4.2-3</w:t>
      </w:r>
      <w:r>
        <w:rPr>
          <w:rFonts w:ascii="宋体" w:hAnsi="宋体" w:eastAsia="宋体" w:cs="宋体"/>
          <w:spacing w:val="1"/>
          <w:sz w:val="24"/>
          <w:szCs w:val="24"/>
        </w:rPr>
        <w:t>计算结果可以看出，项目地下水监测点各项监测指标均能达到《地下</w:t>
      </w:r>
      <w:r>
        <w:rPr>
          <w:rFonts w:ascii="宋体" w:hAnsi="宋体" w:eastAsia="宋体" w:cs="宋体"/>
          <w:spacing w:val="18"/>
          <w:sz w:val="24"/>
          <w:szCs w:val="24"/>
        </w:rPr>
        <w:t xml:space="preserve"> </w:t>
      </w:r>
      <w:r>
        <w:rPr>
          <w:rFonts w:ascii="宋体" w:hAnsi="宋体" w:eastAsia="宋体" w:cs="宋体"/>
          <w:spacing w:val="1"/>
          <w:sz w:val="24"/>
          <w:szCs w:val="24"/>
        </w:rPr>
        <w:t>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14848-93</w:t>
      </w:r>
      <w:r>
        <w:rPr>
          <w:rFonts w:ascii="宋体" w:hAnsi="宋体" w:eastAsia="宋体" w:cs="宋体"/>
          <w:spacing w:val="1"/>
          <w:sz w:val="24"/>
          <w:szCs w:val="24"/>
        </w:rPr>
        <w:t>）中的Ⅲ类水质</w:t>
      </w:r>
      <w:r>
        <w:rPr>
          <w:rFonts w:ascii="宋体" w:hAnsi="宋体" w:eastAsia="宋体" w:cs="宋体"/>
          <w:sz w:val="24"/>
          <w:szCs w:val="24"/>
        </w:rPr>
        <w:t xml:space="preserve">标准。说明项目所在区域地下水环境 </w:t>
      </w:r>
      <w:r>
        <w:rPr>
          <w:rFonts w:ascii="宋体" w:hAnsi="宋体" w:eastAsia="宋体" w:cs="宋体"/>
          <w:spacing w:val="-2"/>
          <w:sz w:val="24"/>
          <w:szCs w:val="24"/>
        </w:rPr>
        <w:t>现状质量较好。</w:t>
      </w:r>
    </w:p>
    <w:p w14:paraId="310C3700">
      <w:pPr>
        <w:pStyle w:val="2"/>
        <w:spacing w:line="281" w:lineRule="auto"/>
      </w:pPr>
    </w:p>
    <w:p w14:paraId="6862A93B">
      <w:pPr>
        <w:spacing w:before="100" w:line="224" w:lineRule="auto"/>
        <w:ind w:left="121"/>
        <w:outlineLvl w:val="1"/>
        <w:rPr>
          <w:rFonts w:ascii="宋体" w:hAnsi="宋体" w:eastAsia="宋体" w:cs="宋体"/>
          <w:sz w:val="31"/>
          <w:szCs w:val="31"/>
        </w:rPr>
      </w:pPr>
      <w:bookmarkStart w:id="29" w:name="bookmark26"/>
      <w:bookmarkEnd w:id="29"/>
      <w:r>
        <w:rPr>
          <w:rFonts w:ascii="Times New Roman" w:hAnsi="Times New Roman" w:eastAsia="Times New Roman" w:cs="Times New Roman"/>
          <w:b/>
          <w:bCs/>
          <w:spacing w:val="6"/>
          <w:sz w:val="31"/>
          <w:szCs w:val="31"/>
        </w:rPr>
        <w:t>4.3</w:t>
      </w:r>
      <w:r>
        <w:rPr>
          <w:rFonts w:ascii="宋体" w:hAnsi="宋体" w:eastAsia="宋体" w:cs="宋体"/>
          <w:b/>
          <w:bCs/>
          <w:spacing w:val="6"/>
          <w:sz w:val="31"/>
          <w:szCs w:val="31"/>
        </w:rPr>
        <w:t>空气环境质量现状评价</w:t>
      </w:r>
    </w:p>
    <w:p w14:paraId="75E692C2">
      <w:pPr>
        <w:pStyle w:val="2"/>
        <w:spacing w:line="409" w:lineRule="auto"/>
      </w:pPr>
    </w:p>
    <w:p w14:paraId="23A520F9">
      <w:pPr>
        <w:spacing w:before="78" w:line="372" w:lineRule="auto"/>
        <w:ind w:left="122" w:right="108" w:firstLine="481"/>
        <w:jc w:val="both"/>
        <w:rPr>
          <w:rFonts w:ascii="宋体" w:hAnsi="宋体" w:eastAsia="宋体" w:cs="宋体"/>
          <w:sz w:val="24"/>
          <w:szCs w:val="24"/>
        </w:rPr>
      </w:pPr>
      <w:r>
        <w:rPr>
          <w:rFonts w:ascii="宋体" w:hAnsi="宋体" w:eastAsia="宋体" w:cs="宋体"/>
          <w:spacing w:val="2"/>
          <w:sz w:val="24"/>
          <w:szCs w:val="24"/>
        </w:rPr>
        <w:t>本项目大气环境影响评价工作等级为二级，根据《环境影响评价技术导则大气</w:t>
      </w:r>
      <w:r>
        <w:rPr>
          <w:rFonts w:ascii="宋体" w:hAnsi="宋体" w:eastAsia="宋体" w:cs="宋体"/>
          <w:spacing w:val="9"/>
          <w:sz w:val="24"/>
          <w:szCs w:val="24"/>
        </w:rPr>
        <w:t xml:space="preserve"> </w:t>
      </w:r>
      <w:r>
        <w:rPr>
          <w:rFonts w:ascii="宋体" w:hAnsi="宋体" w:eastAsia="宋体" w:cs="宋体"/>
          <w:spacing w:val="-2"/>
          <w:sz w:val="24"/>
          <w:szCs w:val="24"/>
        </w:rPr>
        <w:t>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），本项目环境空气质量现状调查和评价的内容和目的包括：①</w:t>
      </w:r>
      <w:r>
        <w:rPr>
          <w:rFonts w:ascii="宋体" w:hAnsi="宋体" w:eastAsia="宋体" w:cs="宋体"/>
          <w:spacing w:val="1"/>
          <w:sz w:val="24"/>
          <w:szCs w:val="24"/>
        </w:rPr>
        <w:t xml:space="preserve"> </w:t>
      </w:r>
      <w:r>
        <w:rPr>
          <w:rFonts w:ascii="宋体" w:hAnsi="宋体" w:eastAsia="宋体" w:cs="宋体"/>
          <w:spacing w:val="2"/>
          <w:sz w:val="24"/>
          <w:szCs w:val="24"/>
        </w:rPr>
        <w:t>调查本项目所在区域环境质量达标情况；②调查评价范围内有环境质量标准的评价</w:t>
      </w:r>
      <w:r>
        <w:rPr>
          <w:rFonts w:ascii="宋体" w:hAnsi="宋体" w:eastAsia="宋体" w:cs="宋体"/>
          <w:spacing w:val="7"/>
          <w:sz w:val="24"/>
          <w:szCs w:val="24"/>
        </w:rPr>
        <w:t xml:space="preserve"> </w:t>
      </w:r>
      <w:r>
        <w:rPr>
          <w:rFonts w:ascii="宋体" w:hAnsi="宋体" w:eastAsia="宋体" w:cs="宋体"/>
          <w:spacing w:val="2"/>
          <w:sz w:val="24"/>
          <w:szCs w:val="24"/>
        </w:rPr>
        <w:t>因子的环境质量监测数据或进行补充监测，用于评价项目所在区域污染物环境质量</w:t>
      </w:r>
      <w:r>
        <w:rPr>
          <w:rFonts w:ascii="宋体" w:hAnsi="宋体" w:eastAsia="宋体" w:cs="宋体"/>
          <w:spacing w:val="7"/>
          <w:sz w:val="24"/>
          <w:szCs w:val="24"/>
        </w:rPr>
        <w:t xml:space="preserve"> </w:t>
      </w:r>
      <w:r>
        <w:rPr>
          <w:rFonts w:ascii="宋体" w:hAnsi="宋体" w:eastAsia="宋体" w:cs="宋体"/>
          <w:spacing w:val="-2"/>
          <w:sz w:val="24"/>
          <w:szCs w:val="24"/>
        </w:rPr>
        <w:t>现状。本项目基本污染物为</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2"/>
          <w:sz w:val="24"/>
          <w:szCs w:val="24"/>
        </w:rPr>
        <w:t>、臭气浓度。本</w:t>
      </w:r>
      <w:r>
        <w:rPr>
          <w:rFonts w:ascii="宋体" w:hAnsi="宋体" w:eastAsia="宋体" w:cs="宋体"/>
          <w:spacing w:val="-3"/>
          <w:sz w:val="24"/>
          <w:szCs w:val="24"/>
        </w:rPr>
        <w:t>项目环境空气质量现状调查与</w:t>
      </w:r>
      <w:r>
        <w:rPr>
          <w:rFonts w:ascii="宋体" w:hAnsi="宋体" w:eastAsia="宋体" w:cs="宋体"/>
          <w:sz w:val="24"/>
          <w:szCs w:val="24"/>
        </w:rPr>
        <w:t xml:space="preserve"> 评价包括空气质量达标区判定、其他污染物环境质</w:t>
      </w:r>
      <w:r>
        <w:rPr>
          <w:rFonts w:ascii="宋体" w:hAnsi="宋体" w:eastAsia="宋体" w:cs="宋体"/>
          <w:spacing w:val="-1"/>
          <w:sz w:val="24"/>
          <w:szCs w:val="24"/>
        </w:rPr>
        <w:t>量现状评价两个部分。</w:t>
      </w:r>
    </w:p>
    <w:p w14:paraId="2ED7EA61">
      <w:pPr>
        <w:spacing w:before="34" w:line="221"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4.3.1</w:t>
      </w:r>
      <w:r>
        <w:rPr>
          <w:rFonts w:ascii="宋体" w:hAnsi="宋体" w:eastAsia="宋体" w:cs="宋体"/>
          <w:b/>
          <w:bCs/>
          <w:spacing w:val="-2"/>
          <w:sz w:val="24"/>
          <w:szCs w:val="24"/>
        </w:rPr>
        <w:t>空气质量达标区判定</w:t>
      </w:r>
    </w:p>
    <w:p w14:paraId="78BA2985">
      <w:pPr>
        <w:spacing w:before="163" w:line="372" w:lineRule="auto"/>
        <w:ind w:left="115" w:right="94" w:firstLine="487"/>
        <w:jc w:val="both"/>
        <w:rPr>
          <w:rFonts w:ascii="宋体" w:hAnsi="宋体" w:eastAsia="宋体" w:cs="宋体"/>
          <w:sz w:val="24"/>
          <w:szCs w:val="24"/>
        </w:rPr>
      </w:pPr>
      <w:r>
        <w:rPr>
          <w:rFonts w:ascii="宋体" w:hAnsi="宋体" w:eastAsia="宋体" w:cs="宋体"/>
          <w:spacing w:val="3"/>
          <w:sz w:val="24"/>
          <w:szCs w:val="24"/>
        </w:rPr>
        <w:t>根据汕尾市生态环境局网站分布的《</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年汕尾市生态环境状况公报》</w:t>
      </w:r>
      <w:r>
        <w:rPr>
          <w:rFonts w:ascii="Times New Roman" w:hAnsi="Times New Roman" w:eastAsia="Times New Roman" w:cs="Times New Roman"/>
          <w:spacing w:val="3"/>
          <w:sz w:val="24"/>
          <w:szCs w:val="24"/>
        </w:rPr>
        <w:t>(</w:t>
      </w:r>
      <w:r>
        <w:rPr>
          <w:rFonts w:ascii="宋体" w:hAnsi="宋体" w:eastAsia="宋体" w:cs="宋体"/>
          <w:spacing w:val="3"/>
          <w:sz w:val="24"/>
          <w:szCs w:val="24"/>
        </w:rPr>
        <w:t>网址</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fldChar w:fldCharType="begin"/>
      </w:r>
      <w:r>
        <w:instrText xml:space="preserve"> HYPERLINK "http://www.shanwei.gov.cn/swhbj/477/504/content/post_592345.html" </w:instrText>
      </w:r>
      <w:r>
        <w:fldChar w:fldCharType="separate"/>
      </w:r>
      <w:r>
        <w:rPr>
          <w:rFonts w:ascii="Times New Roman" w:hAnsi="Times New Roman" w:eastAsia="Times New Roman" w:cs="Times New Roman"/>
          <w:sz w:val="24"/>
          <w:szCs w:val="24"/>
        </w:rPr>
        <w:t>http://www.shanwei.gov.cn/swhbj/477/504/c</w:t>
      </w:r>
      <w:r>
        <w:rPr>
          <w:rFonts w:ascii="Times New Roman" w:hAnsi="Times New Roman" w:eastAsia="Times New Roman" w:cs="Times New Roman"/>
          <w:spacing w:val="-1"/>
          <w:sz w:val="24"/>
          <w:szCs w:val="24"/>
        </w:rPr>
        <w:t>ontent/post_592345.html</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年汕尾市全</w:t>
      </w:r>
      <w:r>
        <w:rPr>
          <w:rFonts w:ascii="宋体" w:hAnsi="宋体" w:eastAsia="宋体" w:cs="宋体"/>
          <w:sz w:val="24"/>
          <w:szCs w:val="24"/>
        </w:rPr>
        <w:t xml:space="preserve"> </w:t>
      </w:r>
      <w:r>
        <w:rPr>
          <w:rFonts w:ascii="宋体" w:hAnsi="宋体" w:eastAsia="宋体" w:cs="宋体"/>
          <w:spacing w:val="2"/>
          <w:sz w:val="24"/>
          <w:szCs w:val="24"/>
        </w:rPr>
        <w:t>市生态环境质量继续保持良好，城市空气质量</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项污染物年评价浓度均达到国家二</w:t>
      </w:r>
      <w:r>
        <w:rPr>
          <w:rFonts w:ascii="宋体" w:hAnsi="宋体" w:eastAsia="宋体" w:cs="宋体"/>
          <w:sz w:val="24"/>
          <w:szCs w:val="24"/>
        </w:rPr>
        <w:t xml:space="preserve"> </w:t>
      </w:r>
      <w:r>
        <w:rPr>
          <w:rFonts w:ascii="宋体" w:hAnsi="宋体" w:eastAsia="宋体" w:cs="宋体"/>
          <w:spacing w:val="2"/>
          <w:sz w:val="24"/>
          <w:szCs w:val="24"/>
        </w:rPr>
        <w:t>级标准，环境空气质量综合指数连续五年全省排名第一，由此说明本项目所在地汕</w:t>
      </w:r>
      <w:r>
        <w:rPr>
          <w:rFonts w:ascii="宋体" w:hAnsi="宋体" w:eastAsia="宋体" w:cs="宋体"/>
          <w:spacing w:val="14"/>
          <w:sz w:val="24"/>
          <w:szCs w:val="24"/>
        </w:rPr>
        <w:t xml:space="preserve"> </w:t>
      </w:r>
      <w:r>
        <w:rPr>
          <w:rFonts w:ascii="宋体" w:hAnsi="宋体" w:eastAsia="宋体" w:cs="宋体"/>
          <w:spacing w:val="-1"/>
          <w:sz w:val="24"/>
          <w:szCs w:val="24"/>
        </w:rPr>
        <w:t>尾市的环境空气质量现状良好。根据汕尾市人民政府网站</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年环境质量报告环境</w:t>
      </w:r>
      <w:r>
        <w:rPr>
          <w:rFonts w:ascii="宋体" w:hAnsi="宋体" w:eastAsia="宋体" w:cs="宋体"/>
          <w:sz w:val="24"/>
          <w:szCs w:val="24"/>
        </w:rPr>
        <w:t xml:space="preserve"> 空气质量数据，本项目所在区域属于达标区。详见</w:t>
      </w:r>
      <w:r>
        <w:rPr>
          <w:rFonts w:ascii="宋体" w:hAnsi="宋体" w:eastAsia="宋体" w:cs="宋体"/>
          <w:spacing w:val="-1"/>
          <w:sz w:val="24"/>
          <w:szCs w:val="24"/>
        </w:rPr>
        <w:t>下表：</w:t>
      </w:r>
    </w:p>
    <w:p w14:paraId="737C2023">
      <w:pPr>
        <w:spacing w:before="85" w:line="227" w:lineRule="auto"/>
        <w:ind w:left="3137"/>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4"/>
          <w:sz w:val="20"/>
          <w:szCs w:val="20"/>
        </w:rPr>
        <w:t>4.3-1</w:t>
      </w:r>
      <w:r>
        <w:rPr>
          <w:rFonts w:ascii="Times New Roman" w:hAnsi="Times New Roman" w:eastAsia="Times New Roman" w:cs="Times New Roman"/>
          <w:b/>
          <w:bCs/>
          <w:spacing w:val="15"/>
          <w:sz w:val="20"/>
          <w:szCs w:val="20"/>
        </w:rPr>
        <w:t xml:space="preserve">  </w:t>
      </w:r>
      <w:r>
        <w:rPr>
          <w:rFonts w:ascii="宋体" w:hAnsi="宋体" w:eastAsia="宋体" w:cs="宋体"/>
          <w:b/>
          <w:bCs/>
          <w:spacing w:val="4"/>
          <w:sz w:val="20"/>
          <w:szCs w:val="20"/>
        </w:rPr>
        <w:t>区域空气质量现状评价表</w:t>
      </w:r>
    </w:p>
    <w:p w14:paraId="3CC6D8C1">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939"/>
        <w:gridCol w:w="2085"/>
        <w:gridCol w:w="1416"/>
        <w:gridCol w:w="1417"/>
        <w:gridCol w:w="1022"/>
        <w:gridCol w:w="1269"/>
      </w:tblGrid>
      <w:tr w14:paraId="71CF4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02" w:type="dxa"/>
            <w:vAlign w:val="top"/>
          </w:tcPr>
          <w:p w14:paraId="733282CE">
            <w:pPr>
              <w:pStyle w:val="6"/>
              <w:spacing w:before="62" w:line="229" w:lineRule="auto"/>
              <w:ind w:left="176"/>
            </w:pPr>
            <w:r>
              <w:rPr>
                <w:b/>
                <w:bCs/>
                <w:spacing w:val="13"/>
              </w:rPr>
              <w:t>所在</w:t>
            </w:r>
          </w:p>
          <w:p w14:paraId="5167327B">
            <w:pPr>
              <w:pStyle w:val="6"/>
              <w:spacing w:before="78" w:line="229" w:lineRule="auto"/>
              <w:ind w:left="192"/>
            </w:pPr>
            <w:r>
              <w:rPr>
                <w:b/>
                <w:bCs/>
                <w:spacing w:val="5"/>
              </w:rPr>
              <w:t>区域</w:t>
            </w:r>
          </w:p>
        </w:tc>
        <w:tc>
          <w:tcPr>
            <w:tcW w:w="939" w:type="dxa"/>
            <w:vAlign w:val="top"/>
          </w:tcPr>
          <w:p w14:paraId="49B277A3">
            <w:pPr>
              <w:pStyle w:val="6"/>
              <w:spacing w:before="225" w:line="229" w:lineRule="auto"/>
              <w:ind w:left="130"/>
            </w:pPr>
            <w:r>
              <w:rPr>
                <w:b/>
                <w:bCs/>
                <w:spacing w:val="17"/>
              </w:rPr>
              <w:t>污染物</w:t>
            </w:r>
          </w:p>
        </w:tc>
        <w:tc>
          <w:tcPr>
            <w:tcW w:w="2085" w:type="dxa"/>
            <w:vAlign w:val="top"/>
          </w:tcPr>
          <w:p w14:paraId="7D75F763">
            <w:pPr>
              <w:pStyle w:val="6"/>
              <w:spacing w:before="225" w:line="227" w:lineRule="auto"/>
              <w:ind w:left="471"/>
            </w:pPr>
            <w:r>
              <w:rPr>
                <w:b/>
                <w:bCs/>
                <w:spacing w:val="22"/>
              </w:rPr>
              <w:t>年评价指标</w:t>
            </w:r>
          </w:p>
        </w:tc>
        <w:tc>
          <w:tcPr>
            <w:tcW w:w="1416" w:type="dxa"/>
            <w:vAlign w:val="top"/>
          </w:tcPr>
          <w:p w14:paraId="2E7846F5">
            <w:pPr>
              <w:pStyle w:val="6"/>
              <w:spacing w:before="62" w:line="228" w:lineRule="auto"/>
              <w:ind w:left="254"/>
            </w:pPr>
            <w:r>
              <w:rPr>
                <w:b/>
                <w:bCs/>
                <w:spacing w:val="21"/>
              </w:rPr>
              <w:t>现状浓度</w:t>
            </w:r>
          </w:p>
          <w:p w14:paraId="3C6A6058">
            <w:pPr>
              <w:pStyle w:val="6"/>
              <w:spacing w:before="78" w:line="221" w:lineRule="auto"/>
              <w:ind w:left="305"/>
            </w:pPr>
            <w:r>
              <w:rPr>
                <w:b/>
                <w:bCs/>
                <w:spacing w:val="10"/>
              </w:rPr>
              <w:t>(</w:t>
            </w:r>
            <w:r>
              <w:rPr>
                <w:rFonts w:ascii="Times New Roman" w:hAnsi="Times New Roman" w:eastAsia="Times New Roman" w:cs="Times New Roman"/>
                <w:b/>
                <w:bCs/>
                <w:spacing w:val="10"/>
              </w:rPr>
              <w:t>μg/m</w:t>
            </w:r>
            <w:r>
              <w:rPr>
                <w:rFonts w:ascii="Times New Roman" w:hAnsi="Times New Roman" w:eastAsia="Times New Roman" w:cs="Times New Roman"/>
                <w:b/>
                <w:bCs/>
                <w:spacing w:val="10"/>
                <w:position w:val="6"/>
                <w:sz w:val="13"/>
                <w:szCs w:val="13"/>
              </w:rPr>
              <w:t>3</w:t>
            </w:r>
            <w:r>
              <w:rPr>
                <w:b/>
                <w:bCs/>
                <w:spacing w:val="10"/>
              </w:rPr>
              <w:t>）</w:t>
            </w:r>
          </w:p>
        </w:tc>
        <w:tc>
          <w:tcPr>
            <w:tcW w:w="1417" w:type="dxa"/>
            <w:vAlign w:val="top"/>
          </w:tcPr>
          <w:p w14:paraId="2D4A80DD">
            <w:pPr>
              <w:pStyle w:val="6"/>
              <w:spacing w:before="62" w:line="228" w:lineRule="auto"/>
              <w:ind w:left="371"/>
            </w:pPr>
            <w:r>
              <w:rPr>
                <w:b/>
                <w:bCs/>
                <w:spacing w:val="18"/>
              </w:rPr>
              <w:t>标准值</w:t>
            </w:r>
          </w:p>
          <w:p w14:paraId="729D812C">
            <w:pPr>
              <w:pStyle w:val="6"/>
              <w:spacing w:before="78" w:line="221" w:lineRule="auto"/>
              <w:ind w:left="308"/>
            </w:pPr>
            <w:r>
              <w:rPr>
                <w:b/>
                <w:bCs/>
                <w:spacing w:val="10"/>
              </w:rPr>
              <w:t>(</w:t>
            </w:r>
            <w:r>
              <w:rPr>
                <w:rFonts w:ascii="Times New Roman" w:hAnsi="Times New Roman" w:eastAsia="Times New Roman" w:cs="Times New Roman"/>
                <w:b/>
                <w:bCs/>
                <w:spacing w:val="10"/>
              </w:rPr>
              <w:t>μg/m</w:t>
            </w:r>
            <w:r>
              <w:rPr>
                <w:rFonts w:ascii="Times New Roman" w:hAnsi="Times New Roman" w:eastAsia="Times New Roman" w:cs="Times New Roman"/>
                <w:b/>
                <w:bCs/>
                <w:spacing w:val="10"/>
                <w:position w:val="6"/>
                <w:sz w:val="13"/>
                <w:szCs w:val="13"/>
              </w:rPr>
              <w:t>3</w:t>
            </w:r>
            <w:r>
              <w:rPr>
                <w:b/>
                <w:bCs/>
                <w:spacing w:val="10"/>
              </w:rPr>
              <w:t>）</w:t>
            </w:r>
          </w:p>
        </w:tc>
        <w:tc>
          <w:tcPr>
            <w:tcW w:w="1022" w:type="dxa"/>
            <w:vAlign w:val="top"/>
          </w:tcPr>
          <w:p w14:paraId="086C5A59">
            <w:pPr>
              <w:pStyle w:val="6"/>
              <w:spacing w:before="62" w:line="228" w:lineRule="auto"/>
              <w:ind w:left="207"/>
            </w:pPr>
            <w:r>
              <w:rPr>
                <w:b/>
                <w:bCs/>
                <w:spacing w:val="7"/>
              </w:rPr>
              <w:t>占标率</w:t>
            </w:r>
          </w:p>
          <w:p w14:paraId="169DB863">
            <w:pPr>
              <w:spacing w:before="114" w:line="195" w:lineRule="auto"/>
              <w:ind w:left="366"/>
              <w:rPr>
                <w:rFonts w:ascii="Times New Roman" w:hAnsi="Times New Roman" w:eastAsia="Times New Roman" w:cs="Times New Roman"/>
                <w:sz w:val="20"/>
                <w:szCs w:val="20"/>
              </w:rPr>
            </w:pPr>
            <w:r>
              <w:rPr>
                <w:rFonts w:ascii="Times New Roman" w:hAnsi="Times New Roman" w:eastAsia="Times New Roman" w:cs="Times New Roman"/>
                <w:b/>
                <w:bCs/>
                <w:spacing w:val="9"/>
                <w:sz w:val="20"/>
                <w:szCs w:val="20"/>
              </w:rPr>
              <w:t>/%</w:t>
            </w:r>
          </w:p>
        </w:tc>
        <w:tc>
          <w:tcPr>
            <w:tcW w:w="1269" w:type="dxa"/>
            <w:vAlign w:val="top"/>
          </w:tcPr>
          <w:p w14:paraId="77181BE5">
            <w:pPr>
              <w:pStyle w:val="6"/>
              <w:spacing w:before="225" w:line="229" w:lineRule="auto"/>
              <w:ind w:left="179"/>
            </w:pPr>
            <w:r>
              <w:rPr>
                <w:b/>
                <w:bCs/>
                <w:spacing w:val="21"/>
              </w:rPr>
              <w:t>达标情况</w:t>
            </w:r>
          </w:p>
        </w:tc>
      </w:tr>
      <w:tr w14:paraId="79F10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02" w:type="dxa"/>
            <w:vMerge w:val="restart"/>
            <w:tcBorders>
              <w:bottom w:val="nil"/>
            </w:tcBorders>
            <w:vAlign w:val="top"/>
          </w:tcPr>
          <w:p w14:paraId="171E0A81">
            <w:pPr>
              <w:spacing w:line="275" w:lineRule="auto"/>
              <w:rPr>
                <w:rFonts w:ascii="Arial"/>
                <w:sz w:val="21"/>
              </w:rPr>
            </w:pPr>
          </w:p>
          <w:p w14:paraId="5C1BC31F">
            <w:pPr>
              <w:spacing w:line="276" w:lineRule="auto"/>
              <w:rPr>
                <w:rFonts w:ascii="Arial"/>
                <w:sz w:val="21"/>
              </w:rPr>
            </w:pPr>
          </w:p>
          <w:p w14:paraId="16722D3F">
            <w:pPr>
              <w:spacing w:line="276" w:lineRule="auto"/>
              <w:rPr>
                <w:rFonts w:ascii="Arial"/>
                <w:sz w:val="21"/>
              </w:rPr>
            </w:pPr>
          </w:p>
          <w:p w14:paraId="5468E159">
            <w:pPr>
              <w:pStyle w:val="6"/>
              <w:spacing w:before="65" w:line="303" w:lineRule="auto"/>
              <w:ind w:left="297" w:right="189" w:hanging="118"/>
            </w:pPr>
            <w:r>
              <w:rPr>
                <w:spacing w:val="14"/>
              </w:rPr>
              <w:t>汕尾</w:t>
            </w:r>
            <w:r>
              <w:t xml:space="preserve"> 市</w:t>
            </w:r>
          </w:p>
        </w:tc>
        <w:tc>
          <w:tcPr>
            <w:tcW w:w="939" w:type="dxa"/>
            <w:vAlign w:val="top"/>
          </w:tcPr>
          <w:p w14:paraId="37C90364">
            <w:pPr>
              <w:spacing w:before="94" w:line="235" w:lineRule="auto"/>
              <w:ind w:left="296"/>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SO</w:t>
            </w:r>
            <w:r>
              <w:rPr>
                <w:rFonts w:ascii="Times New Roman" w:hAnsi="Times New Roman" w:eastAsia="Times New Roman" w:cs="Times New Roman"/>
                <w:spacing w:val="7"/>
                <w:sz w:val="13"/>
                <w:szCs w:val="13"/>
              </w:rPr>
              <w:t>2</w:t>
            </w:r>
          </w:p>
        </w:tc>
        <w:tc>
          <w:tcPr>
            <w:tcW w:w="2085" w:type="dxa"/>
            <w:vAlign w:val="top"/>
          </w:tcPr>
          <w:p w14:paraId="2767E450">
            <w:pPr>
              <w:pStyle w:val="6"/>
              <w:spacing w:before="59" w:line="228" w:lineRule="auto"/>
              <w:ind w:left="243"/>
            </w:pPr>
            <w:r>
              <w:rPr>
                <w:spacing w:val="25"/>
              </w:rPr>
              <w:t>年平均质量浓度</w:t>
            </w:r>
          </w:p>
        </w:tc>
        <w:tc>
          <w:tcPr>
            <w:tcW w:w="1416" w:type="dxa"/>
            <w:vAlign w:val="top"/>
          </w:tcPr>
          <w:p w14:paraId="72D87923">
            <w:pPr>
              <w:spacing w:before="28" w:line="274" w:lineRule="exact"/>
              <w:ind w:left="6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417" w:type="dxa"/>
            <w:vAlign w:val="top"/>
          </w:tcPr>
          <w:p w14:paraId="20DB0519">
            <w:pPr>
              <w:spacing w:before="28"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w:t>
            </w:r>
          </w:p>
        </w:tc>
        <w:tc>
          <w:tcPr>
            <w:tcW w:w="1022" w:type="dxa"/>
            <w:vAlign w:val="top"/>
          </w:tcPr>
          <w:p w14:paraId="534CD926">
            <w:pPr>
              <w:spacing w:before="28"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13.3</w:t>
            </w:r>
          </w:p>
        </w:tc>
        <w:tc>
          <w:tcPr>
            <w:tcW w:w="1269" w:type="dxa"/>
            <w:vAlign w:val="top"/>
          </w:tcPr>
          <w:p w14:paraId="6EC79B40">
            <w:pPr>
              <w:pStyle w:val="6"/>
              <w:spacing w:before="58" w:line="229" w:lineRule="auto"/>
              <w:ind w:left="410"/>
            </w:pPr>
            <w:r>
              <w:rPr>
                <w:spacing w:val="16"/>
              </w:rPr>
              <w:t>达标</w:t>
            </w:r>
          </w:p>
        </w:tc>
      </w:tr>
      <w:tr w14:paraId="257DA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02" w:type="dxa"/>
            <w:vMerge w:val="continue"/>
            <w:tcBorders>
              <w:top w:val="nil"/>
              <w:bottom w:val="nil"/>
            </w:tcBorders>
            <w:vAlign w:val="top"/>
          </w:tcPr>
          <w:p w14:paraId="773E172E">
            <w:pPr>
              <w:rPr>
                <w:rFonts w:ascii="Arial"/>
                <w:sz w:val="21"/>
              </w:rPr>
            </w:pPr>
          </w:p>
        </w:tc>
        <w:tc>
          <w:tcPr>
            <w:tcW w:w="939" w:type="dxa"/>
            <w:vAlign w:val="top"/>
          </w:tcPr>
          <w:p w14:paraId="6533756E">
            <w:pPr>
              <w:spacing w:before="95" w:line="234" w:lineRule="auto"/>
              <w:ind w:left="261"/>
              <w:rPr>
                <w:rFonts w:ascii="Times New Roman" w:hAnsi="Times New Roman" w:eastAsia="Times New Roman" w:cs="Times New Roman"/>
                <w:sz w:val="13"/>
                <w:szCs w:val="13"/>
              </w:rPr>
            </w:pPr>
            <w:r>
              <w:rPr>
                <w:rFonts w:ascii="Times New Roman" w:hAnsi="Times New Roman" w:eastAsia="Times New Roman" w:cs="Times New Roman"/>
                <w:spacing w:val="13"/>
                <w:sz w:val="20"/>
                <w:szCs w:val="20"/>
              </w:rPr>
              <w:t>NO</w:t>
            </w:r>
            <w:r>
              <w:rPr>
                <w:rFonts w:ascii="Times New Roman" w:hAnsi="Times New Roman" w:eastAsia="Times New Roman" w:cs="Times New Roman"/>
                <w:spacing w:val="13"/>
                <w:sz w:val="13"/>
                <w:szCs w:val="13"/>
              </w:rPr>
              <w:t>2</w:t>
            </w:r>
          </w:p>
        </w:tc>
        <w:tc>
          <w:tcPr>
            <w:tcW w:w="2085" w:type="dxa"/>
            <w:vAlign w:val="top"/>
          </w:tcPr>
          <w:p w14:paraId="0F89DE62">
            <w:pPr>
              <w:pStyle w:val="6"/>
              <w:spacing w:before="60" w:line="228" w:lineRule="auto"/>
              <w:ind w:left="243"/>
            </w:pPr>
            <w:r>
              <w:rPr>
                <w:spacing w:val="25"/>
              </w:rPr>
              <w:t>年平均质量浓度</w:t>
            </w:r>
          </w:p>
        </w:tc>
        <w:tc>
          <w:tcPr>
            <w:tcW w:w="1416" w:type="dxa"/>
            <w:vAlign w:val="top"/>
          </w:tcPr>
          <w:p w14:paraId="612F0309">
            <w:pPr>
              <w:spacing w:before="29"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1417" w:type="dxa"/>
            <w:vAlign w:val="top"/>
          </w:tcPr>
          <w:p w14:paraId="4B1EDBF3">
            <w:pPr>
              <w:spacing w:before="29" w:line="274" w:lineRule="exact"/>
              <w:ind w:left="59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p>
        </w:tc>
        <w:tc>
          <w:tcPr>
            <w:tcW w:w="1022" w:type="dxa"/>
            <w:vAlign w:val="top"/>
          </w:tcPr>
          <w:p w14:paraId="7748696E">
            <w:pPr>
              <w:spacing w:before="29"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3"/>
                <w:position w:val="2"/>
                <w:sz w:val="20"/>
                <w:szCs w:val="20"/>
              </w:rPr>
              <w:t>.5</w:t>
            </w:r>
          </w:p>
        </w:tc>
        <w:tc>
          <w:tcPr>
            <w:tcW w:w="1269" w:type="dxa"/>
            <w:vAlign w:val="top"/>
          </w:tcPr>
          <w:p w14:paraId="3E60E964">
            <w:pPr>
              <w:pStyle w:val="6"/>
              <w:spacing w:before="60" w:line="229" w:lineRule="auto"/>
              <w:ind w:left="410"/>
            </w:pPr>
            <w:r>
              <w:rPr>
                <w:spacing w:val="16"/>
              </w:rPr>
              <w:t>达标</w:t>
            </w:r>
          </w:p>
        </w:tc>
      </w:tr>
      <w:tr w14:paraId="2CB26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02" w:type="dxa"/>
            <w:vMerge w:val="continue"/>
            <w:tcBorders>
              <w:top w:val="nil"/>
              <w:bottom w:val="nil"/>
            </w:tcBorders>
            <w:vAlign w:val="top"/>
          </w:tcPr>
          <w:p w14:paraId="71B8DBC9">
            <w:pPr>
              <w:rPr>
                <w:rFonts w:ascii="Arial"/>
                <w:sz w:val="21"/>
              </w:rPr>
            </w:pPr>
          </w:p>
        </w:tc>
        <w:tc>
          <w:tcPr>
            <w:tcW w:w="939" w:type="dxa"/>
            <w:vAlign w:val="top"/>
          </w:tcPr>
          <w:p w14:paraId="00261E42">
            <w:pPr>
              <w:spacing w:before="99" w:line="230" w:lineRule="auto"/>
              <w:ind w:left="229"/>
              <w:rPr>
                <w:rFonts w:ascii="Times New Roman" w:hAnsi="Times New Roman" w:eastAsia="Times New Roman" w:cs="Times New Roman"/>
                <w:sz w:val="13"/>
                <w:szCs w:val="13"/>
              </w:rPr>
            </w:pPr>
            <w:r>
              <w:rPr>
                <w:rFonts w:ascii="Times New Roman" w:hAnsi="Times New Roman" w:eastAsia="Times New Roman" w:cs="Times New Roman"/>
                <w:spacing w:val="11"/>
                <w:position w:val="1"/>
                <w:sz w:val="20"/>
                <w:szCs w:val="20"/>
              </w:rPr>
              <w:t>PM</w:t>
            </w:r>
            <w:r>
              <w:rPr>
                <w:rFonts w:ascii="Times New Roman" w:hAnsi="Times New Roman" w:eastAsia="Times New Roman" w:cs="Times New Roman"/>
                <w:spacing w:val="11"/>
                <w:sz w:val="13"/>
                <w:szCs w:val="13"/>
              </w:rPr>
              <w:t>10</w:t>
            </w:r>
          </w:p>
        </w:tc>
        <w:tc>
          <w:tcPr>
            <w:tcW w:w="2085" w:type="dxa"/>
            <w:vAlign w:val="top"/>
          </w:tcPr>
          <w:p w14:paraId="4F7743A2">
            <w:pPr>
              <w:pStyle w:val="6"/>
              <w:spacing w:before="61" w:line="228" w:lineRule="auto"/>
              <w:ind w:left="243"/>
            </w:pPr>
            <w:r>
              <w:rPr>
                <w:spacing w:val="25"/>
              </w:rPr>
              <w:t>年平均质量浓度</w:t>
            </w:r>
          </w:p>
        </w:tc>
        <w:tc>
          <w:tcPr>
            <w:tcW w:w="1416" w:type="dxa"/>
            <w:vAlign w:val="top"/>
          </w:tcPr>
          <w:p w14:paraId="34B5F9FF">
            <w:pPr>
              <w:spacing w:before="30"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37</w:t>
            </w:r>
          </w:p>
        </w:tc>
        <w:tc>
          <w:tcPr>
            <w:tcW w:w="1417" w:type="dxa"/>
            <w:vAlign w:val="top"/>
          </w:tcPr>
          <w:p w14:paraId="69ACB0E9">
            <w:pPr>
              <w:spacing w:before="30" w:line="274" w:lineRule="exact"/>
              <w:ind w:left="5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w:t>
            </w:r>
          </w:p>
        </w:tc>
        <w:tc>
          <w:tcPr>
            <w:tcW w:w="1022" w:type="dxa"/>
            <w:vAlign w:val="top"/>
          </w:tcPr>
          <w:p w14:paraId="1B9D61EC">
            <w:pPr>
              <w:spacing w:before="30"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52.9</w:t>
            </w:r>
          </w:p>
        </w:tc>
        <w:tc>
          <w:tcPr>
            <w:tcW w:w="1269" w:type="dxa"/>
            <w:vAlign w:val="top"/>
          </w:tcPr>
          <w:p w14:paraId="0CDCA88C">
            <w:pPr>
              <w:pStyle w:val="6"/>
              <w:spacing w:before="60" w:line="229" w:lineRule="auto"/>
              <w:ind w:left="410"/>
            </w:pPr>
            <w:r>
              <w:rPr>
                <w:spacing w:val="16"/>
              </w:rPr>
              <w:t>达标</w:t>
            </w:r>
          </w:p>
        </w:tc>
      </w:tr>
      <w:tr w14:paraId="1DA4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02" w:type="dxa"/>
            <w:vMerge w:val="continue"/>
            <w:tcBorders>
              <w:top w:val="nil"/>
              <w:bottom w:val="nil"/>
            </w:tcBorders>
            <w:vAlign w:val="top"/>
          </w:tcPr>
          <w:p w14:paraId="02035B70">
            <w:pPr>
              <w:rPr>
                <w:rFonts w:ascii="Arial"/>
                <w:sz w:val="21"/>
              </w:rPr>
            </w:pPr>
          </w:p>
        </w:tc>
        <w:tc>
          <w:tcPr>
            <w:tcW w:w="939" w:type="dxa"/>
            <w:vAlign w:val="top"/>
          </w:tcPr>
          <w:p w14:paraId="6CECBB24">
            <w:pPr>
              <w:spacing w:before="100" w:line="230" w:lineRule="auto"/>
              <w:ind w:left="207"/>
              <w:rPr>
                <w:rFonts w:ascii="Times New Roman" w:hAnsi="Times New Roman" w:eastAsia="Times New Roman" w:cs="Times New Roman"/>
                <w:sz w:val="13"/>
                <w:szCs w:val="13"/>
              </w:rPr>
            </w:pPr>
            <w:r>
              <w:rPr>
                <w:rFonts w:ascii="Times New Roman" w:hAnsi="Times New Roman" w:eastAsia="Times New Roman" w:cs="Times New Roman"/>
                <w:spacing w:val="10"/>
                <w:sz w:val="20"/>
                <w:szCs w:val="20"/>
              </w:rPr>
              <w:t>PM</w:t>
            </w:r>
            <w:r>
              <w:rPr>
                <w:rFonts w:ascii="Times New Roman" w:hAnsi="Times New Roman" w:eastAsia="Times New Roman" w:cs="Times New Roman"/>
                <w:spacing w:val="10"/>
                <w:sz w:val="13"/>
                <w:szCs w:val="13"/>
              </w:rPr>
              <w:t>2.5</w:t>
            </w:r>
          </w:p>
        </w:tc>
        <w:tc>
          <w:tcPr>
            <w:tcW w:w="2085" w:type="dxa"/>
            <w:vAlign w:val="top"/>
          </w:tcPr>
          <w:p w14:paraId="21924258">
            <w:pPr>
              <w:pStyle w:val="6"/>
              <w:spacing w:before="62" w:line="228" w:lineRule="auto"/>
              <w:ind w:left="243"/>
            </w:pPr>
            <w:r>
              <w:rPr>
                <w:spacing w:val="25"/>
              </w:rPr>
              <w:t>年平均质量浓度</w:t>
            </w:r>
          </w:p>
        </w:tc>
        <w:tc>
          <w:tcPr>
            <w:tcW w:w="1416" w:type="dxa"/>
            <w:vAlign w:val="top"/>
          </w:tcPr>
          <w:p w14:paraId="47C9A841">
            <w:pPr>
              <w:spacing w:before="31"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21</w:t>
            </w:r>
          </w:p>
        </w:tc>
        <w:tc>
          <w:tcPr>
            <w:tcW w:w="1417" w:type="dxa"/>
            <w:vAlign w:val="top"/>
          </w:tcPr>
          <w:p w14:paraId="11D614F2">
            <w:pPr>
              <w:spacing w:before="31"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35</w:t>
            </w:r>
          </w:p>
        </w:tc>
        <w:tc>
          <w:tcPr>
            <w:tcW w:w="1022" w:type="dxa"/>
            <w:vAlign w:val="top"/>
          </w:tcPr>
          <w:p w14:paraId="5F00FF23">
            <w:pPr>
              <w:spacing w:before="31"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60.0</w:t>
            </w:r>
          </w:p>
        </w:tc>
        <w:tc>
          <w:tcPr>
            <w:tcW w:w="1269" w:type="dxa"/>
            <w:vAlign w:val="top"/>
          </w:tcPr>
          <w:p w14:paraId="1C52D92E">
            <w:pPr>
              <w:pStyle w:val="6"/>
              <w:spacing w:before="61" w:line="229" w:lineRule="auto"/>
              <w:ind w:left="410"/>
            </w:pPr>
            <w:r>
              <w:rPr>
                <w:spacing w:val="16"/>
              </w:rPr>
              <w:t>达标</w:t>
            </w:r>
          </w:p>
        </w:tc>
      </w:tr>
      <w:tr w14:paraId="08AD1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02" w:type="dxa"/>
            <w:vMerge w:val="continue"/>
            <w:tcBorders>
              <w:top w:val="nil"/>
              <w:bottom w:val="nil"/>
            </w:tcBorders>
            <w:vAlign w:val="top"/>
          </w:tcPr>
          <w:p w14:paraId="7BCB75D2">
            <w:pPr>
              <w:rPr>
                <w:rFonts w:ascii="Arial"/>
                <w:sz w:val="21"/>
              </w:rPr>
            </w:pPr>
          </w:p>
        </w:tc>
        <w:tc>
          <w:tcPr>
            <w:tcW w:w="939" w:type="dxa"/>
            <w:vAlign w:val="top"/>
          </w:tcPr>
          <w:p w14:paraId="6DF1B84C">
            <w:pPr>
              <w:spacing w:before="26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CO</w:t>
            </w:r>
          </w:p>
        </w:tc>
        <w:tc>
          <w:tcPr>
            <w:tcW w:w="2085" w:type="dxa"/>
            <w:vAlign w:val="top"/>
          </w:tcPr>
          <w:p w14:paraId="77A04AC0">
            <w:pPr>
              <w:pStyle w:val="6"/>
              <w:spacing w:before="30" w:line="284" w:lineRule="auto"/>
              <w:ind w:left="586" w:right="126" w:hanging="475"/>
            </w:pPr>
            <w:r>
              <w:rPr>
                <w:rFonts w:ascii="Times New Roman" w:hAnsi="Times New Roman" w:eastAsia="Times New Roman" w:cs="Times New Roman"/>
                <w:spacing w:val="19"/>
              </w:rPr>
              <w:t xml:space="preserve">95 </w:t>
            </w:r>
            <w:r>
              <w:rPr>
                <w:spacing w:val="19"/>
              </w:rPr>
              <w:t>百分位数日平均</w:t>
            </w:r>
            <w:r>
              <w:rPr>
                <w:spacing w:val="1"/>
              </w:rPr>
              <w:t xml:space="preserve"> </w:t>
            </w:r>
            <w:r>
              <w:rPr>
                <w:spacing w:val="22"/>
              </w:rPr>
              <w:t>质量浓度</w:t>
            </w:r>
          </w:p>
        </w:tc>
        <w:tc>
          <w:tcPr>
            <w:tcW w:w="1416" w:type="dxa"/>
            <w:vAlign w:val="top"/>
          </w:tcPr>
          <w:p w14:paraId="0AE127F8">
            <w:pPr>
              <w:spacing w:before="194" w:line="274" w:lineRule="exact"/>
              <w:ind w:left="541"/>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900</w:t>
            </w:r>
          </w:p>
        </w:tc>
        <w:tc>
          <w:tcPr>
            <w:tcW w:w="1417" w:type="dxa"/>
            <w:vAlign w:val="top"/>
          </w:tcPr>
          <w:p w14:paraId="59BF853B">
            <w:pPr>
              <w:spacing w:before="194"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4000</w:t>
            </w:r>
          </w:p>
        </w:tc>
        <w:tc>
          <w:tcPr>
            <w:tcW w:w="1022" w:type="dxa"/>
            <w:vAlign w:val="top"/>
          </w:tcPr>
          <w:p w14:paraId="1C967EED">
            <w:pPr>
              <w:spacing w:before="194"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22.5</w:t>
            </w:r>
          </w:p>
        </w:tc>
        <w:tc>
          <w:tcPr>
            <w:tcW w:w="1269" w:type="dxa"/>
            <w:vAlign w:val="top"/>
          </w:tcPr>
          <w:p w14:paraId="2431342E">
            <w:pPr>
              <w:pStyle w:val="6"/>
              <w:spacing w:before="225" w:line="229" w:lineRule="auto"/>
              <w:ind w:left="410"/>
            </w:pPr>
            <w:r>
              <w:rPr>
                <w:spacing w:val="16"/>
              </w:rPr>
              <w:t>达标</w:t>
            </w:r>
          </w:p>
        </w:tc>
      </w:tr>
      <w:tr w14:paraId="38C9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02" w:type="dxa"/>
            <w:vMerge w:val="continue"/>
            <w:tcBorders>
              <w:top w:val="nil"/>
            </w:tcBorders>
            <w:vAlign w:val="top"/>
          </w:tcPr>
          <w:p w14:paraId="758EE541">
            <w:pPr>
              <w:rPr>
                <w:rFonts w:ascii="Arial"/>
                <w:sz w:val="21"/>
              </w:rPr>
            </w:pPr>
          </w:p>
        </w:tc>
        <w:tc>
          <w:tcPr>
            <w:tcW w:w="939" w:type="dxa"/>
            <w:vAlign w:val="top"/>
          </w:tcPr>
          <w:p w14:paraId="6D5174CF">
            <w:pPr>
              <w:spacing w:before="99" w:line="234" w:lineRule="exact"/>
              <w:ind w:left="353"/>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O</w:t>
            </w:r>
            <w:r>
              <w:rPr>
                <w:rFonts w:ascii="Times New Roman" w:hAnsi="Times New Roman" w:eastAsia="Times New Roman" w:cs="Times New Roman"/>
                <w:spacing w:val="7"/>
                <w:sz w:val="13"/>
                <w:szCs w:val="13"/>
              </w:rPr>
              <w:t>3</w:t>
            </w:r>
          </w:p>
        </w:tc>
        <w:tc>
          <w:tcPr>
            <w:tcW w:w="2085" w:type="dxa"/>
            <w:vAlign w:val="top"/>
          </w:tcPr>
          <w:p w14:paraId="760A119A">
            <w:pPr>
              <w:pStyle w:val="6"/>
              <w:spacing w:before="32" w:line="274" w:lineRule="exact"/>
              <w:ind w:left="111"/>
              <w:rPr>
                <w:rFonts w:ascii="Times New Roman" w:hAnsi="Times New Roman" w:eastAsia="Times New Roman" w:cs="Times New Roman"/>
              </w:rPr>
            </w:pPr>
            <w:r>
              <w:rPr>
                <w:rFonts w:ascii="Times New Roman" w:hAnsi="Times New Roman" w:eastAsia="Times New Roman" w:cs="Times New Roman"/>
                <w:spacing w:val="16"/>
                <w:position w:val="1"/>
              </w:rPr>
              <w:t>90</w:t>
            </w:r>
            <w:r>
              <w:rPr>
                <w:rFonts w:ascii="Times New Roman" w:hAnsi="Times New Roman" w:eastAsia="Times New Roman" w:cs="Times New Roman"/>
                <w:spacing w:val="43"/>
                <w:position w:val="1"/>
              </w:rPr>
              <w:t xml:space="preserve"> </w:t>
            </w:r>
            <w:r>
              <w:rPr>
                <w:spacing w:val="16"/>
                <w:position w:val="1"/>
              </w:rPr>
              <w:t>百分位数最大</w:t>
            </w:r>
            <w:r>
              <w:rPr>
                <w:spacing w:val="-9"/>
                <w:position w:val="1"/>
              </w:rPr>
              <w:t xml:space="preserve"> </w:t>
            </w:r>
            <w:r>
              <w:rPr>
                <w:rFonts w:ascii="Times New Roman" w:hAnsi="Times New Roman" w:eastAsia="Times New Roman" w:cs="Times New Roman"/>
                <w:spacing w:val="16"/>
                <w:position w:val="1"/>
              </w:rPr>
              <w:t>8</w:t>
            </w:r>
          </w:p>
        </w:tc>
        <w:tc>
          <w:tcPr>
            <w:tcW w:w="1416" w:type="dxa"/>
            <w:vAlign w:val="top"/>
          </w:tcPr>
          <w:p w14:paraId="11988602">
            <w:pPr>
              <w:spacing w:before="32" w:line="274" w:lineRule="exact"/>
              <w:ind w:left="5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143</w:t>
            </w:r>
          </w:p>
        </w:tc>
        <w:tc>
          <w:tcPr>
            <w:tcW w:w="1417" w:type="dxa"/>
            <w:vAlign w:val="top"/>
          </w:tcPr>
          <w:p w14:paraId="6A7E896A">
            <w:pPr>
              <w:spacing w:before="32" w:line="274" w:lineRule="exact"/>
              <w:ind w:left="5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w:t>
            </w:r>
          </w:p>
        </w:tc>
        <w:tc>
          <w:tcPr>
            <w:tcW w:w="1022" w:type="dxa"/>
            <w:vAlign w:val="top"/>
          </w:tcPr>
          <w:p w14:paraId="0884E591">
            <w:pPr>
              <w:spacing w:before="3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89.4</w:t>
            </w:r>
          </w:p>
        </w:tc>
        <w:tc>
          <w:tcPr>
            <w:tcW w:w="1269" w:type="dxa"/>
            <w:vAlign w:val="top"/>
          </w:tcPr>
          <w:p w14:paraId="4050C34E">
            <w:pPr>
              <w:pStyle w:val="6"/>
              <w:spacing w:before="63" w:line="229" w:lineRule="auto"/>
              <w:ind w:left="410"/>
            </w:pPr>
            <w:r>
              <w:rPr>
                <w:spacing w:val="16"/>
              </w:rPr>
              <w:t>达标</w:t>
            </w:r>
          </w:p>
        </w:tc>
      </w:tr>
    </w:tbl>
    <w:p w14:paraId="756E9600">
      <w:pPr>
        <w:pStyle w:val="2"/>
      </w:pPr>
    </w:p>
    <w:p w14:paraId="3A05650A">
      <w:pPr>
        <w:sectPr>
          <w:footerReference r:id="rId96" w:type="default"/>
          <w:pgSz w:w="11906" w:h="16839"/>
          <w:pgMar w:top="400" w:right="1475" w:bottom="1485" w:left="1475" w:header="0" w:footer="1249" w:gutter="0"/>
          <w:cols w:space="720" w:num="1"/>
        </w:sectPr>
      </w:pPr>
    </w:p>
    <w:p w14:paraId="312956B3">
      <w:pPr>
        <w:pStyle w:val="2"/>
        <w:spacing w:line="369" w:lineRule="auto"/>
      </w:pPr>
    </w:p>
    <w:p w14:paraId="40BB063E">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4.3.2</w:t>
      </w:r>
      <w:r>
        <w:rPr>
          <w:rFonts w:ascii="宋体" w:hAnsi="宋体" w:eastAsia="宋体" w:cs="宋体"/>
          <w:b/>
          <w:bCs/>
          <w:spacing w:val="-2"/>
          <w:sz w:val="24"/>
          <w:szCs w:val="24"/>
        </w:rPr>
        <w:t>其他污染物环境质量现状评价</w:t>
      </w:r>
    </w:p>
    <w:p w14:paraId="10C255C1">
      <w:pPr>
        <w:spacing w:before="204" w:line="222" w:lineRule="auto"/>
        <w:ind w:left="609"/>
        <w:rPr>
          <w:rFonts w:ascii="宋体" w:hAnsi="宋体" w:eastAsia="宋体" w:cs="宋体"/>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32"/>
          <w:sz w:val="24"/>
          <w:szCs w:val="24"/>
        </w:rPr>
        <w:t xml:space="preserve"> </w:t>
      </w:r>
      <w:r>
        <w:rPr>
          <w:rFonts w:ascii="宋体" w:hAnsi="宋体" w:eastAsia="宋体" w:cs="宋体"/>
          <w:b/>
          <w:bCs/>
          <w:spacing w:val="-8"/>
          <w:sz w:val="24"/>
          <w:szCs w:val="24"/>
        </w:rPr>
        <w:t>、监测点位置</w:t>
      </w:r>
    </w:p>
    <w:p w14:paraId="70ED0F8C">
      <w:pPr>
        <w:spacing w:before="165" w:line="389" w:lineRule="auto"/>
        <w:ind w:left="123" w:right="113" w:firstLine="481"/>
        <w:jc w:val="both"/>
        <w:rPr>
          <w:rFonts w:ascii="宋体" w:hAnsi="宋体" w:eastAsia="宋体" w:cs="宋体"/>
          <w:sz w:val="24"/>
          <w:szCs w:val="24"/>
        </w:rPr>
      </w:pPr>
      <w:r>
        <w:rPr>
          <w:rFonts w:ascii="宋体" w:hAnsi="宋体" w:eastAsia="宋体" w:cs="宋体"/>
          <w:spacing w:val="1"/>
          <w:sz w:val="24"/>
          <w:szCs w:val="24"/>
        </w:rPr>
        <w:t>建设单位委托委托广东惠利通检测技术有限公司在项目下风向共设置</w:t>
      </w:r>
      <w:r>
        <w:rPr>
          <w:rFonts w:ascii="宋体" w:hAnsi="宋体" w:eastAsia="宋体" w:cs="宋体"/>
          <w:spacing w:val="-20"/>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个大气</w:t>
      </w:r>
      <w:r>
        <w:rPr>
          <w:rFonts w:ascii="宋体" w:hAnsi="宋体" w:eastAsia="宋体" w:cs="宋体"/>
          <w:sz w:val="24"/>
          <w:szCs w:val="24"/>
        </w:rPr>
        <w:t xml:space="preserve"> </w:t>
      </w:r>
      <w:r>
        <w:rPr>
          <w:rFonts w:ascii="宋体" w:hAnsi="宋体" w:eastAsia="宋体" w:cs="宋体"/>
          <w:spacing w:val="2"/>
          <w:sz w:val="24"/>
          <w:szCs w:val="24"/>
        </w:rPr>
        <w:t xml:space="preserve">监测点，对项目所在区域环境空气质量现状进行监测。监测点位和本项目位置关系 </w:t>
      </w:r>
      <w:r>
        <w:rPr>
          <w:rFonts w:ascii="宋体" w:hAnsi="宋体" w:eastAsia="宋体" w:cs="宋体"/>
          <w:spacing w:val="-2"/>
          <w:sz w:val="24"/>
          <w:szCs w:val="24"/>
        </w:rPr>
        <w:t>见表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4.3-2 </w:t>
      </w:r>
      <w:r>
        <w:rPr>
          <w:rFonts w:ascii="宋体" w:hAnsi="宋体" w:eastAsia="宋体" w:cs="宋体"/>
          <w:spacing w:val="-2"/>
          <w:sz w:val="24"/>
          <w:szCs w:val="24"/>
        </w:rPr>
        <w:t>及图</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4.3-1</w:t>
      </w:r>
      <w:r>
        <w:rPr>
          <w:rFonts w:ascii="宋体" w:hAnsi="宋体" w:eastAsia="宋体" w:cs="宋体"/>
          <w:spacing w:val="-2"/>
          <w:sz w:val="24"/>
          <w:szCs w:val="24"/>
        </w:rPr>
        <w:t>。</w:t>
      </w:r>
    </w:p>
    <w:p w14:paraId="70FFD380">
      <w:pPr>
        <w:spacing w:line="227" w:lineRule="auto"/>
        <w:ind w:left="274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 xml:space="preserve">4.3-2 </w:t>
      </w:r>
      <w:r>
        <w:rPr>
          <w:rFonts w:ascii="宋体" w:hAnsi="宋体" w:eastAsia="宋体" w:cs="宋体"/>
          <w:b/>
          <w:bCs/>
          <w:spacing w:val="6"/>
          <w:sz w:val="20"/>
          <w:szCs w:val="20"/>
        </w:rPr>
        <w:t>其他污染物补充监测点位基本信息</w:t>
      </w:r>
    </w:p>
    <w:p w14:paraId="66FAB00C">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31"/>
        <w:gridCol w:w="1133"/>
        <w:gridCol w:w="990"/>
        <w:gridCol w:w="1557"/>
        <w:gridCol w:w="852"/>
        <w:gridCol w:w="1187"/>
      </w:tblGrid>
      <w:tr w14:paraId="0F2DA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231" w:type="dxa"/>
            <w:vMerge w:val="restart"/>
            <w:tcBorders>
              <w:bottom w:val="nil"/>
            </w:tcBorders>
            <w:vAlign w:val="top"/>
          </w:tcPr>
          <w:p w14:paraId="62C0B324">
            <w:pPr>
              <w:pStyle w:val="6"/>
              <w:spacing w:before="230" w:line="230" w:lineRule="auto"/>
              <w:ind w:left="1096"/>
            </w:pPr>
            <w:r>
              <w:rPr>
                <w:spacing w:val="7"/>
              </w:rPr>
              <w:t>监测点名称</w:t>
            </w:r>
          </w:p>
        </w:tc>
        <w:tc>
          <w:tcPr>
            <w:tcW w:w="2123" w:type="dxa"/>
            <w:gridSpan w:val="2"/>
            <w:vAlign w:val="top"/>
          </w:tcPr>
          <w:p w14:paraId="15E5286F">
            <w:pPr>
              <w:pStyle w:val="6"/>
              <w:spacing w:before="32" w:line="274" w:lineRule="exact"/>
              <w:ind w:left="433"/>
              <w:rPr>
                <w:rFonts w:ascii="Times New Roman" w:hAnsi="Times New Roman" w:eastAsia="Times New Roman" w:cs="Times New Roman"/>
              </w:rPr>
            </w:pPr>
            <w:r>
              <w:rPr>
                <w:spacing w:val="6"/>
                <w:position w:val="1"/>
              </w:rPr>
              <w:t>监测点坐标</w:t>
            </w:r>
            <w:r>
              <w:rPr>
                <w:rFonts w:ascii="Times New Roman" w:hAnsi="Times New Roman" w:eastAsia="Times New Roman" w:cs="Times New Roman"/>
                <w:spacing w:val="6"/>
                <w:position w:val="1"/>
              </w:rPr>
              <w:t>/m</w:t>
            </w:r>
          </w:p>
        </w:tc>
        <w:tc>
          <w:tcPr>
            <w:tcW w:w="1557" w:type="dxa"/>
            <w:vMerge w:val="restart"/>
            <w:tcBorders>
              <w:bottom w:val="nil"/>
            </w:tcBorders>
            <w:vAlign w:val="top"/>
          </w:tcPr>
          <w:p w14:paraId="06D7149D">
            <w:pPr>
              <w:pStyle w:val="6"/>
              <w:spacing w:before="231" w:line="229" w:lineRule="auto"/>
              <w:ind w:left="367"/>
            </w:pPr>
            <w:r>
              <w:rPr>
                <w:spacing w:val="7"/>
              </w:rPr>
              <w:t>监测因子</w:t>
            </w:r>
          </w:p>
        </w:tc>
        <w:tc>
          <w:tcPr>
            <w:tcW w:w="852" w:type="dxa"/>
            <w:vMerge w:val="restart"/>
            <w:tcBorders>
              <w:bottom w:val="nil"/>
            </w:tcBorders>
            <w:vAlign w:val="top"/>
          </w:tcPr>
          <w:p w14:paraId="419C4C28">
            <w:pPr>
              <w:pStyle w:val="6"/>
              <w:spacing w:before="67" w:line="273" w:lineRule="auto"/>
              <w:ind w:left="328" w:right="108" w:hanging="208"/>
            </w:pPr>
            <w:r>
              <w:rPr>
                <w:spacing w:val="6"/>
              </w:rPr>
              <w:t>厂址方</w:t>
            </w:r>
            <w:r>
              <w:t xml:space="preserve"> 位</w:t>
            </w:r>
          </w:p>
        </w:tc>
        <w:tc>
          <w:tcPr>
            <w:tcW w:w="1187" w:type="dxa"/>
            <w:vMerge w:val="restart"/>
            <w:tcBorders>
              <w:bottom w:val="nil"/>
            </w:tcBorders>
            <w:vAlign w:val="top"/>
          </w:tcPr>
          <w:p w14:paraId="27FCE436">
            <w:pPr>
              <w:pStyle w:val="6"/>
              <w:spacing w:before="67" w:line="229" w:lineRule="auto"/>
              <w:ind w:left="177"/>
            </w:pPr>
            <w:r>
              <w:rPr>
                <w:spacing w:val="7"/>
              </w:rPr>
              <w:t>相对厂界</w:t>
            </w:r>
          </w:p>
          <w:p w14:paraId="1FFA1CA7">
            <w:pPr>
              <w:pStyle w:val="6"/>
              <w:spacing w:before="47" w:line="274" w:lineRule="exact"/>
              <w:ind w:left="277"/>
              <w:rPr>
                <w:rFonts w:ascii="Times New Roman" w:hAnsi="Times New Roman" w:eastAsia="Times New Roman" w:cs="Times New Roman"/>
              </w:rPr>
            </w:pPr>
            <w:r>
              <w:rPr>
                <w:spacing w:val="5"/>
                <w:position w:val="1"/>
              </w:rPr>
              <w:t>距离</w:t>
            </w:r>
            <w:r>
              <w:rPr>
                <w:rFonts w:ascii="Times New Roman" w:hAnsi="Times New Roman" w:eastAsia="Times New Roman" w:cs="Times New Roman"/>
                <w:spacing w:val="5"/>
                <w:position w:val="1"/>
              </w:rPr>
              <w:t>/m</w:t>
            </w:r>
          </w:p>
        </w:tc>
      </w:tr>
      <w:tr w14:paraId="7C9BF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1" w:type="dxa"/>
            <w:vMerge w:val="continue"/>
            <w:tcBorders>
              <w:top w:val="nil"/>
            </w:tcBorders>
            <w:vAlign w:val="top"/>
          </w:tcPr>
          <w:p w14:paraId="08059942">
            <w:pPr>
              <w:rPr>
                <w:rFonts w:ascii="Arial"/>
                <w:sz w:val="21"/>
              </w:rPr>
            </w:pPr>
          </w:p>
        </w:tc>
        <w:tc>
          <w:tcPr>
            <w:tcW w:w="1133" w:type="dxa"/>
            <w:vAlign w:val="top"/>
          </w:tcPr>
          <w:p w14:paraId="77F3816B">
            <w:pPr>
              <w:spacing w:before="98" w:line="192"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990" w:type="dxa"/>
            <w:vAlign w:val="top"/>
          </w:tcPr>
          <w:p w14:paraId="5E1636D1">
            <w:pPr>
              <w:spacing w:before="98" w:line="192"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557" w:type="dxa"/>
            <w:vMerge w:val="continue"/>
            <w:tcBorders>
              <w:top w:val="nil"/>
            </w:tcBorders>
            <w:vAlign w:val="top"/>
          </w:tcPr>
          <w:p w14:paraId="55C15670">
            <w:pPr>
              <w:rPr>
                <w:rFonts w:ascii="Arial"/>
                <w:sz w:val="21"/>
              </w:rPr>
            </w:pPr>
          </w:p>
        </w:tc>
        <w:tc>
          <w:tcPr>
            <w:tcW w:w="852" w:type="dxa"/>
            <w:vMerge w:val="continue"/>
            <w:tcBorders>
              <w:top w:val="nil"/>
            </w:tcBorders>
            <w:vAlign w:val="top"/>
          </w:tcPr>
          <w:p w14:paraId="0217C5C2">
            <w:pPr>
              <w:rPr>
                <w:rFonts w:ascii="Arial"/>
                <w:sz w:val="21"/>
              </w:rPr>
            </w:pPr>
          </w:p>
        </w:tc>
        <w:tc>
          <w:tcPr>
            <w:tcW w:w="1187" w:type="dxa"/>
            <w:vMerge w:val="continue"/>
            <w:tcBorders>
              <w:top w:val="nil"/>
            </w:tcBorders>
            <w:vAlign w:val="top"/>
          </w:tcPr>
          <w:p w14:paraId="1E85B644">
            <w:pPr>
              <w:rPr>
                <w:rFonts w:ascii="Arial"/>
                <w:sz w:val="21"/>
              </w:rPr>
            </w:pPr>
          </w:p>
        </w:tc>
      </w:tr>
      <w:tr w14:paraId="09E50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3231" w:type="dxa"/>
            <w:vAlign w:val="top"/>
          </w:tcPr>
          <w:p w14:paraId="0CE81F1F">
            <w:pPr>
              <w:pStyle w:val="6"/>
              <w:spacing w:before="193" w:line="274" w:lineRule="exact"/>
              <w:ind w:left="1152"/>
            </w:pPr>
            <w:r>
              <w:rPr>
                <w:rFonts w:ascii="Times New Roman" w:hAnsi="Times New Roman" w:eastAsia="Times New Roman" w:cs="Times New Roman"/>
                <w:spacing w:val="-1"/>
                <w:position w:val="1"/>
              </w:rPr>
              <w:t>G</w:t>
            </w:r>
            <w:r>
              <w:rPr>
                <w:rFonts w:ascii="Times New Roman" w:hAnsi="Times New Roman" w:eastAsia="Times New Roman" w:cs="Times New Roman"/>
                <w:spacing w:val="-23"/>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11"/>
                <w:position w:val="1"/>
              </w:rPr>
              <w:t xml:space="preserve"> </w:t>
            </w:r>
            <w:r>
              <w:rPr>
                <w:spacing w:val="-1"/>
                <w:position w:val="1"/>
              </w:rPr>
              <w:t>龙岗村</w:t>
            </w:r>
          </w:p>
        </w:tc>
        <w:tc>
          <w:tcPr>
            <w:tcW w:w="1133" w:type="dxa"/>
            <w:vAlign w:val="top"/>
          </w:tcPr>
          <w:p w14:paraId="7FDB9060">
            <w:pPr>
              <w:spacing w:before="193" w:line="274" w:lineRule="exact"/>
              <w:ind w:left="3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-426</w:t>
            </w:r>
          </w:p>
        </w:tc>
        <w:tc>
          <w:tcPr>
            <w:tcW w:w="990" w:type="dxa"/>
            <w:vAlign w:val="top"/>
          </w:tcPr>
          <w:p w14:paraId="34010808">
            <w:pPr>
              <w:spacing w:before="193" w:line="274"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w:t>
            </w:r>
          </w:p>
        </w:tc>
        <w:tc>
          <w:tcPr>
            <w:tcW w:w="1557" w:type="dxa"/>
            <w:vAlign w:val="top"/>
          </w:tcPr>
          <w:p w14:paraId="6E413E32">
            <w:pPr>
              <w:pStyle w:val="6"/>
              <w:spacing w:before="60" w:line="276" w:lineRule="exact"/>
              <w:ind w:left="112"/>
            </w:pPr>
            <w:r>
              <w:rPr>
                <w:rFonts w:ascii="Times New Roman" w:hAnsi="Times New Roman" w:eastAsia="Times New Roman" w:cs="Times New Roman"/>
                <w:spacing w:val="1"/>
                <w:position w:val="1"/>
              </w:rPr>
              <w:t>H</w:t>
            </w:r>
            <w:r>
              <w:rPr>
                <w:rFonts w:ascii="Times New Roman" w:hAnsi="Times New Roman" w:eastAsia="Times New Roman" w:cs="Times New Roman"/>
                <w:spacing w:val="1"/>
                <w:sz w:val="13"/>
                <w:szCs w:val="13"/>
              </w:rPr>
              <w:t>2</w:t>
            </w:r>
            <w:r>
              <w:rPr>
                <w:rFonts w:ascii="Times New Roman" w:hAnsi="Times New Roman" w:eastAsia="Times New Roman" w:cs="Times New Roman"/>
                <w:spacing w:val="1"/>
                <w:position w:val="1"/>
              </w:rPr>
              <w:t>S</w:t>
            </w:r>
            <w:r>
              <w:rPr>
                <w:rFonts w:ascii="Times New Roman" w:hAnsi="Times New Roman" w:eastAsia="Times New Roman" w:cs="Times New Roman"/>
                <w:spacing w:val="-23"/>
                <w:position w:val="1"/>
              </w:rPr>
              <w:t xml:space="preserve"> </w:t>
            </w:r>
            <w:r>
              <w:rPr>
                <w:spacing w:val="1"/>
                <w:position w:val="1"/>
              </w:rPr>
              <w:t>、</w:t>
            </w:r>
            <w:r>
              <w:rPr>
                <w:rFonts w:ascii="Times New Roman" w:hAnsi="Times New Roman" w:eastAsia="Times New Roman" w:cs="Times New Roman"/>
                <w:position w:val="1"/>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1"/>
                <w:sz w:val="13"/>
                <w:szCs w:val="13"/>
              </w:rPr>
              <w:t xml:space="preserve"> </w:t>
            </w:r>
            <w:r>
              <w:rPr>
                <w:spacing w:val="1"/>
                <w:position w:val="1"/>
              </w:rPr>
              <w:t>、臭</w:t>
            </w:r>
          </w:p>
          <w:p w14:paraId="39BD40DE">
            <w:pPr>
              <w:pStyle w:val="6"/>
              <w:spacing w:before="50" w:line="229" w:lineRule="auto"/>
              <w:ind w:left="470"/>
            </w:pPr>
            <w:r>
              <w:rPr>
                <w:spacing w:val="6"/>
              </w:rPr>
              <w:t>气浓度</w:t>
            </w:r>
          </w:p>
        </w:tc>
        <w:tc>
          <w:tcPr>
            <w:tcW w:w="852" w:type="dxa"/>
            <w:vAlign w:val="top"/>
          </w:tcPr>
          <w:p w14:paraId="5A7ABA35">
            <w:pPr>
              <w:pStyle w:val="6"/>
              <w:spacing w:before="224" w:line="232" w:lineRule="auto"/>
              <w:ind w:left="228"/>
            </w:pPr>
            <w:r>
              <w:rPr>
                <w:spacing w:val="2"/>
              </w:rPr>
              <w:t>西北</w:t>
            </w:r>
          </w:p>
        </w:tc>
        <w:tc>
          <w:tcPr>
            <w:tcW w:w="1187" w:type="dxa"/>
            <w:vAlign w:val="top"/>
          </w:tcPr>
          <w:p w14:paraId="66966B58">
            <w:pPr>
              <w:spacing w:before="193"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r>
    </w:tbl>
    <w:p w14:paraId="72AD3619">
      <w:pPr>
        <w:spacing w:before="122" w:line="7580" w:lineRule="exact"/>
        <w:ind w:firstLine="142"/>
      </w:pPr>
      <w:r>
        <w:rPr>
          <w:position w:val="-151"/>
        </w:rPr>
        <w:drawing>
          <wp:inline distT="0" distB="0" distL="0" distR="0">
            <wp:extent cx="5544185" cy="48126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17"/>
                    <a:stretch>
                      <a:fillRect/>
                    </a:stretch>
                  </pic:blipFill>
                  <pic:spPr>
                    <a:xfrm>
                      <a:off x="0" y="0"/>
                      <a:ext cx="5544311" cy="4812792"/>
                    </a:xfrm>
                    <a:prstGeom prst="rect">
                      <a:avLst/>
                    </a:prstGeom>
                  </pic:spPr>
                </pic:pic>
              </a:graphicData>
            </a:graphic>
          </wp:inline>
        </w:drawing>
      </w:r>
    </w:p>
    <w:p w14:paraId="0E03A34A">
      <w:pPr>
        <w:spacing w:before="248" w:line="219" w:lineRule="auto"/>
        <w:ind w:left="2671"/>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3"/>
          <w:sz w:val="24"/>
          <w:szCs w:val="24"/>
        </w:rPr>
        <w:t xml:space="preserve">4.3-1    </w:t>
      </w:r>
      <w:r>
        <w:rPr>
          <w:rFonts w:ascii="宋体" w:hAnsi="宋体" w:eastAsia="宋体" w:cs="宋体"/>
          <w:b/>
          <w:bCs/>
          <w:spacing w:val="-3"/>
          <w:sz w:val="24"/>
          <w:szCs w:val="24"/>
        </w:rPr>
        <w:t>大气环境现状监测布点图</w:t>
      </w:r>
    </w:p>
    <w:p w14:paraId="3E4AB489">
      <w:pPr>
        <w:spacing w:before="167" w:line="361" w:lineRule="exact"/>
        <w:ind w:left="598"/>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、监测项目</w:t>
      </w:r>
    </w:p>
    <w:p w14:paraId="3442B0F4">
      <w:pPr>
        <w:spacing w:line="361" w:lineRule="exact"/>
        <w:rPr>
          <w:rFonts w:ascii="宋体" w:hAnsi="宋体" w:eastAsia="宋体" w:cs="宋体"/>
          <w:sz w:val="24"/>
          <w:szCs w:val="24"/>
        </w:rPr>
        <w:sectPr>
          <w:headerReference r:id="rId97" w:type="default"/>
          <w:footerReference r:id="rId98" w:type="default"/>
          <w:pgSz w:w="11906" w:h="16839"/>
          <w:pgMar w:top="1763" w:right="1475" w:bottom="1485" w:left="1475" w:header="1418" w:footer="1249" w:gutter="0"/>
          <w:cols w:space="720" w:num="1"/>
        </w:sectPr>
      </w:pPr>
    </w:p>
    <w:p w14:paraId="2185E132">
      <w:pPr>
        <w:pStyle w:val="2"/>
        <w:spacing w:line="255" w:lineRule="auto"/>
      </w:pPr>
    </w:p>
    <w:p w14:paraId="7A075068">
      <w:pPr>
        <w:pStyle w:val="2"/>
        <w:spacing w:line="255" w:lineRule="auto"/>
      </w:pPr>
    </w:p>
    <w:p w14:paraId="63DB3BB4">
      <w:pPr>
        <w:pStyle w:val="2"/>
        <w:spacing w:line="256" w:lineRule="auto"/>
      </w:pPr>
    </w:p>
    <w:p w14:paraId="64B51284">
      <w:pPr>
        <w:pStyle w:val="2"/>
        <w:spacing w:line="256" w:lineRule="auto"/>
      </w:pPr>
    </w:p>
    <w:p w14:paraId="27FE6B8C">
      <w:pPr>
        <w:spacing w:before="78" w:line="360" w:lineRule="exact"/>
        <w:ind w:left="597"/>
        <w:rPr>
          <w:rFonts w:ascii="宋体" w:hAnsi="宋体" w:eastAsia="宋体" w:cs="宋体"/>
          <w:sz w:val="24"/>
          <w:szCs w:val="24"/>
        </w:rPr>
      </w:pPr>
      <w:r>
        <w:rPr>
          <w:rFonts w:ascii="Times New Roman" w:hAnsi="Times New Roman" w:eastAsia="Times New Roman" w:cs="Times New Roman"/>
          <w:spacing w:val="-1"/>
          <w:position w:val="2"/>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position w:val="2"/>
          <w:sz w:val="24"/>
          <w:szCs w:val="24"/>
        </w:rPr>
        <w:t>S</w:t>
      </w:r>
      <w:r>
        <w:rPr>
          <w:rFonts w:ascii="Times New Roman" w:hAnsi="Times New Roman" w:eastAsia="Times New Roman" w:cs="Times New Roman"/>
          <w:spacing w:val="-24"/>
          <w:position w:val="2"/>
          <w:sz w:val="24"/>
          <w:szCs w:val="24"/>
        </w:rPr>
        <w:t xml:space="preserve"> </w:t>
      </w: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NH</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5"/>
          <w:position w:val="2"/>
          <w:sz w:val="24"/>
          <w:szCs w:val="24"/>
        </w:rPr>
        <w:t>、臭气浓度共</w:t>
      </w:r>
      <w:r>
        <w:rPr>
          <w:rFonts w:ascii="宋体" w:hAnsi="宋体" w:eastAsia="宋体" w:cs="宋体"/>
          <w:spacing w:val="-50"/>
          <w:position w:val="2"/>
          <w:sz w:val="24"/>
          <w:szCs w:val="24"/>
        </w:rPr>
        <w:t xml:space="preserve"> </w:t>
      </w:r>
      <w:r>
        <w:rPr>
          <w:rFonts w:ascii="Times New Roman" w:hAnsi="Times New Roman" w:eastAsia="Times New Roman" w:cs="Times New Roman"/>
          <w:spacing w:val="-5"/>
          <w:position w:val="2"/>
          <w:sz w:val="24"/>
          <w:szCs w:val="24"/>
        </w:rPr>
        <w:t xml:space="preserve">3 </w:t>
      </w:r>
      <w:r>
        <w:rPr>
          <w:rFonts w:ascii="宋体" w:hAnsi="宋体" w:eastAsia="宋体" w:cs="宋体"/>
          <w:spacing w:val="-5"/>
          <w:position w:val="2"/>
          <w:sz w:val="24"/>
          <w:szCs w:val="24"/>
        </w:rPr>
        <w:t>项。</w:t>
      </w:r>
    </w:p>
    <w:p w14:paraId="7DA53519">
      <w:pPr>
        <w:spacing w:before="129" w:line="360"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27"/>
          <w:position w:val="2"/>
          <w:sz w:val="24"/>
          <w:szCs w:val="24"/>
        </w:rPr>
        <w:t xml:space="preserve"> </w:t>
      </w:r>
      <w:r>
        <w:rPr>
          <w:rFonts w:ascii="宋体" w:hAnsi="宋体" w:eastAsia="宋体" w:cs="宋体"/>
          <w:spacing w:val="-4"/>
          <w:position w:val="2"/>
          <w:sz w:val="24"/>
          <w:szCs w:val="24"/>
        </w:rPr>
        <w:t>、监测时间及监测频次</w:t>
      </w:r>
    </w:p>
    <w:p w14:paraId="7099F36F">
      <w:pPr>
        <w:spacing w:before="125" w:line="375" w:lineRule="auto"/>
        <w:ind w:left="122" w:right="110" w:firstLine="480"/>
        <w:rPr>
          <w:rFonts w:ascii="宋体" w:hAnsi="宋体" w:eastAsia="宋体" w:cs="宋体"/>
          <w:sz w:val="24"/>
          <w:szCs w:val="24"/>
        </w:rPr>
      </w:pPr>
      <w:r>
        <w:rPr>
          <w:rFonts w:ascii="宋体" w:hAnsi="宋体" w:eastAsia="宋体" w:cs="宋体"/>
          <w:spacing w:val="-2"/>
          <w:sz w:val="24"/>
          <w:szCs w:val="24"/>
        </w:rPr>
        <w:t>根据《环境空气质量标准》（</w:t>
      </w:r>
      <w:r>
        <w:rPr>
          <w:rFonts w:ascii="Times New Roman" w:hAnsi="Times New Roman" w:eastAsia="Times New Roman" w:cs="Times New Roman"/>
          <w:spacing w:val="-2"/>
          <w:sz w:val="24"/>
          <w:szCs w:val="24"/>
        </w:rPr>
        <w:t>GB3095-2012</w:t>
      </w:r>
      <w:r>
        <w:rPr>
          <w:rFonts w:ascii="宋体" w:hAnsi="宋体" w:eastAsia="宋体" w:cs="宋体"/>
          <w:spacing w:val="-2"/>
          <w:sz w:val="24"/>
          <w:szCs w:val="24"/>
        </w:rPr>
        <w:t>）和《</w:t>
      </w:r>
      <w:r>
        <w:rPr>
          <w:rFonts w:ascii="宋体" w:hAnsi="宋体" w:eastAsia="宋体" w:cs="宋体"/>
          <w:spacing w:val="-3"/>
          <w:sz w:val="24"/>
          <w:szCs w:val="24"/>
        </w:rPr>
        <w:t>环境影响评价技术导则—大气</w:t>
      </w:r>
      <w:r>
        <w:rPr>
          <w:rFonts w:ascii="宋体" w:hAnsi="宋体" w:eastAsia="宋体" w:cs="宋体"/>
          <w:sz w:val="24"/>
          <w:szCs w:val="24"/>
        </w:rPr>
        <w:t xml:space="preserve"> </w:t>
      </w:r>
      <w:r>
        <w:rPr>
          <w:rFonts w:ascii="宋体" w:hAnsi="宋体" w:eastAsia="宋体" w:cs="宋体"/>
          <w:spacing w:val="-6"/>
          <w:sz w:val="24"/>
          <w:szCs w:val="24"/>
        </w:rPr>
        <w:t>环境》（</w:t>
      </w:r>
      <w:r>
        <w:rPr>
          <w:rFonts w:ascii="Times New Roman" w:hAnsi="Times New Roman" w:eastAsia="Times New Roman" w:cs="Times New Roman"/>
          <w:spacing w:val="-6"/>
          <w:sz w:val="24"/>
          <w:szCs w:val="24"/>
        </w:rPr>
        <w:t>HJ2.2-2018</w:t>
      </w:r>
      <w:r>
        <w:rPr>
          <w:rFonts w:ascii="宋体" w:hAnsi="宋体" w:eastAsia="宋体" w:cs="宋体"/>
          <w:spacing w:val="-6"/>
          <w:sz w:val="24"/>
          <w:szCs w:val="24"/>
        </w:rPr>
        <w:t>）的规格，</w:t>
      </w:r>
      <w:r>
        <w:rPr>
          <w:rFonts w:ascii="Times New Roman" w:hAnsi="Times New Roman" w:eastAsia="Times New Roman" w:cs="Times New Roman"/>
          <w:spacing w:val="-6"/>
          <w:sz w:val="24"/>
          <w:szCs w:val="24"/>
        </w:rPr>
        <w:t>2020</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53"/>
          <w:sz w:val="24"/>
          <w:szCs w:val="24"/>
        </w:rPr>
        <w:t xml:space="preserve"> </w:t>
      </w:r>
      <w:r>
        <w:rPr>
          <w:rFonts w:ascii="宋体" w:hAnsi="宋体" w:eastAsia="宋体" w:cs="宋体"/>
          <w:spacing w:val="-6"/>
          <w:sz w:val="24"/>
          <w:szCs w:val="24"/>
        </w:rPr>
        <w:t>日</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pacing w:val="53"/>
          <w:sz w:val="24"/>
          <w:szCs w:val="24"/>
        </w:rPr>
        <w:t xml:space="preserve"> </w:t>
      </w:r>
      <w:r>
        <w:rPr>
          <w:rFonts w:ascii="宋体" w:hAnsi="宋体" w:eastAsia="宋体" w:cs="宋体"/>
          <w:spacing w:val="-6"/>
          <w:sz w:val="24"/>
          <w:szCs w:val="24"/>
        </w:rPr>
        <w:t>日连续监测</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天，具体</w:t>
      </w:r>
      <w:r>
        <w:rPr>
          <w:rFonts w:ascii="宋体" w:hAnsi="宋体" w:eastAsia="宋体" w:cs="宋体"/>
          <w:sz w:val="24"/>
          <w:szCs w:val="24"/>
        </w:rPr>
        <w:t xml:space="preserve"> </w:t>
      </w:r>
      <w:r>
        <w:rPr>
          <w:rFonts w:ascii="宋体" w:hAnsi="宋体" w:eastAsia="宋体" w:cs="宋体"/>
          <w:spacing w:val="1"/>
          <w:sz w:val="24"/>
          <w:szCs w:val="24"/>
        </w:rPr>
        <w:t>监测采样时间见表</w:t>
      </w:r>
      <w:r>
        <w:rPr>
          <w:rFonts w:ascii="Times New Roman" w:hAnsi="Times New Roman" w:eastAsia="Times New Roman" w:cs="Times New Roman"/>
          <w:spacing w:val="1"/>
          <w:sz w:val="24"/>
          <w:szCs w:val="24"/>
        </w:rPr>
        <w:t>4.3-3</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，并同时记录监测时</w:t>
      </w:r>
      <w:r>
        <w:rPr>
          <w:rFonts w:ascii="宋体" w:hAnsi="宋体" w:eastAsia="宋体" w:cs="宋体"/>
          <w:sz w:val="24"/>
          <w:szCs w:val="24"/>
        </w:rPr>
        <w:t>现场的气象条件。</w:t>
      </w:r>
    </w:p>
    <w:p w14:paraId="124C5269">
      <w:pPr>
        <w:spacing w:before="58" w:line="228" w:lineRule="auto"/>
        <w:ind w:left="25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6"/>
          <w:sz w:val="20"/>
          <w:szCs w:val="20"/>
        </w:rPr>
        <w:t xml:space="preserve">4.3-3 </w:t>
      </w:r>
      <w:r>
        <w:rPr>
          <w:rFonts w:ascii="宋体" w:hAnsi="宋体" w:eastAsia="宋体" w:cs="宋体"/>
          <w:b/>
          <w:bCs/>
          <w:spacing w:val="6"/>
          <w:sz w:val="20"/>
          <w:szCs w:val="20"/>
        </w:rPr>
        <w:t>大气环境现状监测时间及监测频率</w:t>
      </w:r>
    </w:p>
    <w:p w14:paraId="18B7777B">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9"/>
        <w:gridCol w:w="1684"/>
        <w:gridCol w:w="5737"/>
      </w:tblGrid>
      <w:tr w14:paraId="21DDC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29" w:type="dxa"/>
            <w:vAlign w:val="top"/>
          </w:tcPr>
          <w:p w14:paraId="626D3C48">
            <w:pPr>
              <w:pStyle w:val="6"/>
              <w:spacing w:before="63" w:line="229" w:lineRule="auto"/>
              <w:ind w:left="350"/>
            </w:pPr>
            <w:r>
              <w:rPr>
                <w:b/>
                <w:bCs/>
                <w:spacing w:val="6"/>
              </w:rPr>
              <w:t>监测因子</w:t>
            </w:r>
          </w:p>
        </w:tc>
        <w:tc>
          <w:tcPr>
            <w:tcW w:w="1684" w:type="dxa"/>
            <w:vAlign w:val="top"/>
          </w:tcPr>
          <w:p w14:paraId="0EDDE882">
            <w:pPr>
              <w:pStyle w:val="6"/>
              <w:spacing w:before="63" w:line="229" w:lineRule="auto"/>
              <w:ind w:left="425"/>
            </w:pPr>
            <w:r>
              <w:rPr>
                <w:b/>
                <w:bCs/>
                <w:spacing w:val="6"/>
              </w:rPr>
              <w:t>平均时间</w:t>
            </w:r>
          </w:p>
        </w:tc>
        <w:tc>
          <w:tcPr>
            <w:tcW w:w="5737" w:type="dxa"/>
            <w:vAlign w:val="top"/>
          </w:tcPr>
          <w:p w14:paraId="052CF5D9">
            <w:pPr>
              <w:pStyle w:val="6"/>
              <w:spacing w:before="62" w:line="228" w:lineRule="auto"/>
              <w:ind w:left="1927"/>
            </w:pPr>
            <w:r>
              <w:rPr>
                <w:b/>
                <w:bCs/>
                <w:spacing w:val="7"/>
              </w:rPr>
              <w:t>监测频率及采样要求</w:t>
            </w:r>
          </w:p>
        </w:tc>
      </w:tr>
      <w:tr w14:paraId="11A91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529" w:type="dxa"/>
            <w:vAlign w:val="top"/>
          </w:tcPr>
          <w:p w14:paraId="5791500F">
            <w:pPr>
              <w:pStyle w:val="6"/>
              <w:spacing w:before="95" w:line="255" w:lineRule="auto"/>
              <w:ind w:left="348" w:right="302" w:hanging="40"/>
            </w:pPr>
            <w:r>
              <w:rPr>
                <w:rFonts w:ascii="Times New Roman" w:hAnsi="Times New Roman" w:eastAsia="Times New Roman" w:cs="Times New Roman"/>
                <w:spacing w:val="2"/>
              </w:rPr>
              <w:t>H</w:t>
            </w:r>
            <w:r>
              <w:rPr>
                <w:rFonts w:ascii="Times New Roman" w:hAnsi="Times New Roman" w:eastAsia="Times New Roman" w:cs="Times New Roman"/>
                <w:spacing w:val="2"/>
                <w:sz w:val="13"/>
                <w:szCs w:val="13"/>
              </w:rPr>
              <w:t>2</w:t>
            </w:r>
            <w:r>
              <w:rPr>
                <w:rFonts w:ascii="Times New Roman" w:hAnsi="Times New Roman" w:eastAsia="Times New Roman" w:cs="Times New Roman"/>
                <w:spacing w:val="2"/>
              </w:rPr>
              <w:t>S</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rPr>
              <w:t>NH</w:t>
            </w:r>
            <w:r>
              <w:rPr>
                <w:rFonts w:ascii="Times New Roman" w:hAnsi="Times New Roman" w:eastAsia="Times New Roman" w:cs="Times New Roman"/>
                <w:spacing w:val="2"/>
                <w:sz w:val="13"/>
                <w:szCs w:val="13"/>
              </w:rPr>
              <w:t>3</w:t>
            </w:r>
            <w:r>
              <w:rPr>
                <w:rFonts w:ascii="Times New Roman" w:hAnsi="Times New Roman" w:eastAsia="Times New Roman" w:cs="Times New Roman"/>
                <w:sz w:val="13"/>
                <w:szCs w:val="13"/>
              </w:rPr>
              <w:t xml:space="preserve"> </w:t>
            </w:r>
            <w:r>
              <w:rPr>
                <w:spacing w:val="7"/>
              </w:rPr>
              <w:t>臭气浓度</w:t>
            </w:r>
          </w:p>
        </w:tc>
        <w:tc>
          <w:tcPr>
            <w:tcW w:w="1684" w:type="dxa"/>
            <w:vAlign w:val="top"/>
          </w:tcPr>
          <w:p w14:paraId="6377A1EC">
            <w:pPr>
              <w:pStyle w:val="6"/>
              <w:spacing w:before="192" w:line="274" w:lineRule="exact"/>
              <w:ind w:left="389"/>
            </w:pPr>
            <w:r>
              <w:rPr>
                <w:rFonts w:ascii="Times New Roman" w:hAnsi="Times New Roman" w:eastAsia="Times New Roman" w:cs="Times New Roman"/>
                <w:spacing w:val="3"/>
                <w:position w:val="1"/>
              </w:rPr>
              <w:t>1</w:t>
            </w:r>
            <w:r>
              <w:rPr>
                <w:spacing w:val="3"/>
                <w:position w:val="1"/>
              </w:rPr>
              <w:t>小时平均</w:t>
            </w:r>
          </w:p>
        </w:tc>
        <w:tc>
          <w:tcPr>
            <w:tcW w:w="5737" w:type="dxa"/>
            <w:vAlign w:val="top"/>
          </w:tcPr>
          <w:p w14:paraId="26ECBDC8">
            <w:pPr>
              <w:pStyle w:val="6"/>
              <w:spacing w:before="29" w:line="274" w:lineRule="exact"/>
              <w:jc w:val="right"/>
            </w:pPr>
            <w:r>
              <w:rPr>
                <w:spacing w:val="1"/>
                <w:position w:val="1"/>
              </w:rPr>
              <w:t>连续监测</w:t>
            </w:r>
            <w:r>
              <w:rPr>
                <w:rFonts w:ascii="Times New Roman" w:hAnsi="Times New Roman" w:eastAsia="Times New Roman" w:cs="Times New Roman"/>
                <w:spacing w:val="1"/>
                <w:position w:val="1"/>
              </w:rPr>
              <w:t>7</w:t>
            </w:r>
            <w:r>
              <w:rPr>
                <w:spacing w:val="1"/>
                <w:position w:val="1"/>
              </w:rPr>
              <w:t>天，每天</w:t>
            </w:r>
            <w:r>
              <w:rPr>
                <w:rFonts w:ascii="Times New Roman" w:hAnsi="Times New Roman" w:eastAsia="Times New Roman" w:cs="Times New Roman"/>
                <w:spacing w:val="1"/>
                <w:position w:val="1"/>
              </w:rPr>
              <w:t>4</w:t>
            </w:r>
            <w:r>
              <w:rPr>
                <w:spacing w:val="1"/>
                <w:position w:val="1"/>
              </w:rPr>
              <w:t>次（</w:t>
            </w:r>
            <w:r>
              <w:rPr>
                <w:rFonts w:ascii="Times New Roman" w:hAnsi="Times New Roman" w:eastAsia="Times New Roman" w:cs="Times New Roman"/>
                <w:spacing w:val="1"/>
                <w:position w:val="1"/>
              </w:rPr>
              <w:t>02</w:t>
            </w:r>
            <w:r>
              <w:rPr>
                <w:spacing w:val="1"/>
                <w:position w:val="1"/>
              </w:rPr>
              <w:t>：</w:t>
            </w:r>
            <w:r>
              <w:rPr>
                <w:rFonts w:ascii="Times New Roman" w:hAnsi="Times New Roman" w:eastAsia="Times New Roman" w:cs="Times New Roman"/>
                <w:spacing w:val="1"/>
                <w:position w:val="1"/>
              </w:rPr>
              <w:t>00</w:t>
            </w:r>
            <w:r>
              <w:rPr>
                <w:rFonts w:ascii="Times New Roman" w:hAnsi="Times New Roman" w:eastAsia="Times New Roman" w:cs="Times New Roman"/>
                <w:spacing w:val="-25"/>
                <w:position w:val="1"/>
              </w:rPr>
              <w:t xml:space="preserve"> </w:t>
            </w:r>
            <w:r>
              <w:rPr>
                <w:spacing w:val="1"/>
                <w:position w:val="1"/>
              </w:rPr>
              <w:t>、</w:t>
            </w:r>
            <w:r>
              <w:rPr>
                <w:rFonts w:ascii="Times New Roman" w:hAnsi="Times New Roman" w:eastAsia="Times New Roman" w:cs="Times New Roman"/>
                <w:spacing w:val="1"/>
                <w:position w:val="1"/>
              </w:rPr>
              <w:t>08</w:t>
            </w:r>
            <w:r>
              <w:rPr>
                <w:spacing w:val="1"/>
                <w:position w:val="1"/>
              </w:rPr>
              <w:t>：</w:t>
            </w:r>
            <w:r>
              <w:rPr>
                <w:rFonts w:ascii="Times New Roman" w:hAnsi="Times New Roman" w:eastAsia="Times New Roman" w:cs="Times New Roman"/>
                <w:spacing w:val="1"/>
                <w:position w:val="1"/>
              </w:rPr>
              <w:t>00</w:t>
            </w:r>
            <w:r>
              <w:rPr>
                <w:rFonts w:ascii="Times New Roman" w:hAnsi="Times New Roman" w:eastAsia="Times New Roman" w:cs="Times New Roman"/>
                <w:spacing w:val="-26"/>
                <w:position w:val="1"/>
              </w:rPr>
              <w:t xml:space="preserve"> </w:t>
            </w:r>
            <w:r>
              <w:rPr>
                <w:spacing w:val="1"/>
                <w:position w:val="1"/>
              </w:rPr>
              <w:t>、</w:t>
            </w:r>
            <w:r>
              <w:rPr>
                <w:rFonts w:ascii="Times New Roman" w:hAnsi="Times New Roman" w:eastAsia="Times New Roman" w:cs="Times New Roman"/>
                <w:spacing w:val="1"/>
                <w:position w:val="1"/>
              </w:rPr>
              <w:t>14</w:t>
            </w:r>
            <w:r>
              <w:rPr>
                <w:position w:val="1"/>
              </w:rPr>
              <w:t>：</w:t>
            </w:r>
            <w:r>
              <w:rPr>
                <w:rFonts w:ascii="Times New Roman" w:hAnsi="Times New Roman" w:eastAsia="Times New Roman" w:cs="Times New Roman"/>
                <w:position w:val="1"/>
              </w:rPr>
              <w:t>00</w:t>
            </w:r>
            <w:r>
              <w:rPr>
                <w:rFonts w:ascii="Times New Roman" w:hAnsi="Times New Roman" w:eastAsia="Times New Roman" w:cs="Times New Roman"/>
                <w:spacing w:val="-26"/>
                <w:position w:val="1"/>
              </w:rPr>
              <w:t xml:space="preserve"> </w:t>
            </w:r>
            <w:r>
              <w:rPr>
                <w:position w:val="1"/>
              </w:rPr>
              <w:t>、</w:t>
            </w:r>
            <w:r>
              <w:rPr>
                <w:rFonts w:ascii="Times New Roman" w:hAnsi="Times New Roman" w:eastAsia="Times New Roman" w:cs="Times New Roman"/>
                <w:position w:val="1"/>
              </w:rPr>
              <w:t>20</w:t>
            </w:r>
            <w:r>
              <w:rPr>
                <w:position w:val="1"/>
              </w:rPr>
              <w:t>：</w:t>
            </w:r>
            <w:r>
              <w:rPr>
                <w:rFonts w:ascii="Times New Roman" w:hAnsi="Times New Roman" w:eastAsia="Times New Roman" w:cs="Times New Roman"/>
                <w:position w:val="1"/>
              </w:rPr>
              <w:t>00</w:t>
            </w:r>
            <w:r>
              <w:rPr>
                <w:spacing w:val="-47"/>
                <w:w w:val="89"/>
                <w:position w:val="1"/>
              </w:rPr>
              <w:t>），</w:t>
            </w:r>
          </w:p>
          <w:p w14:paraId="4267DDF5">
            <w:pPr>
              <w:pStyle w:val="6"/>
              <w:spacing w:before="52" w:line="274" w:lineRule="exact"/>
              <w:ind w:left="1403"/>
            </w:pPr>
            <w:r>
              <w:rPr>
                <w:spacing w:val="7"/>
                <w:position w:val="1"/>
              </w:rPr>
              <w:t>每小时至少有</w:t>
            </w:r>
            <w:r>
              <w:rPr>
                <w:rFonts w:ascii="Times New Roman" w:hAnsi="Times New Roman" w:eastAsia="Times New Roman" w:cs="Times New Roman"/>
                <w:spacing w:val="7"/>
                <w:position w:val="1"/>
              </w:rPr>
              <w:t>45</w:t>
            </w:r>
            <w:r>
              <w:rPr>
                <w:spacing w:val="7"/>
                <w:position w:val="1"/>
              </w:rPr>
              <w:t>分钟采样时间。</w:t>
            </w:r>
          </w:p>
        </w:tc>
      </w:tr>
    </w:tbl>
    <w:p w14:paraId="73122927">
      <w:pPr>
        <w:spacing w:before="251" w:line="361" w:lineRule="exact"/>
        <w:ind w:left="597"/>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、分析方法</w:t>
      </w:r>
    </w:p>
    <w:p w14:paraId="37AD8176">
      <w:pPr>
        <w:spacing w:before="164" w:line="219" w:lineRule="auto"/>
        <w:ind w:left="603"/>
        <w:rPr>
          <w:rFonts w:ascii="宋体" w:hAnsi="宋体" w:eastAsia="宋体" w:cs="宋体"/>
          <w:sz w:val="24"/>
          <w:szCs w:val="24"/>
        </w:rPr>
      </w:pPr>
      <w:r>
        <w:rPr>
          <w:rFonts w:ascii="宋体" w:hAnsi="宋体" w:eastAsia="宋体" w:cs="宋体"/>
          <w:spacing w:val="-1"/>
          <w:sz w:val="24"/>
          <w:szCs w:val="24"/>
        </w:rPr>
        <w:t>本项目大气环境现状监测分析方法见下表。</w:t>
      </w:r>
    </w:p>
    <w:p w14:paraId="7A4DFA3F">
      <w:pPr>
        <w:spacing w:before="220" w:line="228" w:lineRule="auto"/>
        <w:ind w:left="305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 xml:space="preserve">4.3-4 </w:t>
      </w:r>
      <w:r>
        <w:rPr>
          <w:rFonts w:ascii="宋体" w:hAnsi="宋体" w:eastAsia="宋体" w:cs="宋体"/>
          <w:b/>
          <w:bCs/>
          <w:spacing w:val="6"/>
          <w:sz w:val="20"/>
          <w:szCs w:val="20"/>
        </w:rPr>
        <w:t>大气环境现状监测方法</w:t>
      </w:r>
    </w:p>
    <w:p w14:paraId="2748C99A">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2633"/>
        <w:gridCol w:w="3301"/>
        <w:gridCol w:w="1609"/>
      </w:tblGrid>
      <w:tr w14:paraId="0EE55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407" w:type="dxa"/>
            <w:vAlign w:val="top"/>
          </w:tcPr>
          <w:p w14:paraId="12EDE0B7">
            <w:pPr>
              <w:pStyle w:val="6"/>
              <w:spacing w:before="40" w:line="224" w:lineRule="auto"/>
              <w:ind w:left="290"/>
            </w:pPr>
            <w:r>
              <w:rPr>
                <w:b/>
                <w:bCs/>
                <w:spacing w:val="6"/>
              </w:rPr>
              <w:t>监测因子</w:t>
            </w:r>
          </w:p>
        </w:tc>
        <w:tc>
          <w:tcPr>
            <w:tcW w:w="2633" w:type="dxa"/>
            <w:vAlign w:val="top"/>
          </w:tcPr>
          <w:p w14:paraId="58DE393B">
            <w:pPr>
              <w:pStyle w:val="6"/>
              <w:spacing w:before="40" w:line="224" w:lineRule="auto"/>
              <w:ind w:left="377"/>
            </w:pPr>
            <w:r>
              <w:rPr>
                <w:b/>
                <w:bCs/>
                <w:spacing w:val="7"/>
              </w:rPr>
              <w:t>分析仪器型号及编号</w:t>
            </w:r>
          </w:p>
        </w:tc>
        <w:tc>
          <w:tcPr>
            <w:tcW w:w="3301" w:type="dxa"/>
            <w:vAlign w:val="top"/>
          </w:tcPr>
          <w:p w14:paraId="3868149E">
            <w:pPr>
              <w:pStyle w:val="6"/>
              <w:spacing w:before="40" w:line="224" w:lineRule="auto"/>
              <w:ind w:left="1236"/>
            </w:pPr>
            <w:r>
              <w:rPr>
                <w:b/>
                <w:bCs/>
                <w:spacing w:val="6"/>
              </w:rPr>
              <w:t>检测方法</w:t>
            </w:r>
          </w:p>
        </w:tc>
        <w:tc>
          <w:tcPr>
            <w:tcW w:w="1609" w:type="dxa"/>
            <w:vAlign w:val="top"/>
          </w:tcPr>
          <w:p w14:paraId="0B619CD7">
            <w:pPr>
              <w:pStyle w:val="6"/>
              <w:spacing w:before="40" w:line="224" w:lineRule="auto"/>
              <w:ind w:left="494"/>
            </w:pPr>
            <w:r>
              <w:rPr>
                <w:b/>
                <w:bCs/>
                <w:spacing w:val="5"/>
              </w:rPr>
              <w:t>检出限</w:t>
            </w:r>
          </w:p>
        </w:tc>
      </w:tr>
      <w:tr w14:paraId="0712F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407" w:type="dxa"/>
            <w:vAlign w:val="top"/>
          </w:tcPr>
          <w:p w14:paraId="6AF4E729">
            <w:pPr>
              <w:pStyle w:val="6"/>
              <w:spacing w:before="304" w:line="230" w:lineRule="auto"/>
              <w:ind w:left="391"/>
            </w:pPr>
            <w:r>
              <w:rPr>
                <w:spacing w:val="7"/>
              </w:rPr>
              <w:t>硫化氢</w:t>
            </w:r>
          </w:p>
        </w:tc>
        <w:tc>
          <w:tcPr>
            <w:tcW w:w="2633" w:type="dxa"/>
            <w:vAlign w:val="top"/>
          </w:tcPr>
          <w:p w14:paraId="57A3A198">
            <w:pPr>
              <w:pStyle w:val="6"/>
              <w:spacing w:before="304" w:line="228" w:lineRule="auto"/>
              <w:ind w:left="380"/>
            </w:pPr>
            <w:r>
              <w:rPr>
                <w:spacing w:val="8"/>
              </w:rPr>
              <w:t>紫外可见分光光度计</w:t>
            </w:r>
          </w:p>
        </w:tc>
        <w:tc>
          <w:tcPr>
            <w:tcW w:w="3301" w:type="dxa"/>
            <w:vAlign w:val="top"/>
          </w:tcPr>
          <w:p w14:paraId="7A06267B">
            <w:pPr>
              <w:pStyle w:val="6"/>
              <w:spacing w:before="33" w:line="228" w:lineRule="auto"/>
              <w:ind w:left="712"/>
            </w:pPr>
            <w:r>
              <w:rPr>
                <w:spacing w:val="8"/>
              </w:rPr>
              <w:t>亚甲基蓝分光光度法</w:t>
            </w:r>
          </w:p>
          <w:p w14:paraId="174C57D9">
            <w:pPr>
              <w:pStyle w:val="6"/>
              <w:spacing w:before="23" w:line="222" w:lineRule="auto"/>
              <w:ind w:left="118"/>
            </w:pPr>
            <w:r>
              <w:rPr>
                <w:spacing w:val="4"/>
              </w:rPr>
              <w:t>《空气和废气监测分析方法》（第</w:t>
            </w:r>
          </w:p>
          <w:p w14:paraId="466A396F">
            <w:pPr>
              <w:pStyle w:val="6"/>
              <w:spacing w:line="265" w:lineRule="exact"/>
              <w:ind w:left="380"/>
            </w:pPr>
            <w:r>
              <w:rPr>
                <w:spacing w:val="3"/>
                <w:position w:val="1"/>
              </w:rPr>
              <w:t>四版增补版</w:t>
            </w:r>
            <w:r>
              <w:rPr>
                <w:spacing w:val="-6"/>
                <w:position w:val="1"/>
              </w:rPr>
              <w:t>）（</w:t>
            </w:r>
            <w:r>
              <w:rPr>
                <w:spacing w:val="-20"/>
                <w:position w:val="1"/>
              </w:rPr>
              <w:t xml:space="preserve"> </w:t>
            </w:r>
            <w:r>
              <w:rPr>
                <w:rFonts w:ascii="Times New Roman" w:hAnsi="Times New Roman" w:eastAsia="Times New Roman" w:cs="Times New Roman"/>
                <w:spacing w:val="3"/>
                <w:position w:val="1"/>
              </w:rPr>
              <w:t>3. 1. 11.</w:t>
            </w:r>
            <w:r>
              <w:rPr>
                <w:rFonts w:ascii="Times New Roman" w:hAnsi="Times New Roman" w:eastAsia="Times New Roman" w:cs="Times New Roman"/>
                <w:spacing w:val="-26"/>
                <w:position w:val="1"/>
              </w:rPr>
              <w:t xml:space="preserve"> </w:t>
            </w:r>
            <w:r>
              <w:rPr>
                <w:rFonts w:ascii="Times New Roman" w:hAnsi="Times New Roman" w:eastAsia="Times New Roman" w:cs="Times New Roman"/>
                <w:spacing w:val="3"/>
                <w:position w:val="1"/>
              </w:rPr>
              <w:t>2</w:t>
            </w:r>
            <w:r>
              <w:rPr>
                <w:rFonts w:ascii="Times New Roman" w:hAnsi="Times New Roman" w:eastAsia="Times New Roman" w:cs="Times New Roman"/>
                <w:spacing w:val="-23"/>
                <w:position w:val="1"/>
              </w:rPr>
              <w:t xml:space="preserve"> </w:t>
            </w:r>
            <w:r>
              <w:rPr>
                <w:spacing w:val="3"/>
                <w:position w:val="1"/>
              </w:rPr>
              <w:t>）</w:t>
            </w:r>
          </w:p>
        </w:tc>
        <w:tc>
          <w:tcPr>
            <w:tcW w:w="1609" w:type="dxa"/>
            <w:vAlign w:val="top"/>
          </w:tcPr>
          <w:p w14:paraId="748B4B68">
            <w:pPr>
              <w:spacing w:before="273"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 xml:space="preserve">0.001 </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9"/>
                <w:sz w:val="13"/>
                <w:szCs w:val="13"/>
              </w:rPr>
              <w:t>3</w:t>
            </w:r>
          </w:p>
        </w:tc>
      </w:tr>
      <w:tr w14:paraId="4F5B1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7" w:type="dxa"/>
            <w:vAlign w:val="top"/>
          </w:tcPr>
          <w:p w14:paraId="70E9A269">
            <w:pPr>
              <w:pStyle w:val="6"/>
              <w:spacing w:before="168" w:line="229" w:lineRule="auto"/>
              <w:ind w:left="603"/>
            </w:pPr>
            <w:r>
              <w:t>氨</w:t>
            </w:r>
          </w:p>
        </w:tc>
        <w:tc>
          <w:tcPr>
            <w:tcW w:w="2633" w:type="dxa"/>
            <w:vAlign w:val="top"/>
          </w:tcPr>
          <w:p w14:paraId="43CC9DAF">
            <w:pPr>
              <w:pStyle w:val="6"/>
              <w:spacing w:before="168" w:line="228" w:lineRule="auto"/>
              <w:ind w:left="380"/>
            </w:pPr>
            <w:r>
              <w:rPr>
                <w:spacing w:val="8"/>
              </w:rPr>
              <w:t>紫外可见分光光度计</w:t>
            </w:r>
          </w:p>
        </w:tc>
        <w:tc>
          <w:tcPr>
            <w:tcW w:w="3301" w:type="dxa"/>
            <w:vAlign w:val="top"/>
          </w:tcPr>
          <w:p w14:paraId="6CD96C3F">
            <w:pPr>
              <w:pStyle w:val="6"/>
              <w:spacing w:before="3" w:line="247" w:lineRule="auto"/>
              <w:ind w:left="397" w:right="104" w:hanging="286"/>
            </w:pPr>
            <w:r>
              <w:rPr>
                <w:rFonts w:ascii="Times New Roman" w:hAnsi="Times New Roman" w:eastAsia="Times New Roman" w:cs="Times New Roman"/>
              </w:rPr>
              <w:t>HJ</w:t>
            </w:r>
            <w:r>
              <w:rPr>
                <w:rFonts w:ascii="Times New Roman" w:hAnsi="Times New Roman" w:eastAsia="Times New Roman" w:cs="Times New Roman"/>
                <w:spacing w:val="2"/>
              </w:rPr>
              <w:t xml:space="preserve"> 533-2009</w:t>
            </w:r>
            <w:r>
              <w:rPr>
                <w:spacing w:val="2"/>
              </w:rPr>
              <w:t xml:space="preserve">《环境空气和废气氨的 </w:t>
            </w:r>
            <w:r>
              <w:rPr>
                <w:spacing w:val="8"/>
              </w:rPr>
              <w:t>测定纳氏试剂分光光度法》</w:t>
            </w:r>
          </w:p>
        </w:tc>
        <w:tc>
          <w:tcPr>
            <w:tcW w:w="1609" w:type="dxa"/>
            <w:vAlign w:val="top"/>
          </w:tcPr>
          <w:p w14:paraId="1E507189">
            <w:pPr>
              <w:spacing w:before="139" w:line="275" w:lineRule="exact"/>
              <w:ind w:left="32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 xml:space="preserve">0.01 </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9"/>
                <w:sz w:val="13"/>
                <w:szCs w:val="13"/>
              </w:rPr>
              <w:t>3</w:t>
            </w:r>
          </w:p>
        </w:tc>
      </w:tr>
      <w:tr w14:paraId="555F4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407" w:type="dxa"/>
            <w:vAlign w:val="top"/>
          </w:tcPr>
          <w:p w14:paraId="5202A8EB">
            <w:pPr>
              <w:pStyle w:val="6"/>
              <w:spacing w:before="154" w:line="228" w:lineRule="auto"/>
              <w:ind w:left="289"/>
            </w:pPr>
            <w:r>
              <w:rPr>
                <w:spacing w:val="7"/>
              </w:rPr>
              <w:t>臭气浓度</w:t>
            </w:r>
          </w:p>
        </w:tc>
        <w:tc>
          <w:tcPr>
            <w:tcW w:w="2633" w:type="dxa"/>
            <w:vAlign w:val="top"/>
          </w:tcPr>
          <w:p w14:paraId="440D6ED4">
            <w:pPr>
              <w:spacing w:before="278" w:line="97" w:lineRule="exact"/>
              <w:ind w:left="1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3301" w:type="dxa"/>
            <w:vAlign w:val="top"/>
          </w:tcPr>
          <w:p w14:paraId="7FC32FE6">
            <w:pPr>
              <w:spacing w:line="263" w:lineRule="exact"/>
              <w:ind w:left="8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2"/>
                <w:position w:val="1"/>
                <w:sz w:val="20"/>
                <w:szCs w:val="20"/>
              </w:rPr>
              <w:t>/T</w:t>
            </w:r>
            <w:r>
              <w:rPr>
                <w:rFonts w:ascii="Times New Roman" w:hAnsi="Times New Roman" w:eastAsia="Times New Roman" w:cs="Times New Roman"/>
                <w:spacing w:val="35"/>
                <w:position w:val="1"/>
                <w:sz w:val="20"/>
                <w:szCs w:val="20"/>
              </w:rPr>
              <w:t xml:space="preserve"> </w:t>
            </w:r>
            <w:r>
              <w:rPr>
                <w:rFonts w:ascii="Times New Roman" w:hAnsi="Times New Roman" w:eastAsia="Times New Roman" w:cs="Times New Roman"/>
                <w:spacing w:val="2"/>
                <w:position w:val="1"/>
                <w:sz w:val="20"/>
                <w:szCs w:val="20"/>
              </w:rPr>
              <w:t>14675-1993</w:t>
            </w:r>
          </w:p>
          <w:p w14:paraId="4AB6956C">
            <w:pPr>
              <w:pStyle w:val="6"/>
              <w:spacing w:before="11" w:line="219" w:lineRule="auto"/>
              <w:ind w:left="507"/>
            </w:pPr>
            <w:r>
              <w:rPr>
                <w:spacing w:val="7"/>
              </w:rPr>
              <w:t>《三点式比较式臭袋法》</w:t>
            </w:r>
          </w:p>
        </w:tc>
        <w:tc>
          <w:tcPr>
            <w:tcW w:w="1609" w:type="dxa"/>
            <w:vAlign w:val="top"/>
          </w:tcPr>
          <w:p w14:paraId="52B804CD">
            <w:pPr>
              <w:pStyle w:val="6"/>
              <w:spacing w:before="123" w:line="274" w:lineRule="exact"/>
              <w:ind w:left="337"/>
              <w:rPr>
                <w:rFonts w:ascii="Times New Roman" w:hAnsi="Times New Roman" w:eastAsia="Times New Roman" w:cs="Times New Roman"/>
              </w:rPr>
            </w:pPr>
            <w:r>
              <w:rPr>
                <w:rFonts w:ascii="Times New Roman" w:hAnsi="Times New Roman" w:eastAsia="Times New Roman" w:cs="Times New Roman"/>
                <w:spacing w:val="3"/>
                <w:position w:val="2"/>
              </w:rPr>
              <w:t>10(</w:t>
            </w:r>
            <w:r>
              <w:rPr>
                <w:spacing w:val="3"/>
                <w:position w:val="2"/>
              </w:rPr>
              <w:t>无量纲</w:t>
            </w:r>
            <w:r>
              <w:rPr>
                <w:rFonts w:ascii="Times New Roman" w:hAnsi="Times New Roman" w:eastAsia="Times New Roman" w:cs="Times New Roman"/>
                <w:spacing w:val="3"/>
                <w:position w:val="2"/>
              </w:rPr>
              <w:t>)</w:t>
            </w:r>
          </w:p>
        </w:tc>
      </w:tr>
    </w:tbl>
    <w:p w14:paraId="469A076D">
      <w:pPr>
        <w:spacing w:before="287" w:line="221" w:lineRule="auto"/>
        <w:ind w:left="605"/>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、监测结果</w:t>
      </w:r>
    </w:p>
    <w:p w14:paraId="5B428B18">
      <w:pPr>
        <w:spacing w:before="167" w:line="360" w:lineRule="exact"/>
        <w:ind w:left="603"/>
        <w:rPr>
          <w:rFonts w:ascii="宋体" w:hAnsi="宋体" w:eastAsia="宋体" w:cs="宋体"/>
          <w:sz w:val="24"/>
          <w:szCs w:val="24"/>
        </w:rPr>
      </w:pPr>
      <w:r>
        <w:rPr>
          <w:rFonts w:ascii="宋体" w:hAnsi="宋体" w:eastAsia="宋体" w:cs="宋体"/>
          <w:spacing w:val="-1"/>
          <w:position w:val="2"/>
          <w:sz w:val="24"/>
          <w:szCs w:val="24"/>
        </w:rPr>
        <w:t>监测阶段气象条件如表</w:t>
      </w:r>
      <w:r>
        <w:rPr>
          <w:rFonts w:ascii="宋体" w:hAnsi="宋体" w:eastAsia="宋体" w:cs="宋体"/>
          <w:spacing w:val="-54"/>
          <w:position w:val="2"/>
          <w:sz w:val="24"/>
          <w:szCs w:val="24"/>
        </w:rPr>
        <w:t xml:space="preserve"> </w:t>
      </w:r>
      <w:r>
        <w:rPr>
          <w:rFonts w:ascii="Times New Roman" w:hAnsi="Times New Roman" w:eastAsia="Times New Roman" w:cs="Times New Roman"/>
          <w:spacing w:val="-1"/>
          <w:position w:val="2"/>
          <w:sz w:val="24"/>
          <w:szCs w:val="24"/>
        </w:rPr>
        <w:t xml:space="preserve">4.3-5 </w:t>
      </w:r>
      <w:r>
        <w:rPr>
          <w:rFonts w:ascii="宋体" w:hAnsi="宋体" w:eastAsia="宋体" w:cs="宋体"/>
          <w:spacing w:val="-1"/>
          <w:position w:val="2"/>
          <w:sz w:val="24"/>
          <w:szCs w:val="24"/>
        </w:rPr>
        <w:t>所示。</w:t>
      </w:r>
    </w:p>
    <w:p w14:paraId="7DC9DE67">
      <w:pPr>
        <w:spacing w:before="180" w:line="228" w:lineRule="auto"/>
        <w:ind w:left="3269"/>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4.3-5 </w:t>
      </w:r>
      <w:r>
        <w:rPr>
          <w:rFonts w:ascii="宋体" w:hAnsi="宋体" w:eastAsia="宋体" w:cs="宋体"/>
          <w:b/>
          <w:bCs/>
          <w:spacing w:val="5"/>
          <w:sz w:val="20"/>
          <w:szCs w:val="20"/>
        </w:rPr>
        <w:t>大气监测气象条件</w:t>
      </w:r>
    </w:p>
    <w:p w14:paraId="6080D788">
      <w:pPr>
        <w:spacing w:line="103" w:lineRule="exact"/>
      </w:pPr>
    </w:p>
    <w:tbl>
      <w:tblPr>
        <w:tblStyle w:val="5"/>
        <w:tblW w:w="8848"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4"/>
        <w:gridCol w:w="1667"/>
        <w:gridCol w:w="1547"/>
        <w:gridCol w:w="651"/>
        <w:gridCol w:w="650"/>
        <w:gridCol w:w="651"/>
        <w:gridCol w:w="650"/>
        <w:gridCol w:w="651"/>
        <w:gridCol w:w="651"/>
        <w:gridCol w:w="656"/>
      </w:tblGrid>
      <w:tr w14:paraId="2D04B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074" w:type="dxa"/>
            <w:vAlign w:val="top"/>
          </w:tcPr>
          <w:p w14:paraId="3E7F5003">
            <w:pPr>
              <w:spacing w:line="321" w:lineRule="auto"/>
              <w:rPr>
                <w:rFonts w:ascii="Arial"/>
                <w:sz w:val="21"/>
              </w:rPr>
            </w:pPr>
          </w:p>
          <w:p w14:paraId="1CDA1CD4">
            <w:pPr>
              <w:pStyle w:val="6"/>
              <w:spacing w:before="65" w:line="228" w:lineRule="auto"/>
              <w:ind w:left="122"/>
            </w:pPr>
            <w:r>
              <w:rPr>
                <w:b/>
                <w:bCs/>
                <w:spacing w:val="6"/>
              </w:rPr>
              <w:t>采样点位</w:t>
            </w:r>
          </w:p>
        </w:tc>
        <w:tc>
          <w:tcPr>
            <w:tcW w:w="1667" w:type="dxa"/>
            <w:vAlign w:val="top"/>
          </w:tcPr>
          <w:p w14:paraId="14AE1822">
            <w:pPr>
              <w:spacing w:line="321" w:lineRule="auto"/>
              <w:rPr>
                <w:rFonts w:ascii="Arial"/>
                <w:sz w:val="21"/>
              </w:rPr>
            </w:pPr>
          </w:p>
          <w:p w14:paraId="13724678">
            <w:pPr>
              <w:pStyle w:val="6"/>
              <w:spacing w:before="65" w:line="228" w:lineRule="auto"/>
              <w:ind w:left="416"/>
            </w:pPr>
            <w:r>
              <w:rPr>
                <w:b/>
                <w:bCs/>
                <w:spacing w:val="6"/>
              </w:rPr>
              <w:t>采样日期</w:t>
            </w:r>
          </w:p>
        </w:tc>
        <w:tc>
          <w:tcPr>
            <w:tcW w:w="1547" w:type="dxa"/>
            <w:vAlign w:val="top"/>
          </w:tcPr>
          <w:p w14:paraId="0ED53F24">
            <w:pPr>
              <w:spacing w:line="321" w:lineRule="auto"/>
              <w:rPr>
                <w:rFonts w:ascii="Arial"/>
                <w:sz w:val="21"/>
              </w:rPr>
            </w:pPr>
          </w:p>
          <w:p w14:paraId="1946514B">
            <w:pPr>
              <w:pStyle w:val="6"/>
              <w:spacing w:before="65" w:line="228" w:lineRule="auto"/>
              <w:ind w:left="148"/>
            </w:pPr>
            <w:r>
              <w:rPr>
                <w:b/>
                <w:bCs/>
                <w:spacing w:val="7"/>
              </w:rPr>
              <w:t>采样起止时间</w:t>
            </w:r>
          </w:p>
        </w:tc>
        <w:tc>
          <w:tcPr>
            <w:tcW w:w="651" w:type="dxa"/>
            <w:vAlign w:val="top"/>
          </w:tcPr>
          <w:p w14:paraId="0A108272">
            <w:pPr>
              <w:spacing w:line="322" w:lineRule="auto"/>
              <w:rPr>
                <w:rFonts w:ascii="Arial"/>
                <w:sz w:val="21"/>
              </w:rPr>
            </w:pPr>
          </w:p>
          <w:p w14:paraId="72208464">
            <w:pPr>
              <w:pStyle w:val="6"/>
              <w:spacing w:before="65" w:line="229" w:lineRule="auto"/>
              <w:ind w:left="125"/>
            </w:pPr>
            <w:r>
              <w:rPr>
                <w:b/>
                <w:bCs/>
                <w:spacing w:val="1"/>
              </w:rPr>
              <w:t>天气</w:t>
            </w:r>
          </w:p>
        </w:tc>
        <w:tc>
          <w:tcPr>
            <w:tcW w:w="650" w:type="dxa"/>
            <w:vAlign w:val="top"/>
          </w:tcPr>
          <w:p w14:paraId="55BE2BD8">
            <w:pPr>
              <w:spacing w:line="322" w:lineRule="auto"/>
              <w:rPr>
                <w:rFonts w:ascii="Arial"/>
                <w:sz w:val="21"/>
              </w:rPr>
            </w:pPr>
          </w:p>
          <w:p w14:paraId="5CF1B4AD">
            <w:pPr>
              <w:pStyle w:val="6"/>
              <w:spacing w:before="65" w:line="229" w:lineRule="auto"/>
              <w:ind w:left="121"/>
            </w:pPr>
            <w:r>
              <w:rPr>
                <w:b/>
                <w:bCs/>
                <w:spacing w:val="3"/>
              </w:rPr>
              <w:t>风向</w:t>
            </w:r>
          </w:p>
        </w:tc>
        <w:tc>
          <w:tcPr>
            <w:tcW w:w="651" w:type="dxa"/>
            <w:vAlign w:val="top"/>
          </w:tcPr>
          <w:p w14:paraId="33210EB4">
            <w:pPr>
              <w:pStyle w:val="6"/>
              <w:spacing w:before="225" w:line="229" w:lineRule="auto"/>
              <w:ind w:left="122"/>
            </w:pPr>
            <w:r>
              <w:rPr>
                <w:b/>
                <w:bCs/>
                <w:spacing w:val="3"/>
              </w:rPr>
              <w:t>风速</w:t>
            </w:r>
          </w:p>
          <w:p w14:paraId="6F1640F6">
            <w:pPr>
              <w:spacing w:before="113" w:line="197" w:lineRule="auto"/>
              <w:ind w:left="10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(m/s)</w:t>
            </w:r>
          </w:p>
        </w:tc>
        <w:tc>
          <w:tcPr>
            <w:tcW w:w="650" w:type="dxa"/>
            <w:vAlign w:val="top"/>
          </w:tcPr>
          <w:p w14:paraId="3BE52812">
            <w:pPr>
              <w:spacing w:line="321" w:lineRule="auto"/>
              <w:rPr>
                <w:rFonts w:ascii="Arial"/>
                <w:sz w:val="21"/>
              </w:rPr>
            </w:pPr>
          </w:p>
          <w:p w14:paraId="739CD653">
            <w:pPr>
              <w:pStyle w:val="6"/>
              <w:spacing w:before="65" w:line="238" w:lineRule="auto"/>
              <w:ind w:left="123"/>
            </w:pPr>
            <w:r>
              <w:rPr>
                <w:b/>
                <w:bCs/>
                <w:spacing w:val="2"/>
              </w:rPr>
              <w:t>总云</w:t>
            </w:r>
          </w:p>
        </w:tc>
        <w:tc>
          <w:tcPr>
            <w:tcW w:w="651" w:type="dxa"/>
            <w:vAlign w:val="top"/>
          </w:tcPr>
          <w:p w14:paraId="4B6F4CF9">
            <w:pPr>
              <w:spacing w:line="321" w:lineRule="auto"/>
              <w:rPr>
                <w:rFonts w:ascii="Arial"/>
                <w:sz w:val="21"/>
              </w:rPr>
            </w:pPr>
          </w:p>
          <w:p w14:paraId="634134CB">
            <w:pPr>
              <w:pStyle w:val="6"/>
              <w:spacing w:before="65" w:line="230" w:lineRule="auto"/>
              <w:ind w:left="122"/>
            </w:pPr>
            <w:r>
              <w:rPr>
                <w:b/>
                <w:bCs/>
                <w:spacing w:val="4"/>
              </w:rPr>
              <w:t>低云</w:t>
            </w:r>
          </w:p>
        </w:tc>
        <w:tc>
          <w:tcPr>
            <w:tcW w:w="651" w:type="dxa"/>
            <w:vAlign w:val="top"/>
          </w:tcPr>
          <w:p w14:paraId="408576A7">
            <w:pPr>
              <w:pStyle w:val="6"/>
              <w:spacing w:before="225" w:line="229" w:lineRule="auto"/>
              <w:ind w:left="124"/>
            </w:pPr>
            <w:r>
              <w:rPr>
                <w:b/>
                <w:bCs/>
                <w:spacing w:val="3"/>
              </w:rPr>
              <w:t>温度</w:t>
            </w:r>
          </w:p>
          <w:p w14:paraId="28D5AFC3">
            <w:pPr>
              <w:pStyle w:val="6"/>
              <w:spacing w:before="77" w:line="221" w:lineRule="auto"/>
              <w:ind w:left="159"/>
              <w:rPr>
                <w:rFonts w:ascii="Times New Roman" w:hAnsi="Times New Roman" w:eastAsia="Times New Roman" w:cs="Times New Roman"/>
              </w:rPr>
            </w:pPr>
            <w:r>
              <w:rPr>
                <w:rFonts w:ascii="Times New Roman" w:hAnsi="Times New Roman" w:eastAsia="Times New Roman" w:cs="Times New Roman"/>
                <w:b/>
                <w:bCs/>
                <w:spacing w:val="2"/>
              </w:rPr>
              <w:t>(</w:t>
            </w:r>
            <w:r>
              <w:rPr>
                <w:b/>
                <w:bCs/>
                <w:spacing w:val="2"/>
              </w:rPr>
              <w:t>℃</w:t>
            </w:r>
            <w:r>
              <w:rPr>
                <w:rFonts w:ascii="Times New Roman" w:hAnsi="Times New Roman" w:eastAsia="Times New Roman" w:cs="Times New Roman"/>
                <w:b/>
                <w:bCs/>
                <w:spacing w:val="2"/>
              </w:rPr>
              <w:t>)</w:t>
            </w:r>
          </w:p>
        </w:tc>
        <w:tc>
          <w:tcPr>
            <w:tcW w:w="656" w:type="dxa"/>
            <w:vAlign w:val="top"/>
          </w:tcPr>
          <w:p w14:paraId="497F1A3E">
            <w:pPr>
              <w:pStyle w:val="6"/>
              <w:spacing w:before="63" w:line="304" w:lineRule="auto"/>
              <w:ind w:left="228" w:right="114" w:hanging="101"/>
            </w:pPr>
            <w:r>
              <w:rPr>
                <w:b/>
                <w:bCs/>
                <w:spacing w:val="2"/>
              </w:rPr>
              <w:t>大气</w:t>
            </w:r>
            <w:r>
              <w:t xml:space="preserve"> </w:t>
            </w:r>
            <w:r>
              <w:rPr>
                <w:b/>
                <w:bCs/>
                <w:spacing w:val="-3"/>
              </w:rPr>
              <w:t>压</w:t>
            </w:r>
          </w:p>
          <w:p w14:paraId="59D84F20">
            <w:pPr>
              <w:spacing w:before="28" w:line="197" w:lineRule="auto"/>
              <w:ind w:left="89"/>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kPa</w:t>
            </w:r>
            <w:r>
              <w:rPr>
                <w:rFonts w:ascii="Times New Roman" w:hAnsi="Times New Roman" w:eastAsia="Times New Roman" w:cs="Times New Roman"/>
                <w:b/>
                <w:bCs/>
                <w:spacing w:val="7"/>
                <w:sz w:val="20"/>
                <w:szCs w:val="20"/>
              </w:rPr>
              <w:t>)</w:t>
            </w:r>
          </w:p>
        </w:tc>
      </w:tr>
      <w:tr w14:paraId="4A5C4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restart"/>
            <w:tcBorders>
              <w:bottom w:val="nil"/>
            </w:tcBorders>
            <w:vAlign w:val="top"/>
          </w:tcPr>
          <w:p w14:paraId="5AB0135F">
            <w:pPr>
              <w:spacing w:line="255" w:lineRule="auto"/>
              <w:rPr>
                <w:rFonts w:ascii="Arial"/>
                <w:sz w:val="21"/>
              </w:rPr>
            </w:pPr>
          </w:p>
          <w:p w14:paraId="58CE7D6C">
            <w:pPr>
              <w:spacing w:line="256" w:lineRule="auto"/>
              <w:rPr>
                <w:rFonts w:ascii="Arial"/>
                <w:sz w:val="21"/>
              </w:rPr>
            </w:pPr>
          </w:p>
          <w:p w14:paraId="76F8768E">
            <w:pPr>
              <w:spacing w:line="256" w:lineRule="auto"/>
              <w:rPr>
                <w:rFonts w:ascii="Arial"/>
                <w:sz w:val="21"/>
              </w:rPr>
            </w:pPr>
          </w:p>
          <w:p w14:paraId="2593D227">
            <w:pPr>
              <w:spacing w:line="256" w:lineRule="auto"/>
              <w:rPr>
                <w:rFonts w:ascii="Arial"/>
                <w:sz w:val="21"/>
              </w:rPr>
            </w:pPr>
          </w:p>
          <w:p w14:paraId="69146487">
            <w:pPr>
              <w:spacing w:line="256" w:lineRule="auto"/>
              <w:rPr>
                <w:rFonts w:ascii="Arial"/>
                <w:sz w:val="21"/>
              </w:rPr>
            </w:pPr>
          </w:p>
          <w:p w14:paraId="500B94D7">
            <w:pPr>
              <w:spacing w:line="256" w:lineRule="auto"/>
              <w:rPr>
                <w:rFonts w:ascii="Arial"/>
                <w:sz w:val="21"/>
              </w:rPr>
            </w:pPr>
          </w:p>
          <w:p w14:paraId="46E3D788">
            <w:pPr>
              <w:pStyle w:val="6"/>
              <w:spacing w:before="65" w:line="274" w:lineRule="exact"/>
              <w:ind w:left="72"/>
            </w:pPr>
            <w:r>
              <w:rPr>
                <w:rFonts w:ascii="Times New Roman" w:hAnsi="Times New Roman" w:eastAsia="Times New Roman" w:cs="Times New Roman"/>
                <w:spacing w:val="-1"/>
                <w:position w:val="1"/>
              </w:rPr>
              <w:t>G</w:t>
            </w:r>
            <w:r>
              <w:rPr>
                <w:rFonts w:ascii="Times New Roman" w:hAnsi="Times New Roman" w:eastAsia="Times New Roman" w:cs="Times New Roman"/>
                <w:spacing w:val="-23"/>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13"/>
                <w:w w:val="101"/>
                <w:position w:val="1"/>
              </w:rPr>
              <w:t xml:space="preserve"> </w:t>
            </w:r>
            <w:r>
              <w:rPr>
                <w:spacing w:val="-1"/>
                <w:position w:val="1"/>
              </w:rPr>
              <w:t>龙岗村</w:t>
            </w:r>
          </w:p>
        </w:tc>
        <w:tc>
          <w:tcPr>
            <w:tcW w:w="1667" w:type="dxa"/>
            <w:vMerge w:val="restart"/>
            <w:tcBorders>
              <w:bottom w:val="nil"/>
            </w:tcBorders>
            <w:vAlign w:val="top"/>
          </w:tcPr>
          <w:p w14:paraId="3EAA94C8">
            <w:pPr>
              <w:spacing w:line="329" w:lineRule="auto"/>
              <w:rPr>
                <w:rFonts w:ascii="Arial"/>
                <w:sz w:val="21"/>
              </w:rPr>
            </w:pPr>
          </w:p>
          <w:p w14:paraId="6B27EDE5">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10</w:t>
            </w:r>
            <w:r>
              <w:rPr>
                <w:rFonts w:ascii="Times New Roman" w:hAnsi="Times New Roman" w:eastAsia="Times New Roman" w:cs="Times New Roman"/>
              </w:rPr>
              <w:t xml:space="preserve"> </w:t>
            </w:r>
            <w:r>
              <w:t>日</w:t>
            </w:r>
          </w:p>
        </w:tc>
        <w:tc>
          <w:tcPr>
            <w:tcW w:w="1547" w:type="dxa"/>
            <w:vAlign w:val="top"/>
          </w:tcPr>
          <w:p w14:paraId="6FAA8FC1">
            <w:pPr>
              <w:spacing w:before="35"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015FBC43">
            <w:pPr>
              <w:pStyle w:val="6"/>
              <w:spacing w:before="66" w:line="229" w:lineRule="auto"/>
              <w:ind w:left="234"/>
            </w:pPr>
            <w:r>
              <w:t>晴</w:t>
            </w:r>
          </w:p>
        </w:tc>
        <w:tc>
          <w:tcPr>
            <w:tcW w:w="650" w:type="dxa"/>
            <w:vAlign w:val="top"/>
          </w:tcPr>
          <w:p w14:paraId="27DEA0FC">
            <w:pPr>
              <w:pStyle w:val="6"/>
              <w:spacing w:before="66" w:line="228" w:lineRule="auto"/>
              <w:ind w:left="128"/>
            </w:pPr>
            <w:r>
              <w:rPr>
                <w:spacing w:val="1"/>
              </w:rPr>
              <w:t>东南</w:t>
            </w:r>
          </w:p>
        </w:tc>
        <w:tc>
          <w:tcPr>
            <w:tcW w:w="651" w:type="dxa"/>
            <w:vAlign w:val="top"/>
          </w:tcPr>
          <w:p w14:paraId="6212F675">
            <w:pPr>
              <w:spacing w:before="35"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1.6</w:t>
            </w:r>
          </w:p>
        </w:tc>
        <w:tc>
          <w:tcPr>
            <w:tcW w:w="650" w:type="dxa"/>
            <w:vAlign w:val="top"/>
          </w:tcPr>
          <w:p w14:paraId="5C8F1A71">
            <w:pPr>
              <w:spacing w:before="35"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40B40231">
            <w:pPr>
              <w:spacing w:before="35"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0D18C5A7">
            <w:pPr>
              <w:spacing w:before="35"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26.5</w:t>
            </w:r>
          </w:p>
        </w:tc>
        <w:tc>
          <w:tcPr>
            <w:tcW w:w="656" w:type="dxa"/>
            <w:vAlign w:val="top"/>
          </w:tcPr>
          <w:p w14:paraId="57BF9D44">
            <w:pPr>
              <w:spacing w:before="35"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r w14:paraId="69AAE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0C26E64F">
            <w:pPr>
              <w:rPr>
                <w:rFonts w:ascii="Arial"/>
                <w:sz w:val="21"/>
              </w:rPr>
            </w:pPr>
          </w:p>
        </w:tc>
        <w:tc>
          <w:tcPr>
            <w:tcW w:w="1667" w:type="dxa"/>
            <w:vMerge w:val="continue"/>
            <w:tcBorders>
              <w:top w:val="nil"/>
              <w:bottom w:val="nil"/>
            </w:tcBorders>
            <w:vAlign w:val="top"/>
          </w:tcPr>
          <w:p w14:paraId="4BC4E61A">
            <w:pPr>
              <w:rPr>
                <w:rFonts w:ascii="Arial"/>
                <w:sz w:val="21"/>
              </w:rPr>
            </w:pPr>
          </w:p>
        </w:tc>
        <w:tc>
          <w:tcPr>
            <w:tcW w:w="1547" w:type="dxa"/>
            <w:vAlign w:val="top"/>
          </w:tcPr>
          <w:p w14:paraId="33639765">
            <w:pPr>
              <w:spacing w:before="34"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50175B42">
            <w:pPr>
              <w:pStyle w:val="6"/>
              <w:spacing w:before="65" w:line="229" w:lineRule="auto"/>
              <w:ind w:left="234"/>
            </w:pPr>
            <w:r>
              <w:t>晴</w:t>
            </w:r>
          </w:p>
        </w:tc>
        <w:tc>
          <w:tcPr>
            <w:tcW w:w="650" w:type="dxa"/>
            <w:vAlign w:val="top"/>
          </w:tcPr>
          <w:p w14:paraId="6E0233E8">
            <w:pPr>
              <w:pStyle w:val="6"/>
              <w:spacing w:before="65" w:line="228" w:lineRule="auto"/>
              <w:ind w:left="128"/>
            </w:pPr>
            <w:r>
              <w:rPr>
                <w:spacing w:val="1"/>
              </w:rPr>
              <w:t>东南</w:t>
            </w:r>
          </w:p>
        </w:tc>
        <w:tc>
          <w:tcPr>
            <w:tcW w:w="651" w:type="dxa"/>
            <w:vAlign w:val="top"/>
          </w:tcPr>
          <w:p w14:paraId="5A2A79C4">
            <w:pPr>
              <w:spacing w:before="34"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1.6</w:t>
            </w:r>
          </w:p>
        </w:tc>
        <w:tc>
          <w:tcPr>
            <w:tcW w:w="650" w:type="dxa"/>
            <w:vAlign w:val="top"/>
          </w:tcPr>
          <w:p w14:paraId="409FC246">
            <w:pPr>
              <w:spacing w:before="34" w:line="274"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32BFBA9B">
            <w:pPr>
              <w:spacing w:before="34"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1E254601">
            <w:pPr>
              <w:spacing w:before="3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26.9</w:t>
            </w:r>
          </w:p>
        </w:tc>
        <w:tc>
          <w:tcPr>
            <w:tcW w:w="656" w:type="dxa"/>
            <w:vAlign w:val="top"/>
          </w:tcPr>
          <w:p w14:paraId="73FAD986">
            <w:pPr>
              <w:spacing w:before="34"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r w14:paraId="12BEA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12339EFE">
            <w:pPr>
              <w:rPr>
                <w:rFonts w:ascii="Arial"/>
                <w:sz w:val="21"/>
              </w:rPr>
            </w:pPr>
          </w:p>
        </w:tc>
        <w:tc>
          <w:tcPr>
            <w:tcW w:w="1667" w:type="dxa"/>
            <w:vMerge w:val="continue"/>
            <w:tcBorders>
              <w:top w:val="nil"/>
              <w:bottom w:val="nil"/>
            </w:tcBorders>
            <w:vAlign w:val="top"/>
          </w:tcPr>
          <w:p w14:paraId="40E55684">
            <w:pPr>
              <w:rPr>
                <w:rFonts w:ascii="Arial"/>
                <w:sz w:val="21"/>
              </w:rPr>
            </w:pPr>
          </w:p>
        </w:tc>
        <w:tc>
          <w:tcPr>
            <w:tcW w:w="1547" w:type="dxa"/>
            <w:vAlign w:val="top"/>
          </w:tcPr>
          <w:p w14:paraId="0145E925">
            <w:pPr>
              <w:spacing w:before="36"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5A35E270">
            <w:pPr>
              <w:pStyle w:val="6"/>
              <w:spacing w:before="66" w:line="229" w:lineRule="auto"/>
              <w:ind w:left="234"/>
            </w:pPr>
            <w:r>
              <w:t>晴</w:t>
            </w:r>
          </w:p>
        </w:tc>
        <w:tc>
          <w:tcPr>
            <w:tcW w:w="650" w:type="dxa"/>
            <w:vAlign w:val="top"/>
          </w:tcPr>
          <w:p w14:paraId="5E539C85">
            <w:pPr>
              <w:pStyle w:val="6"/>
              <w:spacing w:before="67" w:line="228" w:lineRule="auto"/>
              <w:ind w:left="234"/>
            </w:pPr>
            <w:r>
              <w:t>东</w:t>
            </w:r>
          </w:p>
        </w:tc>
        <w:tc>
          <w:tcPr>
            <w:tcW w:w="651" w:type="dxa"/>
            <w:vAlign w:val="top"/>
          </w:tcPr>
          <w:p w14:paraId="5A232567">
            <w:pPr>
              <w:spacing w:before="36"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650" w:type="dxa"/>
            <w:vAlign w:val="top"/>
          </w:tcPr>
          <w:p w14:paraId="76DBC0AC">
            <w:pPr>
              <w:spacing w:before="36"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7A7CBCE9">
            <w:pPr>
              <w:spacing w:before="36"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16D1A8D4">
            <w:pPr>
              <w:spacing w:before="36"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656" w:type="dxa"/>
            <w:vAlign w:val="top"/>
          </w:tcPr>
          <w:p w14:paraId="1F82AF54">
            <w:pPr>
              <w:spacing w:before="36"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1EA6F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21161526">
            <w:pPr>
              <w:rPr>
                <w:rFonts w:ascii="Arial"/>
                <w:sz w:val="21"/>
              </w:rPr>
            </w:pPr>
          </w:p>
        </w:tc>
        <w:tc>
          <w:tcPr>
            <w:tcW w:w="1667" w:type="dxa"/>
            <w:vMerge w:val="continue"/>
            <w:tcBorders>
              <w:top w:val="nil"/>
            </w:tcBorders>
            <w:vAlign w:val="top"/>
          </w:tcPr>
          <w:p w14:paraId="0F20304B">
            <w:pPr>
              <w:rPr>
                <w:rFonts w:ascii="Arial"/>
                <w:sz w:val="21"/>
              </w:rPr>
            </w:pPr>
          </w:p>
        </w:tc>
        <w:tc>
          <w:tcPr>
            <w:tcW w:w="1547" w:type="dxa"/>
            <w:vAlign w:val="top"/>
          </w:tcPr>
          <w:p w14:paraId="521743F3">
            <w:pPr>
              <w:spacing w:before="37"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30B642EC">
            <w:pPr>
              <w:pStyle w:val="6"/>
              <w:spacing w:before="68" w:line="229" w:lineRule="auto"/>
              <w:ind w:left="234"/>
            </w:pPr>
            <w:r>
              <w:t>晴</w:t>
            </w:r>
          </w:p>
        </w:tc>
        <w:tc>
          <w:tcPr>
            <w:tcW w:w="650" w:type="dxa"/>
            <w:vAlign w:val="top"/>
          </w:tcPr>
          <w:p w14:paraId="71C8CC47">
            <w:pPr>
              <w:pStyle w:val="6"/>
              <w:spacing w:before="68" w:line="228" w:lineRule="auto"/>
              <w:ind w:left="234"/>
            </w:pPr>
            <w:r>
              <w:t>东</w:t>
            </w:r>
          </w:p>
        </w:tc>
        <w:tc>
          <w:tcPr>
            <w:tcW w:w="651" w:type="dxa"/>
            <w:vAlign w:val="top"/>
          </w:tcPr>
          <w:p w14:paraId="5C072DAD">
            <w:pPr>
              <w:spacing w:before="37"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30A60605">
            <w:pPr>
              <w:spacing w:before="107"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19C54A6">
            <w:pPr>
              <w:spacing w:before="37"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354D23BA">
            <w:pPr>
              <w:spacing w:before="3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27.8</w:t>
            </w:r>
          </w:p>
        </w:tc>
        <w:tc>
          <w:tcPr>
            <w:tcW w:w="656" w:type="dxa"/>
            <w:vAlign w:val="top"/>
          </w:tcPr>
          <w:p w14:paraId="64E9A249">
            <w:pPr>
              <w:spacing w:before="37"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4F97C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0B65D97">
            <w:pPr>
              <w:rPr>
                <w:rFonts w:ascii="Arial"/>
                <w:sz w:val="21"/>
              </w:rPr>
            </w:pPr>
          </w:p>
        </w:tc>
        <w:tc>
          <w:tcPr>
            <w:tcW w:w="1667" w:type="dxa"/>
            <w:vMerge w:val="restart"/>
            <w:tcBorders>
              <w:bottom w:val="nil"/>
            </w:tcBorders>
            <w:vAlign w:val="top"/>
          </w:tcPr>
          <w:p w14:paraId="5A397949">
            <w:pPr>
              <w:spacing w:line="335" w:lineRule="auto"/>
              <w:rPr>
                <w:rFonts w:ascii="Arial"/>
                <w:sz w:val="21"/>
              </w:rPr>
            </w:pPr>
          </w:p>
          <w:p w14:paraId="0189B0EE">
            <w:pPr>
              <w:pStyle w:val="6"/>
              <w:spacing w:before="65" w:line="303" w:lineRule="auto"/>
              <w:ind w:left="766" w:right="104" w:hanging="658"/>
            </w:pPr>
            <w:r>
              <w:rPr>
                <w:rFonts w:ascii="Times New Roman" w:hAnsi="Times New Roman" w:eastAsia="Times New Roman" w:cs="Times New Roman"/>
                <w:spacing w:val="-4"/>
              </w:rPr>
              <w:t>2020</w:t>
            </w:r>
            <w:r>
              <w:rPr>
                <w:rFonts w:ascii="Times New Roman" w:hAnsi="Times New Roman" w:eastAsia="Times New Roman" w:cs="Times New Roman"/>
                <w:spacing w:val="19"/>
              </w:rPr>
              <w:t xml:space="preserve"> </w:t>
            </w:r>
            <w:r>
              <w:rPr>
                <w:spacing w:val="-4"/>
              </w:rPr>
              <w:t>年</w:t>
            </w:r>
            <w:r>
              <w:rPr>
                <w:spacing w:val="-21"/>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12"/>
                <w:w w:val="101"/>
              </w:rPr>
              <w:t xml:space="preserve"> </w:t>
            </w:r>
            <w:r>
              <w:rPr>
                <w:spacing w:val="-4"/>
              </w:rPr>
              <w:t>月</w:t>
            </w:r>
            <w:r>
              <w:rPr>
                <w:spacing w:val="-23"/>
              </w:rPr>
              <w:t xml:space="preserve"> </w:t>
            </w:r>
            <w:r>
              <w:rPr>
                <w:rFonts w:ascii="Times New Roman" w:hAnsi="Times New Roman" w:eastAsia="Times New Roman" w:cs="Times New Roman"/>
                <w:spacing w:val="-4"/>
              </w:rPr>
              <w:t>11</w:t>
            </w:r>
            <w:r>
              <w:rPr>
                <w:rFonts w:ascii="Times New Roman" w:hAnsi="Times New Roman" w:eastAsia="Times New Roman" w:cs="Times New Roman"/>
              </w:rPr>
              <w:t xml:space="preserve"> </w:t>
            </w:r>
            <w:r>
              <w:t>日</w:t>
            </w:r>
          </w:p>
        </w:tc>
        <w:tc>
          <w:tcPr>
            <w:tcW w:w="1547" w:type="dxa"/>
            <w:vAlign w:val="top"/>
          </w:tcPr>
          <w:p w14:paraId="04D7F00E">
            <w:pPr>
              <w:spacing w:before="38" w:line="275"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62DFE950">
            <w:pPr>
              <w:pStyle w:val="6"/>
              <w:spacing w:before="69" w:line="229" w:lineRule="auto"/>
              <w:ind w:left="234"/>
            </w:pPr>
            <w:r>
              <w:t>晴</w:t>
            </w:r>
          </w:p>
        </w:tc>
        <w:tc>
          <w:tcPr>
            <w:tcW w:w="650" w:type="dxa"/>
            <w:vAlign w:val="top"/>
          </w:tcPr>
          <w:p w14:paraId="5466F0CA">
            <w:pPr>
              <w:pStyle w:val="6"/>
              <w:spacing w:before="70" w:line="228" w:lineRule="auto"/>
              <w:ind w:left="234"/>
            </w:pPr>
            <w:r>
              <w:t>东</w:t>
            </w:r>
          </w:p>
        </w:tc>
        <w:tc>
          <w:tcPr>
            <w:tcW w:w="651" w:type="dxa"/>
            <w:vAlign w:val="top"/>
          </w:tcPr>
          <w:p w14:paraId="65173C47">
            <w:pPr>
              <w:spacing w:before="38"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263EC346">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7302519A">
            <w:pPr>
              <w:spacing w:before="38" w:line="275"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3BF18879">
            <w:pPr>
              <w:spacing w:before="3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25.7</w:t>
            </w:r>
          </w:p>
        </w:tc>
        <w:tc>
          <w:tcPr>
            <w:tcW w:w="656" w:type="dxa"/>
            <w:vAlign w:val="top"/>
          </w:tcPr>
          <w:p w14:paraId="2E404F78">
            <w:pPr>
              <w:spacing w:before="38"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11E3C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30F94DDA">
            <w:pPr>
              <w:rPr>
                <w:rFonts w:ascii="Arial"/>
                <w:sz w:val="21"/>
              </w:rPr>
            </w:pPr>
          </w:p>
        </w:tc>
        <w:tc>
          <w:tcPr>
            <w:tcW w:w="1667" w:type="dxa"/>
            <w:vMerge w:val="continue"/>
            <w:tcBorders>
              <w:top w:val="nil"/>
              <w:bottom w:val="nil"/>
            </w:tcBorders>
            <w:vAlign w:val="top"/>
          </w:tcPr>
          <w:p w14:paraId="76873195">
            <w:pPr>
              <w:rPr>
                <w:rFonts w:ascii="Arial"/>
                <w:sz w:val="21"/>
              </w:rPr>
            </w:pPr>
          </w:p>
        </w:tc>
        <w:tc>
          <w:tcPr>
            <w:tcW w:w="1547" w:type="dxa"/>
            <w:vAlign w:val="top"/>
          </w:tcPr>
          <w:p w14:paraId="238806EF">
            <w:pPr>
              <w:spacing w:before="39"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23EDC4A1">
            <w:pPr>
              <w:pStyle w:val="6"/>
              <w:spacing w:before="67" w:line="229" w:lineRule="auto"/>
              <w:ind w:left="234"/>
            </w:pPr>
            <w:r>
              <w:t>晴</w:t>
            </w:r>
          </w:p>
        </w:tc>
        <w:tc>
          <w:tcPr>
            <w:tcW w:w="650" w:type="dxa"/>
            <w:vAlign w:val="top"/>
          </w:tcPr>
          <w:p w14:paraId="41DE15EB">
            <w:pPr>
              <w:pStyle w:val="6"/>
              <w:spacing w:before="68" w:line="228" w:lineRule="auto"/>
              <w:ind w:left="234"/>
            </w:pPr>
            <w:r>
              <w:t>东</w:t>
            </w:r>
          </w:p>
        </w:tc>
        <w:tc>
          <w:tcPr>
            <w:tcW w:w="651" w:type="dxa"/>
            <w:vAlign w:val="top"/>
          </w:tcPr>
          <w:p w14:paraId="67F5E134">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0A9B2A37">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4A3FEC88">
            <w:pPr>
              <w:spacing w:before="39"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3E151348">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656" w:type="dxa"/>
            <w:vAlign w:val="top"/>
          </w:tcPr>
          <w:p w14:paraId="3A8B3C26">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2A04C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3D1A723">
            <w:pPr>
              <w:rPr>
                <w:rFonts w:ascii="Arial"/>
                <w:sz w:val="21"/>
              </w:rPr>
            </w:pPr>
          </w:p>
        </w:tc>
        <w:tc>
          <w:tcPr>
            <w:tcW w:w="1667" w:type="dxa"/>
            <w:vMerge w:val="continue"/>
            <w:tcBorders>
              <w:top w:val="nil"/>
              <w:bottom w:val="nil"/>
            </w:tcBorders>
            <w:vAlign w:val="top"/>
          </w:tcPr>
          <w:p w14:paraId="4D639A20">
            <w:pPr>
              <w:rPr>
                <w:rFonts w:ascii="Arial"/>
                <w:sz w:val="21"/>
              </w:rPr>
            </w:pPr>
          </w:p>
        </w:tc>
        <w:tc>
          <w:tcPr>
            <w:tcW w:w="1547" w:type="dxa"/>
            <w:vAlign w:val="top"/>
          </w:tcPr>
          <w:p w14:paraId="72A0DBA7">
            <w:pPr>
              <w:spacing w:before="39"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3C71AD08">
            <w:pPr>
              <w:pStyle w:val="6"/>
              <w:spacing w:before="68" w:line="229" w:lineRule="auto"/>
              <w:ind w:left="234"/>
            </w:pPr>
            <w:r>
              <w:t>晴</w:t>
            </w:r>
          </w:p>
        </w:tc>
        <w:tc>
          <w:tcPr>
            <w:tcW w:w="650" w:type="dxa"/>
            <w:vAlign w:val="top"/>
          </w:tcPr>
          <w:p w14:paraId="7FACE2CC">
            <w:pPr>
              <w:pStyle w:val="6"/>
              <w:spacing w:before="68" w:line="228" w:lineRule="auto"/>
              <w:ind w:left="128"/>
            </w:pPr>
            <w:r>
              <w:rPr>
                <w:spacing w:val="1"/>
              </w:rPr>
              <w:t>东南</w:t>
            </w:r>
          </w:p>
        </w:tc>
        <w:tc>
          <w:tcPr>
            <w:tcW w:w="651" w:type="dxa"/>
            <w:vAlign w:val="top"/>
          </w:tcPr>
          <w:p w14:paraId="05FF2942">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720ACA92">
            <w:pPr>
              <w:spacing w:before="109"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4F5EE09">
            <w:pPr>
              <w:spacing w:before="39"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588EE081">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28.5</w:t>
            </w:r>
          </w:p>
        </w:tc>
        <w:tc>
          <w:tcPr>
            <w:tcW w:w="656" w:type="dxa"/>
            <w:vAlign w:val="top"/>
          </w:tcPr>
          <w:p w14:paraId="091A8692">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21795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55C9BBC7">
            <w:pPr>
              <w:rPr>
                <w:rFonts w:ascii="Arial"/>
                <w:sz w:val="21"/>
              </w:rPr>
            </w:pPr>
          </w:p>
        </w:tc>
        <w:tc>
          <w:tcPr>
            <w:tcW w:w="1667" w:type="dxa"/>
            <w:vMerge w:val="continue"/>
            <w:tcBorders>
              <w:top w:val="nil"/>
            </w:tcBorders>
            <w:vAlign w:val="top"/>
          </w:tcPr>
          <w:p w14:paraId="6D6165D4">
            <w:pPr>
              <w:rPr>
                <w:rFonts w:ascii="Arial"/>
                <w:sz w:val="21"/>
              </w:rPr>
            </w:pPr>
          </w:p>
        </w:tc>
        <w:tc>
          <w:tcPr>
            <w:tcW w:w="1547" w:type="dxa"/>
            <w:vAlign w:val="top"/>
          </w:tcPr>
          <w:p w14:paraId="7FD4FA39">
            <w:pPr>
              <w:spacing w:before="37"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26B1466A">
            <w:pPr>
              <w:pStyle w:val="6"/>
              <w:spacing w:before="68" w:line="229" w:lineRule="auto"/>
              <w:ind w:left="234"/>
            </w:pPr>
            <w:r>
              <w:t>晴</w:t>
            </w:r>
          </w:p>
        </w:tc>
        <w:tc>
          <w:tcPr>
            <w:tcW w:w="650" w:type="dxa"/>
            <w:vAlign w:val="top"/>
          </w:tcPr>
          <w:p w14:paraId="795FD7DD">
            <w:pPr>
              <w:pStyle w:val="6"/>
              <w:spacing w:before="68" w:line="228" w:lineRule="auto"/>
              <w:ind w:left="234"/>
            </w:pPr>
            <w:r>
              <w:t>东</w:t>
            </w:r>
          </w:p>
        </w:tc>
        <w:tc>
          <w:tcPr>
            <w:tcW w:w="651" w:type="dxa"/>
            <w:vAlign w:val="top"/>
          </w:tcPr>
          <w:p w14:paraId="51A22DFF">
            <w:pPr>
              <w:spacing w:before="37"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1.6</w:t>
            </w:r>
          </w:p>
        </w:tc>
        <w:tc>
          <w:tcPr>
            <w:tcW w:w="650" w:type="dxa"/>
            <w:vAlign w:val="top"/>
          </w:tcPr>
          <w:p w14:paraId="693C9AE8">
            <w:pPr>
              <w:spacing w:before="107"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292B085B">
            <w:pPr>
              <w:spacing w:before="37"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0C2E9C24">
            <w:pPr>
              <w:spacing w:before="3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27.4</w:t>
            </w:r>
          </w:p>
        </w:tc>
        <w:tc>
          <w:tcPr>
            <w:tcW w:w="656" w:type="dxa"/>
            <w:vAlign w:val="top"/>
          </w:tcPr>
          <w:p w14:paraId="1B5F91A0">
            <w:pPr>
              <w:spacing w:before="37"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01413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650C4543">
            <w:pPr>
              <w:rPr>
                <w:rFonts w:ascii="Arial"/>
                <w:sz w:val="21"/>
              </w:rPr>
            </w:pPr>
          </w:p>
        </w:tc>
        <w:tc>
          <w:tcPr>
            <w:tcW w:w="1667" w:type="dxa"/>
            <w:vMerge w:val="restart"/>
            <w:tcBorders>
              <w:bottom w:val="nil"/>
            </w:tcBorders>
            <w:vAlign w:val="top"/>
          </w:tcPr>
          <w:p w14:paraId="4D7176A3">
            <w:pPr>
              <w:pStyle w:val="6"/>
              <w:spacing w:before="49" w:line="294"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12</w:t>
            </w:r>
            <w:r>
              <w:rPr>
                <w:rFonts w:ascii="Times New Roman" w:hAnsi="Times New Roman" w:eastAsia="Times New Roman" w:cs="Times New Roman"/>
              </w:rPr>
              <w:t xml:space="preserve"> </w:t>
            </w:r>
            <w:r>
              <w:t>日</w:t>
            </w:r>
          </w:p>
        </w:tc>
        <w:tc>
          <w:tcPr>
            <w:tcW w:w="1547" w:type="dxa"/>
            <w:vAlign w:val="top"/>
          </w:tcPr>
          <w:p w14:paraId="12B5EAC1">
            <w:pPr>
              <w:spacing w:before="38"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1AC91E38">
            <w:pPr>
              <w:pStyle w:val="6"/>
              <w:spacing w:before="68" w:line="229" w:lineRule="auto"/>
              <w:ind w:left="234"/>
            </w:pPr>
            <w:r>
              <w:t>晴</w:t>
            </w:r>
          </w:p>
        </w:tc>
        <w:tc>
          <w:tcPr>
            <w:tcW w:w="650" w:type="dxa"/>
            <w:vAlign w:val="top"/>
          </w:tcPr>
          <w:p w14:paraId="7CA7C568">
            <w:pPr>
              <w:pStyle w:val="6"/>
              <w:spacing w:before="69" w:line="228" w:lineRule="auto"/>
              <w:ind w:left="128"/>
            </w:pPr>
            <w:r>
              <w:rPr>
                <w:spacing w:val="1"/>
              </w:rPr>
              <w:t>东南</w:t>
            </w:r>
          </w:p>
        </w:tc>
        <w:tc>
          <w:tcPr>
            <w:tcW w:w="651" w:type="dxa"/>
            <w:vAlign w:val="top"/>
          </w:tcPr>
          <w:p w14:paraId="166D0E3A">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6EF9B0EE">
            <w:pPr>
              <w:spacing w:before="107"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1086A13C">
            <w:pPr>
              <w:spacing w:before="38"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199AF96D">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25.9</w:t>
            </w:r>
          </w:p>
        </w:tc>
        <w:tc>
          <w:tcPr>
            <w:tcW w:w="656" w:type="dxa"/>
            <w:vAlign w:val="top"/>
          </w:tcPr>
          <w:p w14:paraId="29290A6A">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r>
      <w:tr w14:paraId="0E458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74" w:type="dxa"/>
            <w:vMerge w:val="continue"/>
            <w:tcBorders>
              <w:top w:val="nil"/>
            </w:tcBorders>
            <w:vAlign w:val="top"/>
          </w:tcPr>
          <w:p w14:paraId="72A7BBB1">
            <w:pPr>
              <w:rPr>
                <w:rFonts w:ascii="Arial"/>
                <w:sz w:val="21"/>
              </w:rPr>
            </w:pPr>
          </w:p>
        </w:tc>
        <w:tc>
          <w:tcPr>
            <w:tcW w:w="1667" w:type="dxa"/>
            <w:vMerge w:val="continue"/>
            <w:tcBorders>
              <w:top w:val="nil"/>
            </w:tcBorders>
            <w:vAlign w:val="top"/>
          </w:tcPr>
          <w:p w14:paraId="2AF3ABDC">
            <w:pPr>
              <w:rPr>
                <w:rFonts w:ascii="Arial"/>
                <w:sz w:val="21"/>
              </w:rPr>
            </w:pPr>
          </w:p>
        </w:tc>
        <w:tc>
          <w:tcPr>
            <w:tcW w:w="1547" w:type="dxa"/>
            <w:vAlign w:val="top"/>
          </w:tcPr>
          <w:p w14:paraId="1B5B43CA">
            <w:pPr>
              <w:spacing w:before="38"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454C6BF3">
            <w:pPr>
              <w:pStyle w:val="6"/>
              <w:spacing w:before="69" w:line="229" w:lineRule="auto"/>
              <w:ind w:left="234"/>
            </w:pPr>
            <w:r>
              <w:t>晴</w:t>
            </w:r>
          </w:p>
        </w:tc>
        <w:tc>
          <w:tcPr>
            <w:tcW w:w="650" w:type="dxa"/>
            <w:vAlign w:val="top"/>
          </w:tcPr>
          <w:p w14:paraId="79324541">
            <w:pPr>
              <w:pStyle w:val="6"/>
              <w:spacing w:before="69" w:line="228" w:lineRule="auto"/>
              <w:ind w:left="128"/>
            </w:pPr>
            <w:r>
              <w:rPr>
                <w:spacing w:val="1"/>
              </w:rPr>
              <w:t>东南</w:t>
            </w:r>
          </w:p>
        </w:tc>
        <w:tc>
          <w:tcPr>
            <w:tcW w:w="651" w:type="dxa"/>
            <w:vAlign w:val="top"/>
          </w:tcPr>
          <w:p w14:paraId="7CE390A0">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2CDF02F9">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220D4FFD">
            <w:pPr>
              <w:spacing w:before="3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75666523">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26.4</w:t>
            </w:r>
          </w:p>
        </w:tc>
        <w:tc>
          <w:tcPr>
            <w:tcW w:w="656" w:type="dxa"/>
            <w:vAlign w:val="top"/>
          </w:tcPr>
          <w:p w14:paraId="709DE7BC">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bl>
    <w:p w14:paraId="0D4CBB7D">
      <w:pPr>
        <w:pStyle w:val="2"/>
        <w:spacing w:line="17" w:lineRule="exact"/>
        <w:rPr>
          <w:sz w:val="2"/>
        </w:rPr>
      </w:pPr>
    </w:p>
    <w:p w14:paraId="5AAF9309">
      <w:pPr>
        <w:spacing w:line="17" w:lineRule="exact"/>
        <w:rPr>
          <w:sz w:val="2"/>
          <w:szCs w:val="2"/>
        </w:rPr>
        <w:sectPr>
          <w:headerReference r:id="rId99" w:type="default"/>
          <w:footerReference r:id="rId100" w:type="default"/>
          <w:pgSz w:w="11906" w:h="16839"/>
          <w:pgMar w:top="400" w:right="1475" w:bottom="1485" w:left="1475" w:header="0" w:footer="1249" w:gutter="0"/>
          <w:cols w:space="720" w:num="1"/>
        </w:sectPr>
      </w:pPr>
    </w:p>
    <w:p w14:paraId="7F5A2855">
      <w:pPr>
        <w:spacing w:before="13"/>
      </w:pPr>
    </w:p>
    <w:p w14:paraId="6767CC57">
      <w:pPr>
        <w:spacing w:before="13"/>
      </w:pPr>
    </w:p>
    <w:p w14:paraId="4C4871E4">
      <w:pPr>
        <w:spacing w:before="13"/>
      </w:pPr>
    </w:p>
    <w:p w14:paraId="375FC694">
      <w:pPr>
        <w:spacing w:before="13"/>
      </w:pPr>
    </w:p>
    <w:tbl>
      <w:tblPr>
        <w:tblStyle w:val="5"/>
        <w:tblW w:w="8848"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4"/>
        <w:gridCol w:w="1667"/>
        <w:gridCol w:w="1547"/>
        <w:gridCol w:w="651"/>
        <w:gridCol w:w="650"/>
        <w:gridCol w:w="651"/>
        <w:gridCol w:w="650"/>
        <w:gridCol w:w="651"/>
        <w:gridCol w:w="651"/>
        <w:gridCol w:w="656"/>
      </w:tblGrid>
      <w:tr w14:paraId="3FB19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74" w:type="dxa"/>
            <w:vMerge w:val="restart"/>
            <w:tcBorders>
              <w:bottom w:val="nil"/>
            </w:tcBorders>
            <w:vAlign w:val="top"/>
          </w:tcPr>
          <w:p w14:paraId="2C1F2FDD">
            <w:pPr>
              <w:rPr>
                <w:rFonts w:ascii="Arial"/>
                <w:sz w:val="21"/>
              </w:rPr>
            </w:pPr>
          </w:p>
        </w:tc>
        <w:tc>
          <w:tcPr>
            <w:tcW w:w="1667" w:type="dxa"/>
            <w:vMerge w:val="restart"/>
            <w:tcBorders>
              <w:bottom w:val="nil"/>
            </w:tcBorders>
            <w:vAlign w:val="top"/>
          </w:tcPr>
          <w:p w14:paraId="1C0BF2DA">
            <w:pPr>
              <w:rPr>
                <w:rFonts w:ascii="Arial"/>
                <w:sz w:val="21"/>
              </w:rPr>
            </w:pPr>
          </w:p>
        </w:tc>
        <w:tc>
          <w:tcPr>
            <w:tcW w:w="1547" w:type="dxa"/>
            <w:vAlign w:val="top"/>
          </w:tcPr>
          <w:p w14:paraId="4F38C326">
            <w:pPr>
              <w:spacing w:before="40"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524F813E">
            <w:pPr>
              <w:pStyle w:val="6"/>
              <w:spacing w:before="69" w:line="229" w:lineRule="auto"/>
              <w:ind w:left="234"/>
            </w:pPr>
            <w:r>
              <w:t>晴</w:t>
            </w:r>
          </w:p>
        </w:tc>
        <w:tc>
          <w:tcPr>
            <w:tcW w:w="650" w:type="dxa"/>
            <w:vAlign w:val="top"/>
          </w:tcPr>
          <w:p w14:paraId="04B1D44E">
            <w:pPr>
              <w:pStyle w:val="6"/>
              <w:spacing w:before="69" w:line="228" w:lineRule="auto"/>
              <w:ind w:left="128"/>
            </w:pPr>
            <w:r>
              <w:rPr>
                <w:spacing w:val="1"/>
              </w:rPr>
              <w:t>东南</w:t>
            </w:r>
          </w:p>
        </w:tc>
        <w:tc>
          <w:tcPr>
            <w:tcW w:w="651" w:type="dxa"/>
            <w:vAlign w:val="top"/>
          </w:tcPr>
          <w:p w14:paraId="5D7FC5C7">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w:t>
            </w:r>
          </w:p>
        </w:tc>
        <w:tc>
          <w:tcPr>
            <w:tcW w:w="650" w:type="dxa"/>
            <w:vAlign w:val="top"/>
          </w:tcPr>
          <w:p w14:paraId="5C6B6F8B">
            <w:pPr>
              <w:spacing w:before="40" w:line="274"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58DA8EC2">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3D62D3E8">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28.5</w:t>
            </w:r>
          </w:p>
        </w:tc>
        <w:tc>
          <w:tcPr>
            <w:tcW w:w="656" w:type="dxa"/>
            <w:vAlign w:val="top"/>
          </w:tcPr>
          <w:p w14:paraId="513E4763">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100.6</w:t>
            </w:r>
          </w:p>
        </w:tc>
      </w:tr>
      <w:tr w14:paraId="37BC1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7E4C41A1">
            <w:pPr>
              <w:rPr>
                <w:rFonts w:ascii="Arial"/>
                <w:sz w:val="21"/>
              </w:rPr>
            </w:pPr>
          </w:p>
        </w:tc>
        <w:tc>
          <w:tcPr>
            <w:tcW w:w="1667" w:type="dxa"/>
            <w:vMerge w:val="continue"/>
            <w:tcBorders>
              <w:top w:val="nil"/>
            </w:tcBorders>
            <w:vAlign w:val="top"/>
          </w:tcPr>
          <w:p w14:paraId="5C0EB55B">
            <w:pPr>
              <w:rPr>
                <w:rFonts w:ascii="Arial"/>
                <w:sz w:val="21"/>
              </w:rPr>
            </w:pPr>
          </w:p>
        </w:tc>
        <w:tc>
          <w:tcPr>
            <w:tcW w:w="1547" w:type="dxa"/>
            <w:vAlign w:val="top"/>
          </w:tcPr>
          <w:p w14:paraId="0EF0FD2C">
            <w:pPr>
              <w:spacing w:before="34"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534110CD">
            <w:pPr>
              <w:pStyle w:val="6"/>
              <w:spacing w:before="65" w:line="229" w:lineRule="auto"/>
              <w:ind w:left="234"/>
            </w:pPr>
            <w:r>
              <w:t>晴</w:t>
            </w:r>
          </w:p>
        </w:tc>
        <w:tc>
          <w:tcPr>
            <w:tcW w:w="650" w:type="dxa"/>
            <w:vAlign w:val="top"/>
          </w:tcPr>
          <w:p w14:paraId="5D51DAC3">
            <w:pPr>
              <w:pStyle w:val="6"/>
              <w:spacing w:before="65" w:line="228" w:lineRule="auto"/>
              <w:ind w:left="234"/>
            </w:pPr>
            <w:r>
              <w:t>东</w:t>
            </w:r>
          </w:p>
        </w:tc>
        <w:tc>
          <w:tcPr>
            <w:tcW w:w="651" w:type="dxa"/>
            <w:vAlign w:val="top"/>
          </w:tcPr>
          <w:p w14:paraId="08C1B069">
            <w:pPr>
              <w:spacing w:before="34"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461C0A30">
            <w:pPr>
              <w:spacing w:before="34" w:line="274"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1D1E0306">
            <w:pPr>
              <w:spacing w:before="34"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70CC2288">
            <w:pPr>
              <w:spacing w:before="3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27.1</w:t>
            </w:r>
          </w:p>
        </w:tc>
        <w:tc>
          <w:tcPr>
            <w:tcW w:w="656" w:type="dxa"/>
            <w:vAlign w:val="top"/>
          </w:tcPr>
          <w:p w14:paraId="209E1E62">
            <w:pPr>
              <w:spacing w:before="34"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r w14:paraId="0BD3A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6F893FC1">
            <w:pPr>
              <w:rPr>
                <w:rFonts w:ascii="Arial"/>
                <w:sz w:val="21"/>
              </w:rPr>
            </w:pPr>
          </w:p>
        </w:tc>
        <w:tc>
          <w:tcPr>
            <w:tcW w:w="1667" w:type="dxa"/>
            <w:vMerge w:val="restart"/>
            <w:tcBorders>
              <w:bottom w:val="nil"/>
            </w:tcBorders>
            <w:vAlign w:val="top"/>
          </w:tcPr>
          <w:p w14:paraId="3A50EE20">
            <w:pPr>
              <w:spacing w:line="332" w:lineRule="auto"/>
              <w:rPr>
                <w:rFonts w:ascii="Arial"/>
                <w:sz w:val="21"/>
              </w:rPr>
            </w:pPr>
          </w:p>
          <w:p w14:paraId="1C4FCFD1">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13</w:t>
            </w:r>
            <w:r>
              <w:rPr>
                <w:rFonts w:ascii="Times New Roman" w:hAnsi="Times New Roman" w:eastAsia="Times New Roman" w:cs="Times New Roman"/>
              </w:rPr>
              <w:t xml:space="preserve"> </w:t>
            </w:r>
            <w:r>
              <w:t>日</w:t>
            </w:r>
          </w:p>
        </w:tc>
        <w:tc>
          <w:tcPr>
            <w:tcW w:w="1547" w:type="dxa"/>
            <w:vAlign w:val="top"/>
          </w:tcPr>
          <w:p w14:paraId="2B98E046">
            <w:pPr>
              <w:spacing w:before="35" w:line="275"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521A8068">
            <w:pPr>
              <w:pStyle w:val="6"/>
              <w:spacing w:before="66" w:line="229" w:lineRule="auto"/>
              <w:ind w:left="234"/>
            </w:pPr>
            <w:r>
              <w:t>晴</w:t>
            </w:r>
          </w:p>
        </w:tc>
        <w:tc>
          <w:tcPr>
            <w:tcW w:w="650" w:type="dxa"/>
            <w:vAlign w:val="top"/>
          </w:tcPr>
          <w:p w14:paraId="2B3E92DD">
            <w:pPr>
              <w:pStyle w:val="6"/>
              <w:spacing w:before="67" w:line="228" w:lineRule="auto"/>
              <w:ind w:left="234"/>
            </w:pPr>
            <w:r>
              <w:t>东</w:t>
            </w:r>
          </w:p>
        </w:tc>
        <w:tc>
          <w:tcPr>
            <w:tcW w:w="651" w:type="dxa"/>
            <w:vAlign w:val="top"/>
          </w:tcPr>
          <w:p w14:paraId="10D53449">
            <w:pPr>
              <w:spacing w:before="35"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6C07FC2A">
            <w:pPr>
              <w:spacing w:before="105"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3095275">
            <w:pPr>
              <w:spacing w:before="35" w:line="275"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2E88DE7F">
            <w:pPr>
              <w:spacing w:before="35"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25.1</w:t>
            </w:r>
          </w:p>
        </w:tc>
        <w:tc>
          <w:tcPr>
            <w:tcW w:w="656" w:type="dxa"/>
            <w:vAlign w:val="top"/>
          </w:tcPr>
          <w:p w14:paraId="6424A5CA">
            <w:pPr>
              <w:spacing w:before="35"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101.1</w:t>
            </w:r>
          </w:p>
        </w:tc>
      </w:tr>
      <w:tr w14:paraId="4B618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04A158A5">
            <w:pPr>
              <w:rPr>
                <w:rFonts w:ascii="Arial"/>
                <w:sz w:val="21"/>
              </w:rPr>
            </w:pPr>
          </w:p>
        </w:tc>
        <w:tc>
          <w:tcPr>
            <w:tcW w:w="1667" w:type="dxa"/>
            <w:vMerge w:val="continue"/>
            <w:tcBorders>
              <w:top w:val="nil"/>
              <w:bottom w:val="nil"/>
            </w:tcBorders>
            <w:vAlign w:val="top"/>
          </w:tcPr>
          <w:p w14:paraId="3C3F9B86">
            <w:pPr>
              <w:rPr>
                <w:rFonts w:ascii="Arial"/>
                <w:sz w:val="21"/>
              </w:rPr>
            </w:pPr>
          </w:p>
        </w:tc>
        <w:tc>
          <w:tcPr>
            <w:tcW w:w="1547" w:type="dxa"/>
            <w:vAlign w:val="top"/>
          </w:tcPr>
          <w:p w14:paraId="39D2FD84">
            <w:pPr>
              <w:spacing w:before="37"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1B4565BB">
            <w:pPr>
              <w:pStyle w:val="6"/>
              <w:spacing w:before="68" w:line="229" w:lineRule="auto"/>
              <w:ind w:left="234"/>
            </w:pPr>
            <w:r>
              <w:t>晴</w:t>
            </w:r>
          </w:p>
        </w:tc>
        <w:tc>
          <w:tcPr>
            <w:tcW w:w="650" w:type="dxa"/>
            <w:vAlign w:val="top"/>
          </w:tcPr>
          <w:p w14:paraId="77F06F26">
            <w:pPr>
              <w:pStyle w:val="6"/>
              <w:spacing w:before="68" w:line="228" w:lineRule="auto"/>
              <w:ind w:left="128"/>
            </w:pPr>
            <w:r>
              <w:rPr>
                <w:spacing w:val="1"/>
              </w:rPr>
              <w:t>东南</w:t>
            </w:r>
          </w:p>
        </w:tc>
        <w:tc>
          <w:tcPr>
            <w:tcW w:w="651" w:type="dxa"/>
            <w:vAlign w:val="top"/>
          </w:tcPr>
          <w:p w14:paraId="138FDEFA">
            <w:pPr>
              <w:spacing w:before="37"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3011219F">
            <w:pPr>
              <w:spacing w:before="37"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0D4A4BED">
            <w:pPr>
              <w:spacing w:before="37"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055EAEC5">
            <w:pPr>
              <w:spacing w:before="3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656" w:type="dxa"/>
            <w:vAlign w:val="top"/>
          </w:tcPr>
          <w:p w14:paraId="03DBA1AC">
            <w:pPr>
              <w:spacing w:before="37"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7CBFC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02B2FB8C">
            <w:pPr>
              <w:rPr>
                <w:rFonts w:ascii="Arial"/>
                <w:sz w:val="21"/>
              </w:rPr>
            </w:pPr>
          </w:p>
        </w:tc>
        <w:tc>
          <w:tcPr>
            <w:tcW w:w="1667" w:type="dxa"/>
            <w:vMerge w:val="continue"/>
            <w:tcBorders>
              <w:top w:val="nil"/>
              <w:bottom w:val="nil"/>
            </w:tcBorders>
            <w:vAlign w:val="top"/>
          </w:tcPr>
          <w:p w14:paraId="390745FB">
            <w:pPr>
              <w:rPr>
                <w:rFonts w:ascii="Arial"/>
                <w:sz w:val="21"/>
              </w:rPr>
            </w:pPr>
          </w:p>
        </w:tc>
        <w:tc>
          <w:tcPr>
            <w:tcW w:w="1547" w:type="dxa"/>
            <w:vAlign w:val="top"/>
          </w:tcPr>
          <w:p w14:paraId="710F1A9B">
            <w:pPr>
              <w:spacing w:before="38"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79053A88">
            <w:pPr>
              <w:pStyle w:val="6"/>
              <w:spacing w:before="69" w:line="229" w:lineRule="auto"/>
              <w:ind w:left="234"/>
            </w:pPr>
            <w:r>
              <w:t>晴</w:t>
            </w:r>
          </w:p>
        </w:tc>
        <w:tc>
          <w:tcPr>
            <w:tcW w:w="650" w:type="dxa"/>
            <w:vAlign w:val="top"/>
          </w:tcPr>
          <w:p w14:paraId="12E9AA26">
            <w:pPr>
              <w:pStyle w:val="6"/>
              <w:spacing w:before="69" w:line="228" w:lineRule="auto"/>
              <w:ind w:left="234"/>
            </w:pPr>
            <w:r>
              <w:t>东</w:t>
            </w:r>
          </w:p>
        </w:tc>
        <w:tc>
          <w:tcPr>
            <w:tcW w:w="651" w:type="dxa"/>
            <w:vAlign w:val="top"/>
          </w:tcPr>
          <w:p w14:paraId="511ADCC9">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50817B38">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6E2EB207">
            <w:pPr>
              <w:spacing w:before="3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6B290C44">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27.9</w:t>
            </w:r>
          </w:p>
        </w:tc>
        <w:tc>
          <w:tcPr>
            <w:tcW w:w="656" w:type="dxa"/>
            <w:vAlign w:val="top"/>
          </w:tcPr>
          <w:p w14:paraId="783B703D">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5F868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79BCD920">
            <w:pPr>
              <w:rPr>
                <w:rFonts w:ascii="Arial"/>
                <w:sz w:val="21"/>
              </w:rPr>
            </w:pPr>
          </w:p>
        </w:tc>
        <w:tc>
          <w:tcPr>
            <w:tcW w:w="1667" w:type="dxa"/>
            <w:vMerge w:val="continue"/>
            <w:tcBorders>
              <w:top w:val="nil"/>
            </w:tcBorders>
            <w:vAlign w:val="top"/>
          </w:tcPr>
          <w:p w14:paraId="22BCA2FB">
            <w:pPr>
              <w:rPr>
                <w:rFonts w:ascii="Arial"/>
                <w:sz w:val="21"/>
              </w:rPr>
            </w:pPr>
          </w:p>
        </w:tc>
        <w:tc>
          <w:tcPr>
            <w:tcW w:w="1547" w:type="dxa"/>
            <w:vAlign w:val="top"/>
          </w:tcPr>
          <w:p w14:paraId="3B8C60F9">
            <w:pPr>
              <w:spacing w:before="40"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4F395B05">
            <w:pPr>
              <w:pStyle w:val="6"/>
              <w:spacing w:before="68" w:line="229" w:lineRule="auto"/>
              <w:ind w:left="234"/>
            </w:pPr>
            <w:r>
              <w:t>晴</w:t>
            </w:r>
          </w:p>
        </w:tc>
        <w:tc>
          <w:tcPr>
            <w:tcW w:w="650" w:type="dxa"/>
            <w:vAlign w:val="top"/>
          </w:tcPr>
          <w:p w14:paraId="0BBC8089">
            <w:pPr>
              <w:pStyle w:val="6"/>
              <w:spacing w:before="68" w:line="228" w:lineRule="auto"/>
              <w:ind w:left="128"/>
            </w:pPr>
            <w:r>
              <w:rPr>
                <w:spacing w:val="1"/>
              </w:rPr>
              <w:t>东南</w:t>
            </w:r>
          </w:p>
        </w:tc>
        <w:tc>
          <w:tcPr>
            <w:tcW w:w="651" w:type="dxa"/>
            <w:vAlign w:val="top"/>
          </w:tcPr>
          <w:p w14:paraId="72426A73">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650" w:type="dxa"/>
            <w:vAlign w:val="top"/>
          </w:tcPr>
          <w:p w14:paraId="08A65038">
            <w:pPr>
              <w:spacing w:before="109"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0BFDCBF3">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5738BADE">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26.5</w:t>
            </w:r>
          </w:p>
        </w:tc>
        <w:tc>
          <w:tcPr>
            <w:tcW w:w="656" w:type="dxa"/>
            <w:vAlign w:val="top"/>
          </w:tcPr>
          <w:p w14:paraId="3E993E45">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1411F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0872C84A">
            <w:pPr>
              <w:rPr>
                <w:rFonts w:ascii="Arial"/>
                <w:sz w:val="21"/>
              </w:rPr>
            </w:pPr>
          </w:p>
        </w:tc>
        <w:tc>
          <w:tcPr>
            <w:tcW w:w="1667" w:type="dxa"/>
            <w:vMerge w:val="restart"/>
            <w:tcBorders>
              <w:bottom w:val="nil"/>
            </w:tcBorders>
            <w:vAlign w:val="top"/>
          </w:tcPr>
          <w:p w14:paraId="6ED16E16">
            <w:pPr>
              <w:spacing w:line="334" w:lineRule="auto"/>
              <w:rPr>
                <w:rFonts w:ascii="Arial"/>
                <w:sz w:val="21"/>
              </w:rPr>
            </w:pPr>
          </w:p>
          <w:p w14:paraId="39DDD5E1">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14</w:t>
            </w:r>
            <w:r>
              <w:rPr>
                <w:rFonts w:ascii="Times New Roman" w:hAnsi="Times New Roman" w:eastAsia="Times New Roman" w:cs="Times New Roman"/>
              </w:rPr>
              <w:t xml:space="preserve"> </w:t>
            </w:r>
            <w:r>
              <w:t>日</w:t>
            </w:r>
          </w:p>
        </w:tc>
        <w:tc>
          <w:tcPr>
            <w:tcW w:w="1547" w:type="dxa"/>
            <w:vAlign w:val="top"/>
          </w:tcPr>
          <w:p w14:paraId="13B5CEA6">
            <w:pPr>
              <w:spacing w:before="40"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266D8A08">
            <w:pPr>
              <w:pStyle w:val="6"/>
              <w:spacing w:before="71" w:line="229" w:lineRule="auto"/>
              <w:ind w:left="234"/>
            </w:pPr>
            <w:r>
              <w:t>晴</w:t>
            </w:r>
          </w:p>
        </w:tc>
        <w:tc>
          <w:tcPr>
            <w:tcW w:w="650" w:type="dxa"/>
            <w:vAlign w:val="top"/>
          </w:tcPr>
          <w:p w14:paraId="5169301B">
            <w:pPr>
              <w:pStyle w:val="6"/>
              <w:spacing w:before="71" w:line="228" w:lineRule="auto"/>
              <w:ind w:left="128"/>
            </w:pPr>
            <w:r>
              <w:rPr>
                <w:spacing w:val="1"/>
              </w:rPr>
              <w:t>东南</w:t>
            </w:r>
          </w:p>
        </w:tc>
        <w:tc>
          <w:tcPr>
            <w:tcW w:w="651" w:type="dxa"/>
            <w:vAlign w:val="top"/>
          </w:tcPr>
          <w:p w14:paraId="3F95BD78">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0F1070B3">
            <w:pPr>
              <w:spacing w:before="110"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4AAFF21E">
            <w:pPr>
              <w:spacing w:before="40"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0CCC1D14">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25.4</w:t>
            </w:r>
          </w:p>
        </w:tc>
        <w:tc>
          <w:tcPr>
            <w:tcW w:w="656" w:type="dxa"/>
            <w:vAlign w:val="top"/>
          </w:tcPr>
          <w:p w14:paraId="4A82ACF3">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3394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62FF2495">
            <w:pPr>
              <w:rPr>
                <w:rFonts w:ascii="Arial"/>
                <w:sz w:val="21"/>
              </w:rPr>
            </w:pPr>
          </w:p>
        </w:tc>
        <w:tc>
          <w:tcPr>
            <w:tcW w:w="1667" w:type="dxa"/>
            <w:vMerge w:val="continue"/>
            <w:tcBorders>
              <w:top w:val="nil"/>
              <w:bottom w:val="nil"/>
            </w:tcBorders>
            <w:vAlign w:val="top"/>
          </w:tcPr>
          <w:p w14:paraId="7F1636F5">
            <w:pPr>
              <w:rPr>
                <w:rFonts w:ascii="Arial"/>
                <w:sz w:val="21"/>
              </w:rPr>
            </w:pPr>
          </w:p>
        </w:tc>
        <w:tc>
          <w:tcPr>
            <w:tcW w:w="1547" w:type="dxa"/>
            <w:vAlign w:val="top"/>
          </w:tcPr>
          <w:p w14:paraId="2162C050">
            <w:pPr>
              <w:spacing w:before="38"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0A6EA190">
            <w:pPr>
              <w:pStyle w:val="6"/>
              <w:spacing w:before="69" w:line="229" w:lineRule="auto"/>
              <w:ind w:left="234"/>
            </w:pPr>
            <w:r>
              <w:t>晴</w:t>
            </w:r>
          </w:p>
        </w:tc>
        <w:tc>
          <w:tcPr>
            <w:tcW w:w="650" w:type="dxa"/>
            <w:vAlign w:val="top"/>
          </w:tcPr>
          <w:p w14:paraId="0D907CF4">
            <w:pPr>
              <w:pStyle w:val="6"/>
              <w:spacing w:before="69" w:line="228" w:lineRule="auto"/>
              <w:ind w:left="128"/>
            </w:pPr>
            <w:r>
              <w:rPr>
                <w:spacing w:val="1"/>
              </w:rPr>
              <w:t>东南</w:t>
            </w:r>
          </w:p>
        </w:tc>
        <w:tc>
          <w:tcPr>
            <w:tcW w:w="651" w:type="dxa"/>
            <w:vAlign w:val="top"/>
          </w:tcPr>
          <w:p w14:paraId="359A563A">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42C10548">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47EA3546">
            <w:pPr>
              <w:spacing w:before="38"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686A97FA">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26.5</w:t>
            </w:r>
          </w:p>
        </w:tc>
        <w:tc>
          <w:tcPr>
            <w:tcW w:w="656" w:type="dxa"/>
            <w:vAlign w:val="top"/>
          </w:tcPr>
          <w:p w14:paraId="3579F8F9">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1095A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0ADEC479">
            <w:pPr>
              <w:rPr>
                <w:rFonts w:ascii="Arial"/>
                <w:sz w:val="21"/>
              </w:rPr>
            </w:pPr>
          </w:p>
        </w:tc>
        <w:tc>
          <w:tcPr>
            <w:tcW w:w="1667" w:type="dxa"/>
            <w:vMerge w:val="continue"/>
            <w:tcBorders>
              <w:top w:val="nil"/>
              <w:bottom w:val="nil"/>
            </w:tcBorders>
            <w:vAlign w:val="top"/>
          </w:tcPr>
          <w:p w14:paraId="2C0EEB7E">
            <w:pPr>
              <w:rPr>
                <w:rFonts w:ascii="Arial"/>
                <w:sz w:val="21"/>
              </w:rPr>
            </w:pPr>
          </w:p>
        </w:tc>
        <w:tc>
          <w:tcPr>
            <w:tcW w:w="1547" w:type="dxa"/>
            <w:vAlign w:val="top"/>
          </w:tcPr>
          <w:p w14:paraId="3A6EA208">
            <w:pPr>
              <w:spacing w:before="38" w:line="275"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6095AF02">
            <w:pPr>
              <w:pStyle w:val="6"/>
              <w:spacing w:before="69" w:line="229" w:lineRule="auto"/>
              <w:ind w:left="234"/>
            </w:pPr>
            <w:r>
              <w:t>晴</w:t>
            </w:r>
          </w:p>
        </w:tc>
        <w:tc>
          <w:tcPr>
            <w:tcW w:w="650" w:type="dxa"/>
            <w:vAlign w:val="top"/>
          </w:tcPr>
          <w:p w14:paraId="4D23C448">
            <w:pPr>
              <w:pStyle w:val="6"/>
              <w:spacing w:before="70" w:line="228" w:lineRule="auto"/>
              <w:ind w:left="128"/>
            </w:pPr>
            <w:r>
              <w:rPr>
                <w:spacing w:val="1"/>
              </w:rPr>
              <w:t>东南</w:t>
            </w:r>
          </w:p>
        </w:tc>
        <w:tc>
          <w:tcPr>
            <w:tcW w:w="651" w:type="dxa"/>
            <w:vAlign w:val="top"/>
          </w:tcPr>
          <w:p w14:paraId="4DE13059">
            <w:pPr>
              <w:spacing w:before="38"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650" w:type="dxa"/>
            <w:vAlign w:val="top"/>
          </w:tcPr>
          <w:p w14:paraId="28FA8187">
            <w:pPr>
              <w:spacing w:before="38" w:line="275"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121D6D87">
            <w:pPr>
              <w:spacing w:before="38" w:line="275"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35796CA7">
            <w:pPr>
              <w:spacing w:before="3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29.1</w:t>
            </w:r>
          </w:p>
        </w:tc>
        <w:tc>
          <w:tcPr>
            <w:tcW w:w="656" w:type="dxa"/>
            <w:vAlign w:val="top"/>
          </w:tcPr>
          <w:p w14:paraId="56B1BF1B">
            <w:pPr>
              <w:spacing w:before="38"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5D4EC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2D9196A5">
            <w:pPr>
              <w:rPr>
                <w:rFonts w:ascii="Arial"/>
                <w:sz w:val="21"/>
              </w:rPr>
            </w:pPr>
          </w:p>
        </w:tc>
        <w:tc>
          <w:tcPr>
            <w:tcW w:w="1667" w:type="dxa"/>
            <w:vMerge w:val="continue"/>
            <w:tcBorders>
              <w:top w:val="nil"/>
            </w:tcBorders>
            <w:vAlign w:val="top"/>
          </w:tcPr>
          <w:p w14:paraId="5FE350DF">
            <w:pPr>
              <w:rPr>
                <w:rFonts w:ascii="Arial"/>
                <w:sz w:val="21"/>
              </w:rPr>
            </w:pPr>
          </w:p>
        </w:tc>
        <w:tc>
          <w:tcPr>
            <w:tcW w:w="1547" w:type="dxa"/>
            <w:vAlign w:val="top"/>
          </w:tcPr>
          <w:p w14:paraId="44E38D0C">
            <w:pPr>
              <w:spacing w:before="39"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590AAA58">
            <w:pPr>
              <w:pStyle w:val="6"/>
              <w:spacing w:before="70" w:line="229" w:lineRule="auto"/>
              <w:ind w:left="234"/>
            </w:pPr>
            <w:r>
              <w:t>晴</w:t>
            </w:r>
          </w:p>
        </w:tc>
        <w:tc>
          <w:tcPr>
            <w:tcW w:w="650" w:type="dxa"/>
            <w:vAlign w:val="top"/>
          </w:tcPr>
          <w:p w14:paraId="6904DA51">
            <w:pPr>
              <w:pStyle w:val="6"/>
              <w:spacing w:before="70" w:line="228" w:lineRule="auto"/>
              <w:ind w:left="234"/>
            </w:pPr>
            <w:r>
              <w:t>东</w:t>
            </w:r>
          </w:p>
        </w:tc>
        <w:tc>
          <w:tcPr>
            <w:tcW w:w="651" w:type="dxa"/>
            <w:vAlign w:val="top"/>
          </w:tcPr>
          <w:p w14:paraId="77F04399">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1CB48698">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AB69BEF">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59A1EE84">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27.2</w:t>
            </w:r>
          </w:p>
        </w:tc>
        <w:tc>
          <w:tcPr>
            <w:tcW w:w="656" w:type="dxa"/>
            <w:vAlign w:val="top"/>
          </w:tcPr>
          <w:p w14:paraId="5A8694CA">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0400C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989D5B9">
            <w:pPr>
              <w:rPr>
                <w:rFonts w:ascii="Arial"/>
                <w:sz w:val="21"/>
              </w:rPr>
            </w:pPr>
          </w:p>
        </w:tc>
        <w:tc>
          <w:tcPr>
            <w:tcW w:w="1667" w:type="dxa"/>
            <w:vMerge w:val="restart"/>
            <w:tcBorders>
              <w:bottom w:val="nil"/>
            </w:tcBorders>
            <w:vAlign w:val="top"/>
          </w:tcPr>
          <w:p w14:paraId="7FCF2114">
            <w:pPr>
              <w:spacing w:line="336" w:lineRule="auto"/>
              <w:rPr>
                <w:rFonts w:ascii="Arial"/>
                <w:sz w:val="21"/>
              </w:rPr>
            </w:pPr>
          </w:p>
          <w:p w14:paraId="7615A5A5">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15</w:t>
            </w:r>
            <w:r>
              <w:rPr>
                <w:rFonts w:ascii="Times New Roman" w:hAnsi="Times New Roman" w:eastAsia="Times New Roman" w:cs="Times New Roman"/>
              </w:rPr>
              <w:t xml:space="preserve"> </w:t>
            </w:r>
            <w:r>
              <w:t>日</w:t>
            </w:r>
          </w:p>
        </w:tc>
        <w:tc>
          <w:tcPr>
            <w:tcW w:w="1547" w:type="dxa"/>
            <w:vAlign w:val="top"/>
          </w:tcPr>
          <w:p w14:paraId="4ACBC16D">
            <w:pPr>
              <w:spacing w:before="39"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3347EF99">
            <w:pPr>
              <w:pStyle w:val="6"/>
              <w:spacing w:before="70" w:line="229" w:lineRule="auto"/>
              <w:ind w:left="234"/>
            </w:pPr>
            <w:r>
              <w:t>晴</w:t>
            </w:r>
          </w:p>
        </w:tc>
        <w:tc>
          <w:tcPr>
            <w:tcW w:w="650" w:type="dxa"/>
            <w:vAlign w:val="top"/>
          </w:tcPr>
          <w:p w14:paraId="2E045ABB">
            <w:pPr>
              <w:pStyle w:val="6"/>
              <w:spacing w:before="70" w:line="228" w:lineRule="auto"/>
              <w:ind w:left="128"/>
            </w:pPr>
            <w:r>
              <w:rPr>
                <w:spacing w:val="1"/>
              </w:rPr>
              <w:t>东北</w:t>
            </w:r>
          </w:p>
        </w:tc>
        <w:tc>
          <w:tcPr>
            <w:tcW w:w="651" w:type="dxa"/>
            <w:vAlign w:val="top"/>
          </w:tcPr>
          <w:p w14:paraId="754F3E4A">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518E2A17">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31A06A19">
            <w:pPr>
              <w:spacing w:before="39"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7A3268FF">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26.4</w:t>
            </w:r>
          </w:p>
        </w:tc>
        <w:tc>
          <w:tcPr>
            <w:tcW w:w="656" w:type="dxa"/>
            <w:vAlign w:val="top"/>
          </w:tcPr>
          <w:p w14:paraId="07CFAD53">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748DB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1E904038">
            <w:pPr>
              <w:rPr>
                <w:rFonts w:ascii="Arial"/>
                <w:sz w:val="21"/>
              </w:rPr>
            </w:pPr>
          </w:p>
        </w:tc>
        <w:tc>
          <w:tcPr>
            <w:tcW w:w="1667" w:type="dxa"/>
            <w:vMerge w:val="continue"/>
            <w:tcBorders>
              <w:top w:val="nil"/>
              <w:bottom w:val="nil"/>
            </w:tcBorders>
            <w:vAlign w:val="top"/>
          </w:tcPr>
          <w:p w14:paraId="334F9435">
            <w:pPr>
              <w:rPr>
                <w:rFonts w:ascii="Arial"/>
                <w:sz w:val="21"/>
              </w:rPr>
            </w:pPr>
          </w:p>
        </w:tc>
        <w:tc>
          <w:tcPr>
            <w:tcW w:w="1547" w:type="dxa"/>
            <w:vAlign w:val="top"/>
          </w:tcPr>
          <w:p w14:paraId="6191867B">
            <w:pPr>
              <w:spacing w:before="40"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1DE5EFB8">
            <w:pPr>
              <w:pStyle w:val="6"/>
              <w:spacing w:before="68" w:line="229" w:lineRule="auto"/>
              <w:ind w:left="234"/>
            </w:pPr>
            <w:r>
              <w:t>晴</w:t>
            </w:r>
          </w:p>
        </w:tc>
        <w:tc>
          <w:tcPr>
            <w:tcW w:w="650" w:type="dxa"/>
            <w:vAlign w:val="top"/>
          </w:tcPr>
          <w:p w14:paraId="29976682">
            <w:pPr>
              <w:pStyle w:val="6"/>
              <w:spacing w:before="68" w:line="228" w:lineRule="auto"/>
              <w:ind w:left="128"/>
            </w:pPr>
            <w:r>
              <w:rPr>
                <w:spacing w:val="1"/>
              </w:rPr>
              <w:t>东北</w:t>
            </w:r>
          </w:p>
        </w:tc>
        <w:tc>
          <w:tcPr>
            <w:tcW w:w="651" w:type="dxa"/>
            <w:vAlign w:val="top"/>
          </w:tcPr>
          <w:p w14:paraId="71B65030">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650" w:type="dxa"/>
            <w:vAlign w:val="top"/>
          </w:tcPr>
          <w:p w14:paraId="47B74415">
            <w:pPr>
              <w:spacing w:before="40"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2C9F037C">
            <w:pPr>
              <w:spacing w:before="40"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1E4C12D3">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656" w:type="dxa"/>
            <w:vAlign w:val="top"/>
          </w:tcPr>
          <w:p w14:paraId="7337737E">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62D32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2D660DC6">
            <w:pPr>
              <w:rPr>
                <w:rFonts w:ascii="Arial"/>
                <w:sz w:val="21"/>
              </w:rPr>
            </w:pPr>
          </w:p>
        </w:tc>
        <w:tc>
          <w:tcPr>
            <w:tcW w:w="1667" w:type="dxa"/>
            <w:vMerge w:val="continue"/>
            <w:tcBorders>
              <w:top w:val="nil"/>
              <w:bottom w:val="nil"/>
            </w:tcBorders>
            <w:vAlign w:val="top"/>
          </w:tcPr>
          <w:p w14:paraId="3A7A6982">
            <w:pPr>
              <w:rPr>
                <w:rFonts w:ascii="Arial"/>
                <w:sz w:val="21"/>
              </w:rPr>
            </w:pPr>
          </w:p>
        </w:tc>
        <w:tc>
          <w:tcPr>
            <w:tcW w:w="1547" w:type="dxa"/>
            <w:vAlign w:val="top"/>
          </w:tcPr>
          <w:p w14:paraId="3357F582">
            <w:pPr>
              <w:spacing w:before="40"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749DB1C4">
            <w:pPr>
              <w:pStyle w:val="6"/>
              <w:spacing w:before="68" w:line="229" w:lineRule="auto"/>
              <w:ind w:left="234"/>
            </w:pPr>
            <w:r>
              <w:t>晴</w:t>
            </w:r>
          </w:p>
        </w:tc>
        <w:tc>
          <w:tcPr>
            <w:tcW w:w="650" w:type="dxa"/>
            <w:vAlign w:val="top"/>
          </w:tcPr>
          <w:p w14:paraId="2FEC4ACC">
            <w:pPr>
              <w:pStyle w:val="6"/>
              <w:spacing w:before="69" w:line="228" w:lineRule="auto"/>
              <w:ind w:left="234"/>
            </w:pPr>
            <w:r>
              <w:t>东</w:t>
            </w:r>
          </w:p>
        </w:tc>
        <w:tc>
          <w:tcPr>
            <w:tcW w:w="651" w:type="dxa"/>
            <w:vAlign w:val="top"/>
          </w:tcPr>
          <w:p w14:paraId="41157029">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23319F28">
            <w:pPr>
              <w:spacing w:before="110"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238AF2F1">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2343139E">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29.4</w:t>
            </w:r>
          </w:p>
        </w:tc>
        <w:tc>
          <w:tcPr>
            <w:tcW w:w="656" w:type="dxa"/>
            <w:vAlign w:val="top"/>
          </w:tcPr>
          <w:p w14:paraId="1CD8EF8C">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795AB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26A55582">
            <w:pPr>
              <w:rPr>
                <w:rFonts w:ascii="Arial"/>
                <w:sz w:val="21"/>
              </w:rPr>
            </w:pPr>
          </w:p>
        </w:tc>
        <w:tc>
          <w:tcPr>
            <w:tcW w:w="1667" w:type="dxa"/>
            <w:vMerge w:val="continue"/>
            <w:tcBorders>
              <w:top w:val="nil"/>
            </w:tcBorders>
            <w:vAlign w:val="top"/>
          </w:tcPr>
          <w:p w14:paraId="2F764B1C">
            <w:pPr>
              <w:rPr>
                <w:rFonts w:ascii="Arial"/>
                <w:sz w:val="21"/>
              </w:rPr>
            </w:pPr>
          </w:p>
        </w:tc>
        <w:tc>
          <w:tcPr>
            <w:tcW w:w="1547" w:type="dxa"/>
            <w:vAlign w:val="top"/>
          </w:tcPr>
          <w:p w14:paraId="111E7D06">
            <w:pPr>
              <w:spacing w:before="38"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0B203E9A">
            <w:pPr>
              <w:pStyle w:val="6"/>
              <w:spacing w:before="69" w:line="229" w:lineRule="auto"/>
              <w:ind w:left="234"/>
            </w:pPr>
            <w:r>
              <w:t>晴</w:t>
            </w:r>
          </w:p>
        </w:tc>
        <w:tc>
          <w:tcPr>
            <w:tcW w:w="650" w:type="dxa"/>
            <w:vAlign w:val="top"/>
          </w:tcPr>
          <w:p w14:paraId="7E871876">
            <w:pPr>
              <w:pStyle w:val="6"/>
              <w:spacing w:before="69" w:line="228" w:lineRule="auto"/>
              <w:ind w:left="234"/>
            </w:pPr>
            <w:r>
              <w:t>东</w:t>
            </w:r>
          </w:p>
        </w:tc>
        <w:tc>
          <w:tcPr>
            <w:tcW w:w="651" w:type="dxa"/>
            <w:vAlign w:val="top"/>
          </w:tcPr>
          <w:p w14:paraId="510E86F3">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2A4A0D9A">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016AFFC0">
            <w:pPr>
              <w:spacing w:before="3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417F55C4">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27.5</w:t>
            </w:r>
          </w:p>
        </w:tc>
        <w:tc>
          <w:tcPr>
            <w:tcW w:w="656" w:type="dxa"/>
            <w:vAlign w:val="top"/>
          </w:tcPr>
          <w:p w14:paraId="5CB7B7EA">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0563C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3EF9D24E">
            <w:pPr>
              <w:rPr>
                <w:rFonts w:ascii="Arial"/>
                <w:sz w:val="21"/>
              </w:rPr>
            </w:pPr>
          </w:p>
        </w:tc>
        <w:tc>
          <w:tcPr>
            <w:tcW w:w="1667" w:type="dxa"/>
            <w:vMerge w:val="restart"/>
            <w:tcBorders>
              <w:bottom w:val="nil"/>
            </w:tcBorders>
            <w:vAlign w:val="top"/>
          </w:tcPr>
          <w:p w14:paraId="63A5C0F3">
            <w:pPr>
              <w:spacing w:line="335" w:lineRule="auto"/>
              <w:rPr>
                <w:rFonts w:ascii="Arial"/>
                <w:sz w:val="21"/>
              </w:rPr>
            </w:pPr>
          </w:p>
          <w:p w14:paraId="5000E2FE">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16</w:t>
            </w:r>
            <w:r>
              <w:rPr>
                <w:rFonts w:ascii="Times New Roman" w:hAnsi="Times New Roman" w:eastAsia="Times New Roman" w:cs="Times New Roman"/>
              </w:rPr>
              <w:t xml:space="preserve"> </w:t>
            </w:r>
            <w:r>
              <w:t>日</w:t>
            </w:r>
          </w:p>
        </w:tc>
        <w:tc>
          <w:tcPr>
            <w:tcW w:w="1547" w:type="dxa"/>
            <w:vAlign w:val="top"/>
          </w:tcPr>
          <w:p w14:paraId="22460899">
            <w:pPr>
              <w:spacing w:before="38" w:line="275"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3899A2B1">
            <w:pPr>
              <w:pStyle w:val="6"/>
              <w:spacing w:before="69" w:line="229" w:lineRule="auto"/>
              <w:ind w:left="234"/>
            </w:pPr>
            <w:r>
              <w:t>晴</w:t>
            </w:r>
          </w:p>
        </w:tc>
        <w:tc>
          <w:tcPr>
            <w:tcW w:w="650" w:type="dxa"/>
            <w:vAlign w:val="top"/>
          </w:tcPr>
          <w:p w14:paraId="47177EA3">
            <w:pPr>
              <w:pStyle w:val="6"/>
              <w:spacing w:before="70" w:line="228" w:lineRule="auto"/>
              <w:ind w:left="128"/>
            </w:pPr>
            <w:r>
              <w:rPr>
                <w:spacing w:val="1"/>
              </w:rPr>
              <w:t>东南</w:t>
            </w:r>
          </w:p>
        </w:tc>
        <w:tc>
          <w:tcPr>
            <w:tcW w:w="651" w:type="dxa"/>
            <w:vAlign w:val="top"/>
          </w:tcPr>
          <w:p w14:paraId="362BB4D6">
            <w:pPr>
              <w:spacing w:before="38"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5CEF9F26">
            <w:pPr>
              <w:spacing w:before="38" w:line="275"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2D2AFBB3">
            <w:pPr>
              <w:spacing w:before="38" w:line="275"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215A59C7">
            <w:pPr>
              <w:spacing w:before="3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w:t>
            </w:r>
          </w:p>
        </w:tc>
        <w:tc>
          <w:tcPr>
            <w:tcW w:w="656" w:type="dxa"/>
            <w:vAlign w:val="top"/>
          </w:tcPr>
          <w:p w14:paraId="6FFD838D">
            <w:pPr>
              <w:spacing w:before="38"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101.1</w:t>
            </w:r>
          </w:p>
        </w:tc>
      </w:tr>
      <w:tr w14:paraId="11C5E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057E78B">
            <w:pPr>
              <w:rPr>
                <w:rFonts w:ascii="Arial"/>
                <w:sz w:val="21"/>
              </w:rPr>
            </w:pPr>
          </w:p>
        </w:tc>
        <w:tc>
          <w:tcPr>
            <w:tcW w:w="1667" w:type="dxa"/>
            <w:vMerge w:val="continue"/>
            <w:tcBorders>
              <w:top w:val="nil"/>
              <w:bottom w:val="nil"/>
            </w:tcBorders>
            <w:vAlign w:val="top"/>
          </w:tcPr>
          <w:p w14:paraId="51321FB2">
            <w:pPr>
              <w:rPr>
                <w:rFonts w:ascii="Arial"/>
                <w:sz w:val="21"/>
              </w:rPr>
            </w:pPr>
          </w:p>
        </w:tc>
        <w:tc>
          <w:tcPr>
            <w:tcW w:w="1547" w:type="dxa"/>
            <w:vAlign w:val="top"/>
          </w:tcPr>
          <w:p w14:paraId="21609107">
            <w:pPr>
              <w:spacing w:before="39"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76AC75FA">
            <w:pPr>
              <w:pStyle w:val="6"/>
              <w:spacing w:before="70" w:line="229" w:lineRule="auto"/>
              <w:ind w:left="234"/>
            </w:pPr>
            <w:r>
              <w:t>晴</w:t>
            </w:r>
          </w:p>
        </w:tc>
        <w:tc>
          <w:tcPr>
            <w:tcW w:w="650" w:type="dxa"/>
            <w:vAlign w:val="top"/>
          </w:tcPr>
          <w:p w14:paraId="18F2D653">
            <w:pPr>
              <w:pStyle w:val="6"/>
              <w:spacing w:before="70" w:line="228" w:lineRule="auto"/>
              <w:ind w:left="128"/>
            </w:pPr>
            <w:r>
              <w:rPr>
                <w:spacing w:val="1"/>
              </w:rPr>
              <w:t>东南</w:t>
            </w:r>
          </w:p>
        </w:tc>
        <w:tc>
          <w:tcPr>
            <w:tcW w:w="651" w:type="dxa"/>
            <w:vAlign w:val="top"/>
          </w:tcPr>
          <w:p w14:paraId="6679664B">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5E891AB0">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5DEB3C03">
            <w:pPr>
              <w:spacing w:before="39"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67205573">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26.4</w:t>
            </w:r>
          </w:p>
        </w:tc>
        <w:tc>
          <w:tcPr>
            <w:tcW w:w="656" w:type="dxa"/>
            <w:vAlign w:val="top"/>
          </w:tcPr>
          <w:p w14:paraId="23E09F95">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101.1</w:t>
            </w:r>
          </w:p>
        </w:tc>
      </w:tr>
      <w:tr w14:paraId="58CCA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0C96BDC9">
            <w:pPr>
              <w:rPr>
                <w:rFonts w:ascii="Arial"/>
                <w:sz w:val="21"/>
              </w:rPr>
            </w:pPr>
          </w:p>
        </w:tc>
        <w:tc>
          <w:tcPr>
            <w:tcW w:w="1667" w:type="dxa"/>
            <w:vMerge w:val="continue"/>
            <w:tcBorders>
              <w:top w:val="nil"/>
              <w:bottom w:val="nil"/>
            </w:tcBorders>
            <w:vAlign w:val="top"/>
          </w:tcPr>
          <w:p w14:paraId="0ACBB8E0">
            <w:pPr>
              <w:rPr>
                <w:rFonts w:ascii="Arial"/>
                <w:sz w:val="21"/>
              </w:rPr>
            </w:pPr>
          </w:p>
        </w:tc>
        <w:tc>
          <w:tcPr>
            <w:tcW w:w="1547" w:type="dxa"/>
            <w:vAlign w:val="top"/>
          </w:tcPr>
          <w:p w14:paraId="2E77FE58">
            <w:pPr>
              <w:spacing w:before="39"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4D36D5B0">
            <w:pPr>
              <w:pStyle w:val="6"/>
              <w:spacing w:before="70" w:line="229" w:lineRule="auto"/>
              <w:ind w:left="234"/>
            </w:pPr>
            <w:r>
              <w:t>晴</w:t>
            </w:r>
          </w:p>
        </w:tc>
        <w:tc>
          <w:tcPr>
            <w:tcW w:w="650" w:type="dxa"/>
            <w:vAlign w:val="top"/>
          </w:tcPr>
          <w:p w14:paraId="0605A34D">
            <w:pPr>
              <w:pStyle w:val="6"/>
              <w:spacing w:before="70" w:line="228" w:lineRule="auto"/>
              <w:ind w:left="128"/>
            </w:pPr>
            <w:r>
              <w:rPr>
                <w:spacing w:val="1"/>
              </w:rPr>
              <w:t>东南</w:t>
            </w:r>
          </w:p>
        </w:tc>
        <w:tc>
          <w:tcPr>
            <w:tcW w:w="651" w:type="dxa"/>
            <w:vAlign w:val="top"/>
          </w:tcPr>
          <w:p w14:paraId="7E509743">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7C32BB6D">
            <w:pPr>
              <w:spacing w:before="109"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5733F89D">
            <w:pPr>
              <w:spacing w:before="39"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0A7B1AEC">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29.5</w:t>
            </w:r>
          </w:p>
        </w:tc>
        <w:tc>
          <w:tcPr>
            <w:tcW w:w="656" w:type="dxa"/>
            <w:vAlign w:val="top"/>
          </w:tcPr>
          <w:p w14:paraId="27541FBA">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1E438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74" w:type="dxa"/>
            <w:vMerge w:val="continue"/>
            <w:tcBorders>
              <w:top w:val="nil"/>
            </w:tcBorders>
            <w:vAlign w:val="top"/>
          </w:tcPr>
          <w:p w14:paraId="30DD884F">
            <w:pPr>
              <w:rPr>
                <w:rFonts w:ascii="Arial"/>
                <w:sz w:val="21"/>
              </w:rPr>
            </w:pPr>
          </w:p>
        </w:tc>
        <w:tc>
          <w:tcPr>
            <w:tcW w:w="1667" w:type="dxa"/>
            <w:vMerge w:val="continue"/>
            <w:tcBorders>
              <w:top w:val="nil"/>
            </w:tcBorders>
            <w:vAlign w:val="top"/>
          </w:tcPr>
          <w:p w14:paraId="5B59417A">
            <w:pPr>
              <w:rPr>
                <w:rFonts w:ascii="Arial"/>
                <w:sz w:val="21"/>
              </w:rPr>
            </w:pPr>
          </w:p>
        </w:tc>
        <w:tc>
          <w:tcPr>
            <w:tcW w:w="1547" w:type="dxa"/>
            <w:vAlign w:val="top"/>
          </w:tcPr>
          <w:p w14:paraId="2596FEBB">
            <w:pPr>
              <w:spacing w:before="40"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034EE765">
            <w:pPr>
              <w:pStyle w:val="6"/>
              <w:spacing w:before="68" w:line="229" w:lineRule="auto"/>
              <w:ind w:left="234"/>
            </w:pPr>
            <w:r>
              <w:t>晴</w:t>
            </w:r>
          </w:p>
        </w:tc>
        <w:tc>
          <w:tcPr>
            <w:tcW w:w="650" w:type="dxa"/>
            <w:vAlign w:val="top"/>
          </w:tcPr>
          <w:p w14:paraId="491CBB87">
            <w:pPr>
              <w:pStyle w:val="6"/>
              <w:spacing w:before="68" w:line="228" w:lineRule="auto"/>
              <w:ind w:left="128"/>
            </w:pPr>
            <w:r>
              <w:rPr>
                <w:spacing w:val="1"/>
              </w:rPr>
              <w:t>东南</w:t>
            </w:r>
          </w:p>
        </w:tc>
        <w:tc>
          <w:tcPr>
            <w:tcW w:w="651" w:type="dxa"/>
            <w:vAlign w:val="top"/>
          </w:tcPr>
          <w:p w14:paraId="6F3CDA6D">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650" w:type="dxa"/>
            <w:vAlign w:val="top"/>
          </w:tcPr>
          <w:p w14:paraId="15E9D56B">
            <w:pPr>
              <w:spacing w:before="40"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0B40E8B2">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231A8D88">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28.7</w:t>
            </w:r>
          </w:p>
        </w:tc>
        <w:tc>
          <w:tcPr>
            <w:tcW w:w="656" w:type="dxa"/>
            <w:vAlign w:val="top"/>
          </w:tcPr>
          <w:p w14:paraId="1CB4B939">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r>
    </w:tbl>
    <w:p w14:paraId="05FDC50D">
      <w:pPr>
        <w:spacing w:before="138" w:line="229" w:lineRule="auto"/>
        <w:ind w:left="337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5"/>
          <w:sz w:val="20"/>
          <w:szCs w:val="20"/>
        </w:rPr>
        <w:t xml:space="preserve">4.3-6 </w:t>
      </w:r>
      <w:r>
        <w:rPr>
          <w:rFonts w:ascii="宋体" w:hAnsi="宋体" w:eastAsia="宋体" w:cs="宋体"/>
          <w:b/>
          <w:bCs/>
          <w:spacing w:val="5"/>
          <w:sz w:val="20"/>
          <w:szCs w:val="20"/>
        </w:rPr>
        <w:t>大气监测结果表</w:t>
      </w:r>
    </w:p>
    <w:p w14:paraId="4852BF5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1155"/>
        <w:gridCol w:w="1668"/>
        <w:gridCol w:w="1684"/>
        <w:gridCol w:w="1684"/>
        <w:gridCol w:w="1689"/>
      </w:tblGrid>
      <w:tr w14:paraId="3CF67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70" w:type="dxa"/>
            <w:vMerge w:val="restart"/>
            <w:tcBorders>
              <w:bottom w:val="nil"/>
            </w:tcBorders>
            <w:vAlign w:val="top"/>
          </w:tcPr>
          <w:p w14:paraId="12D180F3">
            <w:pPr>
              <w:spacing w:line="250" w:lineRule="auto"/>
              <w:rPr>
                <w:rFonts w:ascii="Arial"/>
                <w:sz w:val="21"/>
              </w:rPr>
            </w:pPr>
          </w:p>
          <w:p w14:paraId="064F1581">
            <w:pPr>
              <w:pStyle w:val="6"/>
              <w:spacing w:before="65" w:line="229" w:lineRule="auto"/>
              <w:ind w:left="122"/>
            </w:pPr>
            <w:r>
              <w:rPr>
                <w:b/>
                <w:bCs/>
                <w:spacing w:val="6"/>
              </w:rPr>
              <w:t>监测点位</w:t>
            </w:r>
          </w:p>
        </w:tc>
        <w:tc>
          <w:tcPr>
            <w:tcW w:w="2823" w:type="dxa"/>
            <w:gridSpan w:val="2"/>
            <w:vMerge w:val="restart"/>
            <w:tcBorders>
              <w:bottom w:val="nil"/>
            </w:tcBorders>
            <w:vAlign w:val="top"/>
          </w:tcPr>
          <w:p w14:paraId="15A94AA5">
            <w:pPr>
              <w:spacing w:line="250" w:lineRule="auto"/>
              <w:rPr>
                <w:rFonts w:ascii="Arial"/>
                <w:sz w:val="21"/>
              </w:rPr>
            </w:pPr>
          </w:p>
          <w:p w14:paraId="063FB610">
            <w:pPr>
              <w:pStyle w:val="6"/>
              <w:spacing w:before="65" w:line="227" w:lineRule="auto"/>
              <w:ind w:left="994"/>
            </w:pPr>
            <w:r>
              <w:rPr>
                <w:b/>
                <w:bCs/>
                <w:spacing w:val="6"/>
              </w:rPr>
              <w:t>采样时间</w:t>
            </w:r>
          </w:p>
        </w:tc>
        <w:tc>
          <w:tcPr>
            <w:tcW w:w="5057" w:type="dxa"/>
            <w:gridSpan w:val="3"/>
            <w:vAlign w:val="top"/>
          </w:tcPr>
          <w:p w14:paraId="5F8AC11D">
            <w:pPr>
              <w:pStyle w:val="6"/>
              <w:spacing w:before="34" w:line="217" w:lineRule="auto"/>
              <w:ind w:left="354"/>
            </w:pPr>
            <w:r>
              <w:rPr>
                <w:b/>
                <w:bCs/>
                <w:spacing w:val="6"/>
              </w:rPr>
              <w:t>监测结果（单位：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1"/>
                <w:position w:val="6"/>
                <w:sz w:val="13"/>
                <w:szCs w:val="13"/>
              </w:rPr>
              <w:t xml:space="preserve"> </w:t>
            </w:r>
            <w:r>
              <w:rPr>
                <w:b/>
                <w:bCs/>
                <w:spacing w:val="6"/>
              </w:rPr>
              <w:t>，臭气浓度为无量纲）</w:t>
            </w:r>
          </w:p>
        </w:tc>
      </w:tr>
      <w:tr w14:paraId="0939A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70" w:type="dxa"/>
            <w:vMerge w:val="continue"/>
            <w:tcBorders>
              <w:top w:val="nil"/>
              <w:bottom w:val="nil"/>
            </w:tcBorders>
            <w:vAlign w:val="top"/>
          </w:tcPr>
          <w:p w14:paraId="2B0A535A">
            <w:pPr>
              <w:rPr>
                <w:rFonts w:ascii="Arial"/>
                <w:sz w:val="21"/>
              </w:rPr>
            </w:pPr>
          </w:p>
        </w:tc>
        <w:tc>
          <w:tcPr>
            <w:tcW w:w="2823" w:type="dxa"/>
            <w:gridSpan w:val="2"/>
            <w:vMerge w:val="continue"/>
            <w:tcBorders>
              <w:top w:val="nil"/>
              <w:bottom w:val="nil"/>
            </w:tcBorders>
            <w:vAlign w:val="top"/>
          </w:tcPr>
          <w:p w14:paraId="00BCEF0F">
            <w:pPr>
              <w:rPr>
                <w:rFonts w:ascii="Arial"/>
                <w:sz w:val="21"/>
              </w:rPr>
            </w:pPr>
          </w:p>
        </w:tc>
        <w:tc>
          <w:tcPr>
            <w:tcW w:w="1684" w:type="dxa"/>
            <w:vAlign w:val="top"/>
          </w:tcPr>
          <w:p w14:paraId="7F5BD4CA">
            <w:pPr>
              <w:spacing w:before="68" w:line="201" w:lineRule="auto"/>
              <w:ind w:left="67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3"/>
                <w:sz w:val="20"/>
                <w:szCs w:val="20"/>
              </w:rPr>
              <w:t>S</w:t>
            </w:r>
          </w:p>
        </w:tc>
        <w:tc>
          <w:tcPr>
            <w:tcW w:w="1684" w:type="dxa"/>
            <w:vAlign w:val="top"/>
          </w:tcPr>
          <w:p w14:paraId="4E5AB953">
            <w:pPr>
              <w:spacing w:before="71" w:line="198" w:lineRule="auto"/>
              <w:ind w:left="65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1689" w:type="dxa"/>
            <w:vAlign w:val="top"/>
          </w:tcPr>
          <w:p w14:paraId="7E21D005">
            <w:pPr>
              <w:pStyle w:val="6"/>
              <w:spacing w:before="31" w:line="216" w:lineRule="auto"/>
              <w:ind w:left="430"/>
            </w:pPr>
            <w:r>
              <w:rPr>
                <w:b/>
                <w:bCs/>
                <w:spacing w:val="6"/>
              </w:rPr>
              <w:t>臭气浓度</w:t>
            </w:r>
          </w:p>
        </w:tc>
      </w:tr>
      <w:tr w14:paraId="025A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070" w:type="dxa"/>
            <w:vMerge w:val="continue"/>
            <w:tcBorders>
              <w:top w:val="nil"/>
            </w:tcBorders>
            <w:vAlign w:val="top"/>
          </w:tcPr>
          <w:p w14:paraId="7D98F909">
            <w:pPr>
              <w:rPr>
                <w:rFonts w:ascii="Arial"/>
                <w:sz w:val="21"/>
              </w:rPr>
            </w:pPr>
          </w:p>
        </w:tc>
        <w:tc>
          <w:tcPr>
            <w:tcW w:w="2823" w:type="dxa"/>
            <w:gridSpan w:val="2"/>
            <w:vMerge w:val="continue"/>
            <w:tcBorders>
              <w:top w:val="nil"/>
            </w:tcBorders>
            <w:vAlign w:val="top"/>
          </w:tcPr>
          <w:p w14:paraId="74D80BB8">
            <w:pPr>
              <w:rPr>
                <w:rFonts w:ascii="Arial"/>
                <w:sz w:val="21"/>
              </w:rPr>
            </w:pPr>
          </w:p>
        </w:tc>
        <w:tc>
          <w:tcPr>
            <w:tcW w:w="1684" w:type="dxa"/>
            <w:vAlign w:val="top"/>
          </w:tcPr>
          <w:p w14:paraId="217BD4C7">
            <w:pPr>
              <w:pStyle w:val="6"/>
              <w:spacing w:before="31" w:line="216" w:lineRule="auto"/>
              <w:ind w:left="506"/>
            </w:pPr>
            <w:r>
              <w:rPr>
                <w:rFonts w:ascii="Times New Roman" w:hAnsi="Times New Roman" w:eastAsia="Times New Roman" w:cs="Times New Roman"/>
                <w:b/>
                <w:bCs/>
              </w:rPr>
              <w:t>1h</w:t>
            </w:r>
            <w:r>
              <w:rPr>
                <w:rFonts w:ascii="Times New Roman" w:hAnsi="Times New Roman" w:eastAsia="Times New Roman" w:cs="Times New Roman"/>
                <w:b/>
                <w:bCs/>
                <w:spacing w:val="13"/>
                <w:w w:val="101"/>
              </w:rPr>
              <w:t xml:space="preserve"> </w:t>
            </w:r>
            <w:r>
              <w:rPr>
                <w:b/>
                <w:bCs/>
              </w:rPr>
              <w:t>均值</w:t>
            </w:r>
          </w:p>
        </w:tc>
        <w:tc>
          <w:tcPr>
            <w:tcW w:w="1684" w:type="dxa"/>
            <w:vAlign w:val="top"/>
          </w:tcPr>
          <w:p w14:paraId="489B5A2D">
            <w:pPr>
              <w:pStyle w:val="6"/>
              <w:spacing w:before="31" w:line="216" w:lineRule="auto"/>
              <w:ind w:left="506"/>
            </w:pPr>
            <w:r>
              <w:rPr>
                <w:rFonts w:ascii="Times New Roman" w:hAnsi="Times New Roman" w:eastAsia="Times New Roman" w:cs="Times New Roman"/>
                <w:b/>
                <w:bCs/>
              </w:rPr>
              <w:t>1h</w:t>
            </w:r>
            <w:r>
              <w:rPr>
                <w:rFonts w:ascii="Times New Roman" w:hAnsi="Times New Roman" w:eastAsia="Times New Roman" w:cs="Times New Roman"/>
                <w:b/>
                <w:bCs/>
                <w:spacing w:val="13"/>
                <w:w w:val="101"/>
              </w:rPr>
              <w:t xml:space="preserve"> </w:t>
            </w:r>
            <w:r>
              <w:rPr>
                <w:b/>
                <w:bCs/>
              </w:rPr>
              <w:t>均值</w:t>
            </w:r>
          </w:p>
        </w:tc>
        <w:tc>
          <w:tcPr>
            <w:tcW w:w="1689" w:type="dxa"/>
            <w:vAlign w:val="top"/>
          </w:tcPr>
          <w:p w14:paraId="66055508">
            <w:pPr>
              <w:pStyle w:val="6"/>
              <w:spacing w:before="31" w:line="216" w:lineRule="auto"/>
              <w:ind w:left="507"/>
            </w:pPr>
            <w:r>
              <w:rPr>
                <w:rFonts w:ascii="Times New Roman" w:hAnsi="Times New Roman" w:eastAsia="Times New Roman" w:cs="Times New Roman"/>
                <w:b/>
                <w:bCs/>
              </w:rPr>
              <w:t>1h</w:t>
            </w:r>
            <w:r>
              <w:rPr>
                <w:rFonts w:ascii="Times New Roman" w:hAnsi="Times New Roman" w:eastAsia="Times New Roman" w:cs="Times New Roman"/>
                <w:b/>
                <w:bCs/>
                <w:spacing w:val="13"/>
                <w:w w:val="101"/>
              </w:rPr>
              <w:t xml:space="preserve"> </w:t>
            </w:r>
            <w:r>
              <w:rPr>
                <w:b/>
                <w:bCs/>
              </w:rPr>
              <w:t>均值</w:t>
            </w:r>
          </w:p>
        </w:tc>
      </w:tr>
      <w:tr w14:paraId="165FA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restart"/>
            <w:tcBorders>
              <w:bottom w:val="nil"/>
            </w:tcBorders>
            <w:vAlign w:val="top"/>
          </w:tcPr>
          <w:p w14:paraId="612C2C90">
            <w:pPr>
              <w:spacing w:line="252" w:lineRule="auto"/>
              <w:rPr>
                <w:rFonts w:ascii="Arial"/>
                <w:sz w:val="21"/>
              </w:rPr>
            </w:pPr>
          </w:p>
          <w:p w14:paraId="12E672EE">
            <w:pPr>
              <w:spacing w:line="252" w:lineRule="auto"/>
              <w:rPr>
                <w:rFonts w:ascii="Arial"/>
                <w:sz w:val="21"/>
              </w:rPr>
            </w:pPr>
          </w:p>
          <w:p w14:paraId="1B789241">
            <w:pPr>
              <w:spacing w:line="252" w:lineRule="auto"/>
              <w:rPr>
                <w:rFonts w:ascii="Arial"/>
                <w:sz w:val="21"/>
              </w:rPr>
            </w:pPr>
          </w:p>
          <w:p w14:paraId="445A1147">
            <w:pPr>
              <w:spacing w:line="252" w:lineRule="auto"/>
              <w:rPr>
                <w:rFonts w:ascii="Arial"/>
                <w:sz w:val="21"/>
              </w:rPr>
            </w:pPr>
          </w:p>
          <w:p w14:paraId="682A2DB5">
            <w:pPr>
              <w:spacing w:line="252" w:lineRule="auto"/>
              <w:rPr>
                <w:rFonts w:ascii="Arial"/>
                <w:sz w:val="21"/>
              </w:rPr>
            </w:pPr>
          </w:p>
          <w:p w14:paraId="098A6FC3">
            <w:pPr>
              <w:spacing w:line="252" w:lineRule="auto"/>
              <w:rPr>
                <w:rFonts w:ascii="Arial"/>
                <w:sz w:val="21"/>
              </w:rPr>
            </w:pPr>
          </w:p>
          <w:p w14:paraId="683B06FC">
            <w:pPr>
              <w:spacing w:line="252" w:lineRule="auto"/>
              <w:rPr>
                <w:rFonts w:ascii="Arial"/>
                <w:sz w:val="21"/>
              </w:rPr>
            </w:pPr>
          </w:p>
          <w:p w14:paraId="17DB8F36">
            <w:pPr>
              <w:spacing w:line="252" w:lineRule="auto"/>
              <w:rPr>
                <w:rFonts w:ascii="Arial"/>
                <w:sz w:val="21"/>
              </w:rPr>
            </w:pPr>
          </w:p>
          <w:p w14:paraId="746A4380">
            <w:pPr>
              <w:spacing w:line="252" w:lineRule="auto"/>
              <w:rPr>
                <w:rFonts w:ascii="Arial"/>
                <w:sz w:val="21"/>
              </w:rPr>
            </w:pPr>
          </w:p>
          <w:p w14:paraId="183F9976">
            <w:pPr>
              <w:spacing w:line="253" w:lineRule="auto"/>
              <w:rPr>
                <w:rFonts w:ascii="Arial"/>
                <w:sz w:val="21"/>
              </w:rPr>
            </w:pPr>
          </w:p>
          <w:p w14:paraId="60C6007A">
            <w:pPr>
              <w:spacing w:line="253" w:lineRule="auto"/>
              <w:rPr>
                <w:rFonts w:ascii="Arial"/>
                <w:sz w:val="21"/>
              </w:rPr>
            </w:pPr>
          </w:p>
          <w:p w14:paraId="75637086">
            <w:pPr>
              <w:pStyle w:val="6"/>
              <w:spacing w:before="65" w:line="273" w:lineRule="exact"/>
              <w:ind w:left="175"/>
            </w:pPr>
            <w:r>
              <w:rPr>
                <w:rFonts w:ascii="Times New Roman" w:hAnsi="Times New Roman" w:eastAsia="Times New Roman" w:cs="Times New Roman"/>
                <w:spacing w:val="-4"/>
                <w:position w:val="1"/>
              </w:rPr>
              <w:t>G</w:t>
            </w:r>
            <w:r>
              <w:rPr>
                <w:rFonts w:ascii="Times New Roman" w:hAnsi="Times New Roman" w:eastAsia="Times New Roman" w:cs="Times New Roman"/>
                <w:spacing w:val="-24"/>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14"/>
                <w:w w:val="101"/>
                <w:position w:val="1"/>
              </w:rPr>
              <w:t xml:space="preserve"> </w:t>
            </w:r>
            <w:r>
              <w:rPr>
                <w:spacing w:val="-4"/>
                <w:position w:val="1"/>
              </w:rPr>
              <w:t>龙岗</w:t>
            </w:r>
          </w:p>
          <w:p w14:paraId="05A1710B">
            <w:pPr>
              <w:pStyle w:val="6"/>
              <w:spacing w:before="27" w:line="227" w:lineRule="auto"/>
              <w:ind w:left="436"/>
            </w:pPr>
            <w:r>
              <w:t>村</w:t>
            </w:r>
          </w:p>
        </w:tc>
        <w:tc>
          <w:tcPr>
            <w:tcW w:w="1155" w:type="dxa"/>
            <w:vMerge w:val="restart"/>
            <w:tcBorders>
              <w:bottom w:val="nil"/>
            </w:tcBorders>
            <w:vAlign w:val="top"/>
          </w:tcPr>
          <w:p w14:paraId="362B1138">
            <w:pPr>
              <w:spacing w:line="304" w:lineRule="auto"/>
              <w:rPr>
                <w:rFonts w:ascii="Arial"/>
                <w:sz w:val="21"/>
              </w:rPr>
            </w:pPr>
          </w:p>
          <w:p w14:paraId="3D72C1A5">
            <w:pPr>
              <w:spacing w:before="57"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2020.11.10</w:t>
            </w:r>
          </w:p>
        </w:tc>
        <w:tc>
          <w:tcPr>
            <w:tcW w:w="1668" w:type="dxa"/>
            <w:vAlign w:val="top"/>
          </w:tcPr>
          <w:p w14:paraId="75B77AD8">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740CBF2D">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0CB12B5">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36B070A">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69D2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9CFD20D">
            <w:pPr>
              <w:rPr>
                <w:rFonts w:ascii="Arial"/>
                <w:sz w:val="21"/>
              </w:rPr>
            </w:pPr>
          </w:p>
        </w:tc>
        <w:tc>
          <w:tcPr>
            <w:tcW w:w="1155" w:type="dxa"/>
            <w:vMerge w:val="continue"/>
            <w:tcBorders>
              <w:top w:val="nil"/>
              <w:bottom w:val="nil"/>
            </w:tcBorders>
            <w:vAlign w:val="top"/>
          </w:tcPr>
          <w:p w14:paraId="5AFE333F">
            <w:pPr>
              <w:rPr>
                <w:rFonts w:ascii="Arial"/>
                <w:sz w:val="21"/>
              </w:rPr>
            </w:pPr>
          </w:p>
        </w:tc>
        <w:tc>
          <w:tcPr>
            <w:tcW w:w="1668" w:type="dxa"/>
            <w:vAlign w:val="top"/>
          </w:tcPr>
          <w:p w14:paraId="7A1D0DF6">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5434BF5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7C0C4ECC">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6E878493">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1157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05527989">
            <w:pPr>
              <w:rPr>
                <w:rFonts w:ascii="Arial"/>
                <w:sz w:val="21"/>
              </w:rPr>
            </w:pPr>
          </w:p>
        </w:tc>
        <w:tc>
          <w:tcPr>
            <w:tcW w:w="1155" w:type="dxa"/>
            <w:vMerge w:val="continue"/>
            <w:tcBorders>
              <w:top w:val="nil"/>
              <w:bottom w:val="nil"/>
            </w:tcBorders>
            <w:vAlign w:val="top"/>
          </w:tcPr>
          <w:p w14:paraId="66C20709">
            <w:pPr>
              <w:rPr>
                <w:rFonts w:ascii="Arial"/>
                <w:sz w:val="21"/>
              </w:rPr>
            </w:pPr>
          </w:p>
        </w:tc>
        <w:tc>
          <w:tcPr>
            <w:tcW w:w="1668" w:type="dxa"/>
            <w:vAlign w:val="top"/>
          </w:tcPr>
          <w:p w14:paraId="1E00FEA0">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1BB2739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C326117">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23D8D5FC">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B0A0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2DD0B787">
            <w:pPr>
              <w:rPr>
                <w:rFonts w:ascii="Arial"/>
                <w:sz w:val="21"/>
              </w:rPr>
            </w:pPr>
          </w:p>
        </w:tc>
        <w:tc>
          <w:tcPr>
            <w:tcW w:w="1155" w:type="dxa"/>
            <w:vMerge w:val="continue"/>
            <w:tcBorders>
              <w:top w:val="nil"/>
            </w:tcBorders>
            <w:vAlign w:val="top"/>
          </w:tcPr>
          <w:p w14:paraId="4C7D7604">
            <w:pPr>
              <w:rPr>
                <w:rFonts w:ascii="Arial"/>
                <w:sz w:val="21"/>
              </w:rPr>
            </w:pPr>
          </w:p>
        </w:tc>
        <w:tc>
          <w:tcPr>
            <w:tcW w:w="1668" w:type="dxa"/>
            <w:vAlign w:val="top"/>
          </w:tcPr>
          <w:p w14:paraId="0587DCBD">
            <w:pPr>
              <w:spacing w:line="23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75E3C05E">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495E9E9">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0DB0A6AE">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7611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973E798">
            <w:pPr>
              <w:rPr>
                <w:rFonts w:ascii="Arial"/>
                <w:sz w:val="21"/>
              </w:rPr>
            </w:pPr>
          </w:p>
        </w:tc>
        <w:tc>
          <w:tcPr>
            <w:tcW w:w="1155" w:type="dxa"/>
            <w:vMerge w:val="restart"/>
            <w:tcBorders>
              <w:bottom w:val="nil"/>
            </w:tcBorders>
            <w:vAlign w:val="top"/>
          </w:tcPr>
          <w:p w14:paraId="61D8DDDF">
            <w:pPr>
              <w:spacing w:line="301" w:lineRule="auto"/>
              <w:rPr>
                <w:rFonts w:ascii="Arial"/>
                <w:sz w:val="21"/>
              </w:rPr>
            </w:pPr>
          </w:p>
          <w:p w14:paraId="32571BF5">
            <w:pPr>
              <w:spacing w:before="57" w:line="273"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2020.11.11</w:t>
            </w:r>
          </w:p>
        </w:tc>
        <w:tc>
          <w:tcPr>
            <w:tcW w:w="1668" w:type="dxa"/>
            <w:vAlign w:val="top"/>
          </w:tcPr>
          <w:p w14:paraId="783453E1">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2AA8578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5F6E72E5">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6A03BC26">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159E6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4A5354AA">
            <w:pPr>
              <w:rPr>
                <w:rFonts w:ascii="Arial"/>
                <w:sz w:val="21"/>
              </w:rPr>
            </w:pPr>
          </w:p>
        </w:tc>
        <w:tc>
          <w:tcPr>
            <w:tcW w:w="1155" w:type="dxa"/>
            <w:vMerge w:val="continue"/>
            <w:tcBorders>
              <w:top w:val="nil"/>
              <w:bottom w:val="nil"/>
            </w:tcBorders>
            <w:vAlign w:val="top"/>
          </w:tcPr>
          <w:p w14:paraId="17755343">
            <w:pPr>
              <w:rPr>
                <w:rFonts w:ascii="Arial"/>
                <w:sz w:val="21"/>
              </w:rPr>
            </w:pPr>
          </w:p>
        </w:tc>
        <w:tc>
          <w:tcPr>
            <w:tcW w:w="1668" w:type="dxa"/>
            <w:vAlign w:val="top"/>
          </w:tcPr>
          <w:p w14:paraId="36C9118E">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34381CC3">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D57BCF8">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7CE0A491">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3F4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FDE01C9">
            <w:pPr>
              <w:rPr>
                <w:rFonts w:ascii="Arial"/>
                <w:sz w:val="21"/>
              </w:rPr>
            </w:pPr>
          </w:p>
        </w:tc>
        <w:tc>
          <w:tcPr>
            <w:tcW w:w="1155" w:type="dxa"/>
            <w:vMerge w:val="continue"/>
            <w:tcBorders>
              <w:top w:val="nil"/>
              <w:bottom w:val="nil"/>
            </w:tcBorders>
            <w:vAlign w:val="top"/>
          </w:tcPr>
          <w:p w14:paraId="1B6D0612">
            <w:pPr>
              <w:rPr>
                <w:rFonts w:ascii="Arial"/>
                <w:sz w:val="21"/>
              </w:rPr>
            </w:pPr>
          </w:p>
        </w:tc>
        <w:tc>
          <w:tcPr>
            <w:tcW w:w="1668" w:type="dxa"/>
            <w:vAlign w:val="top"/>
          </w:tcPr>
          <w:p w14:paraId="44746966">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2B82A20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5EC1D04E">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536472CE">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4ABF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3DFAEE74">
            <w:pPr>
              <w:rPr>
                <w:rFonts w:ascii="Arial"/>
                <w:sz w:val="21"/>
              </w:rPr>
            </w:pPr>
          </w:p>
        </w:tc>
        <w:tc>
          <w:tcPr>
            <w:tcW w:w="1155" w:type="dxa"/>
            <w:vMerge w:val="continue"/>
            <w:tcBorders>
              <w:top w:val="nil"/>
            </w:tcBorders>
            <w:vAlign w:val="top"/>
          </w:tcPr>
          <w:p w14:paraId="1CBA1825">
            <w:pPr>
              <w:rPr>
                <w:rFonts w:ascii="Arial"/>
                <w:sz w:val="21"/>
              </w:rPr>
            </w:pPr>
          </w:p>
        </w:tc>
        <w:tc>
          <w:tcPr>
            <w:tcW w:w="1668" w:type="dxa"/>
            <w:vAlign w:val="top"/>
          </w:tcPr>
          <w:p w14:paraId="501EF9AC">
            <w:pPr>
              <w:spacing w:line="23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2FF6517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D6408A7">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A63DBA9">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1F3E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31EC1D13">
            <w:pPr>
              <w:rPr>
                <w:rFonts w:ascii="Arial"/>
                <w:sz w:val="21"/>
              </w:rPr>
            </w:pPr>
          </w:p>
        </w:tc>
        <w:tc>
          <w:tcPr>
            <w:tcW w:w="1155" w:type="dxa"/>
            <w:vMerge w:val="restart"/>
            <w:tcBorders>
              <w:bottom w:val="nil"/>
            </w:tcBorders>
            <w:vAlign w:val="top"/>
          </w:tcPr>
          <w:p w14:paraId="5C7B76DD">
            <w:pPr>
              <w:spacing w:line="304" w:lineRule="auto"/>
              <w:rPr>
                <w:rFonts w:ascii="Arial"/>
                <w:sz w:val="21"/>
              </w:rPr>
            </w:pPr>
          </w:p>
          <w:p w14:paraId="0DBDD59B">
            <w:pPr>
              <w:spacing w:before="57"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2020.11.12</w:t>
            </w:r>
          </w:p>
        </w:tc>
        <w:tc>
          <w:tcPr>
            <w:tcW w:w="1668" w:type="dxa"/>
            <w:vAlign w:val="top"/>
          </w:tcPr>
          <w:p w14:paraId="61A3B38D">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7DBD5E92">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4D405D31">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EBD43EC">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1D91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416371F7">
            <w:pPr>
              <w:rPr>
                <w:rFonts w:ascii="Arial"/>
                <w:sz w:val="21"/>
              </w:rPr>
            </w:pPr>
          </w:p>
        </w:tc>
        <w:tc>
          <w:tcPr>
            <w:tcW w:w="1155" w:type="dxa"/>
            <w:vMerge w:val="continue"/>
            <w:tcBorders>
              <w:top w:val="nil"/>
              <w:bottom w:val="nil"/>
            </w:tcBorders>
            <w:vAlign w:val="top"/>
          </w:tcPr>
          <w:p w14:paraId="741F0BC4">
            <w:pPr>
              <w:rPr>
                <w:rFonts w:ascii="Arial"/>
                <w:sz w:val="21"/>
              </w:rPr>
            </w:pPr>
          </w:p>
        </w:tc>
        <w:tc>
          <w:tcPr>
            <w:tcW w:w="1668" w:type="dxa"/>
            <w:vAlign w:val="top"/>
          </w:tcPr>
          <w:p w14:paraId="2774A59D">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08330DD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7980DF3A">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73B07E16">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18EBC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7F8B9250">
            <w:pPr>
              <w:rPr>
                <w:rFonts w:ascii="Arial"/>
                <w:sz w:val="21"/>
              </w:rPr>
            </w:pPr>
          </w:p>
        </w:tc>
        <w:tc>
          <w:tcPr>
            <w:tcW w:w="1155" w:type="dxa"/>
            <w:vMerge w:val="continue"/>
            <w:tcBorders>
              <w:top w:val="nil"/>
              <w:bottom w:val="nil"/>
            </w:tcBorders>
            <w:vAlign w:val="top"/>
          </w:tcPr>
          <w:p w14:paraId="247DCB39">
            <w:pPr>
              <w:rPr>
                <w:rFonts w:ascii="Arial"/>
                <w:sz w:val="21"/>
              </w:rPr>
            </w:pPr>
          </w:p>
        </w:tc>
        <w:tc>
          <w:tcPr>
            <w:tcW w:w="1668" w:type="dxa"/>
            <w:vAlign w:val="top"/>
          </w:tcPr>
          <w:p w14:paraId="4BB50107">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5E5FA0DC">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C9F25EC">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9DC6D20">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A82D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7459BAA0">
            <w:pPr>
              <w:rPr>
                <w:rFonts w:ascii="Arial"/>
                <w:sz w:val="21"/>
              </w:rPr>
            </w:pPr>
          </w:p>
        </w:tc>
        <w:tc>
          <w:tcPr>
            <w:tcW w:w="1155" w:type="dxa"/>
            <w:vMerge w:val="continue"/>
            <w:tcBorders>
              <w:top w:val="nil"/>
            </w:tcBorders>
            <w:vAlign w:val="top"/>
          </w:tcPr>
          <w:p w14:paraId="390FF84E">
            <w:pPr>
              <w:rPr>
                <w:rFonts w:ascii="Arial"/>
                <w:sz w:val="21"/>
              </w:rPr>
            </w:pPr>
          </w:p>
        </w:tc>
        <w:tc>
          <w:tcPr>
            <w:tcW w:w="1668" w:type="dxa"/>
            <w:vAlign w:val="top"/>
          </w:tcPr>
          <w:p w14:paraId="4B24FD07">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3FDF0DBB">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3EDBD90">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96FDF93">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6AEEC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3302B16B">
            <w:pPr>
              <w:rPr>
                <w:rFonts w:ascii="Arial"/>
                <w:sz w:val="21"/>
              </w:rPr>
            </w:pPr>
          </w:p>
        </w:tc>
        <w:tc>
          <w:tcPr>
            <w:tcW w:w="1155" w:type="dxa"/>
            <w:vMerge w:val="restart"/>
            <w:tcBorders>
              <w:bottom w:val="nil"/>
            </w:tcBorders>
            <w:vAlign w:val="top"/>
          </w:tcPr>
          <w:p w14:paraId="4DFA69BC">
            <w:pPr>
              <w:spacing w:line="303" w:lineRule="auto"/>
              <w:rPr>
                <w:rFonts w:ascii="Arial"/>
                <w:sz w:val="21"/>
              </w:rPr>
            </w:pPr>
          </w:p>
          <w:p w14:paraId="75DF68C8">
            <w:pPr>
              <w:spacing w:before="58"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2020.11.13</w:t>
            </w:r>
          </w:p>
        </w:tc>
        <w:tc>
          <w:tcPr>
            <w:tcW w:w="1668" w:type="dxa"/>
            <w:vAlign w:val="top"/>
          </w:tcPr>
          <w:p w14:paraId="6655004C">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2DB654BE">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D461FF1">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w:t>
            </w:r>
          </w:p>
        </w:tc>
        <w:tc>
          <w:tcPr>
            <w:tcW w:w="1689" w:type="dxa"/>
            <w:vAlign w:val="top"/>
          </w:tcPr>
          <w:p w14:paraId="75979F0E">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9F78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724ACB0D">
            <w:pPr>
              <w:rPr>
                <w:rFonts w:ascii="Arial"/>
                <w:sz w:val="21"/>
              </w:rPr>
            </w:pPr>
          </w:p>
        </w:tc>
        <w:tc>
          <w:tcPr>
            <w:tcW w:w="1155" w:type="dxa"/>
            <w:vMerge w:val="continue"/>
            <w:tcBorders>
              <w:top w:val="nil"/>
              <w:bottom w:val="nil"/>
            </w:tcBorders>
            <w:vAlign w:val="top"/>
          </w:tcPr>
          <w:p w14:paraId="7D2C0615">
            <w:pPr>
              <w:rPr>
                <w:rFonts w:ascii="Arial"/>
                <w:sz w:val="21"/>
              </w:rPr>
            </w:pPr>
          </w:p>
        </w:tc>
        <w:tc>
          <w:tcPr>
            <w:tcW w:w="1668" w:type="dxa"/>
            <w:vAlign w:val="top"/>
          </w:tcPr>
          <w:p w14:paraId="34BEC7E6">
            <w:pPr>
              <w:spacing w:line="236"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6F4D66F1">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5EEB8E3">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689" w:type="dxa"/>
            <w:vAlign w:val="top"/>
          </w:tcPr>
          <w:p w14:paraId="66CEDB72">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B71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664435D7">
            <w:pPr>
              <w:rPr>
                <w:rFonts w:ascii="Arial"/>
                <w:sz w:val="21"/>
              </w:rPr>
            </w:pPr>
          </w:p>
        </w:tc>
        <w:tc>
          <w:tcPr>
            <w:tcW w:w="1155" w:type="dxa"/>
            <w:vMerge w:val="continue"/>
            <w:tcBorders>
              <w:top w:val="nil"/>
              <w:bottom w:val="nil"/>
            </w:tcBorders>
            <w:vAlign w:val="top"/>
          </w:tcPr>
          <w:p w14:paraId="1EB9F6C6">
            <w:pPr>
              <w:rPr>
                <w:rFonts w:ascii="Arial"/>
                <w:sz w:val="21"/>
              </w:rPr>
            </w:pPr>
          </w:p>
        </w:tc>
        <w:tc>
          <w:tcPr>
            <w:tcW w:w="1668" w:type="dxa"/>
            <w:vAlign w:val="top"/>
          </w:tcPr>
          <w:p w14:paraId="0EA12311">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22AFA09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48D691D">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689" w:type="dxa"/>
            <w:vAlign w:val="top"/>
          </w:tcPr>
          <w:p w14:paraId="7A2E9AF5">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E332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74FF9655">
            <w:pPr>
              <w:rPr>
                <w:rFonts w:ascii="Arial"/>
                <w:sz w:val="21"/>
              </w:rPr>
            </w:pPr>
          </w:p>
        </w:tc>
        <w:tc>
          <w:tcPr>
            <w:tcW w:w="1155" w:type="dxa"/>
            <w:vMerge w:val="continue"/>
            <w:tcBorders>
              <w:top w:val="nil"/>
            </w:tcBorders>
            <w:vAlign w:val="top"/>
          </w:tcPr>
          <w:p w14:paraId="4294B0D2">
            <w:pPr>
              <w:rPr>
                <w:rFonts w:ascii="Arial"/>
                <w:sz w:val="21"/>
              </w:rPr>
            </w:pPr>
          </w:p>
        </w:tc>
        <w:tc>
          <w:tcPr>
            <w:tcW w:w="1668" w:type="dxa"/>
            <w:vAlign w:val="top"/>
          </w:tcPr>
          <w:p w14:paraId="11B971B4">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5D007D04">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EA92A8B">
            <w:pPr>
              <w:spacing w:line="236"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0.11</w:t>
            </w:r>
          </w:p>
        </w:tc>
        <w:tc>
          <w:tcPr>
            <w:tcW w:w="1689" w:type="dxa"/>
            <w:vAlign w:val="top"/>
          </w:tcPr>
          <w:p w14:paraId="10F40F3B">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CBEF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10098B84">
            <w:pPr>
              <w:rPr>
                <w:rFonts w:ascii="Arial"/>
                <w:sz w:val="21"/>
              </w:rPr>
            </w:pPr>
          </w:p>
        </w:tc>
        <w:tc>
          <w:tcPr>
            <w:tcW w:w="1155" w:type="dxa"/>
            <w:vMerge w:val="restart"/>
            <w:tcBorders>
              <w:bottom w:val="nil"/>
            </w:tcBorders>
            <w:vAlign w:val="top"/>
          </w:tcPr>
          <w:p w14:paraId="154D4E68">
            <w:pPr>
              <w:spacing w:line="303" w:lineRule="auto"/>
              <w:rPr>
                <w:rFonts w:ascii="Arial"/>
                <w:sz w:val="21"/>
              </w:rPr>
            </w:pPr>
          </w:p>
          <w:p w14:paraId="74908FF2">
            <w:pPr>
              <w:spacing w:before="58"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2020.11.14</w:t>
            </w:r>
          </w:p>
        </w:tc>
        <w:tc>
          <w:tcPr>
            <w:tcW w:w="1668" w:type="dxa"/>
            <w:vAlign w:val="top"/>
          </w:tcPr>
          <w:p w14:paraId="3A17F170">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45497561">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7FEE2F8">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w:t>
            </w:r>
          </w:p>
        </w:tc>
        <w:tc>
          <w:tcPr>
            <w:tcW w:w="1689" w:type="dxa"/>
            <w:vAlign w:val="top"/>
          </w:tcPr>
          <w:p w14:paraId="722964E1">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673BB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0F7EE682">
            <w:pPr>
              <w:rPr>
                <w:rFonts w:ascii="Arial"/>
                <w:sz w:val="21"/>
              </w:rPr>
            </w:pPr>
          </w:p>
        </w:tc>
        <w:tc>
          <w:tcPr>
            <w:tcW w:w="1155" w:type="dxa"/>
            <w:vMerge w:val="continue"/>
            <w:tcBorders>
              <w:top w:val="nil"/>
              <w:bottom w:val="nil"/>
            </w:tcBorders>
            <w:vAlign w:val="top"/>
          </w:tcPr>
          <w:p w14:paraId="52D2EEEA">
            <w:pPr>
              <w:rPr>
                <w:rFonts w:ascii="Arial"/>
                <w:sz w:val="21"/>
              </w:rPr>
            </w:pPr>
          </w:p>
        </w:tc>
        <w:tc>
          <w:tcPr>
            <w:tcW w:w="1668" w:type="dxa"/>
            <w:vAlign w:val="top"/>
          </w:tcPr>
          <w:p w14:paraId="59DEF9A0">
            <w:pPr>
              <w:spacing w:line="236"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6600C5CA">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012C0657">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w:t>
            </w:r>
          </w:p>
        </w:tc>
        <w:tc>
          <w:tcPr>
            <w:tcW w:w="1689" w:type="dxa"/>
            <w:vAlign w:val="top"/>
          </w:tcPr>
          <w:p w14:paraId="44AB9998">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C878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1933BA7C">
            <w:pPr>
              <w:rPr>
                <w:rFonts w:ascii="Arial"/>
                <w:sz w:val="21"/>
              </w:rPr>
            </w:pPr>
          </w:p>
        </w:tc>
        <w:tc>
          <w:tcPr>
            <w:tcW w:w="1155" w:type="dxa"/>
            <w:vMerge w:val="continue"/>
            <w:tcBorders>
              <w:top w:val="nil"/>
              <w:bottom w:val="nil"/>
            </w:tcBorders>
            <w:vAlign w:val="top"/>
          </w:tcPr>
          <w:p w14:paraId="59C80B6A">
            <w:pPr>
              <w:rPr>
                <w:rFonts w:ascii="Arial"/>
                <w:sz w:val="21"/>
              </w:rPr>
            </w:pPr>
          </w:p>
        </w:tc>
        <w:tc>
          <w:tcPr>
            <w:tcW w:w="1668" w:type="dxa"/>
            <w:vAlign w:val="top"/>
          </w:tcPr>
          <w:p w14:paraId="53C55A37">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383118C8">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7FFD9ADB">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689" w:type="dxa"/>
            <w:vAlign w:val="top"/>
          </w:tcPr>
          <w:p w14:paraId="16699414">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884E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37D83078">
            <w:pPr>
              <w:rPr>
                <w:rFonts w:ascii="Arial"/>
                <w:sz w:val="21"/>
              </w:rPr>
            </w:pPr>
          </w:p>
        </w:tc>
        <w:tc>
          <w:tcPr>
            <w:tcW w:w="1155" w:type="dxa"/>
            <w:vMerge w:val="continue"/>
            <w:tcBorders>
              <w:top w:val="nil"/>
            </w:tcBorders>
            <w:vAlign w:val="top"/>
          </w:tcPr>
          <w:p w14:paraId="4BD96A36">
            <w:pPr>
              <w:rPr>
                <w:rFonts w:ascii="Arial"/>
                <w:sz w:val="21"/>
              </w:rPr>
            </w:pPr>
          </w:p>
        </w:tc>
        <w:tc>
          <w:tcPr>
            <w:tcW w:w="1668" w:type="dxa"/>
            <w:vAlign w:val="top"/>
          </w:tcPr>
          <w:p w14:paraId="0FF89653">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1436710B">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CD278D5">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w:t>
            </w:r>
          </w:p>
        </w:tc>
        <w:tc>
          <w:tcPr>
            <w:tcW w:w="1689" w:type="dxa"/>
            <w:vAlign w:val="top"/>
          </w:tcPr>
          <w:p w14:paraId="50A1213C">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E801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1070" w:type="dxa"/>
            <w:vMerge w:val="continue"/>
            <w:tcBorders>
              <w:top w:val="nil"/>
              <w:bottom w:val="nil"/>
            </w:tcBorders>
            <w:vAlign w:val="top"/>
          </w:tcPr>
          <w:p w14:paraId="14F279F9">
            <w:pPr>
              <w:rPr>
                <w:rFonts w:ascii="Arial"/>
                <w:sz w:val="21"/>
              </w:rPr>
            </w:pPr>
          </w:p>
        </w:tc>
        <w:tc>
          <w:tcPr>
            <w:tcW w:w="1155" w:type="dxa"/>
            <w:vMerge w:val="restart"/>
            <w:tcBorders>
              <w:bottom w:val="nil"/>
            </w:tcBorders>
            <w:vAlign w:val="top"/>
          </w:tcPr>
          <w:p w14:paraId="4564BB43">
            <w:pPr>
              <w:spacing w:line="303" w:lineRule="auto"/>
              <w:rPr>
                <w:rFonts w:ascii="Arial"/>
                <w:sz w:val="21"/>
              </w:rPr>
            </w:pPr>
          </w:p>
          <w:p w14:paraId="795DE0B3">
            <w:pPr>
              <w:spacing w:before="57"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2020.11.15</w:t>
            </w:r>
          </w:p>
        </w:tc>
        <w:tc>
          <w:tcPr>
            <w:tcW w:w="1668" w:type="dxa"/>
            <w:vAlign w:val="top"/>
          </w:tcPr>
          <w:p w14:paraId="0E344B8C">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2E419F38">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5195B29">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0DE62D12">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52682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709BC39B">
            <w:pPr>
              <w:rPr>
                <w:rFonts w:ascii="Arial"/>
                <w:sz w:val="21"/>
              </w:rPr>
            </w:pPr>
          </w:p>
        </w:tc>
        <w:tc>
          <w:tcPr>
            <w:tcW w:w="1155" w:type="dxa"/>
            <w:vMerge w:val="continue"/>
            <w:tcBorders>
              <w:top w:val="nil"/>
              <w:bottom w:val="nil"/>
            </w:tcBorders>
            <w:vAlign w:val="top"/>
          </w:tcPr>
          <w:p w14:paraId="77893C4A">
            <w:pPr>
              <w:rPr>
                <w:rFonts w:ascii="Arial"/>
                <w:sz w:val="21"/>
              </w:rPr>
            </w:pPr>
          </w:p>
        </w:tc>
        <w:tc>
          <w:tcPr>
            <w:tcW w:w="1668" w:type="dxa"/>
            <w:vAlign w:val="top"/>
          </w:tcPr>
          <w:p w14:paraId="772FF900">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7902480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40146625">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7012BAA6">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764F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0530CE6C">
            <w:pPr>
              <w:rPr>
                <w:rFonts w:ascii="Arial"/>
                <w:sz w:val="21"/>
              </w:rPr>
            </w:pPr>
          </w:p>
        </w:tc>
        <w:tc>
          <w:tcPr>
            <w:tcW w:w="1155" w:type="dxa"/>
            <w:vMerge w:val="continue"/>
            <w:tcBorders>
              <w:top w:val="nil"/>
              <w:bottom w:val="nil"/>
            </w:tcBorders>
            <w:vAlign w:val="top"/>
          </w:tcPr>
          <w:p w14:paraId="7A8D2D71">
            <w:pPr>
              <w:rPr>
                <w:rFonts w:ascii="Arial"/>
                <w:sz w:val="21"/>
              </w:rPr>
            </w:pPr>
          </w:p>
        </w:tc>
        <w:tc>
          <w:tcPr>
            <w:tcW w:w="1668" w:type="dxa"/>
            <w:vAlign w:val="top"/>
          </w:tcPr>
          <w:p w14:paraId="665D8DCB">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50FCB8FC">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8936DCC">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10DDB47C">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E0B3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2E88F38E">
            <w:pPr>
              <w:rPr>
                <w:rFonts w:ascii="Arial"/>
                <w:sz w:val="21"/>
              </w:rPr>
            </w:pPr>
          </w:p>
        </w:tc>
        <w:tc>
          <w:tcPr>
            <w:tcW w:w="1155" w:type="dxa"/>
            <w:vMerge w:val="continue"/>
            <w:tcBorders>
              <w:top w:val="nil"/>
            </w:tcBorders>
            <w:vAlign w:val="top"/>
          </w:tcPr>
          <w:p w14:paraId="7E226364">
            <w:pPr>
              <w:rPr>
                <w:rFonts w:ascii="Arial"/>
                <w:sz w:val="21"/>
              </w:rPr>
            </w:pPr>
          </w:p>
        </w:tc>
        <w:tc>
          <w:tcPr>
            <w:tcW w:w="1668" w:type="dxa"/>
            <w:vAlign w:val="top"/>
          </w:tcPr>
          <w:p w14:paraId="49012E03">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6752CAF0">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C44BD97">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5718D1B6">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BB83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070" w:type="dxa"/>
            <w:vMerge w:val="continue"/>
            <w:tcBorders>
              <w:top w:val="nil"/>
            </w:tcBorders>
            <w:vAlign w:val="top"/>
          </w:tcPr>
          <w:p w14:paraId="72F312DA">
            <w:pPr>
              <w:rPr>
                <w:rFonts w:ascii="Arial"/>
                <w:sz w:val="21"/>
              </w:rPr>
            </w:pPr>
          </w:p>
        </w:tc>
        <w:tc>
          <w:tcPr>
            <w:tcW w:w="1155" w:type="dxa"/>
            <w:vAlign w:val="top"/>
          </w:tcPr>
          <w:p w14:paraId="66F32037">
            <w:pPr>
              <w:spacing w:line="248"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2020.11.16</w:t>
            </w:r>
          </w:p>
        </w:tc>
        <w:tc>
          <w:tcPr>
            <w:tcW w:w="1668" w:type="dxa"/>
            <w:vAlign w:val="top"/>
          </w:tcPr>
          <w:p w14:paraId="5A173E82">
            <w:pPr>
              <w:spacing w:line="248"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02:00~03:00</w:t>
            </w:r>
          </w:p>
        </w:tc>
        <w:tc>
          <w:tcPr>
            <w:tcW w:w="1684" w:type="dxa"/>
            <w:vAlign w:val="top"/>
          </w:tcPr>
          <w:p w14:paraId="224E89C2">
            <w:pPr>
              <w:spacing w:line="248"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0.001L</w:t>
            </w:r>
          </w:p>
        </w:tc>
        <w:tc>
          <w:tcPr>
            <w:tcW w:w="1684" w:type="dxa"/>
            <w:vAlign w:val="top"/>
          </w:tcPr>
          <w:p w14:paraId="5D34574E">
            <w:pPr>
              <w:spacing w:line="248"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0.11</w:t>
            </w:r>
          </w:p>
        </w:tc>
        <w:tc>
          <w:tcPr>
            <w:tcW w:w="1689" w:type="dxa"/>
            <w:vAlign w:val="top"/>
          </w:tcPr>
          <w:p w14:paraId="2D69B3E5">
            <w:pPr>
              <w:spacing w:line="248"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10L</w:t>
            </w:r>
          </w:p>
        </w:tc>
      </w:tr>
    </w:tbl>
    <w:p w14:paraId="5DC173FA">
      <w:pPr>
        <w:pStyle w:val="2"/>
        <w:spacing w:line="14" w:lineRule="auto"/>
        <w:rPr>
          <w:sz w:val="2"/>
        </w:rPr>
      </w:pPr>
    </w:p>
    <w:p w14:paraId="4F68E5DB">
      <w:pPr>
        <w:spacing w:line="14" w:lineRule="auto"/>
        <w:rPr>
          <w:sz w:val="2"/>
          <w:szCs w:val="2"/>
        </w:rPr>
        <w:sectPr>
          <w:footerReference r:id="rId101" w:type="default"/>
          <w:pgSz w:w="11906" w:h="16839"/>
          <w:pgMar w:top="400" w:right="1475" w:bottom="1485" w:left="1475" w:header="0" w:footer="1249" w:gutter="0"/>
          <w:cols w:space="720" w:num="1"/>
        </w:sectPr>
      </w:pPr>
    </w:p>
    <w:p w14:paraId="53EF8632">
      <w:pPr>
        <w:spacing w:before="12"/>
      </w:pPr>
    </w:p>
    <w:p w14:paraId="21495FCE">
      <w:pPr>
        <w:spacing w:before="12"/>
      </w:pPr>
    </w:p>
    <w:p w14:paraId="47588F1A">
      <w:pPr>
        <w:spacing w:before="12"/>
      </w:pPr>
    </w:p>
    <w:p w14:paraId="7C5E33B6">
      <w:pPr>
        <w:spacing w:before="11"/>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1155"/>
        <w:gridCol w:w="1668"/>
        <w:gridCol w:w="1684"/>
        <w:gridCol w:w="1684"/>
        <w:gridCol w:w="1689"/>
      </w:tblGrid>
      <w:tr w14:paraId="4BCB1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1070" w:type="dxa"/>
            <w:vMerge w:val="restart"/>
            <w:tcBorders>
              <w:bottom w:val="nil"/>
            </w:tcBorders>
            <w:vAlign w:val="top"/>
          </w:tcPr>
          <w:p w14:paraId="78CAC8EC">
            <w:pPr>
              <w:rPr>
                <w:rFonts w:ascii="Arial"/>
                <w:sz w:val="21"/>
              </w:rPr>
            </w:pPr>
          </w:p>
        </w:tc>
        <w:tc>
          <w:tcPr>
            <w:tcW w:w="1155" w:type="dxa"/>
            <w:vMerge w:val="restart"/>
            <w:tcBorders>
              <w:bottom w:val="nil"/>
            </w:tcBorders>
            <w:vAlign w:val="top"/>
          </w:tcPr>
          <w:p w14:paraId="6ADC5911">
            <w:pPr>
              <w:rPr>
                <w:rFonts w:ascii="Arial"/>
                <w:sz w:val="21"/>
              </w:rPr>
            </w:pPr>
          </w:p>
        </w:tc>
        <w:tc>
          <w:tcPr>
            <w:tcW w:w="1668" w:type="dxa"/>
            <w:vAlign w:val="top"/>
          </w:tcPr>
          <w:p w14:paraId="43390CB6">
            <w:pPr>
              <w:spacing w:line="244"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08:00~09:00</w:t>
            </w:r>
          </w:p>
        </w:tc>
        <w:tc>
          <w:tcPr>
            <w:tcW w:w="1684" w:type="dxa"/>
            <w:vAlign w:val="top"/>
          </w:tcPr>
          <w:p w14:paraId="4C6368B6">
            <w:pPr>
              <w:spacing w:line="24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0.001L</w:t>
            </w:r>
          </w:p>
        </w:tc>
        <w:tc>
          <w:tcPr>
            <w:tcW w:w="1684" w:type="dxa"/>
            <w:vAlign w:val="top"/>
          </w:tcPr>
          <w:p w14:paraId="23EBB2F5">
            <w:pPr>
              <w:spacing w:line="244"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0.12</w:t>
            </w:r>
          </w:p>
        </w:tc>
        <w:tc>
          <w:tcPr>
            <w:tcW w:w="1689" w:type="dxa"/>
            <w:vAlign w:val="top"/>
          </w:tcPr>
          <w:p w14:paraId="77207740">
            <w:pPr>
              <w:spacing w:line="244"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10L</w:t>
            </w:r>
          </w:p>
        </w:tc>
      </w:tr>
      <w:tr w14:paraId="1F3F9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9E85A19">
            <w:pPr>
              <w:rPr>
                <w:rFonts w:ascii="Arial"/>
                <w:sz w:val="21"/>
              </w:rPr>
            </w:pPr>
          </w:p>
        </w:tc>
        <w:tc>
          <w:tcPr>
            <w:tcW w:w="1155" w:type="dxa"/>
            <w:vMerge w:val="continue"/>
            <w:tcBorders>
              <w:top w:val="nil"/>
              <w:bottom w:val="nil"/>
            </w:tcBorders>
            <w:vAlign w:val="top"/>
          </w:tcPr>
          <w:p w14:paraId="738FE33F">
            <w:pPr>
              <w:rPr>
                <w:rFonts w:ascii="Arial"/>
                <w:sz w:val="21"/>
              </w:rPr>
            </w:pPr>
          </w:p>
        </w:tc>
        <w:tc>
          <w:tcPr>
            <w:tcW w:w="1668" w:type="dxa"/>
            <w:vAlign w:val="top"/>
          </w:tcPr>
          <w:p w14:paraId="62E5BB67">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5FE0E94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0609900">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w:t>
            </w:r>
          </w:p>
        </w:tc>
        <w:tc>
          <w:tcPr>
            <w:tcW w:w="1689" w:type="dxa"/>
            <w:vAlign w:val="top"/>
          </w:tcPr>
          <w:p w14:paraId="358EEE5A">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1F92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070" w:type="dxa"/>
            <w:vMerge w:val="continue"/>
            <w:tcBorders>
              <w:top w:val="nil"/>
            </w:tcBorders>
            <w:vAlign w:val="top"/>
          </w:tcPr>
          <w:p w14:paraId="63F11F63">
            <w:pPr>
              <w:rPr>
                <w:rFonts w:ascii="Arial"/>
                <w:sz w:val="21"/>
              </w:rPr>
            </w:pPr>
          </w:p>
        </w:tc>
        <w:tc>
          <w:tcPr>
            <w:tcW w:w="1155" w:type="dxa"/>
            <w:vMerge w:val="continue"/>
            <w:tcBorders>
              <w:top w:val="nil"/>
            </w:tcBorders>
            <w:vAlign w:val="top"/>
          </w:tcPr>
          <w:p w14:paraId="07F627F7">
            <w:pPr>
              <w:rPr>
                <w:rFonts w:ascii="Arial"/>
                <w:sz w:val="21"/>
              </w:rPr>
            </w:pPr>
          </w:p>
        </w:tc>
        <w:tc>
          <w:tcPr>
            <w:tcW w:w="1668" w:type="dxa"/>
            <w:vAlign w:val="top"/>
          </w:tcPr>
          <w:p w14:paraId="60CBB50B">
            <w:pPr>
              <w:spacing w:line="24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20:00~21:00</w:t>
            </w:r>
          </w:p>
        </w:tc>
        <w:tc>
          <w:tcPr>
            <w:tcW w:w="1684" w:type="dxa"/>
            <w:vAlign w:val="top"/>
          </w:tcPr>
          <w:p w14:paraId="64D9937B">
            <w:pPr>
              <w:spacing w:before="57" w:line="192"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684" w:type="dxa"/>
            <w:vAlign w:val="top"/>
          </w:tcPr>
          <w:p w14:paraId="755D3A38">
            <w:pPr>
              <w:spacing w:line="245"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0.11</w:t>
            </w:r>
          </w:p>
        </w:tc>
        <w:tc>
          <w:tcPr>
            <w:tcW w:w="1689" w:type="dxa"/>
            <w:vAlign w:val="top"/>
          </w:tcPr>
          <w:p w14:paraId="691DB79D">
            <w:pPr>
              <w:spacing w:line="24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10L</w:t>
            </w:r>
          </w:p>
        </w:tc>
      </w:tr>
    </w:tbl>
    <w:p w14:paraId="5E4007CC">
      <w:pPr>
        <w:pStyle w:val="2"/>
        <w:spacing w:line="335" w:lineRule="auto"/>
      </w:pPr>
    </w:p>
    <w:p w14:paraId="53B635FB">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4.3.3</w:t>
      </w:r>
      <w:r>
        <w:rPr>
          <w:rFonts w:ascii="宋体" w:hAnsi="宋体" w:eastAsia="宋体" w:cs="宋体"/>
          <w:b/>
          <w:bCs/>
          <w:spacing w:val="-2"/>
          <w:sz w:val="24"/>
          <w:szCs w:val="24"/>
        </w:rPr>
        <w:t>环境空气质量现状评价</w:t>
      </w:r>
    </w:p>
    <w:p w14:paraId="1F6436B3">
      <w:pPr>
        <w:pStyle w:val="2"/>
        <w:spacing w:line="246" w:lineRule="auto"/>
      </w:pPr>
    </w:p>
    <w:p w14:paraId="73F0A078">
      <w:pPr>
        <w:spacing w:before="78"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）评价标准</w:t>
      </w:r>
    </w:p>
    <w:p w14:paraId="442966F6">
      <w:pPr>
        <w:spacing w:before="129" w:line="365" w:lineRule="auto"/>
        <w:ind w:left="122" w:right="106" w:firstLine="474"/>
        <w:rPr>
          <w:rFonts w:ascii="宋体" w:hAnsi="宋体" w:eastAsia="宋体" w:cs="宋体"/>
          <w:sz w:val="24"/>
          <w:szCs w:val="24"/>
        </w:rPr>
      </w:pP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3"/>
          <w:sz w:val="24"/>
          <w:szCs w:val="24"/>
        </w:rPr>
        <w:t>执行《工业企业设计卫生标准》（</w:t>
      </w:r>
      <w:r>
        <w:rPr>
          <w:rFonts w:ascii="Times New Roman" w:hAnsi="Times New Roman" w:eastAsia="Times New Roman" w:cs="Times New Roman"/>
          <w:spacing w:val="-3"/>
          <w:sz w:val="24"/>
          <w:szCs w:val="24"/>
        </w:rPr>
        <w:t>TJ36-79</w:t>
      </w:r>
      <w:r>
        <w:rPr>
          <w:rFonts w:ascii="宋体" w:hAnsi="宋体" w:eastAsia="宋体" w:cs="宋体"/>
          <w:spacing w:val="-3"/>
          <w:sz w:val="24"/>
          <w:szCs w:val="24"/>
        </w:rPr>
        <w:t>）中居住区大气中有害物质</w:t>
      </w:r>
      <w:r>
        <w:rPr>
          <w:rFonts w:ascii="宋体" w:hAnsi="宋体" w:eastAsia="宋体" w:cs="宋体"/>
          <w:sz w:val="24"/>
          <w:szCs w:val="24"/>
        </w:rPr>
        <w:t xml:space="preserve"> </w:t>
      </w:r>
      <w:r>
        <w:rPr>
          <w:rFonts w:ascii="宋体" w:hAnsi="宋体" w:eastAsia="宋体" w:cs="宋体"/>
          <w:spacing w:val="1"/>
          <w:sz w:val="24"/>
          <w:szCs w:val="24"/>
        </w:rPr>
        <w:t>的最高容许浓度，臭气浓度参考执行《恶臭污染物排放标准》</w:t>
      </w:r>
      <w:r>
        <w:rPr>
          <w:rFonts w:ascii="宋体" w:hAnsi="宋体" w:eastAsia="宋体" w:cs="宋体"/>
          <w:sz w:val="24"/>
          <w:szCs w:val="24"/>
        </w:rPr>
        <w:t>（</w:t>
      </w:r>
      <w:r>
        <w:rPr>
          <w:rFonts w:ascii="Times New Roman" w:hAnsi="Times New Roman" w:eastAsia="Times New Roman" w:cs="Times New Roman"/>
          <w:sz w:val="24"/>
          <w:szCs w:val="24"/>
        </w:rPr>
        <w:t>GB14554-1993</w:t>
      </w:r>
      <w:r>
        <w:rPr>
          <w:rFonts w:ascii="宋体" w:hAnsi="宋体" w:eastAsia="宋体" w:cs="宋体"/>
          <w:sz w:val="24"/>
          <w:szCs w:val="24"/>
        </w:rPr>
        <w:t xml:space="preserve">）恶 </w:t>
      </w:r>
      <w:r>
        <w:rPr>
          <w:rFonts w:ascii="宋体" w:hAnsi="宋体" w:eastAsia="宋体" w:cs="宋体"/>
          <w:spacing w:val="-1"/>
          <w:sz w:val="24"/>
          <w:szCs w:val="24"/>
        </w:rPr>
        <w:t>臭无组织排放浓度限值。</w:t>
      </w:r>
    </w:p>
    <w:p w14:paraId="5E20B753">
      <w:pPr>
        <w:spacing w:before="45"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）评价方法</w:t>
      </w:r>
    </w:p>
    <w:p w14:paraId="01EE2C05">
      <w:pPr>
        <w:spacing w:before="167" w:line="219" w:lineRule="auto"/>
        <w:ind w:left="602"/>
        <w:rPr>
          <w:rFonts w:ascii="宋体" w:hAnsi="宋体" w:eastAsia="宋体" w:cs="宋体"/>
          <w:sz w:val="24"/>
          <w:szCs w:val="24"/>
        </w:rPr>
      </w:pPr>
      <w:r>
        <w:rPr>
          <w:rFonts w:ascii="宋体" w:hAnsi="宋体" w:eastAsia="宋体" w:cs="宋体"/>
          <w:spacing w:val="-1"/>
          <w:sz w:val="24"/>
          <w:szCs w:val="24"/>
        </w:rPr>
        <w:t>采用单项质量指数法，其计算公式为：</w:t>
      </w:r>
    </w:p>
    <w:p w14:paraId="008086F7">
      <w:pPr>
        <w:spacing w:before="165" w:line="506" w:lineRule="exact"/>
        <w:ind w:left="4106"/>
      </w:pPr>
      <w:r>
        <w:rPr>
          <w:position w:val="-10"/>
        </w:rPr>
        <w:drawing>
          <wp:inline distT="0" distB="0" distL="0" distR="0">
            <wp:extent cx="480695" cy="3213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18"/>
                    <a:stretch>
                      <a:fillRect/>
                    </a:stretch>
                  </pic:blipFill>
                  <pic:spPr>
                    <a:xfrm>
                      <a:off x="0" y="0"/>
                      <a:ext cx="480834" cy="321703"/>
                    </a:xfrm>
                    <a:prstGeom prst="rect">
                      <a:avLst/>
                    </a:prstGeom>
                  </pic:spPr>
                </pic:pic>
              </a:graphicData>
            </a:graphic>
          </wp:inline>
        </w:drawing>
      </w:r>
    </w:p>
    <w:p w14:paraId="4199F405">
      <w:pPr>
        <w:spacing w:before="148" w:line="361" w:lineRule="exact"/>
        <w:ind w:left="607"/>
        <w:rPr>
          <w:rFonts w:ascii="宋体" w:hAnsi="宋体" w:eastAsia="宋体" w:cs="宋体"/>
          <w:sz w:val="24"/>
          <w:szCs w:val="24"/>
        </w:rPr>
      </w:pPr>
      <w:r>
        <w:rPr>
          <w:rFonts w:ascii="宋体" w:hAnsi="宋体" w:eastAsia="宋体" w:cs="宋体"/>
          <w:position w:val="2"/>
          <w:sz w:val="24"/>
          <w:szCs w:val="24"/>
        </w:rPr>
        <w:t>式中：</w:t>
      </w:r>
      <w:r>
        <w:rPr>
          <w:rFonts w:ascii="Times New Roman" w:hAnsi="Times New Roman" w:eastAsia="Times New Roman" w:cs="Times New Roman"/>
          <w:i/>
          <w:iCs/>
          <w:position w:val="2"/>
          <w:sz w:val="24"/>
          <w:szCs w:val="24"/>
        </w:rPr>
        <w:t>Pi</w:t>
      </w:r>
      <w:r>
        <w:rPr>
          <w:rFonts w:ascii="宋体" w:hAnsi="宋体" w:eastAsia="宋体" w:cs="宋体"/>
          <w:position w:val="2"/>
          <w:sz w:val="24"/>
          <w:szCs w:val="24"/>
        </w:rPr>
        <w:t>：某污染物</w:t>
      </w:r>
      <w:r>
        <w:rPr>
          <w:rFonts w:ascii="Times New Roman" w:hAnsi="Times New Roman" w:eastAsia="Times New Roman" w:cs="Times New Roman"/>
          <w:position w:val="2"/>
          <w:sz w:val="24"/>
          <w:szCs w:val="24"/>
        </w:rPr>
        <w:t>i</w:t>
      </w:r>
      <w:r>
        <w:rPr>
          <w:rFonts w:ascii="Times New Roman" w:hAnsi="Times New Roman" w:eastAsia="Times New Roman" w:cs="Times New Roman"/>
          <w:spacing w:val="43"/>
          <w:position w:val="2"/>
          <w:sz w:val="24"/>
          <w:szCs w:val="24"/>
        </w:rPr>
        <w:t xml:space="preserve"> </w:t>
      </w:r>
      <w:r>
        <w:rPr>
          <w:rFonts w:ascii="宋体" w:hAnsi="宋体" w:eastAsia="宋体" w:cs="宋体"/>
          <w:position w:val="2"/>
          <w:sz w:val="24"/>
          <w:szCs w:val="24"/>
        </w:rPr>
        <w:t>的质量指数；</w:t>
      </w:r>
    </w:p>
    <w:p w14:paraId="5E132F4A">
      <w:pPr>
        <w:spacing w:before="127" w:line="332" w:lineRule="exact"/>
        <w:ind w:left="609"/>
        <w:rPr>
          <w:rFonts w:ascii="宋体" w:hAnsi="宋体" w:eastAsia="宋体" w:cs="宋体"/>
          <w:sz w:val="24"/>
          <w:szCs w:val="24"/>
        </w:rPr>
      </w:pPr>
      <w:r>
        <w:rPr>
          <w:rFonts w:ascii="Times New Roman" w:hAnsi="Times New Roman" w:eastAsia="Times New Roman" w:cs="Times New Roman"/>
          <w:i/>
          <w:iCs/>
          <w:spacing w:val="-3"/>
          <w:position w:val="3"/>
          <w:sz w:val="24"/>
          <w:szCs w:val="24"/>
        </w:rPr>
        <w:t>Ci</w:t>
      </w:r>
      <w:r>
        <w:rPr>
          <w:rFonts w:ascii="宋体" w:hAnsi="宋体" w:eastAsia="宋体" w:cs="宋体"/>
          <w:spacing w:val="-3"/>
          <w:position w:val="3"/>
          <w:sz w:val="24"/>
          <w:szCs w:val="24"/>
        </w:rPr>
        <w:t>：某污染物</w:t>
      </w:r>
      <w:r>
        <w:rPr>
          <w:rFonts w:ascii="宋体" w:hAnsi="宋体" w:eastAsia="宋体" w:cs="宋体"/>
          <w:spacing w:val="-46"/>
          <w:position w:val="3"/>
          <w:sz w:val="24"/>
          <w:szCs w:val="24"/>
        </w:rPr>
        <w:t xml:space="preserve"> </w:t>
      </w:r>
      <w:r>
        <w:rPr>
          <w:rFonts w:ascii="Times New Roman" w:hAnsi="Times New Roman" w:eastAsia="Times New Roman" w:cs="Times New Roman"/>
          <w:spacing w:val="-3"/>
          <w:position w:val="3"/>
          <w:sz w:val="24"/>
          <w:szCs w:val="24"/>
        </w:rPr>
        <w:t>i</w:t>
      </w:r>
      <w:r>
        <w:rPr>
          <w:rFonts w:ascii="Times New Roman" w:hAnsi="Times New Roman" w:eastAsia="Times New Roman" w:cs="Times New Roman"/>
          <w:spacing w:val="30"/>
          <w:position w:val="3"/>
          <w:sz w:val="24"/>
          <w:szCs w:val="24"/>
        </w:rPr>
        <w:t xml:space="preserve"> </w:t>
      </w:r>
      <w:r>
        <w:rPr>
          <w:rFonts w:ascii="宋体" w:hAnsi="宋体" w:eastAsia="宋体" w:cs="宋体"/>
          <w:spacing w:val="-3"/>
          <w:position w:val="3"/>
          <w:sz w:val="24"/>
          <w:szCs w:val="24"/>
        </w:rPr>
        <w:t>的实测浓度，</w:t>
      </w:r>
      <w:r>
        <w:rPr>
          <w:rFonts w:ascii="Times New Roman" w:hAnsi="Times New Roman" w:eastAsia="Times New Roman" w:cs="Times New Roman"/>
          <w:spacing w:val="-3"/>
          <w:position w:val="3"/>
          <w:sz w:val="24"/>
          <w:szCs w:val="24"/>
        </w:rPr>
        <w:t>mg/m</w:t>
      </w:r>
      <w:r>
        <w:rPr>
          <w:rFonts w:ascii="Times New Roman" w:hAnsi="Times New Roman" w:eastAsia="Times New Roman" w:cs="Times New Roman"/>
          <w:spacing w:val="-3"/>
          <w:position w:val="10"/>
          <w:sz w:val="15"/>
          <w:szCs w:val="15"/>
        </w:rPr>
        <w:t>3</w:t>
      </w:r>
      <w:r>
        <w:rPr>
          <w:rFonts w:ascii="宋体" w:hAnsi="宋体" w:eastAsia="宋体" w:cs="宋体"/>
          <w:spacing w:val="-3"/>
          <w:position w:val="3"/>
          <w:sz w:val="24"/>
          <w:szCs w:val="24"/>
        </w:rPr>
        <w:t>；</w:t>
      </w:r>
    </w:p>
    <w:p w14:paraId="2680B601">
      <w:pPr>
        <w:spacing w:before="157" w:line="333" w:lineRule="exact"/>
        <w:ind w:left="715"/>
        <w:rPr>
          <w:rFonts w:ascii="宋体" w:hAnsi="宋体" w:eastAsia="宋体" w:cs="宋体"/>
          <w:sz w:val="24"/>
          <w:szCs w:val="24"/>
        </w:rPr>
      </w:pPr>
      <w:r>
        <w:rPr>
          <w:rFonts w:ascii="Times New Roman" w:hAnsi="Times New Roman" w:eastAsia="Times New Roman" w:cs="Times New Roman"/>
          <w:i/>
          <w:iCs/>
          <w:spacing w:val="-2"/>
          <w:position w:val="3"/>
          <w:sz w:val="24"/>
          <w:szCs w:val="24"/>
        </w:rPr>
        <w:t>Si</w:t>
      </w:r>
      <w:r>
        <w:rPr>
          <w:rFonts w:ascii="宋体" w:hAnsi="宋体" w:eastAsia="宋体" w:cs="宋体"/>
          <w:spacing w:val="-2"/>
          <w:position w:val="3"/>
          <w:sz w:val="24"/>
          <w:szCs w:val="24"/>
        </w:rPr>
        <w:t>：某污染物</w:t>
      </w:r>
      <w:r>
        <w:rPr>
          <w:rFonts w:ascii="宋体" w:hAnsi="宋体" w:eastAsia="宋体" w:cs="宋体"/>
          <w:spacing w:val="-52"/>
          <w:position w:val="3"/>
          <w:sz w:val="24"/>
          <w:szCs w:val="24"/>
        </w:rPr>
        <w:t xml:space="preserve"> </w:t>
      </w:r>
      <w:r>
        <w:rPr>
          <w:rFonts w:ascii="Times New Roman" w:hAnsi="Times New Roman" w:eastAsia="Times New Roman" w:cs="Times New Roman"/>
          <w:spacing w:val="-2"/>
          <w:position w:val="3"/>
          <w:sz w:val="24"/>
          <w:szCs w:val="24"/>
        </w:rPr>
        <w:t>i</w:t>
      </w:r>
      <w:r>
        <w:rPr>
          <w:rFonts w:ascii="Times New Roman" w:hAnsi="Times New Roman" w:eastAsia="Times New Roman" w:cs="Times New Roman"/>
          <w:spacing w:val="30"/>
          <w:position w:val="3"/>
          <w:sz w:val="24"/>
          <w:szCs w:val="24"/>
        </w:rPr>
        <w:t xml:space="preserve"> </w:t>
      </w:r>
      <w:r>
        <w:rPr>
          <w:rFonts w:ascii="宋体" w:hAnsi="宋体" w:eastAsia="宋体" w:cs="宋体"/>
          <w:spacing w:val="-2"/>
          <w:position w:val="3"/>
          <w:sz w:val="24"/>
          <w:szCs w:val="24"/>
        </w:rPr>
        <w:t>的评价标准，</w:t>
      </w:r>
      <w:r>
        <w:rPr>
          <w:rFonts w:ascii="Times New Roman" w:hAnsi="Times New Roman" w:eastAsia="Times New Roman" w:cs="Times New Roman"/>
          <w:spacing w:val="-2"/>
          <w:position w:val="3"/>
          <w:sz w:val="24"/>
          <w:szCs w:val="24"/>
        </w:rPr>
        <w:t>mg/m</w:t>
      </w:r>
      <w:r>
        <w:rPr>
          <w:rFonts w:ascii="Times New Roman" w:hAnsi="Times New Roman" w:eastAsia="Times New Roman" w:cs="Times New Roman"/>
          <w:spacing w:val="-2"/>
          <w:position w:val="10"/>
          <w:sz w:val="15"/>
          <w:szCs w:val="15"/>
        </w:rPr>
        <w:t>3</w:t>
      </w:r>
      <w:r>
        <w:rPr>
          <w:rFonts w:ascii="宋体" w:hAnsi="宋体" w:eastAsia="宋体" w:cs="宋体"/>
          <w:spacing w:val="-2"/>
          <w:position w:val="3"/>
          <w:sz w:val="24"/>
          <w:szCs w:val="24"/>
        </w:rPr>
        <w:t>。</w:t>
      </w:r>
    </w:p>
    <w:p w14:paraId="68C0EEA0">
      <w:pPr>
        <w:spacing w:before="157" w:line="367" w:lineRule="auto"/>
        <w:ind w:left="125" w:right="108" w:firstLine="462"/>
        <w:rPr>
          <w:rFonts w:ascii="宋体" w:hAnsi="宋体" w:eastAsia="宋体" w:cs="宋体"/>
          <w:sz w:val="24"/>
          <w:szCs w:val="24"/>
        </w:rPr>
      </w:pPr>
      <w:r>
        <w:rPr>
          <w:rFonts w:ascii="Times New Roman" w:hAnsi="Times New Roman" w:eastAsia="Times New Roman" w:cs="Times New Roman"/>
          <w:i/>
          <w:iCs/>
          <w:spacing w:val="-1"/>
          <w:sz w:val="24"/>
          <w:szCs w:val="24"/>
        </w:rPr>
        <w:t>Pi</w:t>
      </w:r>
      <w:r>
        <w:rPr>
          <w:rFonts w:ascii="Times New Roman" w:hAnsi="Times New Roman" w:eastAsia="Times New Roman" w:cs="Times New Roman"/>
          <w:spacing w:val="-1"/>
          <w:sz w:val="24"/>
          <w:szCs w:val="24"/>
        </w:rPr>
        <w:t xml:space="preserve">&lt;1 </w:t>
      </w:r>
      <w:r>
        <w:rPr>
          <w:rFonts w:ascii="宋体" w:hAnsi="宋体" w:eastAsia="宋体" w:cs="宋体"/>
          <w:spacing w:val="-1"/>
          <w:sz w:val="24"/>
          <w:szCs w:val="24"/>
        </w:rPr>
        <w:t>表示污染物浓度未超评价标准，</w:t>
      </w:r>
      <w:r>
        <w:rPr>
          <w:rFonts w:ascii="Times New Roman" w:hAnsi="Times New Roman" w:eastAsia="Times New Roman" w:cs="Times New Roman"/>
          <w:i/>
          <w:iCs/>
          <w:spacing w:val="-1"/>
          <w:sz w:val="24"/>
          <w:szCs w:val="24"/>
        </w:rPr>
        <w:t>Pi</w:t>
      </w:r>
      <w:r>
        <w:rPr>
          <w:rFonts w:ascii="Times New Roman" w:hAnsi="Times New Roman" w:eastAsia="Times New Roman" w:cs="Times New Roman"/>
          <w:spacing w:val="-1"/>
          <w:sz w:val="24"/>
          <w:szCs w:val="24"/>
        </w:rPr>
        <w:t xml:space="preserve">&gt;1 </w:t>
      </w:r>
      <w:r>
        <w:rPr>
          <w:rFonts w:ascii="宋体" w:hAnsi="宋体" w:eastAsia="宋体" w:cs="宋体"/>
          <w:spacing w:val="-1"/>
          <w:sz w:val="24"/>
          <w:szCs w:val="24"/>
        </w:rPr>
        <w:t>表示污染物浓度超出评价标准。</w:t>
      </w:r>
      <w:r>
        <w:rPr>
          <w:rFonts w:ascii="Times New Roman" w:hAnsi="Times New Roman" w:eastAsia="Times New Roman" w:cs="Times New Roman"/>
          <w:i/>
          <w:iCs/>
          <w:spacing w:val="-1"/>
          <w:sz w:val="24"/>
          <w:szCs w:val="24"/>
        </w:rPr>
        <w:t xml:space="preserve">Pi </w:t>
      </w:r>
      <w:r>
        <w:rPr>
          <w:rFonts w:ascii="宋体" w:hAnsi="宋体" w:eastAsia="宋体" w:cs="宋体"/>
          <w:spacing w:val="-1"/>
          <w:sz w:val="24"/>
          <w:szCs w:val="24"/>
        </w:rPr>
        <w:t>越</w:t>
      </w:r>
      <w:r>
        <w:rPr>
          <w:rFonts w:ascii="宋体" w:hAnsi="宋体" w:eastAsia="宋体" w:cs="宋体"/>
          <w:spacing w:val="9"/>
          <w:sz w:val="24"/>
          <w:szCs w:val="24"/>
        </w:rPr>
        <w:t xml:space="preserve"> </w:t>
      </w:r>
      <w:r>
        <w:rPr>
          <w:rFonts w:ascii="宋体" w:hAnsi="宋体" w:eastAsia="宋体" w:cs="宋体"/>
          <w:spacing w:val="-2"/>
          <w:sz w:val="24"/>
          <w:szCs w:val="24"/>
        </w:rPr>
        <w:t>大超标越严重。</w:t>
      </w:r>
    </w:p>
    <w:p w14:paraId="6806BCF3">
      <w:pPr>
        <w:spacing w:before="22" w:line="359" w:lineRule="exact"/>
        <w:ind w:left="614"/>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）评价结果</w:t>
      </w:r>
    </w:p>
    <w:p w14:paraId="222CCA23">
      <w:pPr>
        <w:spacing w:before="131" w:line="358" w:lineRule="exact"/>
        <w:ind w:left="602"/>
        <w:rPr>
          <w:rFonts w:ascii="宋体" w:hAnsi="宋体" w:eastAsia="宋体" w:cs="宋体"/>
          <w:sz w:val="24"/>
          <w:szCs w:val="24"/>
        </w:rPr>
      </w:pPr>
      <w:r>
        <w:rPr>
          <w:rFonts w:ascii="宋体" w:hAnsi="宋体" w:eastAsia="宋体" w:cs="宋体"/>
          <w:spacing w:val="1"/>
          <w:position w:val="2"/>
          <w:sz w:val="24"/>
          <w:szCs w:val="24"/>
        </w:rPr>
        <w:t>根据评价标准，根据标准指数法计算出各单项标准指数，详见表</w:t>
      </w:r>
      <w:r>
        <w:rPr>
          <w:rFonts w:ascii="Times New Roman" w:hAnsi="Times New Roman" w:eastAsia="Times New Roman" w:cs="Times New Roman"/>
          <w:spacing w:val="1"/>
          <w:position w:val="2"/>
          <w:sz w:val="24"/>
          <w:szCs w:val="24"/>
        </w:rPr>
        <w:t>4.3-7</w:t>
      </w:r>
      <w:r>
        <w:rPr>
          <w:rFonts w:ascii="宋体" w:hAnsi="宋体" w:eastAsia="宋体" w:cs="宋体"/>
          <w:spacing w:val="1"/>
          <w:position w:val="2"/>
          <w:sz w:val="24"/>
          <w:szCs w:val="24"/>
        </w:rPr>
        <w:t>。</w:t>
      </w:r>
    </w:p>
    <w:p w14:paraId="1C54E43E">
      <w:pPr>
        <w:spacing w:before="182" w:line="227"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4.3-7 </w:t>
      </w:r>
      <w:r>
        <w:rPr>
          <w:rFonts w:ascii="宋体" w:hAnsi="宋体" w:eastAsia="宋体" w:cs="宋体"/>
          <w:b/>
          <w:bCs/>
          <w:spacing w:val="6"/>
          <w:sz w:val="20"/>
          <w:szCs w:val="20"/>
        </w:rPr>
        <w:t>环境空气小时监测结果评价</w:t>
      </w:r>
    </w:p>
    <w:p w14:paraId="51F453F5">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982"/>
        <w:gridCol w:w="753"/>
        <w:gridCol w:w="1200"/>
        <w:gridCol w:w="739"/>
        <w:gridCol w:w="1234"/>
        <w:gridCol w:w="1540"/>
        <w:gridCol w:w="999"/>
        <w:gridCol w:w="805"/>
      </w:tblGrid>
      <w:tr w14:paraId="33F98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98" w:type="dxa"/>
            <w:vMerge w:val="restart"/>
            <w:tcBorders>
              <w:bottom w:val="nil"/>
            </w:tcBorders>
            <w:vAlign w:val="top"/>
          </w:tcPr>
          <w:p w14:paraId="42217A05">
            <w:pPr>
              <w:pStyle w:val="6"/>
              <w:spacing w:before="69" w:line="230" w:lineRule="auto"/>
              <w:ind w:left="146"/>
            </w:pPr>
            <w:r>
              <w:rPr>
                <w:spacing w:val="4"/>
              </w:rPr>
              <w:t>监测</w:t>
            </w:r>
          </w:p>
          <w:p w14:paraId="035BBD0D">
            <w:pPr>
              <w:pStyle w:val="6"/>
              <w:spacing w:before="74" w:line="230" w:lineRule="auto"/>
              <w:ind w:left="152"/>
            </w:pPr>
            <w:r>
              <w:rPr>
                <w:spacing w:val="1"/>
              </w:rPr>
              <w:t>点位</w:t>
            </w:r>
          </w:p>
        </w:tc>
        <w:tc>
          <w:tcPr>
            <w:tcW w:w="1735" w:type="dxa"/>
            <w:gridSpan w:val="2"/>
            <w:vAlign w:val="top"/>
          </w:tcPr>
          <w:p w14:paraId="30B41867">
            <w:pPr>
              <w:pStyle w:val="6"/>
              <w:spacing w:before="33" w:line="274" w:lineRule="exact"/>
              <w:ind w:left="235"/>
              <w:rPr>
                <w:rFonts w:ascii="Times New Roman" w:hAnsi="Times New Roman" w:eastAsia="Times New Roman" w:cs="Times New Roman"/>
              </w:rPr>
            </w:pPr>
            <w:r>
              <w:rPr>
                <w:spacing w:val="7"/>
                <w:position w:val="1"/>
              </w:rPr>
              <w:t>监测点坐标</w:t>
            </w:r>
            <w:r>
              <w:rPr>
                <w:rFonts w:ascii="Times New Roman" w:hAnsi="Times New Roman" w:eastAsia="Times New Roman" w:cs="Times New Roman"/>
                <w:spacing w:val="7"/>
                <w:position w:val="1"/>
              </w:rPr>
              <w:t>/m</w:t>
            </w:r>
          </w:p>
        </w:tc>
        <w:tc>
          <w:tcPr>
            <w:tcW w:w="1200" w:type="dxa"/>
            <w:vMerge w:val="restart"/>
            <w:tcBorders>
              <w:bottom w:val="nil"/>
            </w:tcBorders>
            <w:vAlign w:val="top"/>
          </w:tcPr>
          <w:p w14:paraId="2F13A5E7">
            <w:pPr>
              <w:pStyle w:val="6"/>
              <w:spacing w:before="232" w:line="229" w:lineRule="auto"/>
              <w:ind w:left="289"/>
            </w:pPr>
            <w:r>
              <w:rPr>
                <w:spacing w:val="6"/>
              </w:rPr>
              <w:t>污染物</w:t>
            </w:r>
          </w:p>
        </w:tc>
        <w:tc>
          <w:tcPr>
            <w:tcW w:w="739" w:type="dxa"/>
            <w:vMerge w:val="restart"/>
            <w:tcBorders>
              <w:bottom w:val="nil"/>
            </w:tcBorders>
            <w:vAlign w:val="top"/>
          </w:tcPr>
          <w:p w14:paraId="46CF29F1">
            <w:pPr>
              <w:pStyle w:val="6"/>
              <w:spacing w:before="69" w:line="229" w:lineRule="auto"/>
              <w:ind w:left="162"/>
            </w:pPr>
            <w:r>
              <w:rPr>
                <w:spacing w:val="5"/>
              </w:rPr>
              <w:t>平均</w:t>
            </w:r>
          </w:p>
          <w:p w14:paraId="27AEA8F3">
            <w:pPr>
              <w:pStyle w:val="6"/>
              <w:spacing w:before="75" w:line="231" w:lineRule="auto"/>
              <w:ind w:left="172"/>
            </w:pPr>
            <w:r>
              <w:rPr>
                <w:spacing w:val="-1"/>
              </w:rPr>
              <w:t>时间</w:t>
            </w:r>
          </w:p>
        </w:tc>
        <w:tc>
          <w:tcPr>
            <w:tcW w:w="1234" w:type="dxa"/>
            <w:vMerge w:val="restart"/>
            <w:tcBorders>
              <w:bottom w:val="nil"/>
            </w:tcBorders>
            <w:vAlign w:val="top"/>
          </w:tcPr>
          <w:p w14:paraId="6CE48985">
            <w:pPr>
              <w:pStyle w:val="6"/>
              <w:spacing w:before="69" w:line="227" w:lineRule="auto"/>
              <w:ind w:left="200"/>
            </w:pPr>
            <w:r>
              <w:rPr>
                <w:spacing w:val="7"/>
              </w:rPr>
              <w:t>评价标准</w:t>
            </w:r>
          </w:p>
          <w:p w14:paraId="753264DC">
            <w:pPr>
              <w:spacing w:before="47"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3"/>
                <w:sz w:val="20"/>
                <w:szCs w:val="20"/>
              </w:rPr>
              <w:t>)</w:t>
            </w:r>
          </w:p>
        </w:tc>
        <w:tc>
          <w:tcPr>
            <w:tcW w:w="1540" w:type="dxa"/>
            <w:vMerge w:val="restart"/>
            <w:tcBorders>
              <w:bottom w:val="nil"/>
            </w:tcBorders>
            <w:vAlign w:val="top"/>
          </w:tcPr>
          <w:p w14:paraId="0A8A1AB4">
            <w:pPr>
              <w:pStyle w:val="6"/>
              <w:spacing w:before="69" w:line="229" w:lineRule="auto"/>
              <w:ind w:left="146"/>
            </w:pPr>
            <w:r>
              <w:rPr>
                <w:spacing w:val="8"/>
              </w:rPr>
              <w:t>监测浓度范围</w:t>
            </w:r>
          </w:p>
          <w:p w14:paraId="39A3DA48">
            <w:pPr>
              <w:spacing w:before="45"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3"/>
                <w:sz w:val="20"/>
                <w:szCs w:val="20"/>
              </w:rPr>
              <w:t>)</w:t>
            </w:r>
          </w:p>
        </w:tc>
        <w:tc>
          <w:tcPr>
            <w:tcW w:w="999" w:type="dxa"/>
            <w:vMerge w:val="restart"/>
            <w:tcBorders>
              <w:bottom w:val="nil"/>
            </w:tcBorders>
            <w:vAlign w:val="top"/>
          </w:tcPr>
          <w:p w14:paraId="575687BC">
            <w:pPr>
              <w:pStyle w:val="6"/>
              <w:spacing w:before="69" w:line="272" w:lineRule="auto"/>
              <w:ind w:left="181" w:right="170" w:firstLine="13"/>
              <w:rPr>
                <w:rFonts w:ascii="Times New Roman" w:hAnsi="Times New Roman" w:eastAsia="Times New Roman" w:cs="Times New Roman"/>
              </w:rPr>
            </w:pPr>
            <w:r>
              <w:rPr>
                <w:spacing w:val="6"/>
              </w:rPr>
              <w:t>最大占</w:t>
            </w:r>
            <w:r>
              <w:t xml:space="preserve"> </w:t>
            </w:r>
            <w:r>
              <w:rPr>
                <w:spacing w:val="5"/>
              </w:rPr>
              <w:t>标率</w:t>
            </w:r>
            <w:r>
              <w:rPr>
                <w:rFonts w:ascii="Times New Roman" w:hAnsi="Times New Roman" w:eastAsia="Times New Roman" w:cs="Times New Roman"/>
                <w:spacing w:val="5"/>
              </w:rPr>
              <w:t>/%</w:t>
            </w:r>
          </w:p>
        </w:tc>
        <w:tc>
          <w:tcPr>
            <w:tcW w:w="805" w:type="dxa"/>
            <w:vMerge w:val="restart"/>
            <w:tcBorders>
              <w:bottom w:val="nil"/>
            </w:tcBorders>
            <w:vAlign w:val="top"/>
          </w:tcPr>
          <w:p w14:paraId="25D103AC">
            <w:pPr>
              <w:pStyle w:val="6"/>
              <w:spacing w:before="69" w:line="229" w:lineRule="auto"/>
              <w:ind w:left="198"/>
            </w:pPr>
            <w:r>
              <w:rPr>
                <w:spacing w:val="5"/>
              </w:rPr>
              <w:t>达标</w:t>
            </w:r>
          </w:p>
          <w:p w14:paraId="6C93E41E">
            <w:pPr>
              <w:pStyle w:val="6"/>
              <w:spacing w:before="75" w:line="229" w:lineRule="auto"/>
              <w:ind w:left="197"/>
            </w:pPr>
            <w:r>
              <w:rPr>
                <w:spacing w:val="5"/>
              </w:rPr>
              <w:t>情况</w:t>
            </w:r>
          </w:p>
        </w:tc>
      </w:tr>
      <w:tr w14:paraId="375BA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8" w:type="dxa"/>
            <w:vMerge w:val="continue"/>
            <w:tcBorders>
              <w:top w:val="nil"/>
            </w:tcBorders>
            <w:vAlign w:val="top"/>
          </w:tcPr>
          <w:p w14:paraId="44563DC2">
            <w:pPr>
              <w:rPr>
                <w:rFonts w:ascii="Arial"/>
                <w:sz w:val="21"/>
              </w:rPr>
            </w:pPr>
          </w:p>
        </w:tc>
        <w:tc>
          <w:tcPr>
            <w:tcW w:w="982" w:type="dxa"/>
            <w:vAlign w:val="top"/>
          </w:tcPr>
          <w:p w14:paraId="7FB83DB8">
            <w:pPr>
              <w:spacing w:before="100" w:line="192"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53" w:type="dxa"/>
            <w:vAlign w:val="top"/>
          </w:tcPr>
          <w:p w14:paraId="2DAF711E">
            <w:pPr>
              <w:spacing w:before="100" w:line="192"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00" w:type="dxa"/>
            <w:vMerge w:val="continue"/>
            <w:tcBorders>
              <w:top w:val="nil"/>
            </w:tcBorders>
            <w:vAlign w:val="top"/>
          </w:tcPr>
          <w:p w14:paraId="73B5D44A">
            <w:pPr>
              <w:rPr>
                <w:rFonts w:ascii="Arial"/>
                <w:sz w:val="21"/>
              </w:rPr>
            </w:pPr>
          </w:p>
        </w:tc>
        <w:tc>
          <w:tcPr>
            <w:tcW w:w="739" w:type="dxa"/>
            <w:vMerge w:val="continue"/>
            <w:tcBorders>
              <w:top w:val="nil"/>
            </w:tcBorders>
            <w:vAlign w:val="top"/>
          </w:tcPr>
          <w:p w14:paraId="208901C1">
            <w:pPr>
              <w:rPr>
                <w:rFonts w:ascii="Arial"/>
                <w:sz w:val="21"/>
              </w:rPr>
            </w:pPr>
          </w:p>
        </w:tc>
        <w:tc>
          <w:tcPr>
            <w:tcW w:w="1234" w:type="dxa"/>
            <w:vMerge w:val="continue"/>
            <w:tcBorders>
              <w:top w:val="nil"/>
            </w:tcBorders>
            <w:vAlign w:val="top"/>
          </w:tcPr>
          <w:p w14:paraId="39ABD54F">
            <w:pPr>
              <w:rPr>
                <w:rFonts w:ascii="Arial"/>
                <w:sz w:val="21"/>
              </w:rPr>
            </w:pPr>
          </w:p>
        </w:tc>
        <w:tc>
          <w:tcPr>
            <w:tcW w:w="1540" w:type="dxa"/>
            <w:vMerge w:val="continue"/>
            <w:tcBorders>
              <w:top w:val="nil"/>
            </w:tcBorders>
            <w:vAlign w:val="top"/>
          </w:tcPr>
          <w:p w14:paraId="7DE613EE">
            <w:pPr>
              <w:rPr>
                <w:rFonts w:ascii="Arial"/>
                <w:sz w:val="21"/>
              </w:rPr>
            </w:pPr>
          </w:p>
        </w:tc>
        <w:tc>
          <w:tcPr>
            <w:tcW w:w="999" w:type="dxa"/>
            <w:vMerge w:val="continue"/>
            <w:tcBorders>
              <w:top w:val="nil"/>
            </w:tcBorders>
            <w:vAlign w:val="top"/>
          </w:tcPr>
          <w:p w14:paraId="12B7A038">
            <w:pPr>
              <w:rPr>
                <w:rFonts w:ascii="Arial"/>
                <w:sz w:val="21"/>
              </w:rPr>
            </w:pPr>
          </w:p>
        </w:tc>
        <w:tc>
          <w:tcPr>
            <w:tcW w:w="805" w:type="dxa"/>
            <w:vMerge w:val="continue"/>
            <w:tcBorders>
              <w:top w:val="nil"/>
            </w:tcBorders>
            <w:vAlign w:val="top"/>
          </w:tcPr>
          <w:p w14:paraId="6AA6A161">
            <w:pPr>
              <w:rPr>
                <w:rFonts w:ascii="Arial"/>
                <w:sz w:val="21"/>
              </w:rPr>
            </w:pPr>
          </w:p>
        </w:tc>
      </w:tr>
      <w:tr w14:paraId="03178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8" w:type="dxa"/>
            <w:vMerge w:val="restart"/>
            <w:tcBorders>
              <w:bottom w:val="nil"/>
            </w:tcBorders>
            <w:vAlign w:val="top"/>
          </w:tcPr>
          <w:p w14:paraId="0251F1DD">
            <w:pPr>
              <w:spacing w:line="308" w:lineRule="auto"/>
              <w:rPr>
                <w:rFonts w:ascii="Arial"/>
                <w:sz w:val="21"/>
              </w:rPr>
            </w:pPr>
          </w:p>
          <w:p w14:paraId="35F13C9D">
            <w:pPr>
              <w:spacing w:before="57" w:line="275"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11"/>
                <w:position w:val="2"/>
                <w:sz w:val="20"/>
                <w:szCs w:val="20"/>
              </w:rPr>
              <w:t>G1</w:t>
            </w:r>
          </w:p>
        </w:tc>
        <w:tc>
          <w:tcPr>
            <w:tcW w:w="982" w:type="dxa"/>
            <w:vMerge w:val="restart"/>
            <w:tcBorders>
              <w:bottom w:val="nil"/>
            </w:tcBorders>
            <w:vAlign w:val="top"/>
          </w:tcPr>
          <w:p w14:paraId="2D051367">
            <w:pPr>
              <w:spacing w:line="308" w:lineRule="auto"/>
              <w:rPr>
                <w:rFonts w:ascii="Arial"/>
                <w:sz w:val="21"/>
              </w:rPr>
            </w:pPr>
          </w:p>
          <w:p w14:paraId="271E61F0">
            <w:pPr>
              <w:spacing w:before="57" w:line="275"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-426</w:t>
            </w:r>
          </w:p>
        </w:tc>
        <w:tc>
          <w:tcPr>
            <w:tcW w:w="753" w:type="dxa"/>
            <w:vMerge w:val="restart"/>
            <w:tcBorders>
              <w:bottom w:val="nil"/>
            </w:tcBorders>
            <w:vAlign w:val="top"/>
          </w:tcPr>
          <w:p w14:paraId="0593606C">
            <w:pPr>
              <w:spacing w:line="308" w:lineRule="auto"/>
              <w:rPr>
                <w:rFonts w:ascii="Arial"/>
                <w:sz w:val="21"/>
              </w:rPr>
            </w:pPr>
          </w:p>
          <w:p w14:paraId="7DDA5D01">
            <w:pPr>
              <w:spacing w:before="57" w:line="275" w:lineRule="exact"/>
              <w:ind w:left="2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w:t>
            </w:r>
          </w:p>
        </w:tc>
        <w:tc>
          <w:tcPr>
            <w:tcW w:w="1200" w:type="dxa"/>
            <w:vAlign w:val="top"/>
          </w:tcPr>
          <w:p w14:paraId="1D6E77C7">
            <w:pPr>
              <w:spacing w:before="101" w:line="228"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739" w:type="dxa"/>
            <w:vMerge w:val="restart"/>
            <w:tcBorders>
              <w:bottom w:val="nil"/>
            </w:tcBorders>
            <w:vAlign w:val="top"/>
          </w:tcPr>
          <w:p w14:paraId="1BA1995E">
            <w:pPr>
              <w:pStyle w:val="6"/>
              <w:spacing w:before="41" w:line="274" w:lineRule="exact"/>
              <w:ind w:left="208"/>
            </w:pPr>
            <w:r>
              <w:rPr>
                <w:rFonts w:ascii="Times New Roman" w:hAnsi="Times New Roman" w:eastAsia="Times New Roman" w:cs="Times New Roman"/>
                <w:spacing w:val="-10"/>
                <w:position w:val="1"/>
              </w:rPr>
              <w:t>1</w:t>
            </w:r>
            <w:r>
              <w:rPr>
                <w:rFonts w:ascii="Times New Roman" w:hAnsi="Times New Roman" w:eastAsia="Times New Roman" w:cs="Times New Roman"/>
                <w:spacing w:val="15"/>
                <w:position w:val="1"/>
              </w:rPr>
              <w:t xml:space="preserve"> </w:t>
            </w:r>
            <w:r>
              <w:rPr>
                <w:spacing w:val="-10"/>
                <w:position w:val="1"/>
              </w:rPr>
              <w:t>小</w:t>
            </w:r>
          </w:p>
          <w:p w14:paraId="574CB3F7">
            <w:pPr>
              <w:pStyle w:val="6"/>
              <w:spacing w:before="83" w:line="275" w:lineRule="auto"/>
              <w:ind w:left="268" w:right="161" w:hanging="96"/>
            </w:pPr>
            <w:r>
              <w:rPr>
                <w:spacing w:val="-1"/>
              </w:rPr>
              <w:t>时平</w:t>
            </w:r>
            <w:r>
              <w:t xml:space="preserve"> 均</w:t>
            </w:r>
          </w:p>
        </w:tc>
        <w:tc>
          <w:tcPr>
            <w:tcW w:w="1234" w:type="dxa"/>
            <w:vAlign w:val="top"/>
          </w:tcPr>
          <w:p w14:paraId="5AE15A5D">
            <w:pPr>
              <w:spacing w:before="31"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540" w:type="dxa"/>
            <w:vAlign w:val="top"/>
          </w:tcPr>
          <w:p w14:paraId="705D800E">
            <w:pPr>
              <w:spacing w:before="31"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0.11~0.18</w:t>
            </w:r>
          </w:p>
        </w:tc>
        <w:tc>
          <w:tcPr>
            <w:tcW w:w="999" w:type="dxa"/>
            <w:vAlign w:val="top"/>
          </w:tcPr>
          <w:p w14:paraId="69EB1F8F">
            <w:pPr>
              <w:spacing w:before="31" w:line="274" w:lineRule="exact"/>
              <w:ind w:left="4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805" w:type="dxa"/>
            <w:vAlign w:val="top"/>
          </w:tcPr>
          <w:p w14:paraId="6E8CB523">
            <w:pPr>
              <w:pStyle w:val="6"/>
              <w:spacing w:before="62" w:line="229" w:lineRule="auto"/>
              <w:ind w:left="198"/>
            </w:pPr>
            <w:r>
              <w:rPr>
                <w:spacing w:val="5"/>
              </w:rPr>
              <w:t>达标</w:t>
            </w:r>
          </w:p>
        </w:tc>
      </w:tr>
      <w:tr w14:paraId="0CC76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8" w:type="dxa"/>
            <w:vMerge w:val="continue"/>
            <w:tcBorders>
              <w:top w:val="nil"/>
              <w:bottom w:val="nil"/>
            </w:tcBorders>
            <w:vAlign w:val="top"/>
          </w:tcPr>
          <w:p w14:paraId="432CF132">
            <w:pPr>
              <w:rPr>
                <w:rFonts w:ascii="Arial"/>
                <w:sz w:val="21"/>
              </w:rPr>
            </w:pPr>
          </w:p>
        </w:tc>
        <w:tc>
          <w:tcPr>
            <w:tcW w:w="982" w:type="dxa"/>
            <w:vMerge w:val="continue"/>
            <w:tcBorders>
              <w:top w:val="nil"/>
              <w:bottom w:val="nil"/>
            </w:tcBorders>
            <w:vAlign w:val="top"/>
          </w:tcPr>
          <w:p w14:paraId="7528A9B8">
            <w:pPr>
              <w:rPr>
                <w:rFonts w:ascii="Arial"/>
                <w:sz w:val="21"/>
              </w:rPr>
            </w:pPr>
          </w:p>
        </w:tc>
        <w:tc>
          <w:tcPr>
            <w:tcW w:w="753" w:type="dxa"/>
            <w:vMerge w:val="continue"/>
            <w:tcBorders>
              <w:top w:val="nil"/>
              <w:bottom w:val="nil"/>
            </w:tcBorders>
            <w:vAlign w:val="top"/>
          </w:tcPr>
          <w:p w14:paraId="66E09823">
            <w:pPr>
              <w:rPr>
                <w:rFonts w:ascii="Arial"/>
                <w:sz w:val="21"/>
              </w:rPr>
            </w:pPr>
          </w:p>
        </w:tc>
        <w:tc>
          <w:tcPr>
            <w:tcW w:w="1200" w:type="dxa"/>
            <w:vAlign w:val="top"/>
          </w:tcPr>
          <w:p w14:paraId="79374B16">
            <w:pPr>
              <w:spacing w:before="99" w:line="230"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739" w:type="dxa"/>
            <w:vMerge w:val="continue"/>
            <w:tcBorders>
              <w:top w:val="nil"/>
              <w:bottom w:val="nil"/>
            </w:tcBorders>
            <w:vAlign w:val="top"/>
          </w:tcPr>
          <w:p w14:paraId="38C1CDD2">
            <w:pPr>
              <w:rPr>
                <w:rFonts w:ascii="Arial"/>
                <w:sz w:val="21"/>
              </w:rPr>
            </w:pPr>
          </w:p>
        </w:tc>
        <w:tc>
          <w:tcPr>
            <w:tcW w:w="1234" w:type="dxa"/>
            <w:vAlign w:val="top"/>
          </w:tcPr>
          <w:p w14:paraId="11D72644">
            <w:pPr>
              <w:spacing w:before="32"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540" w:type="dxa"/>
            <w:vAlign w:val="top"/>
          </w:tcPr>
          <w:p w14:paraId="7CC9D12D">
            <w:pPr>
              <w:spacing w:before="32" w:line="274"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0.001L</w:t>
            </w:r>
          </w:p>
        </w:tc>
        <w:tc>
          <w:tcPr>
            <w:tcW w:w="999" w:type="dxa"/>
            <w:vAlign w:val="top"/>
          </w:tcPr>
          <w:p w14:paraId="37D3B0B6">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5" w:type="dxa"/>
            <w:vAlign w:val="top"/>
          </w:tcPr>
          <w:p w14:paraId="18FBB0DD">
            <w:pPr>
              <w:pStyle w:val="6"/>
              <w:spacing w:before="63" w:line="229" w:lineRule="auto"/>
              <w:ind w:left="198"/>
            </w:pPr>
            <w:r>
              <w:rPr>
                <w:spacing w:val="5"/>
              </w:rPr>
              <w:t>达标</w:t>
            </w:r>
          </w:p>
        </w:tc>
      </w:tr>
      <w:tr w14:paraId="7A139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98" w:type="dxa"/>
            <w:vMerge w:val="continue"/>
            <w:tcBorders>
              <w:top w:val="nil"/>
            </w:tcBorders>
            <w:vAlign w:val="top"/>
          </w:tcPr>
          <w:p w14:paraId="0C9841F9">
            <w:pPr>
              <w:rPr>
                <w:rFonts w:ascii="Arial"/>
                <w:sz w:val="21"/>
              </w:rPr>
            </w:pPr>
          </w:p>
        </w:tc>
        <w:tc>
          <w:tcPr>
            <w:tcW w:w="982" w:type="dxa"/>
            <w:vMerge w:val="continue"/>
            <w:tcBorders>
              <w:top w:val="nil"/>
            </w:tcBorders>
            <w:vAlign w:val="top"/>
          </w:tcPr>
          <w:p w14:paraId="293233F8">
            <w:pPr>
              <w:rPr>
                <w:rFonts w:ascii="Arial"/>
                <w:sz w:val="21"/>
              </w:rPr>
            </w:pPr>
          </w:p>
        </w:tc>
        <w:tc>
          <w:tcPr>
            <w:tcW w:w="753" w:type="dxa"/>
            <w:vMerge w:val="continue"/>
            <w:tcBorders>
              <w:top w:val="nil"/>
            </w:tcBorders>
            <w:vAlign w:val="top"/>
          </w:tcPr>
          <w:p w14:paraId="1D181B0C">
            <w:pPr>
              <w:rPr>
                <w:rFonts w:ascii="Arial"/>
                <w:sz w:val="21"/>
              </w:rPr>
            </w:pPr>
          </w:p>
        </w:tc>
        <w:tc>
          <w:tcPr>
            <w:tcW w:w="1200" w:type="dxa"/>
            <w:vAlign w:val="top"/>
          </w:tcPr>
          <w:p w14:paraId="109D0FC2">
            <w:pPr>
              <w:pStyle w:val="6"/>
              <w:spacing w:before="64" w:line="228" w:lineRule="auto"/>
              <w:ind w:left="184"/>
            </w:pPr>
            <w:r>
              <w:rPr>
                <w:spacing w:val="7"/>
              </w:rPr>
              <w:t>臭气浓度</w:t>
            </w:r>
          </w:p>
        </w:tc>
        <w:tc>
          <w:tcPr>
            <w:tcW w:w="739" w:type="dxa"/>
            <w:vMerge w:val="continue"/>
            <w:tcBorders>
              <w:top w:val="nil"/>
            </w:tcBorders>
            <w:vAlign w:val="top"/>
          </w:tcPr>
          <w:p w14:paraId="68076B87">
            <w:pPr>
              <w:rPr>
                <w:rFonts w:ascii="Arial"/>
                <w:sz w:val="21"/>
              </w:rPr>
            </w:pPr>
          </w:p>
        </w:tc>
        <w:tc>
          <w:tcPr>
            <w:tcW w:w="1234" w:type="dxa"/>
            <w:vAlign w:val="top"/>
          </w:tcPr>
          <w:p w14:paraId="52A90E8B">
            <w:pPr>
              <w:spacing w:before="33" w:line="274" w:lineRule="exact"/>
              <w:ind w:left="5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40" w:type="dxa"/>
            <w:vAlign w:val="top"/>
          </w:tcPr>
          <w:p w14:paraId="74A45393">
            <w:pPr>
              <w:spacing w:before="33"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10L</w:t>
            </w:r>
          </w:p>
        </w:tc>
        <w:tc>
          <w:tcPr>
            <w:tcW w:w="999" w:type="dxa"/>
            <w:vAlign w:val="top"/>
          </w:tcPr>
          <w:p w14:paraId="020CFD22">
            <w:pPr>
              <w:spacing w:before="33"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5" w:type="dxa"/>
            <w:vAlign w:val="top"/>
          </w:tcPr>
          <w:p w14:paraId="7A3ABDF9">
            <w:pPr>
              <w:pStyle w:val="6"/>
              <w:spacing w:before="64" w:line="229" w:lineRule="auto"/>
              <w:ind w:left="198"/>
            </w:pPr>
            <w:r>
              <w:rPr>
                <w:spacing w:val="5"/>
              </w:rPr>
              <w:t>达标</w:t>
            </w:r>
          </w:p>
        </w:tc>
      </w:tr>
    </w:tbl>
    <w:p w14:paraId="77A30D5F">
      <w:pPr>
        <w:spacing w:before="252" w:line="374" w:lineRule="auto"/>
        <w:ind w:left="117" w:right="110" w:firstLine="485"/>
        <w:rPr>
          <w:rFonts w:ascii="宋体" w:hAnsi="宋体" w:eastAsia="宋体" w:cs="宋体"/>
          <w:sz w:val="24"/>
          <w:szCs w:val="24"/>
        </w:rPr>
      </w:pPr>
      <w:r>
        <w:rPr>
          <w:rFonts w:ascii="宋体" w:hAnsi="宋体" w:eastAsia="宋体" w:cs="宋体"/>
          <w:spacing w:val="-1"/>
          <w:sz w:val="24"/>
          <w:szCs w:val="24"/>
        </w:rPr>
        <w:t>根据广东惠利通检测技术有限公司提供检测报告统计得到表</w:t>
      </w:r>
      <w:r>
        <w:rPr>
          <w:rFonts w:ascii="Times New Roman" w:hAnsi="Times New Roman" w:eastAsia="Times New Roman" w:cs="Times New Roman"/>
          <w:spacing w:val="-1"/>
          <w:sz w:val="24"/>
          <w:szCs w:val="24"/>
        </w:rPr>
        <w:t>4.3-7</w:t>
      </w:r>
      <w:r>
        <w:rPr>
          <w:rFonts w:ascii="Times New Roman" w:hAnsi="Times New Roman" w:eastAsia="Times New Roman" w:cs="Times New Roman"/>
          <w:spacing w:val="37"/>
          <w:w w:val="101"/>
          <w:sz w:val="24"/>
          <w:szCs w:val="24"/>
        </w:rPr>
        <w:t xml:space="preserve"> </w:t>
      </w:r>
      <w:r>
        <w:rPr>
          <w:rFonts w:ascii="宋体" w:hAnsi="宋体" w:eastAsia="宋体" w:cs="宋体"/>
          <w:spacing w:val="-1"/>
          <w:sz w:val="24"/>
          <w:szCs w:val="24"/>
        </w:rPr>
        <w:t>中数据，从表</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4.3-7 </w:t>
      </w:r>
      <w:r>
        <w:rPr>
          <w:rFonts w:ascii="宋体" w:hAnsi="宋体" w:eastAsia="宋体" w:cs="宋体"/>
          <w:spacing w:val="-1"/>
          <w:sz w:val="24"/>
          <w:szCs w:val="24"/>
        </w:rPr>
        <w:t>可得以下结论。</w:t>
      </w:r>
    </w:p>
    <w:p w14:paraId="7BDAA05F">
      <w:pPr>
        <w:spacing w:before="5" w:line="361" w:lineRule="exact"/>
        <w:ind w:left="614"/>
        <w:outlineLvl w:val="0"/>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）氨气（</w:t>
      </w:r>
      <w:r>
        <w:rPr>
          <w:rFonts w:ascii="Times New Roman" w:hAnsi="Times New Roman" w:eastAsia="Times New Roman" w:cs="Times New Roman"/>
          <w:spacing w:val="-2"/>
          <w:position w:val="2"/>
          <w:sz w:val="24"/>
          <w:szCs w:val="24"/>
        </w:rPr>
        <w:t>NH</w:t>
      </w:r>
      <w:r>
        <w:rPr>
          <w:rFonts w:ascii="Times New Roman" w:hAnsi="Times New Roman" w:eastAsia="Times New Roman" w:cs="Times New Roman"/>
          <w:spacing w:val="-2"/>
          <w:position w:val="1"/>
          <w:sz w:val="15"/>
          <w:szCs w:val="15"/>
        </w:rPr>
        <w:t>3</w:t>
      </w:r>
      <w:r>
        <w:rPr>
          <w:rFonts w:ascii="宋体" w:hAnsi="宋体" w:eastAsia="宋体" w:cs="宋体"/>
          <w:spacing w:val="-2"/>
          <w:position w:val="2"/>
          <w:sz w:val="24"/>
          <w:szCs w:val="24"/>
        </w:rPr>
        <w:t>）</w:t>
      </w:r>
    </w:p>
    <w:p w14:paraId="74B53157">
      <w:pPr>
        <w:spacing w:before="130" w:line="374" w:lineRule="auto"/>
        <w:ind w:left="122" w:right="110" w:firstLine="480"/>
        <w:jc w:val="both"/>
        <w:rPr>
          <w:rFonts w:ascii="Times New Roman" w:hAnsi="Times New Roman" w:eastAsia="Times New Roman" w:cs="Times New Roman"/>
          <w:sz w:val="15"/>
          <w:szCs w:val="15"/>
        </w:rPr>
      </w:pPr>
      <w:r>
        <w:pict>
          <v:shape id="_x0000_s1034" o:spid="_x0000_s1034" o:spt="202" type="#_x0000_t202" style="position:absolute;left:0pt;margin-left:180.65pt;margin-top:54.4pt;height:32.7pt;width:100.4pt;z-index:251665408;mso-width-relative:page;mso-height-relative:page;" filled="f" stroked="f" coordsize="21600,21600">
            <v:path/>
            <v:fill on="f" focussize="0,0"/>
            <v:stroke on="f"/>
            <v:imagedata o:title=""/>
            <o:lock v:ext="edit" aspectratio="f"/>
            <v:textbox inset="0mm,0mm,0mm,0mm">
              <w:txbxContent>
                <w:p w14:paraId="72D29803">
                  <w:pPr>
                    <w:spacing w:before="20" w:line="285" w:lineRule="auto"/>
                    <w:ind w:left="960" w:right="20" w:hanging="941"/>
                    <w:rPr>
                      <w:rFonts w:ascii="Times New Roman" w:hAnsi="Times New Roman" w:eastAsia="Times New Roman" w:cs="Times New Roman"/>
                      <w:sz w:val="18"/>
                      <w:szCs w:val="18"/>
                    </w:rPr>
                  </w:pPr>
                  <w:r>
                    <w:rPr>
                      <w:rFonts w:ascii="Times New Roman" w:hAnsi="Times New Roman" w:eastAsia="Times New Roman" w:cs="Times New Roman"/>
                      <w:spacing w:val="-6"/>
                      <w:sz w:val="24"/>
                      <w:szCs w:val="24"/>
                    </w:rPr>
                    <w:t>0.9</w:t>
                  </w:r>
                  <w:r>
                    <w:rPr>
                      <w:rFonts w:ascii="宋体" w:hAnsi="宋体" w:eastAsia="宋体" w:cs="宋体"/>
                      <w:spacing w:val="-6"/>
                      <w:sz w:val="24"/>
                      <w:szCs w:val="24"/>
                    </w:rPr>
                    <w:t>（</w:t>
                  </w:r>
                  <w:r>
                    <w:rPr>
                      <w:rFonts w:ascii="Times New Roman" w:hAnsi="Times New Roman" w:eastAsia="Times New Roman" w:cs="Times New Roman"/>
                      <w:spacing w:val="-6"/>
                      <w:sz w:val="24"/>
                      <w:szCs w:val="24"/>
                    </w:rPr>
                    <w:t>&lt;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6"/>
                      <w:sz w:val="24"/>
                      <w:szCs w:val="24"/>
                    </w:rPr>
                    <w:t>）。因此，</w:t>
                  </w:r>
                  <w:r>
                    <w:rPr>
                      <w:rFonts w:ascii="宋体" w:hAnsi="宋体" w:eastAsia="宋体" w:cs="宋体"/>
                      <w:sz w:val="24"/>
                      <w:szCs w:val="24"/>
                    </w:rPr>
                    <w:t xml:space="preserve"> </w:t>
                  </w:r>
                  <w:r>
                    <w:rPr>
                      <w:rFonts w:ascii="Times New Roman" w:hAnsi="Times New Roman" w:eastAsia="Times New Roman" w:cs="Times New Roman"/>
                      <w:spacing w:val="-4"/>
                      <w:sz w:val="18"/>
                      <w:szCs w:val="18"/>
                    </w:rPr>
                    <w:t>91</w:t>
                  </w:r>
                </w:p>
              </w:txbxContent>
            </v:textbox>
          </v:shape>
        </w:pict>
      </w:r>
      <w:r>
        <w:rPr>
          <w:rFonts w:ascii="宋体" w:hAnsi="宋体" w:eastAsia="宋体" w:cs="宋体"/>
          <w:spacing w:val="-4"/>
          <w:sz w:val="24"/>
          <w:szCs w:val="24"/>
        </w:rPr>
        <w:t>根据表</w:t>
      </w:r>
      <w:r>
        <w:rPr>
          <w:rFonts w:ascii="Times New Roman" w:hAnsi="Times New Roman" w:eastAsia="Times New Roman" w:cs="Times New Roman"/>
          <w:spacing w:val="-4"/>
          <w:sz w:val="24"/>
          <w:szCs w:val="24"/>
        </w:rPr>
        <w:t>4.3-7</w:t>
      </w:r>
      <w:r>
        <w:rPr>
          <w:rFonts w:ascii="Times New Roman" w:hAnsi="Times New Roman" w:eastAsia="Times New Roman" w:cs="Times New Roman"/>
          <w:spacing w:val="41"/>
          <w:sz w:val="24"/>
          <w:szCs w:val="24"/>
        </w:rPr>
        <w:t xml:space="preserve"> </w:t>
      </w:r>
      <w:r>
        <w:rPr>
          <w:rFonts w:ascii="宋体" w:hAnsi="宋体" w:eastAsia="宋体" w:cs="宋体"/>
          <w:spacing w:val="-4"/>
          <w:sz w:val="24"/>
          <w:szCs w:val="24"/>
        </w:rPr>
        <w:t>中的监测统计结果可知，项目评价范围内的各监测点</w:t>
      </w:r>
      <w:r>
        <w:rPr>
          <w:rFonts w:ascii="宋体" w:hAnsi="宋体" w:eastAsia="宋体" w:cs="宋体"/>
          <w:spacing w:val="-63"/>
          <w:sz w:val="24"/>
          <w:szCs w:val="24"/>
        </w:rPr>
        <w:t xml:space="preserve"> </w:t>
      </w:r>
      <w:r>
        <w:rPr>
          <w:rFonts w:ascii="Times New Roman" w:hAnsi="Times New Roman" w:eastAsia="Times New Roman" w:cs="Times New Roman"/>
          <w:spacing w:val="-4"/>
          <w:sz w:val="24"/>
          <w:szCs w:val="24"/>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31"/>
          <w:w w:val="102"/>
          <w:position w:val="-1"/>
          <w:sz w:val="15"/>
          <w:szCs w:val="15"/>
        </w:rPr>
        <w:t xml:space="preserve"> </w:t>
      </w:r>
      <w:r>
        <w:rPr>
          <w:rFonts w:ascii="宋体" w:hAnsi="宋体" w:eastAsia="宋体" w:cs="宋体"/>
          <w:spacing w:val="-4"/>
          <w:sz w:val="24"/>
          <w:szCs w:val="24"/>
        </w:rPr>
        <w:t>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w:t>
      </w:r>
      <w:r>
        <w:rPr>
          <w:rFonts w:ascii="宋体" w:hAnsi="宋体" w:eastAsia="宋体" w:cs="宋体"/>
          <w:sz w:val="24"/>
          <w:szCs w:val="24"/>
        </w:rPr>
        <w:t xml:space="preserve"> </w:t>
      </w:r>
      <w:r>
        <w:rPr>
          <w:rFonts w:ascii="宋体" w:hAnsi="宋体" w:eastAsia="宋体" w:cs="宋体"/>
          <w:spacing w:val="-1"/>
          <w:sz w:val="24"/>
          <w:szCs w:val="24"/>
        </w:rPr>
        <w:t>平均浓度在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w:t>
      </w:r>
      <w:r>
        <w:rPr>
          <w:rFonts w:ascii="宋体" w:hAnsi="宋体" w:eastAsia="宋体" w:cs="宋体"/>
          <w:spacing w:val="-1"/>
          <w:sz w:val="24"/>
          <w:szCs w:val="24"/>
        </w:rPr>
        <w:t>～</w:t>
      </w:r>
      <w:r>
        <w:rPr>
          <w:rFonts w:ascii="Times New Roman" w:hAnsi="Times New Roman" w:eastAsia="Times New Roman" w:cs="Times New Roman"/>
          <w:spacing w:val="-1"/>
          <w:sz w:val="24"/>
          <w:szCs w:val="24"/>
        </w:rPr>
        <w:t>0.18mg/m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3"/>
          <w:w w:val="101"/>
          <w:position w:val="8"/>
          <w:sz w:val="15"/>
          <w:szCs w:val="15"/>
        </w:rPr>
        <w:t xml:space="preserve"> </w:t>
      </w:r>
      <w:r>
        <w:rPr>
          <w:rFonts w:ascii="宋体" w:hAnsi="宋体" w:eastAsia="宋体" w:cs="宋体"/>
          <w:spacing w:val="-1"/>
          <w:sz w:val="24"/>
          <w:szCs w:val="24"/>
        </w:rPr>
        <w:t>之间，各监测点</w:t>
      </w:r>
      <w:r>
        <w:rPr>
          <w:rFonts w:ascii="宋体" w:hAnsi="宋体" w:eastAsia="宋体" w:cs="宋体"/>
          <w:spacing w:val="-2"/>
          <w:sz w:val="24"/>
          <w:szCs w:val="24"/>
        </w:rPr>
        <w:t>的检出率均为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，各监测点超标率</w:t>
      </w:r>
      <w:r>
        <w:rPr>
          <w:rFonts w:ascii="宋体" w:hAnsi="宋体" w:eastAsia="宋体" w:cs="宋体"/>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小时平均最大质量指数为                 可知评价范围</w:t>
      </w:r>
      <w:r>
        <w:rPr>
          <w:rFonts w:ascii="宋体" w:hAnsi="宋体" w:eastAsia="宋体" w:cs="宋体"/>
          <w:spacing w:val="2"/>
          <w:sz w:val="24"/>
          <w:szCs w:val="24"/>
        </w:rPr>
        <w:t>内各监测点</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3</w:t>
      </w:r>
    </w:p>
    <w:p w14:paraId="3018DB2F">
      <w:pPr>
        <w:spacing w:line="374" w:lineRule="auto"/>
        <w:rPr>
          <w:rFonts w:ascii="Times New Roman" w:hAnsi="Times New Roman" w:eastAsia="Times New Roman" w:cs="Times New Roman"/>
          <w:sz w:val="15"/>
          <w:szCs w:val="15"/>
        </w:rPr>
        <w:sectPr>
          <w:footerReference r:id="rId102" w:type="default"/>
          <w:pgSz w:w="11906" w:h="16839"/>
          <w:pgMar w:top="400" w:right="1475" w:bottom="400" w:left="1475" w:header="0" w:footer="0" w:gutter="0"/>
          <w:cols w:space="720" w:num="1"/>
        </w:sectPr>
      </w:pPr>
    </w:p>
    <w:p w14:paraId="746F32EF">
      <w:pPr>
        <w:pStyle w:val="2"/>
        <w:spacing w:line="255" w:lineRule="auto"/>
      </w:pPr>
    </w:p>
    <w:p w14:paraId="704650D0">
      <w:pPr>
        <w:pStyle w:val="2"/>
        <w:spacing w:line="255" w:lineRule="auto"/>
      </w:pPr>
    </w:p>
    <w:p w14:paraId="65D4DB21">
      <w:pPr>
        <w:pStyle w:val="2"/>
        <w:spacing w:line="255" w:lineRule="auto"/>
      </w:pPr>
    </w:p>
    <w:p w14:paraId="1625D73B">
      <w:pPr>
        <w:pStyle w:val="2"/>
        <w:spacing w:line="256" w:lineRule="auto"/>
      </w:pPr>
    </w:p>
    <w:p w14:paraId="0AB30E10">
      <w:pPr>
        <w:spacing w:before="78" w:line="342" w:lineRule="auto"/>
        <w:ind w:left="134" w:right="233" w:firstLine="8"/>
        <w:rPr>
          <w:rFonts w:ascii="宋体" w:hAnsi="宋体" w:eastAsia="宋体" w:cs="宋体"/>
          <w:sz w:val="24"/>
          <w:szCs w:val="24"/>
        </w:rPr>
      </w:pPr>
      <w:r>
        <w:rPr>
          <w:rFonts w:ascii="宋体" w:hAnsi="宋体" w:eastAsia="宋体" w:cs="宋体"/>
          <w:spacing w:val="13"/>
          <w:sz w:val="24"/>
          <w:szCs w:val="24"/>
        </w:rPr>
        <w:t>的</w:t>
      </w:r>
      <w:r>
        <w:rPr>
          <w:rFonts w:ascii="宋体" w:hAnsi="宋体" w:eastAsia="宋体" w:cs="宋体"/>
          <w:spacing w:val="-1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3"/>
          <w:sz w:val="24"/>
          <w:szCs w:val="24"/>
        </w:rPr>
        <w:t>小时平均浓度均没有超标，全部符合《环境影响评价技术导则大气环境》</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）中附录</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标准限</w:t>
      </w:r>
      <w:r>
        <w:rPr>
          <w:rFonts w:ascii="宋体" w:hAnsi="宋体" w:eastAsia="宋体" w:cs="宋体"/>
          <w:spacing w:val="-2"/>
          <w:sz w:val="24"/>
          <w:szCs w:val="24"/>
        </w:rPr>
        <w:t>值要求。</w:t>
      </w:r>
    </w:p>
    <w:p w14:paraId="7EBD7C64">
      <w:pPr>
        <w:spacing w:line="362"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）硫化氢（</w:t>
      </w:r>
      <w:r>
        <w:rPr>
          <w:rFonts w:ascii="Times New Roman" w:hAnsi="Times New Roman" w:eastAsia="Times New Roman" w:cs="Times New Roman"/>
          <w:spacing w:val="-2"/>
          <w:position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position w:val="2"/>
          <w:sz w:val="24"/>
          <w:szCs w:val="24"/>
        </w:rPr>
        <w:t>S</w:t>
      </w:r>
      <w:r>
        <w:rPr>
          <w:rFonts w:ascii="宋体" w:hAnsi="宋体" w:eastAsia="宋体" w:cs="宋体"/>
          <w:spacing w:val="-2"/>
          <w:position w:val="2"/>
          <w:sz w:val="24"/>
          <w:szCs w:val="24"/>
        </w:rPr>
        <w:t>）</w:t>
      </w:r>
    </w:p>
    <w:p w14:paraId="7E0C4A89">
      <w:pPr>
        <w:spacing w:before="103" w:line="360" w:lineRule="exact"/>
        <w:ind w:left="602"/>
        <w:rPr>
          <w:rFonts w:ascii="宋体" w:hAnsi="宋体" w:eastAsia="宋体" w:cs="宋体"/>
          <w:sz w:val="24"/>
          <w:szCs w:val="24"/>
        </w:rPr>
      </w:pPr>
      <w:r>
        <w:rPr>
          <w:rFonts w:ascii="宋体" w:hAnsi="宋体" w:eastAsia="宋体" w:cs="宋体"/>
          <w:position w:val="2"/>
          <w:sz w:val="24"/>
          <w:szCs w:val="24"/>
        </w:rPr>
        <w:t>根据表</w:t>
      </w:r>
      <w:r>
        <w:rPr>
          <w:rFonts w:ascii="Times New Roman" w:hAnsi="Times New Roman" w:eastAsia="Times New Roman" w:cs="Times New Roman"/>
          <w:position w:val="2"/>
          <w:sz w:val="24"/>
          <w:szCs w:val="24"/>
        </w:rPr>
        <w:t>4.4-7</w:t>
      </w:r>
      <w:r>
        <w:rPr>
          <w:rFonts w:ascii="Times New Roman" w:hAnsi="Times New Roman" w:eastAsia="Times New Roman" w:cs="Times New Roman"/>
          <w:spacing w:val="48"/>
          <w:w w:val="101"/>
          <w:position w:val="2"/>
          <w:sz w:val="24"/>
          <w:szCs w:val="24"/>
        </w:rPr>
        <w:t xml:space="preserve"> </w:t>
      </w:r>
      <w:r>
        <w:rPr>
          <w:rFonts w:ascii="宋体" w:hAnsi="宋体" w:eastAsia="宋体" w:cs="宋体"/>
          <w:position w:val="2"/>
          <w:sz w:val="24"/>
          <w:szCs w:val="24"/>
        </w:rPr>
        <w:t>中的监测统计结果可知，监测位置硫化氢为未检出。</w:t>
      </w:r>
    </w:p>
    <w:p w14:paraId="4D632D43">
      <w:pPr>
        <w:spacing w:before="107" w:line="361" w:lineRule="exact"/>
        <w:ind w:left="614"/>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3</w:t>
      </w:r>
      <w:r>
        <w:rPr>
          <w:rFonts w:ascii="宋体" w:hAnsi="宋体" w:eastAsia="宋体" w:cs="宋体"/>
          <w:spacing w:val="-5"/>
          <w:position w:val="2"/>
          <w:sz w:val="24"/>
          <w:szCs w:val="24"/>
        </w:rPr>
        <w:t>）臭气</w:t>
      </w:r>
    </w:p>
    <w:p w14:paraId="538738AB">
      <w:pPr>
        <w:spacing w:before="107" w:line="361" w:lineRule="exact"/>
        <w:ind w:left="602"/>
        <w:rPr>
          <w:rFonts w:ascii="宋体" w:hAnsi="宋体" w:eastAsia="宋体" w:cs="宋体"/>
          <w:sz w:val="24"/>
          <w:szCs w:val="24"/>
        </w:rPr>
      </w:pPr>
      <w:r>
        <w:rPr>
          <w:rFonts w:ascii="宋体" w:hAnsi="宋体" w:eastAsia="宋体" w:cs="宋体"/>
          <w:position w:val="2"/>
          <w:sz w:val="24"/>
          <w:szCs w:val="24"/>
        </w:rPr>
        <w:t>根据表</w:t>
      </w:r>
      <w:r>
        <w:rPr>
          <w:rFonts w:ascii="Times New Roman" w:hAnsi="Times New Roman" w:eastAsia="Times New Roman" w:cs="Times New Roman"/>
          <w:position w:val="2"/>
          <w:sz w:val="24"/>
          <w:szCs w:val="24"/>
        </w:rPr>
        <w:t>4.3-7</w:t>
      </w:r>
      <w:r>
        <w:rPr>
          <w:rFonts w:ascii="Times New Roman" w:hAnsi="Times New Roman" w:eastAsia="Times New Roman" w:cs="Times New Roman"/>
          <w:spacing w:val="48"/>
          <w:w w:val="101"/>
          <w:position w:val="2"/>
          <w:sz w:val="24"/>
          <w:szCs w:val="24"/>
        </w:rPr>
        <w:t xml:space="preserve"> </w:t>
      </w:r>
      <w:r>
        <w:rPr>
          <w:rFonts w:ascii="宋体" w:hAnsi="宋体" w:eastAsia="宋体" w:cs="宋体"/>
          <w:position w:val="2"/>
          <w:sz w:val="24"/>
          <w:szCs w:val="24"/>
        </w:rPr>
        <w:t>中的监测统计结果可知，监测位置臭气浓度为未检出。</w:t>
      </w:r>
    </w:p>
    <w:p w14:paraId="6E51A683">
      <w:pPr>
        <w:spacing w:before="105" w:line="358"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）环境空气质量现状评价小结</w:t>
      </w:r>
    </w:p>
    <w:p w14:paraId="61B9BE0A">
      <w:pPr>
        <w:spacing w:before="109" w:line="357" w:lineRule="auto"/>
        <w:ind w:left="123" w:right="216" w:firstLine="479"/>
        <w:rPr>
          <w:rFonts w:ascii="宋体" w:hAnsi="宋体" w:eastAsia="宋体" w:cs="宋体"/>
          <w:sz w:val="24"/>
          <w:szCs w:val="24"/>
        </w:rPr>
      </w:pPr>
      <w:r>
        <w:rPr>
          <w:rFonts w:ascii="宋体" w:hAnsi="宋体" w:eastAsia="宋体" w:cs="宋体"/>
          <w:spacing w:val="2"/>
          <w:sz w:val="24"/>
          <w:szCs w:val="24"/>
        </w:rPr>
        <w:t>环境空气质量现状监测与评价表明，项目所在区域为达标区；评价范围</w:t>
      </w:r>
      <w:r>
        <w:rPr>
          <w:rFonts w:ascii="宋体" w:hAnsi="宋体" w:eastAsia="宋体" w:cs="宋体"/>
          <w:spacing w:val="1"/>
          <w:sz w:val="24"/>
          <w:szCs w:val="24"/>
        </w:rPr>
        <w:t>内</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个</w:t>
      </w:r>
      <w:r>
        <w:rPr>
          <w:rFonts w:ascii="宋体" w:hAnsi="宋体" w:eastAsia="宋体" w:cs="宋体"/>
          <w:sz w:val="24"/>
          <w:szCs w:val="24"/>
        </w:rPr>
        <w:t xml:space="preserve"> </w:t>
      </w:r>
      <w:r>
        <w:rPr>
          <w:rFonts w:ascii="宋体" w:hAnsi="宋体" w:eastAsia="宋体" w:cs="宋体"/>
          <w:spacing w:val="1"/>
          <w:sz w:val="24"/>
          <w:szCs w:val="24"/>
        </w:rPr>
        <w:t>监测点的</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5"/>
          <w:w w:val="102"/>
          <w:position w:val="-1"/>
          <w:sz w:val="15"/>
          <w:szCs w:val="15"/>
        </w:rPr>
        <w:t xml:space="preserve"> </w:t>
      </w:r>
      <w:r>
        <w:rPr>
          <w:rFonts w:ascii="宋体" w:hAnsi="宋体" w:eastAsia="宋体" w:cs="宋体"/>
          <w:spacing w:val="1"/>
          <w:sz w:val="24"/>
          <w:szCs w:val="24"/>
        </w:rPr>
        <w:t>连续</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天的</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小时平均浓度超标率为</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，能满足《环境影响评价技术</w:t>
      </w:r>
      <w:r>
        <w:rPr>
          <w:rFonts w:ascii="宋体" w:hAnsi="宋体" w:eastAsia="宋体" w:cs="宋体"/>
          <w:sz w:val="24"/>
          <w:szCs w:val="24"/>
        </w:rPr>
        <w:t xml:space="preserve"> 导则大气环境》（</w:t>
      </w:r>
      <w:r>
        <w:rPr>
          <w:rFonts w:ascii="Times New Roman" w:hAnsi="Times New Roman" w:eastAsia="Times New Roman" w:cs="Times New Roman"/>
          <w:sz w:val="24"/>
          <w:szCs w:val="24"/>
        </w:rPr>
        <w:t>HJ2.2-2018</w:t>
      </w:r>
      <w:r>
        <w:rPr>
          <w:rFonts w:ascii="宋体" w:hAnsi="宋体" w:eastAsia="宋体" w:cs="宋体"/>
          <w:sz w:val="24"/>
          <w:szCs w:val="24"/>
        </w:rPr>
        <w:t>）中附录</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D </w:t>
      </w:r>
      <w:r>
        <w:rPr>
          <w:rFonts w:ascii="宋体" w:hAnsi="宋体" w:eastAsia="宋体" w:cs="宋体"/>
          <w:sz w:val="24"/>
          <w:szCs w:val="24"/>
        </w:rPr>
        <w:t>标</w:t>
      </w:r>
      <w:r>
        <w:rPr>
          <w:rFonts w:ascii="宋体" w:hAnsi="宋体" w:eastAsia="宋体" w:cs="宋体"/>
          <w:spacing w:val="-1"/>
          <w:sz w:val="24"/>
          <w:szCs w:val="24"/>
        </w:rPr>
        <w:t>准限值要求；硫化氢空臭气为未检出。</w:t>
      </w:r>
    </w:p>
    <w:p w14:paraId="1024E60C">
      <w:pPr>
        <w:pStyle w:val="2"/>
        <w:spacing w:line="334" w:lineRule="auto"/>
      </w:pPr>
    </w:p>
    <w:p w14:paraId="0E688A05">
      <w:pPr>
        <w:spacing w:before="101" w:line="224" w:lineRule="auto"/>
        <w:ind w:left="121"/>
        <w:outlineLvl w:val="1"/>
        <w:rPr>
          <w:rFonts w:ascii="宋体" w:hAnsi="宋体" w:eastAsia="宋体" w:cs="宋体"/>
          <w:sz w:val="31"/>
          <w:szCs w:val="31"/>
        </w:rPr>
      </w:pPr>
      <w:bookmarkStart w:id="30" w:name="bookmark27"/>
      <w:bookmarkEnd w:id="30"/>
      <w:r>
        <w:rPr>
          <w:rFonts w:ascii="Times New Roman" w:hAnsi="Times New Roman" w:eastAsia="Times New Roman" w:cs="Times New Roman"/>
          <w:b/>
          <w:bCs/>
          <w:spacing w:val="6"/>
          <w:sz w:val="31"/>
          <w:szCs w:val="31"/>
        </w:rPr>
        <w:t>4.4</w:t>
      </w:r>
      <w:r>
        <w:rPr>
          <w:rFonts w:ascii="宋体" w:hAnsi="宋体" w:eastAsia="宋体" w:cs="宋体"/>
          <w:b/>
          <w:bCs/>
          <w:spacing w:val="6"/>
          <w:sz w:val="31"/>
          <w:szCs w:val="31"/>
        </w:rPr>
        <w:t>声环境质量现状评价</w:t>
      </w:r>
    </w:p>
    <w:p w14:paraId="5DD8450E">
      <w:pPr>
        <w:pStyle w:val="2"/>
        <w:spacing w:line="410" w:lineRule="auto"/>
      </w:pPr>
    </w:p>
    <w:p w14:paraId="3C6CB0AF">
      <w:pPr>
        <w:spacing w:before="79"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4.4.1</w:t>
      </w:r>
      <w:r>
        <w:rPr>
          <w:rFonts w:ascii="宋体" w:hAnsi="宋体" w:eastAsia="宋体" w:cs="宋体"/>
          <w:b/>
          <w:bCs/>
          <w:spacing w:val="-2"/>
          <w:sz w:val="24"/>
          <w:szCs w:val="24"/>
        </w:rPr>
        <w:t>声环境质量现状监测</w:t>
      </w:r>
    </w:p>
    <w:p w14:paraId="0D9DE58E">
      <w:pPr>
        <w:spacing w:before="168"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）监测采样点布设</w:t>
      </w:r>
    </w:p>
    <w:p w14:paraId="22F701E1">
      <w:pPr>
        <w:spacing w:before="128" w:line="360" w:lineRule="exact"/>
        <w:ind w:left="602"/>
        <w:rPr>
          <w:rFonts w:ascii="宋体" w:hAnsi="宋体" w:eastAsia="宋体" w:cs="宋体"/>
          <w:sz w:val="24"/>
          <w:szCs w:val="24"/>
        </w:rPr>
      </w:pPr>
      <w:r>
        <w:rPr>
          <w:rFonts w:ascii="宋体" w:hAnsi="宋体" w:eastAsia="宋体" w:cs="宋体"/>
          <w:spacing w:val="-1"/>
          <w:position w:val="2"/>
          <w:sz w:val="24"/>
          <w:szCs w:val="24"/>
        </w:rPr>
        <w:t>在项目选址个边界共布设</w:t>
      </w:r>
      <w:r>
        <w:rPr>
          <w:rFonts w:ascii="宋体" w:hAnsi="宋体" w:eastAsia="宋体" w:cs="宋体"/>
          <w:spacing w:val="-52"/>
          <w:position w:val="2"/>
          <w:sz w:val="24"/>
          <w:szCs w:val="24"/>
        </w:rPr>
        <w:t xml:space="preserve"> </w:t>
      </w:r>
      <w:r>
        <w:rPr>
          <w:rFonts w:ascii="Times New Roman" w:hAnsi="Times New Roman" w:eastAsia="Times New Roman" w:cs="Times New Roman"/>
          <w:spacing w:val="-1"/>
          <w:position w:val="2"/>
          <w:sz w:val="24"/>
          <w:szCs w:val="24"/>
        </w:rPr>
        <w:t xml:space="preserve">4 </w:t>
      </w:r>
      <w:r>
        <w:rPr>
          <w:rFonts w:ascii="宋体" w:hAnsi="宋体" w:eastAsia="宋体" w:cs="宋体"/>
          <w:spacing w:val="-1"/>
          <w:position w:val="2"/>
          <w:sz w:val="24"/>
          <w:szCs w:val="24"/>
        </w:rPr>
        <w:t>个监测点。</w:t>
      </w:r>
    </w:p>
    <w:p w14:paraId="7DF19CCA">
      <w:pPr>
        <w:spacing w:before="182" w:line="228" w:lineRule="auto"/>
        <w:ind w:left="3164"/>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5"/>
          <w:sz w:val="20"/>
          <w:szCs w:val="20"/>
        </w:rPr>
        <w:t>4.4-1</w:t>
      </w:r>
      <w:r>
        <w:rPr>
          <w:rFonts w:ascii="Times New Roman" w:hAnsi="Times New Roman" w:eastAsia="Times New Roman" w:cs="Times New Roman"/>
          <w:b/>
          <w:bCs/>
          <w:spacing w:val="16"/>
          <w:w w:val="101"/>
          <w:sz w:val="20"/>
          <w:szCs w:val="20"/>
        </w:rPr>
        <w:t xml:space="preserve"> </w:t>
      </w:r>
      <w:r>
        <w:rPr>
          <w:rFonts w:ascii="宋体" w:hAnsi="宋体" w:eastAsia="宋体" w:cs="宋体"/>
          <w:b/>
          <w:bCs/>
          <w:spacing w:val="5"/>
          <w:sz w:val="20"/>
          <w:szCs w:val="20"/>
        </w:rPr>
        <w:t>声环境质量现状监测布点</w:t>
      </w:r>
    </w:p>
    <w:p w14:paraId="72CE58B3">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9"/>
        <w:gridCol w:w="2235"/>
        <w:gridCol w:w="2236"/>
        <w:gridCol w:w="2240"/>
      </w:tblGrid>
      <w:tr w14:paraId="68B8C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239" w:type="dxa"/>
            <w:vAlign w:val="top"/>
          </w:tcPr>
          <w:p w14:paraId="36565273">
            <w:pPr>
              <w:pStyle w:val="6"/>
              <w:spacing w:before="226" w:line="230" w:lineRule="auto"/>
              <w:ind w:left="915"/>
            </w:pPr>
            <w:r>
              <w:rPr>
                <w:b/>
                <w:bCs/>
                <w:spacing w:val="4"/>
              </w:rPr>
              <w:t>序号</w:t>
            </w:r>
          </w:p>
        </w:tc>
        <w:tc>
          <w:tcPr>
            <w:tcW w:w="2235" w:type="dxa"/>
            <w:vAlign w:val="top"/>
          </w:tcPr>
          <w:p w14:paraId="41B4A0AA">
            <w:pPr>
              <w:pStyle w:val="6"/>
              <w:spacing w:before="226" w:line="230" w:lineRule="auto"/>
              <w:ind w:left="597"/>
            </w:pPr>
            <w:r>
              <w:rPr>
                <w:b/>
                <w:bCs/>
                <w:spacing w:val="6"/>
              </w:rPr>
              <w:t>监测点名称</w:t>
            </w:r>
          </w:p>
        </w:tc>
        <w:tc>
          <w:tcPr>
            <w:tcW w:w="2236" w:type="dxa"/>
            <w:vAlign w:val="top"/>
          </w:tcPr>
          <w:p w14:paraId="703112CE">
            <w:pPr>
              <w:pStyle w:val="6"/>
              <w:spacing w:before="226" w:line="230" w:lineRule="auto"/>
              <w:ind w:left="914"/>
            </w:pPr>
            <w:r>
              <w:rPr>
                <w:b/>
                <w:bCs/>
                <w:spacing w:val="3"/>
              </w:rPr>
              <w:t>属性</w:t>
            </w:r>
          </w:p>
        </w:tc>
        <w:tc>
          <w:tcPr>
            <w:tcW w:w="2240" w:type="dxa"/>
            <w:vAlign w:val="top"/>
          </w:tcPr>
          <w:p w14:paraId="5964FA3D">
            <w:pPr>
              <w:pStyle w:val="6"/>
              <w:spacing w:before="63" w:line="229" w:lineRule="auto"/>
              <w:ind w:left="120"/>
            </w:pPr>
            <w:r>
              <w:rPr>
                <w:b/>
                <w:bCs/>
                <w:spacing w:val="6"/>
              </w:rPr>
              <w:t>监测点与项目的方位、</w:t>
            </w:r>
          </w:p>
          <w:p w14:paraId="70596070">
            <w:pPr>
              <w:pStyle w:val="6"/>
              <w:spacing w:before="78" w:line="229" w:lineRule="auto"/>
              <w:ind w:left="913"/>
            </w:pPr>
            <w:r>
              <w:rPr>
                <w:b/>
                <w:bCs/>
                <w:spacing w:val="4"/>
              </w:rPr>
              <w:t>距离</w:t>
            </w:r>
          </w:p>
        </w:tc>
      </w:tr>
      <w:tr w14:paraId="16EA2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9" w:type="dxa"/>
            <w:vAlign w:val="top"/>
          </w:tcPr>
          <w:p w14:paraId="72597F2C">
            <w:pPr>
              <w:spacing w:before="30"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N1</w:t>
            </w:r>
          </w:p>
        </w:tc>
        <w:tc>
          <w:tcPr>
            <w:tcW w:w="2235" w:type="dxa"/>
            <w:vAlign w:val="top"/>
          </w:tcPr>
          <w:p w14:paraId="7195CF57">
            <w:pPr>
              <w:pStyle w:val="6"/>
              <w:spacing w:before="61" w:line="228" w:lineRule="auto"/>
              <w:ind w:left="600"/>
            </w:pPr>
            <w:r>
              <w:rPr>
                <w:spacing w:val="7"/>
              </w:rPr>
              <w:t>项目东边界</w:t>
            </w:r>
          </w:p>
        </w:tc>
        <w:tc>
          <w:tcPr>
            <w:tcW w:w="2236" w:type="dxa"/>
            <w:vAlign w:val="top"/>
          </w:tcPr>
          <w:p w14:paraId="7F27F30F">
            <w:pPr>
              <w:spacing w:before="185"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469F34FE">
            <w:pPr>
              <w:spacing w:before="30"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r w14:paraId="79901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9" w:type="dxa"/>
            <w:vAlign w:val="top"/>
          </w:tcPr>
          <w:p w14:paraId="40A3D36B">
            <w:pPr>
              <w:spacing w:before="31"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N2</w:t>
            </w:r>
          </w:p>
        </w:tc>
        <w:tc>
          <w:tcPr>
            <w:tcW w:w="2235" w:type="dxa"/>
            <w:vAlign w:val="top"/>
          </w:tcPr>
          <w:p w14:paraId="6B4DE4F9">
            <w:pPr>
              <w:pStyle w:val="6"/>
              <w:spacing w:before="62" w:line="229" w:lineRule="auto"/>
              <w:ind w:left="600"/>
            </w:pPr>
            <w:r>
              <w:rPr>
                <w:spacing w:val="7"/>
              </w:rPr>
              <w:t>项目南边界</w:t>
            </w:r>
          </w:p>
        </w:tc>
        <w:tc>
          <w:tcPr>
            <w:tcW w:w="2236" w:type="dxa"/>
            <w:vAlign w:val="top"/>
          </w:tcPr>
          <w:p w14:paraId="64FE9A2E">
            <w:pPr>
              <w:spacing w:before="186"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261ADBF7">
            <w:pPr>
              <w:spacing w:before="31"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r w14:paraId="72F08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9" w:type="dxa"/>
            <w:vAlign w:val="top"/>
          </w:tcPr>
          <w:p w14:paraId="6FAA75BC">
            <w:pPr>
              <w:spacing w:before="32"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N3</w:t>
            </w:r>
          </w:p>
        </w:tc>
        <w:tc>
          <w:tcPr>
            <w:tcW w:w="2235" w:type="dxa"/>
            <w:vAlign w:val="top"/>
          </w:tcPr>
          <w:p w14:paraId="5B2E0B8D">
            <w:pPr>
              <w:pStyle w:val="6"/>
              <w:spacing w:before="63" w:line="229" w:lineRule="auto"/>
              <w:ind w:left="600"/>
            </w:pPr>
            <w:r>
              <w:rPr>
                <w:spacing w:val="7"/>
              </w:rPr>
              <w:t>项目西边界</w:t>
            </w:r>
          </w:p>
        </w:tc>
        <w:tc>
          <w:tcPr>
            <w:tcW w:w="2236" w:type="dxa"/>
            <w:vAlign w:val="top"/>
          </w:tcPr>
          <w:p w14:paraId="201DE486">
            <w:pPr>
              <w:spacing w:before="187"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589A0386">
            <w:pPr>
              <w:spacing w:before="32"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r w14:paraId="539D5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39" w:type="dxa"/>
            <w:vAlign w:val="top"/>
          </w:tcPr>
          <w:p w14:paraId="24F519E9">
            <w:pPr>
              <w:spacing w:before="33"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N4</w:t>
            </w:r>
          </w:p>
        </w:tc>
        <w:tc>
          <w:tcPr>
            <w:tcW w:w="2235" w:type="dxa"/>
            <w:vAlign w:val="top"/>
          </w:tcPr>
          <w:p w14:paraId="400A09A0">
            <w:pPr>
              <w:pStyle w:val="6"/>
              <w:spacing w:before="64" w:line="229" w:lineRule="auto"/>
              <w:ind w:left="600"/>
            </w:pPr>
            <w:r>
              <w:rPr>
                <w:spacing w:val="7"/>
              </w:rPr>
              <w:t>项目北边界</w:t>
            </w:r>
          </w:p>
        </w:tc>
        <w:tc>
          <w:tcPr>
            <w:tcW w:w="2236" w:type="dxa"/>
            <w:vAlign w:val="top"/>
          </w:tcPr>
          <w:p w14:paraId="3EEFC6E9">
            <w:pPr>
              <w:spacing w:before="188"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2ADE7CED">
            <w:pPr>
              <w:spacing w:before="33"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bl>
    <w:p w14:paraId="1DFF9357">
      <w:pPr>
        <w:spacing w:before="89"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）监测项目</w:t>
      </w:r>
    </w:p>
    <w:p w14:paraId="13E161FB">
      <w:pPr>
        <w:spacing w:before="164" w:line="212" w:lineRule="auto"/>
        <w:ind w:left="603"/>
        <w:rPr>
          <w:rFonts w:ascii="宋体" w:hAnsi="宋体" w:eastAsia="宋体" w:cs="宋体"/>
          <w:sz w:val="24"/>
          <w:szCs w:val="24"/>
        </w:rPr>
      </w:pPr>
      <w:r>
        <w:rPr>
          <w:rFonts w:ascii="宋体" w:hAnsi="宋体" w:eastAsia="宋体" w:cs="宋体"/>
          <w:spacing w:val="-2"/>
          <w:sz w:val="24"/>
          <w:szCs w:val="24"/>
        </w:rPr>
        <w:t>连续等效</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声级</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Leq</w:t>
      </w:r>
      <w:r>
        <w:rPr>
          <w:rFonts w:ascii="宋体" w:hAnsi="宋体" w:eastAsia="宋体" w:cs="宋体"/>
          <w:spacing w:val="-2"/>
          <w:sz w:val="24"/>
          <w:szCs w:val="24"/>
        </w:rPr>
        <w:t>。</w:t>
      </w:r>
    </w:p>
    <w:p w14:paraId="006AFE39">
      <w:pPr>
        <w:spacing w:before="176"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）监测时间及监测频次</w:t>
      </w:r>
    </w:p>
    <w:p w14:paraId="19D45A93">
      <w:pPr>
        <w:spacing w:before="129" w:line="374" w:lineRule="auto"/>
        <w:ind w:left="123" w:firstLine="474"/>
        <w:rPr>
          <w:rFonts w:ascii="宋体" w:hAnsi="宋体" w:eastAsia="宋体" w:cs="宋体"/>
          <w:sz w:val="24"/>
          <w:szCs w:val="24"/>
        </w:rPr>
      </w:pPr>
      <w:r>
        <w:rPr>
          <w:rFonts w:ascii="Times New Roman" w:hAnsi="Times New Roman" w:eastAsia="Times New Roman" w:cs="Times New Roman"/>
          <w:spacing w:val="-15"/>
          <w:sz w:val="24"/>
          <w:szCs w:val="24"/>
        </w:rPr>
        <w:t xml:space="preserve">2020 </w:t>
      </w:r>
      <w:r>
        <w:rPr>
          <w:rFonts w:ascii="宋体" w:hAnsi="宋体" w:eastAsia="宋体" w:cs="宋体"/>
          <w:spacing w:val="-15"/>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15"/>
          <w:sz w:val="24"/>
          <w:szCs w:val="24"/>
        </w:rPr>
        <w:t xml:space="preserve">11 </w:t>
      </w:r>
      <w:r>
        <w:rPr>
          <w:rFonts w:ascii="宋体" w:hAnsi="宋体" w:eastAsia="宋体" w:cs="宋体"/>
          <w:spacing w:val="-15"/>
          <w:sz w:val="24"/>
          <w:szCs w:val="24"/>
        </w:rPr>
        <w:t>月</w:t>
      </w:r>
      <w:r>
        <w:rPr>
          <w:rFonts w:ascii="宋体" w:hAnsi="宋体" w:eastAsia="宋体" w:cs="宋体"/>
          <w:spacing w:val="-56"/>
          <w:sz w:val="24"/>
          <w:szCs w:val="24"/>
        </w:rPr>
        <w:t xml:space="preserve"> </w:t>
      </w:r>
      <w:r>
        <w:rPr>
          <w:rFonts w:ascii="Times New Roman" w:hAnsi="Times New Roman" w:eastAsia="Times New Roman" w:cs="Times New Roman"/>
          <w:spacing w:val="-15"/>
          <w:sz w:val="24"/>
          <w:szCs w:val="24"/>
        </w:rPr>
        <w:t>10</w:t>
      </w:r>
      <w:r>
        <w:rPr>
          <w:rFonts w:ascii="Times New Roman" w:hAnsi="Times New Roman" w:eastAsia="Times New Roman" w:cs="Times New Roman"/>
          <w:spacing w:val="29"/>
          <w:sz w:val="24"/>
          <w:szCs w:val="24"/>
        </w:rPr>
        <w:t xml:space="preserve"> </w:t>
      </w:r>
      <w:r>
        <w:rPr>
          <w:rFonts w:ascii="宋体" w:hAnsi="宋体" w:eastAsia="宋体" w:cs="宋体"/>
          <w:spacing w:val="-15"/>
          <w:sz w:val="24"/>
          <w:szCs w:val="24"/>
        </w:rPr>
        <w:t>日</w:t>
      </w:r>
      <w:r>
        <w:rPr>
          <w:rFonts w:ascii="Times New Roman" w:hAnsi="Times New Roman" w:eastAsia="Times New Roman" w:cs="Times New Roman"/>
          <w:spacing w:val="-15"/>
          <w:sz w:val="24"/>
          <w:szCs w:val="24"/>
        </w:rPr>
        <w:t xml:space="preserve">~2020 </w:t>
      </w:r>
      <w:r>
        <w:rPr>
          <w:rFonts w:ascii="宋体" w:hAnsi="宋体" w:eastAsia="宋体" w:cs="宋体"/>
          <w:spacing w:val="-15"/>
          <w:sz w:val="24"/>
          <w:szCs w:val="24"/>
        </w:rPr>
        <w:t>年</w:t>
      </w:r>
      <w:r>
        <w:rPr>
          <w:rFonts w:ascii="宋体" w:hAnsi="宋体" w:eastAsia="宋体" w:cs="宋体"/>
          <w:spacing w:val="-54"/>
          <w:sz w:val="24"/>
          <w:szCs w:val="24"/>
        </w:rPr>
        <w:t xml:space="preserve"> </w:t>
      </w:r>
      <w:r>
        <w:rPr>
          <w:rFonts w:ascii="Times New Roman" w:hAnsi="Times New Roman" w:eastAsia="Times New Roman" w:cs="Times New Roman"/>
          <w:spacing w:val="-15"/>
          <w:sz w:val="24"/>
          <w:szCs w:val="24"/>
        </w:rPr>
        <w:t xml:space="preserve">11 </w:t>
      </w:r>
      <w:r>
        <w:rPr>
          <w:rFonts w:ascii="宋体" w:hAnsi="宋体" w:eastAsia="宋体" w:cs="宋体"/>
          <w:spacing w:val="-15"/>
          <w:sz w:val="24"/>
          <w:szCs w:val="24"/>
        </w:rPr>
        <w:t>月</w:t>
      </w:r>
      <w:r>
        <w:rPr>
          <w:rFonts w:ascii="宋体" w:hAnsi="宋体" w:eastAsia="宋体" w:cs="宋体"/>
          <w:spacing w:val="-53"/>
          <w:sz w:val="24"/>
          <w:szCs w:val="24"/>
        </w:rPr>
        <w:t xml:space="preserve"> </w:t>
      </w:r>
      <w:r>
        <w:rPr>
          <w:rFonts w:ascii="Times New Roman" w:hAnsi="Times New Roman" w:eastAsia="Times New Roman" w:cs="Times New Roman"/>
          <w:spacing w:val="-15"/>
          <w:sz w:val="24"/>
          <w:szCs w:val="24"/>
        </w:rPr>
        <w:t>11</w:t>
      </w:r>
      <w:r>
        <w:rPr>
          <w:rFonts w:ascii="Times New Roman" w:hAnsi="Times New Roman" w:eastAsia="Times New Roman" w:cs="Times New Roman"/>
          <w:spacing w:val="26"/>
          <w:w w:val="101"/>
          <w:sz w:val="24"/>
          <w:szCs w:val="24"/>
        </w:rPr>
        <w:t xml:space="preserve"> </w:t>
      </w:r>
      <w:r>
        <w:rPr>
          <w:rFonts w:ascii="宋体" w:hAnsi="宋体" w:eastAsia="宋体" w:cs="宋体"/>
          <w:spacing w:val="-15"/>
          <w:sz w:val="24"/>
          <w:szCs w:val="24"/>
        </w:rPr>
        <w:t>日，连续监测</w:t>
      </w:r>
      <w:r>
        <w:rPr>
          <w:rFonts w:ascii="Times New Roman" w:hAnsi="Times New Roman" w:eastAsia="Times New Roman" w:cs="Times New Roman"/>
          <w:spacing w:val="-15"/>
          <w:sz w:val="24"/>
          <w:szCs w:val="24"/>
        </w:rPr>
        <w:t xml:space="preserve">2 </w:t>
      </w:r>
      <w:r>
        <w:rPr>
          <w:rFonts w:ascii="宋体" w:hAnsi="宋体" w:eastAsia="宋体" w:cs="宋体"/>
          <w:spacing w:val="-15"/>
          <w:sz w:val="24"/>
          <w:szCs w:val="24"/>
        </w:rPr>
        <w:t>天，每天两次，昼间（</w:t>
      </w:r>
      <w:r>
        <w:rPr>
          <w:rFonts w:ascii="Times New Roman" w:hAnsi="Times New Roman" w:eastAsia="Times New Roman" w:cs="Times New Roman"/>
          <w:spacing w:val="-15"/>
          <w:sz w:val="24"/>
          <w:szCs w:val="24"/>
        </w:rPr>
        <w:t>6:00~22:</w:t>
      </w:r>
      <w:r>
        <w:rPr>
          <w:rFonts w:ascii="Times New Roman" w:hAnsi="Times New Roman" w:eastAsia="Times New Roman" w:cs="Times New Roman"/>
          <w:spacing w:val="-16"/>
          <w:sz w:val="24"/>
          <w:szCs w:val="24"/>
        </w:rPr>
        <w:t>00</w:t>
      </w:r>
      <w:r>
        <w:rPr>
          <w:rFonts w:ascii="宋体" w:hAnsi="宋体" w:eastAsia="宋体" w:cs="宋体"/>
          <w:spacing w:val="-16"/>
          <w:sz w:val="24"/>
          <w:szCs w:val="24"/>
        </w:rPr>
        <w:t>）</w:t>
      </w:r>
      <w:r>
        <w:rPr>
          <w:rFonts w:ascii="宋体" w:hAnsi="宋体" w:eastAsia="宋体" w:cs="宋体"/>
          <w:sz w:val="24"/>
          <w:szCs w:val="24"/>
        </w:rPr>
        <w:t xml:space="preserve"> </w:t>
      </w:r>
      <w:r>
        <w:rPr>
          <w:rFonts w:ascii="宋体" w:hAnsi="宋体" w:eastAsia="宋体" w:cs="宋体"/>
          <w:spacing w:val="-1"/>
          <w:sz w:val="24"/>
          <w:szCs w:val="24"/>
        </w:rPr>
        <w:t>和夜间（</w:t>
      </w:r>
      <w:r>
        <w:rPr>
          <w:rFonts w:ascii="Times New Roman" w:hAnsi="Times New Roman" w:eastAsia="Times New Roman" w:cs="Times New Roman"/>
          <w:spacing w:val="-1"/>
          <w:sz w:val="24"/>
          <w:szCs w:val="24"/>
        </w:rPr>
        <w:t>22:00~6:00</w:t>
      </w:r>
      <w:r>
        <w:rPr>
          <w:rFonts w:ascii="宋体" w:hAnsi="宋体" w:eastAsia="宋体" w:cs="宋体"/>
          <w:spacing w:val="-1"/>
          <w:sz w:val="24"/>
          <w:szCs w:val="24"/>
        </w:rPr>
        <w:t>）各一次，每次连</w:t>
      </w:r>
      <w:r>
        <w:rPr>
          <w:rFonts w:ascii="宋体" w:hAnsi="宋体" w:eastAsia="宋体" w:cs="宋体"/>
          <w:spacing w:val="-2"/>
          <w:sz w:val="24"/>
          <w:szCs w:val="24"/>
        </w:rPr>
        <w:t>续监测</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10min</w:t>
      </w:r>
      <w:r>
        <w:rPr>
          <w:rFonts w:ascii="宋体" w:hAnsi="宋体" w:eastAsia="宋体" w:cs="宋体"/>
          <w:spacing w:val="-2"/>
          <w:sz w:val="24"/>
          <w:szCs w:val="24"/>
        </w:rPr>
        <w:t>。</w:t>
      </w:r>
    </w:p>
    <w:p w14:paraId="4BFC80D8">
      <w:pPr>
        <w:spacing w:before="8" w:line="362"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）测量方法</w:t>
      </w:r>
    </w:p>
    <w:p w14:paraId="6A20A328">
      <w:pPr>
        <w:spacing w:before="124" w:line="374" w:lineRule="auto"/>
        <w:ind w:left="134" w:right="375" w:firstLine="470"/>
        <w:rPr>
          <w:rFonts w:ascii="宋体" w:hAnsi="宋体" w:eastAsia="宋体" w:cs="宋体"/>
          <w:sz w:val="24"/>
          <w:szCs w:val="24"/>
        </w:rPr>
      </w:pPr>
      <w:r>
        <w:rPr>
          <w:rFonts w:ascii="宋体" w:hAnsi="宋体" w:eastAsia="宋体" w:cs="宋体"/>
          <w:spacing w:val="-1"/>
          <w:sz w:val="24"/>
          <w:szCs w:val="24"/>
        </w:rPr>
        <w:t>按照《环境影响评价技术导则声环境》（</w:t>
      </w:r>
      <w:r>
        <w:rPr>
          <w:rFonts w:ascii="Times New Roman" w:hAnsi="Times New Roman" w:eastAsia="Times New Roman" w:cs="Times New Roman"/>
          <w:spacing w:val="-1"/>
          <w:sz w:val="24"/>
          <w:szCs w:val="24"/>
        </w:rPr>
        <w:t>HJ2.4-2009</w:t>
      </w:r>
      <w:r>
        <w:rPr>
          <w:rFonts w:ascii="宋体" w:hAnsi="宋体" w:eastAsia="宋体" w:cs="宋体"/>
          <w:spacing w:val="-1"/>
          <w:sz w:val="24"/>
          <w:szCs w:val="24"/>
        </w:rPr>
        <w:t>）、《声环境质量标准》</w:t>
      </w:r>
      <w:r>
        <w:rPr>
          <w:rFonts w:ascii="宋体" w:hAnsi="宋体" w:eastAsia="宋体" w:cs="宋体"/>
          <w:spacing w:val="1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）中的有关规定，原则上选天气良好、无雨雪、无雷电天气，风速</w:t>
      </w:r>
    </w:p>
    <w:p w14:paraId="2ECC6BDA">
      <w:pPr>
        <w:spacing w:line="374" w:lineRule="auto"/>
        <w:rPr>
          <w:rFonts w:ascii="宋体" w:hAnsi="宋体" w:eastAsia="宋体" w:cs="宋体"/>
          <w:sz w:val="24"/>
          <w:szCs w:val="24"/>
        </w:rPr>
        <w:sectPr>
          <w:footerReference r:id="rId103" w:type="default"/>
          <w:pgSz w:w="11906" w:h="16839"/>
          <w:pgMar w:top="400" w:right="1369" w:bottom="1485" w:left="1475" w:header="0" w:footer="1249" w:gutter="0"/>
          <w:cols w:space="720" w:num="1"/>
        </w:sectPr>
      </w:pPr>
    </w:p>
    <w:p w14:paraId="6EF01C5B">
      <w:pPr>
        <w:pStyle w:val="2"/>
        <w:spacing w:line="255" w:lineRule="auto"/>
      </w:pPr>
    </w:p>
    <w:p w14:paraId="1F70569A">
      <w:pPr>
        <w:pStyle w:val="2"/>
        <w:spacing w:line="255" w:lineRule="auto"/>
      </w:pPr>
    </w:p>
    <w:p w14:paraId="73C9D991">
      <w:pPr>
        <w:pStyle w:val="2"/>
        <w:spacing w:line="256" w:lineRule="auto"/>
      </w:pPr>
    </w:p>
    <w:p w14:paraId="6792A483">
      <w:pPr>
        <w:pStyle w:val="2"/>
        <w:spacing w:line="256" w:lineRule="auto"/>
      </w:pPr>
    </w:p>
    <w:p w14:paraId="64237056">
      <w:pPr>
        <w:spacing w:before="78" w:line="359" w:lineRule="exact"/>
        <w:ind w:left="125"/>
        <w:rPr>
          <w:rFonts w:ascii="宋体" w:hAnsi="宋体" w:eastAsia="宋体" w:cs="宋体"/>
          <w:sz w:val="24"/>
          <w:szCs w:val="24"/>
        </w:rPr>
      </w:pPr>
      <w:r>
        <w:rPr>
          <w:rFonts w:ascii="Times New Roman" w:hAnsi="Times New Roman" w:eastAsia="Times New Roman" w:cs="Times New Roman"/>
          <w:spacing w:val="-3"/>
          <w:position w:val="2"/>
          <w:sz w:val="24"/>
          <w:szCs w:val="24"/>
        </w:rPr>
        <w:t>5m/s</w:t>
      </w:r>
      <w:r>
        <w:rPr>
          <w:rFonts w:ascii="Times New Roman" w:hAnsi="Times New Roman" w:eastAsia="Times New Roman" w:cs="Times New Roman"/>
          <w:spacing w:val="34"/>
          <w:w w:val="101"/>
          <w:position w:val="2"/>
          <w:sz w:val="24"/>
          <w:szCs w:val="24"/>
        </w:rPr>
        <w:t xml:space="preserve"> </w:t>
      </w:r>
      <w:r>
        <w:rPr>
          <w:rFonts w:ascii="宋体" w:hAnsi="宋体" w:eastAsia="宋体" w:cs="宋体"/>
          <w:spacing w:val="-3"/>
          <w:position w:val="2"/>
          <w:sz w:val="24"/>
          <w:szCs w:val="24"/>
        </w:rPr>
        <w:t>以下的天气进行测量，传声器设置户外</w:t>
      </w:r>
      <w:r>
        <w:rPr>
          <w:rFonts w:ascii="宋体" w:hAnsi="宋体" w:eastAsia="宋体" w:cs="宋体"/>
          <w:spacing w:val="-32"/>
          <w:position w:val="2"/>
          <w:sz w:val="24"/>
          <w:szCs w:val="24"/>
        </w:rPr>
        <w:t xml:space="preserve"> </w:t>
      </w:r>
      <w:r>
        <w:rPr>
          <w:rFonts w:ascii="Times New Roman" w:hAnsi="Times New Roman" w:eastAsia="Times New Roman" w:cs="Times New Roman"/>
          <w:spacing w:val="-3"/>
          <w:position w:val="2"/>
          <w:sz w:val="24"/>
          <w:szCs w:val="24"/>
        </w:rPr>
        <w:t>1m</w:t>
      </w:r>
      <w:r>
        <w:rPr>
          <w:rFonts w:ascii="Times New Roman" w:hAnsi="Times New Roman" w:eastAsia="Times New Roman" w:cs="Times New Roman"/>
          <w:spacing w:val="15"/>
          <w:position w:val="2"/>
          <w:sz w:val="24"/>
          <w:szCs w:val="24"/>
        </w:rPr>
        <w:t xml:space="preserve"> </w:t>
      </w:r>
      <w:r>
        <w:rPr>
          <w:rFonts w:ascii="宋体" w:hAnsi="宋体" w:eastAsia="宋体" w:cs="宋体"/>
          <w:spacing w:val="-3"/>
          <w:position w:val="2"/>
          <w:sz w:val="24"/>
          <w:szCs w:val="24"/>
        </w:rPr>
        <w:t>处，高度为</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1.2-1.5m</w:t>
      </w:r>
      <w:r>
        <w:rPr>
          <w:rFonts w:ascii="宋体" w:hAnsi="宋体" w:eastAsia="宋体" w:cs="宋体"/>
          <w:spacing w:val="-4"/>
          <w:position w:val="2"/>
          <w:sz w:val="24"/>
          <w:szCs w:val="24"/>
        </w:rPr>
        <w:t>。</w:t>
      </w:r>
    </w:p>
    <w:p w14:paraId="1682ABDC">
      <w:pPr>
        <w:pStyle w:val="2"/>
        <w:spacing w:line="249" w:lineRule="auto"/>
      </w:pPr>
    </w:p>
    <w:p w14:paraId="0EE5DB88">
      <w:pPr>
        <w:pStyle w:val="2"/>
        <w:spacing w:line="250" w:lineRule="auto"/>
      </w:pPr>
    </w:p>
    <w:p w14:paraId="367A7156">
      <w:pPr>
        <w:spacing w:line="8856" w:lineRule="exact"/>
        <w:ind w:firstLine="188"/>
      </w:pPr>
      <w:r>
        <w:rPr>
          <w:position w:val="-177"/>
        </w:rPr>
        <w:drawing>
          <wp:inline distT="0" distB="0" distL="0" distR="0">
            <wp:extent cx="5458460" cy="562292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9"/>
                    <a:stretch>
                      <a:fillRect/>
                    </a:stretch>
                  </pic:blipFill>
                  <pic:spPr>
                    <a:xfrm>
                      <a:off x="0" y="0"/>
                      <a:ext cx="5458967" cy="5623559"/>
                    </a:xfrm>
                    <a:prstGeom prst="rect">
                      <a:avLst/>
                    </a:prstGeom>
                  </pic:spPr>
                </pic:pic>
              </a:graphicData>
            </a:graphic>
          </wp:inline>
        </w:drawing>
      </w:r>
    </w:p>
    <w:p w14:paraId="1810DF97">
      <w:pPr>
        <w:spacing w:before="260" w:line="220" w:lineRule="auto"/>
        <w:ind w:left="285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b/>
          <w:bCs/>
          <w:spacing w:val="-4"/>
          <w:sz w:val="24"/>
          <w:szCs w:val="24"/>
        </w:rPr>
        <w:t xml:space="preserve">4.4-1  </w:t>
      </w:r>
      <w:r>
        <w:rPr>
          <w:rFonts w:ascii="宋体" w:hAnsi="宋体" w:eastAsia="宋体" w:cs="宋体"/>
          <w:b/>
          <w:bCs/>
          <w:spacing w:val="-4"/>
          <w:sz w:val="24"/>
          <w:szCs w:val="24"/>
        </w:rPr>
        <w:t>声环境质量现状监测点位图</w:t>
      </w:r>
    </w:p>
    <w:p w14:paraId="5A094F1A">
      <w:pPr>
        <w:spacing w:before="203" w:line="221"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）监测结果</w:t>
      </w:r>
    </w:p>
    <w:p w14:paraId="6F8CA7DE">
      <w:pPr>
        <w:spacing w:before="165" w:line="360" w:lineRule="exact"/>
        <w:ind w:left="614"/>
        <w:rPr>
          <w:rFonts w:ascii="宋体" w:hAnsi="宋体" w:eastAsia="宋体" w:cs="宋体"/>
          <w:sz w:val="24"/>
          <w:szCs w:val="24"/>
        </w:rPr>
      </w:pPr>
      <w:r>
        <w:rPr>
          <w:rFonts w:ascii="宋体" w:hAnsi="宋体" w:eastAsia="宋体" w:cs="宋体"/>
          <w:spacing w:val="2"/>
          <w:position w:val="2"/>
          <w:sz w:val="24"/>
          <w:szCs w:val="24"/>
        </w:rPr>
        <w:t>噪声监测结果见表</w:t>
      </w:r>
      <w:r>
        <w:rPr>
          <w:rFonts w:ascii="Times New Roman" w:hAnsi="Times New Roman" w:eastAsia="Times New Roman" w:cs="Times New Roman"/>
          <w:spacing w:val="2"/>
          <w:position w:val="2"/>
          <w:sz w:val="24"/>
          <w:szCs w:val="24"/>
        </w:rPr>
        <w:t>4.4-2</w:t>
      </w:r>
      <w:r>
        <w:rPr>
          <w:rFonts w:ascii="宋体" w:hAnsi="宋体" w:eastAsia="宋体" w:cs="宋体"/>
          <w:spacing w:val="2"/>
          <w:position w:val="2"/>
          <w:sz w:val="24"/>
          <w:szCs w:val="24"/>
        </w:rPr>
        <w:t>。</w:t>
      </w:r>
    </w:p>
    <w:p w14:paraId="693F5D84">
      <w:pPr>
        <w:spacing w:before="179" w:line="229" w:lineRule="auto"/>
        <w:ind w:left="264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4.4-2</w:t>
      </w:r>
      <w:r>
        <w:rPr>
          <w:rFonts w:ascii="Times New Roman" w:hAnsi="Times New Roman" w:eastAsia="Times New Roman" w:cs="Times New Roman"/>
          <w:b/>
          <w:bCs/>
          <w:spacing w:val="19"/>
          <w:w w:val="101"/>
          <w:sz w:val="20"/>
          <w:szCs w:val="20"/>
        </w:rPr>
        <w:t xml:space="preserve"> </w:t>
      </w:r>
      <w:r>
        <w:rPr>
          <w:rFonts w:ascii="宋体" w:hAnsi="宋体" w:eastAsia="宋体" w:cs="宋体"/>
          <w:b/>
          <w:bCs/>
          <w:spacing w:val="6"/>
          <w:sz w:val="20"/>
          <w:szCs w:val="20"/>
        </w:rPr>
        <w:t>噪声监测结果汇总表单位：</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6AE45022">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122"/>
        <w:gridCol w:w="1670"/>
        <w:gridCol w:w="848"/>
        <w:gridCol w:w="988"/>
        <w:gridCol w:w="1410"/>
        <w:gridCol w:w="847"/>
        <w:gridCol w:w="900"/>
      </w:tblGrid>
      <w:tr w14:paraId="41CDC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65" w:type="dxa"/>
            <w:vMerge w:val="restart"/>
            <w:tcBorders>
              <w:bottom w:val="nil"/>
            </w:tcBorders>
            <w:vAlign w:val="top"/>
          </w:tcPr>
          <w:p w14:paraId="3C7ED4E6">
            <w:pPr>
              <w:pStyle w:val="6"/>
              <w:spacing w:before="232" w:line="229" w:lineRule="auto"/>
              <w:ind w:left="167"/>
            </w:pPr>
            <w:r>
              <w:rPr>
                <w:b/>
                <w:bCs/>
                <w:spacing w:val="6"/>
              </w:rPr>
              <w:t>监测日期</w:t>
            </w:r>
          </w:p>
        </w:tc>
        <w:tc>
          <w:tcPr>
            <w:tcW w:w="1122" w:type="dxa"/>
            <w:vMerge w:val="restart"/>
            <w:tcBorders>
              <w:bottom w:val="nil"/>
            </w:tcBorders>
            <w:vAlign w:val="top"/>
          </w:tcPr>
          <w:p w14:paraId="2D57972B">
            <w:pPr>
              <w:pStyle w:val="6"/>
              <w:spacing w:before="232" w:line="230" w:lineRule="auto"/>
              <w:ind w:left="145"/>
            </w:pPr>
            <w:r>
              <w:rPr>
                <w:b/>
                <w:bCs/>
                <w:spacing w:val="6"/>
              </w:rPr>
              <w:t>监测序号</w:t>
            </w:r>
          </w:p>
        </w:tc>
        <w:tc>
          <w:tcPr>
            <w:tcW w:w="1670" w:type="dxa"/>
            <w:vMerge w:val="restart"/>
            <w:tcBorders>
              <w:bottom w:val="nil"/>
            </w:tcBorders>
            <w:vAlign w:val="top"/>
          </w:tcPr>
          <w:p w14:paraId="7977ED39">
            <w:pPr>
              <w:pStyle w:val="6"/>
              <w:spacing w:before="232" w:line="230" w:lineRule="auto"/>
              <w:ind w:left="420"/>
            </w:pPr>
            <w:r>
              <w:rPr>
                <w:b/>
                <w:bCs/>
                <w:spacing w:val="6"/>
              </w:rPr>
              <w:t>监测点位</w:t>
            </w:r>
          </w:p>
        </w:tc>
        <w:tc>
          <w:tcPr>
            <w:tcW w:w="1836" w:type="dxa"/>
            <w:gridSpan w:val="2"/>
            <w:vAlign w:val="top"/>
          </w:tcPr>
          <w:p w14:paraId="7DFB2FAD">
            <w:pPr>
              <w:pStyle w:val="6"/>
              <w:spacing w:before="64" w:line="229" w:lineRule="auto"/>
              <w:ind w:left="504"/>
            </w:pPr>
            <w:r>
              <w:rPr>
                <w:spacing w:val="7"/>
              </w:rPr>
              <w:t>监测结果</w:t>
            </w:r>
          </w:p>
        </w:tc>
        <w:tc>
          <w:tcPr>
            <w:tcW w:w="1410" w:type="dxa"/>
            <w:vMerge w:val="restart"/>
            <w:tcBorders>
              <w:bottom w:val="nil"/>
            </w:tcBorders>
            <w:vAlign w:val="top"/>
          </w:tcPr>
          <w:p w14:paraId="7E2AFF5F">
            <w:pPr>
              <w:pStyle w:val="6"/>
              <w:spacing w:before="232" w:line="228" w:lineRule="auto"/>
              <w:ind w:left="190"/>
            </w:pPr>
            <w:r>
              <w:rPr>
                <w:b/>
                <w:bCs/>
                <w:spacing w:val="5"/>
              </w:rPr>
              <w:t>功能区类别</w:t>
            </w:r>
          </w:p>
        </w:tc>
        <w:tc>
          <w:tcPr>
            <w:tcW w:w="1747" w:type="dxa"/>
            <w:gridSpan w:val="2"/>
            <w:vAlign w:val="top"/>
          </w:tcPr>
          <w:p w14:paraId="5943B164">
            <w:pPr>
              <w:pStyle w:val="6"/>
              <w:spacing w:before="64" w:line="228" w:lineRule="auto"/>
              <w:ind w:left="460"/>
            </w:pPr>
            <w:r>
              <w:rPr>
                <w:b/>
                <w:bCs/>
                <w:spacing w:val="6"/>
              </w:rPr>
              <w:t>标准限值</w:t>
            </w:r>
          </w:p>
        </w:tc>
      </w:tr>
      <w:tr w14:paraId="27272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65" w:type="dxa"/>
            <w:vMerge w:val="continue"/>
            <w:tcBorders>
              <w:top w:val="nil"/>
            </w:tcBorders>
            <w:vAlign w:val="top"/>
          </w:tcPr>
          <w:p w14:paraId="2E356513">
            <w:pPr>
              <w:rPr>
                <w:rFonts w:ascii="Arial"/>
                <w:sz w:val="21"/>
              </w:rPr>
            </w:pPr>
          </w:p>
        </w:tc>
        <w:tc>
          <w:tcPr>
            <w:tcW w:w="1122" w:type="dxa"/>
            <w:vMerge w:val="continue"/>
            <w:tcBorders>
              <w:top w:val="nil"/>
            </w:tcBorders>
            <w:vAlign w:val="top"/>
          </w:tcPr>
          <w:p w14:paraId="787EA337">
            <w:pPr>
              <w:rPr>
                <w:rFonts w:ascii="Arial"/>
                <w:sz w:val="21"/>
              </w:rPr>
            </w:pPr>
          </w:p>
        </w:tc>
        <w:tc>
          <w:tcPr>
            <w:tcW w:w="1670" w:type="dxa"/>
            <w:vMerge w:val="continue"/>
            <w:tcBorders>
              <w:top w:val="nil"/>
            </w:tcBorders>
            <w:vAlign w:val="top"/>
          </w:tcPr>
          <w:p w14:paraId="0551271D">
            <w:pPr>
              <w:rPr>
                <w:rFonts w:ascii="Arial"/>
                <w:sz w:val="21"/>
              </w:rPr>
            </w:pPr>
          </w:p>
        </w:tc>
        <w:tc>
          <w:tcPr>
            <w:tcW w:w="848" w:type="dxa"/>
            <w:vAlign w:val="top"/>
          </w:tcPr>
          <w:p w14:paraId="147A7A78">
            <w:pPr>
              <w:pStyle w:val="6"/>
              <w:spacing w:before="60" w:line="231" w:lineRule="auto"/>
              <w:ind w:left="219"/>
            </w:pPr>
            <w:r>
              <w:rPr>
                <w:spacing w:val="5"/>
              </w:rPr>
              <w:t>昼间</w:t>
            </w:r>
          </w:p>
        </w:tc>
        <w:tc>
          <w:tcPr>
            <w:tcW w:w="988" w:type="dxa"/>
            <w:vAlign w:val="top"/>
          </w:tcPr>
          <w:p w14:paraId="371C079B">
            <w:pPr>
              <w:pStyle w:val="6"/>
              <w:spacing w:before="60" w:line="228" w:lineRule="auto"/>
              <w:ind w:left="292"/>
            </w:pPr>
            <w:r>
              <w:rPr>
                <w:spacing w:val="3"/>
              </w:rPr>
              <w:t>夜间</w:t>
            </w:r>
          </w:p>
        </w:tc>
        <w:tc>
          <w:tcPr>
            <w:tcW w:w="1410" w:type="dxa"/>
            <w:vMerge w:val="continue"/>
            <w:tcBorders>
              <w:top w:val="nil"/>
            </w:tcBorders>
            <w:vAlign w:val="top"/>
          </w:tcPr>
          <w:p w14:paraId="47E50850">
            <w:pPr>
              <w:rPr>
                <w:rFonts w:ascii="Arial"/>
                <w:sz w:val="21"/>
              </w:rPr>
            </w:pPr>
          </w:p>
        </w:tc>
        <w:tc>
          <w:tcPr>
            <w:tcW w:w="847" w:type="dxa"/>
            <w:vAlign w:val="top"/>
          </w:tcPr>
          <w:p w14:paraId="79F89F76">
            <w:pPr>
              <w:pStyle w:val="6"/>
              <w:spacing w:before="60" w:line="231" w:lineRule="auto"/>
              <w:ind w:left="220"/>
            </w:pPr>
            <w:r>
              <w:rPr>
                <w:b/>
                <w:bCs/>
                <w:spacing w:val="4"/>
              </w:rPr>
              <w:t>昼间</w:t>
            </w:r>
          </w:p>
        </w:tc>
        <w:tc>
          <w:tcPr>
            <w:tcW w:w="900" w:type="dxa"/>
            <w:vAlign w:val="top"/>
          </w:tcPr>
          <w:p w14:paraId="31EEE06A">
            <w:pPr>
              <w:pStyle w:val="6"/>
              <w:spacing w:before="60" w:line="228" w:lineRule="auto"/>
              <w:ind w:left="249"/>
            </w:pPr>
            <w:r>
              <w:rPr>
                <w:b/>
                <w:bCs/>
                <w:spacing w:val="2"/>
              </w:rPr>
              <w:t>夜间</w:t>
            </w:r>
          </w:p>
        </w:tc>
      </w:tr>
      <w:tr w14:paraId="010A7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165" w:type="dxa"/>
            <w:vMerge w:val="restart"/>
            <w:tcBorders>
              <w:bottom w:val="nil"/>
            </w:tcBorders>
            <w:vAlign w:val="top"/>
          </w:tcPr>
          <w:p w14:paraId="474475CA">
            <w:pPr>
              <w:spacing w:line="302" w:lineRule="auto"/>
              <w:rPr>
                <w:rFonts w:ascii="Arial"/>
                <w:sz w:val="21"/>
              </w:rPr>
            </w:pPr>
          </w:p>
          <w:p w14:paraId="1F488C81">
            <w:pPr>
              <w:spacing w:before="57" w:line="275"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2020.11.10</w:t>
            </w:r>
          </w:p>
        </w:tc>
        <w:tc>
          <w:tcPr>
            <w:tcW w:w="1122" w:type="dxa"/>
            <w:vAlign w:val="top"/>
          </w:tcPr>
          <w:p w14:paraId="0EE92FEC">
            <w:pPr>
              <w:spacing w:before="109"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N1</w:t>
            </w:r>
          </w:p>
        </w:tc>
        <w:tc>
          <w:tcPr>
            <w:tcW w:w="1670" w:type="dxa"/>
            <w:vAlign w:val="top"/>
          </w:tcPr>
          <w:p w14:paraId="471A2ED1">
            <w:pPr>
              <w:pStyle w:val="6"/>
              <w:spacing w:before="109" w:line="274" w:lineRule="exact"/>
              <w:ind w:left="158"/>
              <w:rPr>
                <w:rFonts w:ascii="Times New Roman" w:hAnsi="Times New Roman" w:eastAsia="Times New Roman" w:cs="Times New Roman"/>
              </w:rPr>
            </w:pPr>
            <w:r>
              <w:rPr>
                <w:spacing w:val="3"/>
                <w:position w:val="1"/>
              </w:rPr>
              <w:t>项目东边界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78A0ED3C">
            <w:pPr>
              <w:spacing w:before="109" w:line="274"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988" w:type="dxa"/>
            <w:vAlign w:val="top"/>
          </w:tcPr>
          <w:p w14:paraId="1252441A">
            <w:pPr>
              <w:spacing w:before="109"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1410" w:type="dxa"/>
            <w:vAlign w:val="top"/>
          </w:tcPr>
          <w:p w14:paraId="2F2D0E17">
            <w:pPr>
              <w:pStyle w:val="6"/>
              <w:spacing w:before="109"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79F489C1">
            <w:pPr>
              <w:spacing w:before="109"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4BB8456D">
            <w:pPr>
              <w:spacing w:before="109"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33AAB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165" w:type="dxa"/>
            <w:vMerge w:val="continue"/>
            <w:tcBorders>
              <w:top w:val="nil"/>
            </w:tcBorders>
            <w:vAlign w:val="top"/>
          </w:tcPr>
          <w:p w14:paraId="77D44AC5">
            <w:pPr>
              <w:rPr>
                <w:rFonts w:ascii="Arial"/>
                <w:sz w:val="21"/>
              </w:rPr>
            </w:pPr>
          </w:p>
        </w:tc>
        <w:tc>
          <w:tcPr>
            <w:tcW w:w="1122" w:type="dxa"/>
            <w:vAlign w:val="top"/>
          </w:tcPr>
          <w:p w14:paraId="65CFD72E">
            <w:pPr>
              <w:spacing w:before="111" w:line="275"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N2</w:t>
            </w:r>
          </w:p>
        </w:tc>
        <w:tc>
          <w:tcPr>
            <w:tcW w:w="1670" w:type="dxa"/>
            <w:vAlign w:val="top"/>
          </w:tcPr>
          <w:p w14:paraId="1C57975F">
            <w:pPr>
              <w:pStyle w:val="6"/>
              <w:spacing w:before="111" w:line="275" w:lineRule="exact"/>
              <w:ind w:left="158"/>
              <w:rPr>
                <w:rFonts w:ascii="Times New Roman" w:hAnsi="Times New Roman" w:eastAsia="Times New Roman" w:cs="Times New Roman"/>
              </w:rPr>
            </w:pPr>
            <w:r>
              <w:rPr>
                <w:spacing w:val="3"/>
                <w:position w:val="1"/>
              </w:rPr>
              <w:t>项目南边界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66205F50">
            <w:pPr>
              <w:spacing w:before="181"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1C60DD07">
            <w:pPr>
              <w:spacing w:before="111" w:line="275"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459C127E">
            <w:pPr>
              <w:pStyle w:val="6"/>
              <w:spacing w:before="111" w:line="275"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13FB8685">
            <w:pPr>
              <w:spacing w:before="111" w:line="275"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51AD42F1">
            <w:pPr>
              <w:spacing w:before="111" w:line="275"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bl>
    <w:p w14:paraId="7D4B9628">
      <w:pPr>
        <w:pStyle w:val="2"/>
      </w:pPr>
    </w:p>
    <w:p w14:paraId="250E21E9">
      <w:pPr>
        <w:sectPr>
          <w:footerReference r:id="rId104" w:type="default"/>
          <w:pgSz w:w="11906" w:h="16839"/>
          <w:pgMar w:top="400" w:right="1475" w:bottom="1485" w:left="1475" w:header="0" w:footer="1249" w:gutter="0"/>
          <w:cols w:space="720" w:num="1"/>
        </w:sectPr>
      </w:pPr>
    </w:p>
    <w:p w14:paraId="438CD357">
      <w:pPr>
        <w:spacing w:before="13"/>
      </w:pPr>
    </w:p>
    <w:p w14:paraId="1624C2D8">
      <w:pPr>
        <w:spacing w:before="13"/>
      </w:pPr>
    </w:p>
    <w:p w14:paraId="0C06C9DE">
      <w:pPr>
        <w:spacing w:before="13"/>
      </w:pPr>
    </w:p>
    <w:p w14:paraId="51F7FB1D">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122"/>
        <w:gridCol w:w="1670"/>
        <w:gridCol w:w="848"/>
        <w:gridCol w:w="988"/>
        <w:gridCol w:w="1410"/>
        <w:gridCol w:w="847"/>
        <w:gridCol w:w="900"/>
      </w:tblGrid>
      <w:tr w14:paraId="31D10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165" w:type="dxa"/>
            <w:vMerge w:val="restart"/>
            <w:tcBorders>
              <w:bottom w:val="nil"/>
            </w:tcBorders>
            <w:vAlign w:val="top"/>
          </w:tcPr>
          <w:p w14:paraId="163ABA05">
            <w:pPr>
              <w:rPr>
                <w:rFonts w:ascii="Arial"/>
                <w:sz w:val="21"/>
              </w:rPr>
            </w:pPr>
          </w:p>
        </w:tc>
        <w:tc>
          <w:tcPr>
            <w:tcW w:w="1122" w:type="dxa"/>
            <w:vAlign w:val="top"/>
          </w:tcPr>
          <w:p w14:paraId="776B605E">
            <w:pPr>
              <w:spacing w:before="112"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N3</w:t>
            </w:r>
          </w:p>
        </w:tc>
        <w:tc>
          <w:tcPr>
            <w:tcW w:w="1670" w:type="dxa"/>
            <w:vAlign w:val="top"/>
          </w:tcPr>
          <w:p w14:paraId="43A27CF8">
            <w:pPr>
              <w:pStyle w:val="6"/>
              <w:spacing w:before="112" w:line="274" w:lineRule="exact"/>
              <w:ind w:left="158"/>
              <w:rPr>
                <w:rFonts w:ascii="Times New Roman" w:hAnsi="Times New Roman" w:eastAsia="Times New Roman" w:cs="Times New Roman"/>
              </w:rPr>
            </w:pPr>
            <w:r>
              <w:rPr>
                <w:spacing w:val="3"/>
                <w:position w:val="1"/>
              </w:rPr>
              <w:t>项目西边界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55FAB37F">
            <w:pPr>
              <w:spacing w:before="112" w:line="274"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988" w:type="dxa"/>
            <w:vAlign w:val="top"/>
          </w:tcPr>
          <w:p w14:paraId="3539F453">
            <w:pPr>
              <w:spacing w:before="112"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3336EB71">
            <w:pPr>
              <w:pStyle w:val="6"/>
              <w:spacing w:before="112"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7DC8A232">
            <w:pPr>
              <w:spacing w:before="112"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39CB8EF7">
            <w:pPr>
              <w:spacing w:before="112"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w:t>
            </w:r>
          </w:p>
        </w:tc>
      </w:tr>
      <w:tr w14:paraId="61AED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continue"/>
            <w:tcBorders>
              <w:top w:val="nil"/>
            </w:tcBorders>
            <w:vAlign w:val="top"/>
          </w:tcPr>
          <w:p w14:paraId="7F6468D6">
            <w:pPr>
              <w:rPr>
                <w:rFonts w:ascii="Arial"/>
                <w:sz w:val="21"/>
              </w:rPr>
            </w:pPr>
          </w:p>
        </w:tc>
        <w:tc>
          <w:tcPr>
            <w:tcW w:w="1122" w:type="dxa"/>
            <w:vAlign w:val="top"/>
          </w:tcPr>
          <w:p w14:paraId="4D240844">
            <w:pPr>
              <w:spacing w:before="108"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N4</w:t>
            </w:r>
          </w:p>
        </w:tc>
        <w:tc>
          <w:tcPr>
            <w:tcW w:w="1670" w:type="dxa"/>
            <w:vAlign w:val="top"/>
          </w:tcPr>
          <w:p w14:paraId="2BD56FCA">
            <w:pPr>
              <w:pStyle w:val="6"/>
              <w:spacing w:before="108" w:line="274" w:lineRule="exact"/>
              <w:ind w:left="158"/>
              <w:rPr>
                <w:rFonts w:ascii="Times New Roman" w:hAnsi="Times New Roman" w:eastAsia="Times New Roman" w:cs="Times New Roman"/>
              </w:rPr>
            </w:pPr>
            <w:r>
              <w:rPr>
                <w:spacing w:val="3"/>
                <w:position w:val="1"/>
              </w:rPr>
              <w:t>项目北边界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40F7E7AD">
            <w:pPr>
              <w:spacing w:before="178"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23A16639">
            <w:pPr>
              <w:spacing w:before="108"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3403584E">
            <w:pPr>
              <w:pStyle w:val="6"/>
              <w:spacing w:before="108"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652A978B">
            <w:pPr>
              <w:spacing w:before="108"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58424B27">
            <w:pPr>
              <w:spacing w:before="108"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7C87D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restart"/>
            <w:tcBorders>
              <w:bottom w:val="nil"/>
            </w:tcBorders>
            <w:vAlign w:val="top"/>
          </w:tcPr>
          <w:p w14:paraId="495AD264">
            <w:pPr>
              <w:spacing w:line="265" w:lineRule="auto"/>
              <w:rPr>
                <w:rFonts w:ascii="Arial"/>
                <w:sz w:val="21"/>
              </w:rPr>
            </w:pPr>
          </w:p>
          <w:p w14:paraId="56ED0C0D">
            <w:pPr>
              <w:spacing w:line="265" w:lineRule="auto"/>
              <w:rPr>
                <w:rFonts w:ascii="Arial"/>
                <w:sz w:val="21"/>
              </w:rPr>
            </w:pPr>
          </w:p>
          <w:p w14:paraId="11A5A79B">
            <w:pPr>
              <w:spacing w:line="266" w:lineRule="auto"/>
              <w:rPr>
                <w:rFonts w:ascii="Arial"/>
                <w:sz w:val="21"/>
              </w:rPr>
            </w:pPr>
          </w:p>
          <w:p w14:paraId="1326DBB8">
            <w:pPr>
              <w:spacing w:before="57" w:line="275"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2020.11.11</w:t>
            </w:r>
          </w:p>
        </w:tc>
        <w:tc>
          <w:tcPr>
            <w:tcW w:w="1122" w:type="dxa"/>
            <w:vAlign w:val="top"/>
          </w:tcPr>
          <w:p w14:paraId="1D9FC7CF">
            <w:pPr>
              <w:spacing w:before="109" w:line="275"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N1</w:t>
            </w:r>
          </w:p>
        </w:tc>
        <w:tc>
          <w:tcPr>
            <w:tcW w:w="1670" w:type="dxa"/>
            <w:vAlign w:val="top"/>
          </w:tcPr>
          <w:p w14:paraId="742C466C">
            <w:pPr>
              <w:pStyle w:val="6"/>
              <w:spacing w:before="109" w:line="275" w:lineRule="exact"/>
              <w:ind w:left="158"/>
              <w:rPr>
                <w:rFonts w:ascii="Times New Roman" w:hAnsi="Times New Roman" w:eastAsia="Times New Roman" w:cs="Times New Roman"/>
              </w:rPr>
            </w:pPr>
            <w:r>
              <w:rPr>
                <w:spacing w:val="3"/>
                <w:position w:val="1"/>
              </w:rPr>
              <w:t>项目东边界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1B1D3B15">
            <w:pPr>
              <w:spacing w:before="109" w:line="275"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988" w:type="dxa"/>
            <w:vAlign w:val="top"/>
          </w:tcPr>
          <w:p w14:paraId="5969AA19">
            <w:pPr>
              <w:spacing w:before="109" w:line="275"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1410" w:type="dxa"/>
            <w:vAlign w:val="top"/>
          </w:tcPr>
          <w:p w14:paraId="70F53E73">
            <w:pPr>
              <w:pStyle w:val="6"/>
              <w:spacing w:before="109" w:line="275"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109BEBB5">
            <w:pPr>
              <w:spacing w:before="109" w:line="275"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5416795B">
            <w:pPr>
              <w:spacing w:before="109" w:line="275"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50BCC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continue"/>
            <w:tcBorders>
              <w:top w:val="nil"/>
              <w:bottom w:val="nil"/>
            </w:tcBorders>
            <w:vAlign w:val="top"/>
          </w:tcPr>
          <w:p w14:paraId="7C7E28FE">
            <w:pPr>
              <w:rPr>
                <w:rFonts w:ascii="Arial"/>
                <w:sz w:val="21"/>
              </w:rPr>
            </w:pPr>
          </w:p>
        </w:tc>
        <w:tc>
          <w:tcPr>
            <w:tcW w:w="1122" w:type="dxa"/>
            <w:vAlign w:val="top"/>
          </w:tcPr>
          <w:p w14:paraId="197BFF72">
            <w:pPr>
              <w:spacing w:before="111"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N2</w:t>
            </w:r>
          </w:p>
        </w:tc>
        <w:tc>
          <w:tcPr>
            <w:tcW w:w="1670" w:type="dxa"/>
            <w:vAlign w:val="top"/>
          </w:tcPr>
          <w:p w14:paraId="00F0E240">
            <w:pPr>
              <w:pStyle w:val="6"/>
              <w:spacing w:before="111" w:line="274" w:lineRule="exact"/>
              <w:ind w:left="158"/>
              <w:rPr>
                <w:rFonts w:ascii="Times New Roman" w:hAnsi="Times New Roman" w:eastAsia="Times New Roman" w:cs="Times New Roman"/>
              </w:rPr>
            </w:pPr>
            <w:r>
              <w:rPr>
                <w:spacing w:val="3"/>
                <w:position w:val="1"/>
              </w:rPr>
              <w:t>项目南边界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17766CE1">
            <w:pPr>
              <w:spacing w:before="180"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314B0EF1">
            <w:pPr>
              <w:spacing w:before="111"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410" w:type="dxa"/>
            <w:vAlign w:val="top"/>
          </w:tcPr>
          <w:p w14:paraId="19B770C3">
            <w:pPr>
              <w:pStyle w:val="6"/>
              <w:spacing w:before="111"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53418A23">
            <w:pPr>
              <w:spacing w:before="111"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17918D73">
            <w:pPr>
              <w:spacing w:before="111"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3D4D2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continue"/>
            <w:tcBorders>
              <w:top w:val="nil"/>
              <w:bottom w:val="nil"/>
            </w:tcBorders>
            <w:vAlign w:val="top"/>
          </w:tcPr>
          <w:p w14:paraId="409C6F8F">
            <w:pPr>
              <w:rPr>
                <w:rFonts w:ascii="Arial"/>
                <w:sz w:val="21"/>
              </w:rPr>
            </w:pPr>
          </w:p>
        </w:tc>
        <w:tc>
          <w:tcPr>
            <w:tcW w:w="1122" w:type="dxa"/>
            <w:vAlign w:val="top"/>
          </w:tcPr>
          <w:p w14:paraId="5FE42BA2">
            <w:pPr>
              <w:spacing w:before="112"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N3</w:t>
            </w:r>
          </w:p>
        </w:tc>
        <w:tc>
          <w:tcPr>
            <w:tcW w:w="1670" w:type="dxa"/>
            <w:vAlign w:val="top"/>
          </w:tcPr>
          <w:p w14:paraId="10F498BA">
            <w:pPr>
              <w:pStyle w:val="6"/>
              <w:spacing w:before="112" w:line="274" w:lineRule="exact"/>
              <w:ind w:left="158"/>
              <w:rPr>
                <w:rFonts w:ascii="Times New Roman" w:hAnsi="Times New Roman" w:eastAsia="Times New Roman" w:cs="Times New Roman"/>
              </w:rPr>
            </w:pPr>
            <w:r>
              <w:rPr>
                <w:spacing w:val="3"/>
                <w:position w:val="1"/>
              </w:rPr>
              <w:t>项目西边界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661F8CCA">
            <w:pPr>
              <w:spacing w:before="181"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7EB8A6A4">
            <w:pPr>
              <w:spacing w:before="112"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6F2F3B18">
            <w:pPr>
              <w:pStyle w:val="6"/>
              <w:spacing w:before="112"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3B9D7AC1">
            <w:pPr>
              <w:spacing w:before="112"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1C215C12">
            <w:pPr>
              <w:spacing w:before="112"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2F420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165" w:type="dxa"/>
            <w:vMerge w:val="continue"/>
            <w:tcBorders>
              <w:top w:val="nil"/>
            </w:tcBorders>
            <w:vAlign w:val="top"/>
          </w:tcPr>
          <w:p w14:paraId="23BC429F">
            <w:pPr>
              <w:rPr>
                <w:rFonts w:ascii="Arial"/>
                <w:sz w:val="21"/>
              </w:rPr>
            </w:pPr>
          </w:p>
        </w:tc>
        <w:tc>
          <w:tcPr>
            <w:tcW w:w="1122" w:type="dxa"/>
            <w:vAlign w:val="top"/>
          </w:tcPr>
          <w:p w14:paraId="218F8E70">
            <w:pPr>
              <w:spacing w:before="113"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N4</w:t>
            </w:r>
          </w:p>
        </w:tc>
        <w:tc>
          <w:tcPr>
            <w:tcW w:w="1670" w:type="dxa"/>
            <w:vAlign w:val="top"/>
          </w:tcPr>
          <w:p w14:paraId="04CDD66A">
            <w:pPr>
              <w:pStyle w:val="6"/>
              <w:spacing w:before="113" w:line="274" w:lineRule="exact"/>
              <w:ind w:left="158"/>
              <w:rPr>
                <w:rFonts w:ascii="Times New Roman" w:hAnsi="Times New Roman" w:eastAsia="Times New Roman" w:cs="Times New Roman"/>
              </w:rPr>
            </w:pPr>
            <w:r>
              <w:rPr>
                <w:spacing w:val="3"/>
                <w:position w:val="1"/>
              </w:rPr>
              <w:t>项目北边界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7446672E">
            <w:pPr>
              <w:spacing w:before="113" w:line="274"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988" w:type="dxa"/>
            <w:vAlign w:val="top"/>
          </w:tcPr>
          <w:p w14:paraId="233E378B">
            <w:pPr>
              <w:spacing w:before="113"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410" w:type="dxa"/>
            <w:vAlign w:val="top"/>
          </w:tcPr>
          <w:p w14:paraId="2F9DCF1B">
            <w:pPr>
              <w:pStyle w:val="6"/>
              <w:spacing w:before="113"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1BEC0036">
            <w:pPr>
              <w:spacing w:before="113"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2ACF7C9F">
            <w:pPr>
              <w:spacing w:before="113"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bl>
    <w:p w14:paraId="10FED88C">
      <w:pPr>
        <w:pStyle w:val="2"/>
        <w:spacing w:line="253" w:lineRule="auto"/>
      </w:pPr>
    </w:p>
    <w:p w14:paraId="7FF6C71E">
      <w:pPr>
        <w:spacing w:before="65" w:line="228" w:lineRule="auto"/>
        <w:ind w:left="121"/>
        <w:outlineLvl w:val="2"/>
        <w:rPr>
          <w:rFonts w:ascii="宋体" w:hAnsi="宋体" w:eastAsia="宋体" w:cs="宋体"/>
          <w:sz w:val="20"/>
          <w:szCs w:val="20"/>
        </w:rPr>
      </w:pPr>
      <w:r>
        <w:rPr>
          <w:rFonts w:ascii="宋体" w:hAnsi="宋体" w:eastAsia="宋体" w:cs="宋体"/>
          <w:b/>
          <w:bCs/>
          <w:spacing w:val="8"/>
          <w:sz w:val="20"/>
          <w:szCs w:val="20"/>
        </w:rPr>
        <w:t>注：项目噪声监测期间昼间噪声源主要为虫鸣鸟叫的声音及其他动物、人类活动声音。</w:t>
      </w:r>
    </w:p>
    <w:p w14:paraId="32406747">
      <w:pPr>
        <w:pStyle w:val="2"/>
        <w:spacing w:line="360" w:lineRule="auto"/>
      </w:pPr>
    </w:p>
    <w:p w14:paraId="2F403BDA">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4.4.2</w:t>
      </w:r>
      <w:r>
        <w:rPr>
          <w:rFonts w:ascii="宋体" w:hAnsi="宋体" w:eastAsia="宋体" w:cs="宋体"/>
          <w:b/>
          <w:bCs/>
          <w:spacing w:val="-2"/>
          <w:sz w:val="24"/>
          <w:szCs w:val="24"/>
        </w:rPr>
        <w:t>声环境质量现状评价</w:t>
      </w:r>
    </w:p>
    <w:p w14:paraId="447DDE43">
      <w:pPr>
        <w:pStyle w:val="2"/>
        <w:spacing w:line="246" w:lineRule="auto"/>
      </w:pPr>
    </w:p>
    <w:p w14:paraId="320BCD2F">
      <w:pPr>
        <w:spacing w:before="78"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）评价标准</w:t>
      </w:r>
    </w:p>
    <w:p w14:paraId="01797519">
      <w:pPr>
        <w:spacing w:before="128" w:line="374" w:lineRule="auto"/>
        <w:ind w:left="123" w:right="110" w:firstLine="482"/>
        <w:rPr>
          <w:rFonts w:ascii="宋体" w:hAnsi="宋体" w:eastAsia="宋体" w:cs="宋体"/>
          <w:sz w:val="24"/>
          <w:szCs w:val="24"/>
        </w:rPr>
      </w:pPr>
      <w:r>
        <w:rPr>
          <w:rFonts w:ascii="宋体" w:hAnsi="宋体" w:eastAsia="宋体" w:cs="宋体"/>
          <w:spacing w:val="-2"/>
          <w:sz w:val="24"/>
          <w:szCs w:val="24"/>
        </w:rPr>
        <w:t>项目所在区域为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类区域，根据《声环境质量</w:t>
      </w:r>
      <w:r>
        <w:rPr>
          <w:rFonts w:ascii="宋体" w:hAnsi="宋体" w:eastAsia="宋体" w:cs="宋体"/>
          <w:spacing w:val="-3"/>
          <w:sz w:val="24"/>
          <w:szCs w:val="24"/>
        </w:rPr>
        <w:t>标准》（</w:t>
      </w:r>
      <w:r>
        <w:rPr>
          <w:rFonts w:ascii="Times New Roman" w:hAnsi="Times New Roman" w:eastAsia="Times New Roman" w:cs="Times New Roman"/>
          <w:spacing w:val="-3"/>
          <w:sz w:val="24"/>
          <w:szCs w:val="24"/>
        </w:rPr>
        <w:t>GB3096-2008</w:t>
      </w:r>
      <w:r>
        <w:rPr>
          <w:rFonts w:ascii="宋体" w:hAnsi="宋体" w:eastAsia="宋体" w:cs="宋体"/>
          <w:spacing w:val="-3"/>
          <w:sz w:val="24"/>
          <w:szCs w:val="24"/>
        </w:rPr>
        <w:t>）中的有关</w:t>
      </w:r>
      <w:r>
        <w:rPr>
          <w:rFonts w:ascii="宋体" w:hAnsi="宋体" w:eastAsia="宋体" w:cs="宋体"/>
          <w:sz w:val="24"/>
          <w:szCs w:val="24"/>
        </w:rPr>
        <w:t xml:space="preserve"> 规定，项目所在区域执行《声环境质量标准》（</w:t>
      </w:r>
      <w:r>
        <w:rPr>
          <w:rFonts w:ascii="Times New Roman" w:hAnsi="Times New Roman" w:eastAsia="Times New Roman" w:cs="Times New Roman"/>
          <w:sz w:val="24"/>
          <w:szCs w:val="24"/>
        </w:rPr>
        <w:t>GB3</w:t>
      </w:r>
      <w:r>
        <w:rPr>
          <w:rFonts w:ascii="Times New Roman" w:hAnsi="Times New Roman" w:eastAsia="Times New Roman" w:cs="Times New Roman"/>
          <w:spacing w:val="-1"/>
          <w:sz w:val="24"/>
          <w:szCs w:val="24"/>
        </w:rPr>
        <w:t>096-2008</w:t>
      </w:r>
      <w:r>
        <w:rPr>
          <w:rFonts w:ascii="宋体" w:hAnsi="宋体" w:eastAsia="宋体" w:cs="宋体"/>
          <w:spacing w:val="-1"/>
          <w:sz w:val="24"/>
          <w:szCs w:val="24"/>
        </w:rPr>
        <w:t>）中的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002060E3">
      <w:pPr>
        <w:spacing w:before="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）评价方法</w:t>
      </w:r>
    </w:p>
    <w:p w14:paraId="3EE4719D">
      <w:pPr>
        <w:spacing w:before="166" w:line="219" w:lineRule="auto"/>
        <w:ind w:left="602"/>
        <w:rPr>
          <w:rFonts w:ascii="宋体" w:hAnsi="宋体" w:eastAsia="宋体" w:cs="宋体"/>
          <w:sz w:val="24"/>
          <w:szCs w:val="24"/>
        </w:rPr>
      </w:pPr>
      <w:r>
        <w:rPr>
          <w:rFonts w:ascii="宋体" w:hAnsi="宋体" w:eastAsia="宋体" w:cs="宋体"/>
          <w:sz w:val="24"/>
          <w:szCs w:val="24"/>
        </w:rPr>
        <w:t>根据声环境实测数据，依据所执行的质量标准对项</w:t>
      </w:r>
      <w:r>
        <w:rPr>
          <w:rFonts w:ascii="宋体" w:hAnsi="宋体" w:eastAsia="宋体" w:cs="宋体"/>
          <w:spacing w:val="-1"/>
          <w:sz w:val="24"/>
          <w:szCs w:val="24"/>
        </w:rPr>
        <w:t>目声环境现在进行评价。</w:t>
      </w:r>
    </w:p>
    <w:p w14:paraId="37B95B8A">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）评价结果</w:t>
      </w:r>
    </w:p>
    <w:p w14:paraId="61483D6F">
      <w:pPr>
        <w:spacing w:before="170" w:line="387" w:lineRule="auto"/>
        <w:ind w:left="134" w:right="7" w:firstLine="469"/>
        <w:rPr>
          <w:rFonts w:ascii="宋体" w:hAnsi="宋体" w:eastAsia="宋体" w:cs="宋体"/>
          <w:sz w:val="24"/>
          <w:szCs w:val="24"/>
        </w:rPr>
      </w:pPr>
      <w:r>
        <w:rPr>
          <w:rFonts w:ascii="宋体" w:hAnsi="宋体" w:eastAsia="宋体" w:cs="宋体"/>
          <w:spacing w:val="-2"/>
          <w:sz w:val="24"/>
          <w:szCs w:val="24"/>
        </w:rPr>
        <w:t>监测结果表明，本项目所在区域边界昼间和夜间噪声均达到《声环境质量标准》</w:t>
      </w:r>
      <w:r>
        <w:rPr>
          <w:rFonts w:ascii="宋体" w:hAnsi="宋体" w:eastAsia="宋体" w:cs="宋体"/>
          <w:spacing w:val="1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）中的</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类标准。因此项目周围声环境质量现状较好。</w:t>
      </w:r>
    </w:p>
    <w:p w14:paraId="3A079480">
      <w:pPr>
        <w:spacing w:before="273" w:line="224" w:lineRule="auto"/>
        <w:ind w:left="121"/>
        <w:outlineLvl w:val="1"/>
        <w:rPr>
          <w:rFonts w:ascii="宋体" w:hAnsi="宋体" w:eastAsia="宋体" w:cs="宋体"/>
          <w:sz w:val="31"/>
          <w:szCs w:val="31"/>
        </w:rPr>
      </w:pPr>
      <w:bookmarkStart w:id="31" w:name="bookmark28"/>
      <w:bookmarkEnd w:id="31"/>
      <w:r>
        <w:rPr>
          <w:rFonts w:ascii="Times New Roman" w:hAnsi="Times New Roman" w:eastAsia="Times New Roman" w:cs="Times New Roman"/>
          <w:b/>
          <w:bCs/>
          <w:spacing w:val="6"/>
          <w:sz w:val="31"/>
          <w:szCs w:val="31"/>
        </w:rPr>
        <w:t>4.5</w:t>
      </w:r>
      <w:r>
        <w:rPr>
          <w:rFonts w:ascii="宋体" w:hAnsi="宋体" w:eastAsia="宋体" w:cs="宋体"/>
          <w:b/>
          <w:bCs/>
          <w:spacing w:val="6"/>
          <w:sz w:val="31"/>
          <w:szCs w:val="31"/>
        </w:rPr>
        <w:t>土壤环境质量现状评价</w:t>
      </w:r>
    </w:p>
    <w:p w14:paraId="49E4FA8B">
      <w:pPr>
        <w:pStyle w:val="2"/>
        <w:spacing w:line="448" w:lineRule="auto"/>
      </w:pPr>
    </w:p>
    <w:p w14:paraId="54315483">
      <w:pPr>
        <w:spacing w:before="79"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4.5.1</w:t>
      </w:r>
      <w:r>
        <w:rPr>
          <w:rFonts w:ascii="宋体" w:hAnsi="宋体" w:eastAsia="宋体" w:cs="宋体"/>
          <w:b/>
          <w:bCs/>
          <w:spacing w:val="-2"/>
          <w:sz w:val="24"/>
          <w:szCs w:val="24"/>
        </w:rPr>
        <w:t>土壤环境质量现状监测</w:t>
      </w:r>
    </w:p>
    <w:p w14:paraId="705ADBD1">
      <w:pPr>
        <w:pStyle w:val="2"/>
        <w:spacing w:line="244" w:lineRule="auto"/>
      </w:pPr>
    </w:p>
    <w:p w14:paraId="3447C327">
      <w:pPr>
        <w:spacing w:before="79" w:line="359" w:lineRule="exact"/>
        <w:ind w:left="621"/>
        <w:rPr>
          <w:rFonts w:ascii="宋体" w:hAnsi="宋体" w:eastAsia="宋体" w:cs="宋体"/>
          <w:sz w:val="24"/>
          <w:szCs w:val="24"/>
        </w:rPr>
      </w:pPr>
      <w:r>
        <w:rPr>
          <w:rFonts w:ascii="Times New Roman" w:hAnsi="Times New Roman" w:eastAsia="Times New Roman" w:cs="Times New Roman"/>
          <w:spacing w:val="-5"/>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、监测布点及监测内容</w:t>
      </w:r>
    </w:p>
    <w:p w14:paraId="2EA88A4B">
      <w:pPr>
        <w:spacing w:before="166" w:line="382" w:lineRule="auto"/>
        <w:ind w:left="123" w:right="113" w:firstLine="479"/>
        <w:rPr>
          <w:rFonts w:ascii="宋体" w:hAnsi="宋体" w:eastAsia="宋体" w:cs="宋体"/>
          <w:sz w:val="24"/>
          <w:szCs w:val="24"/>
        </w:rPr>
      </w:pPr>
      <w:r>
        <w:rPr>
          <w:rFonts w:ascii="宋体" w:hAnsi="宋体" w:eastAsia="宋体" w:cs="宋体"/>
          <w:spacing w:val="2"/>
          <w:sz w:val="24"/>
          <w:szCs w:val="24"/>
        </w:rPr>
        <w:t>根据醒目周围环境状况，本项目土壤环境质量现状现状监测委托广东惠利通检</w:t>
      </w:r>
      <w:r>
        <w:rPr>
          <w:rFonts w:ascii="宋体" w:hAnsi="宋体" w:eastAsia="宋体" w:cs="宋体"/>
          <w:spacing w:val="10"/>
          <w:sz w:val="24"/>
          <w:szCs w:val="24"/>
        </w:rPr>
        <w:t xml:space="preserve"> </w:t>
      </w:r>
      <w:r>
        <w:rPr>
          <w:rFonts w:ascii="宋体" w:hAnsi="宋体" w:eastAsia="宋体" w:cs="宋体"/>
          <w:spacing w:val="5"/>
          <w:sz w:val="24"/>
          <w:szCs w:val="24"/>
        </w:rPr>
        <w:t>测技术有限公司进行监测，监测点位布设情</w:t>
      </w:r>
      <w:r>
        <w:rPr>
          <w:rFonts w:ascii="宋体" w:hAnsi="宋体" w:eastAsia="宋体" w:cs="宋体"/>
          <w:spacing w:val="4"/>
          <w:sz w:val="24"/>
          <w:szCs w:val="24"/>
        </w:rPr>
        <w:t>况具体如表</w:t>
      </w:r>
      <w:r>
        <w:rPr>
          <w:rFonts w:ascii="Times New Roman" w:hAnsi="Times New Roman" w:eastAsia="Times New Roman" w:cs="Times New Roman"/>
          <w:spacing w:val="4"/>
          <w:sz w:val="24"/>
          <w:szCs w:val="24"/>
        </w:rPr>
        <w:t>4.5-1</w:t>
      </w:r>
      <w:r>
        <w:rPr>
          <w:rFonts w:ascii="宋体" w:hAnsi="宋体" w:eastAsia="宋体" w:cs="宋体"/>
          <w:spacing w:val="4"/>
          <w:sz w:val="24"/>
          <w:szCs w:val="24"/>
        </w:rPr>
        <w:t>和图</w:t>
      </w:r>
      <w:r>
        <w:rPr>
          <w:rFonts w:ascii="Times New Roman" w:hAnsi="Times New Roman" w:eastAsia="Times New Roman" w:cs="Times New Roman"/>
          <w:spacing w:val="4"/>
          <w:sz w:val="24"/>
          <w:szCs w:val="24"/>
        </w:rPr>
        <w:t>4.5-1</w:t>
      </w:r>
      <w:r>
        <w:rPr>
          <w:rFonts w:ascii="宋体" w:hAnsi="宋体" w:eastAsia="宋体" w:cs="宋体"/>
          <w:spacing w:val="4"/>
          <w:sz w:val="24"/>
          <w:szCs w:val="24"/>
        </w:rPr>
        <w:t>。</w:t>
      </w:r>
    </w:p>
    <w:p w14:paraId="2B9B9A34">
      <w:pPr>
        <w:spacing w:line="229"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6"/>
          <w:sz w:val="20"/>
          <w:szCs w:val="20"/>
        </w:rPr>
        <w:t xml:space="preserve">4.5-1 </w:t>
      </w:r>
      <w:r>
        <w:rPr>
          <w:rFonts w:ascii="宋体" w:hAnsi="宋体" w:eastAsia="宋体" w:cs="宋体"/>
          <w:b/>
          <w:bCs/>
          <w:spacing w:val="6"/>
          <w:sz w:val="20"/>
          <w:szCs w:val="20"/>
        </w:rPr>
        <w:t>土壤监测点位及监测项目一览表</w:t>
      </w:r>
    </w:p>
    <w:p w14:paraId="58428EB3">
      <w:pPr>
        <w:spacing w:line="101"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729"/>
        <w:gridCol w:w="1192"/>
        <w:gridCol w:w="2325"/>
        <w:gridCol w:w="2463"/>
      </w:tblGrid>
      <w:tr w14:paraId="12774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015" w:type="dxa"/>
            <w:vAlign w:val="top"/>
          </w:tcPr>
          <w:p w14:paraId="300A1EC1">
            <w:pPr>
              <w:pStyle w:val="6"/>
              <w:spacing w:before="63" w:line="227" w:lineRule="auto"/>
              <w:ind w:left="199"/>
            </w:pPr>
            <w:r>
              <w:rPr>
                <w:b/>
                <w:bCs/>
                <w:spacing w:val="5"/>
              </w:rPr>
              <w:t>监测点</w:t>
            </w:r>
          </w:p>
          <w:p w14:paraId="625B956C">
            <w:pPr>
              <w:pStyle w:val="6"/>
              <w:spacing w:before="76" w:line="227" w:lineRule="auto"/>
              <w:ind w:left="198"/>
            </w:pPr>
            <w:r>
              <w:rPr>
                <w:b/>
                <w:bCs/>
                <w:spacing w:val="5"/>
              </w:rPr>
              <w:t>位序号</w:t>
            </w:r>
          </w:p>
        </w:tc>
        <w:tc>
          <w:tcPr>
            <w:tcW w:w="1729" w:type="dxa"/>
            <w:vAlign w:val="top"/>
          </w:tcPr>
          <w:p w14:paraId="1E44E9DD">
            <w:pPr>
              <w:pStyle w:val="6"/>
              <w:spacing w:before="224" w:line="227" w:lineRule="auto"/>
              <w:ind w:left="448"/>
            </w:pPr>
            <w:r>
              <w:rPr>
                <w:b/>
                <w:bCs/>
                <w:spacing w:val="6"/>
              </w:rPr>
              <w:t>监测点位</w:t>
            </w:r>
          </w:p>
        </w:tc>
        <w:tc>
          <w:tcPr>
            <w:tcW w:w="1192" w:type="dxa"/>
            <w:vAlign w:val="top"/>
          </w:tcPr>
          <w:p w14:paraId="565111BA">
            <w:pPr>
              <w:pStyle w:val="6"/>
              <w:spacing w:before="62" w:line="226" w:lineRule="auto"/>
              <w:ind w:left="181"/>
            </w:pPr>
            <w:r>
              <w:rPr>
                <w:b/>
                <w:bCs/>
                <w:spacing w:val="6"/>
              </w:rPr>
              <w:t>土壤样品</w:t>
            </w:r>
          </w:p>
          <w:p w14:paraId="0A445C65">
            <w:pPr>
              <w:pStyle w:val="6"/>
              <w:spacing w:before="77" w:line="227" w:lineRule="auto"/>
              <w:ind w:left="392"/>
            </w:pPr>
            <w:r>
              <w:rPr>
                <w:b/>
                <w:bCs/>
                <w:spacing w:val="3"/>
              </w:rPr>
              <w:t>要求</w:t>
            </w:r>
          </w:p>
        </w:tc>
        <w:tc>
          <w:tcPr>
            <w:tcW w:w="2325" w:type="dxa"/>
            <w:vAlign w:val="top"/>
          </w:tcPr>
          <w:p w14:paraId="095E28CC">
            <w:pPr>
              <w:pStyle w:val="6"/>
              <w:spacing w:before="223" w:line="227" w:lineRule="auto"/>
              <w:ind w:left="539"/>
            </w:pPr>
            <w:r>
              <w:rPr>
                <w:b/>
                <w:bCs/>
                <w:spacing w:val="6"/>
              </w:rPr>
              <w:t>土壤监测项目</w:t>
            </w:r>
          </w:p>
        </w:tc>
        <w:tc>
          <w:tcPr>
            <w:tcW w:w="2463" w:type="dxa"/>
            <w:vAlign w:val="top"/>
          </w:tcPr>
          <w:p w14:paraId="79CF64B8">
            <w:pPr>
              <w:pStyle w:val="6"/>
              <w:spacing w:before="224" w:line="226" w:lineRule="auto"/>
              <w:ind w:left="815"/>
            </w:pPr>
            <w:r>
              <w:rPr>
                <w:b/>
                <w:bCs/>
                <w:spacing w:val="6"/>
              </w:rPr>
              <w:t>执行标准</w:t>
            </w:r>
          </w:p>
        </w:tc>
      </w:tr>
      <w:tr w14:paraId="5D7FE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15" w:type="dxa"/>
            <w:vAlign w:val="top"/>
          </w:tcPr>
          <w:p w14:paraId="572D10B4">
            <w:pPr>
              <w:spacing w:before="30" w:line="271"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T1</w:t>
            </w:r>
          </w:p>
        </w:tc>
        <w:tc>
          <w:tcPr>
            <w:tcW w:w="1729" w:type="dxa"/>
            <w:vAlign w:val="top"/>
          </w:tcPr>
          <w:p w14:paraId="2B126DB6">
            <w:pPr>
              <w:pStyle w:val="6"/>
              <w:spacing w:before="61" w:line="226" w:lineRule="auto"/>
              <w:ind w:left="448"/>
            </w:pPr>
            <w:r>
              <w:rPr>
                <w:spacing w:val="7"/>
              </w:rPr>
              <w:t>养殖区域</w:t>
            </w:r>
          </w:p>
        </w:tc>
        <w:tc>
          <w:tcPr>
            <w:tcW w:w="1192" w:type="dxa"/>
            <w:vAlign w:val="top"/>
          </w:tcPr>
          <w:p w14:paraId="2A3AB78E">
            <w:pPr>
              <w:pStyle w:val="6"/>
              <w:spacing w:before="61" w:line="226" w:lineRule="auto"/>
              <w:ind w:left="179"/>
            </w:pPr>
            <w:r>
              <w:rPr>
                <w:spacing w:val="7"/>
              </w:rPr>
              <w:t>表层样点</w:t>
            </w:r>
          </w:p>
        </w:tc>
        <w:tc>
          <w:tcPr>
            <w:tcW w:w="2325" w:type="dxa"/>
            <w:vMerge w:val="restart"/>
            <w:tcBorders>
              <w:bottom w:val="nil"/>
            </w:tcBorders>
            <w:vAlign w:val="top"/>
          </w:tcPr>
          <w:p w14:paraId="6878E1C4">
            <w:pPr>
              <w:pStyle w:val="6"/>
              <w:spacing w:before="41" w:line="292" w:lineRule="auto"/>
              <w:ind w:left="115" w:right="35" w:firstLine="54"/>
              <w:jc w:val="both"/>
            </w:pPr>
            <w:r>
              <w:rPr>
                <w:rFonts w:ascii="Times New Roman" w:hAnsi="Times New Roman" w:eastAsia="Times New Roman" w:cs="Times New Roman"/>
                <w:spacing w:val="9"/>
              </w:rPr>
              <w:t xml:space="preserve">45 </w:t>
            </w:r>
            <w:r>
              <w:rPr>
                <w:spacing w:val="9"/>
              </w:rPr>
              <w:t>项目基本因子、</w:t>
            </w:r>
            <w:r>
              <w:rPr>
                <w:rFonts w:ascii="Times New Roman" w:hAnsi="Times New Roman" w:eastAsia="Times New Roman" w:cs="Times New Roman"/>
              </w:rPr>
              <w:t xml:space="preserve">pH   </w:t>
            </w:r>
            <w:r>
              <w:rPr>
                <w:spacing w:val="9"/>
              </w:rPr>
              <w:t>值、阳离子交换量、氧</w:t>
            </w:r>
            <w:r>
              <w:rPr>
                <w:spacing w:val="2"/>
              </w:rPr>
              <w:t xml:space="preserve"> </w:t>
            </w:r>
            <w:r>
              <w:rPr>
                <w:spacing w:val="-3"/>
              </w:rPr>
              <w:t>化还原电位、土壤容重、</w:t>
            </w:r>
          </w:p>
        </w:tc>
        <w:tc>
          <w:tcPr>
            <w:tcW w:w="2463" w:type="dxa"/>
            <w:vMerge w:val="restart"/>
            <w:tcBorders>
              <w:bottom w:val="nil"/>
            </w:tcBorders>
            <w:vAlign w:val="top"/>
          </w:tcPr>
          <w:p w14:paraId="146988DF">
            <w:pPr>
              <w:pStyle w:val="6"/>
              <w:spacing w:before="70" w:line="227" w:lineRule="auto"/>
              <w:ind w:left="192"/>
            </w:pPr>
            <w:r>
              <w:rPr>
                <w:spacing w:val="8"/>
              </w:rPr>
              <w:t>《土壤环境质量建设用</w:t>
            </w:r>
          </w:p>
          <w:p w14:paraId="13BE4460">
            <w:pPr>
              <w:pStyle w:val="6"/>
              <w:spacing w:before="76" w:line="226" w:lineRule="auto"/>
              <w:ind w:left="186"/>
            </w:pPr>
            <w:r>
              <w:rPr>
                <w:spacing w:val="8"/>
              </w:rPr>
              <w:t>地土壤污染风险管控标</w:t>
            </w:r>
          </w:p>
          <w:p w14:paraId="24E17B5A">
            <w:pPr>
              <w:pStyle w:val="6"/>
              <w:spacing w:before="74" w:line="227" w:lineRule="auto"/>
              <w:ind w:left="608"/>
            </w:pPr>
            <w:r>
              <w:rPr>
                <w:spacing w:val="9"/>
              </w:rPr>
              <w:t>准（试行）》</w:t>
            </w:r>
          </w:p>
        </w:tc>
      </w:tr>
      <w:tr w14:paraId="5B112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15" w:type="dxa"/>
            <w:vAlign w:val="top"/>
          </w:tcPr>
          <w:p w14:paraId="0E5C745B">
            <w:pPr>
              <w:spacing w:before="31" w:line="271"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T2</w:t>
            </w:r>
          </w:p>
        </w:tc>
        <w:tc>
          <w:tcPr>
            <w:tcW w:w="1729" w:type="dxa"/>
            <w:vAlign w:val="top"/>
          </w:tcPr>
          <w:p w14:paraId="0FEDC348">
            <w:pPr>
              <w:pStyle w:val="6"/>
              <w:spacing w:before="62" w:line="225" w:lineRule="auto"/>
              <w:ind w:left="134"/>
            </w:pPr>
            <w:r>
              <w:rPr>
                <w:spacing w:val="8"/>
              </w:rPr>
              <w:t>有机肥发酵车间</w:t>
            </w:r>
          </w:p>
        </w:tc>
        <w:tc>
          <w:tcPr>
            <w:tcW w:w="1192" w:type="dxa"/>
            <w:vAlign w:val="top"/>
          </w:tcPr>
          <w:p w14:paraId="56F5982B">
            <w:pPr>
              <w:pStyle w:val="6"/>
              <w:spacing w:before="61" w:line="226" w:lineRule="auto"/>
              <w:ind w:left="179"/>
            </w:pPr>
            <w:r>
              <w:rPr>
                <w:spacing w:val="7"/>
              </w:rPr>
              <w:t>表层样点</w:t>
            </w:r>
          </w:p>
        </w:tc>
        <w:tc>
          <w:tcPr>
            <w:tcW w:w="2325" w:type="dxa"/>
            <w:vMerge w:val="continue"/>
            <w:tcBorders>
              <w:top w:val="nil"/>
              <w:bottom w:val="nil"/>
            </w:tcBorders>
            <w:vAlign w:val="top"/>
          </w:tcPr>
          <w:p w14:paraId="6A235BE1">
            <w:pPr>
              <w:rPr>
                <w:rFonts w:ascii="Arial"/>
                <w:sz w:val="21"/>
              </w:rPr>
            </w:pPr>
          </w:p>
        </w:tc>
        <w:tc>
          <w:tcPr>
            <w:tcW w:w="2463" w:type="dxa"/>
            <w:vMerge w:val="continue"/>
            <w:tcBorders>
              <w:top w:val="nil"/>
              <w:bottom w:val="nil"/>
            </w:tcBorders>
            <w:vAlign w:val="top"/>
          </w:tcPr>
          <w:p w14:paraId="5B126676">
            <w:pPr>
              <w:rPr>
                <w:rFonts w:ascii="Arial"/>
                <w:sz w:val="21"/>
              </w:rPr>
            </w:pPr>
          </w:p>
        </w:tc>
      </w:tr>
      <w:tr w14:paraId="10C92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Align w:val="top"/>
          </w:tcPr>
          <w:p w14:paraId="35891926">
            <w:pPr>
              <w:spacing w:before="32" w:line="271"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T3</w:t>
            </w:r>
          </w:p>
        </w:tc>
        <w:tc>
          <w:tcPr>
            <w:tcW w:w="1729" w:type="dxa"/>
            <w:vAlign w:val="top"/>
          </w:tcPr>
          <w:p w14:paraId="691E0C9A">
            <w:pPr>
              <w:pStyle w:val="6"/>
              <w:spacing w:before="62" w:line="227" w:lineRule="auto"/>
              <w:ind w:left="137"/>
            </w:pPr>
            <w:r>
              <w:rPr>
                <w:spacing w:val="8"/>
              </w:rPr>
              <w:t>项目区域西南面</w:t>
            </w:r>
          </w:p>
        </w:tc>
        <w:tc>
          <w:tcPr>
            <w:tcW w:w="1192" w:type="dxa"/>
            <w:vAlign w:val="top"/>
          </w:tcPr>
          <w:p w14:paraId="24D6C0FD">
            <w:pPr>
              <w:pStyle w:val="6"/>
              <w:spacing w:before="62" w:line="226" w:lineRule="auto"/>
              <w:ind w:left="179"/>
            </w:pPr>
            <w:r>
              <w:rPr>
                <w:spacing w:val="7"/>
              </w:rPr>
              <w:t>表层样点</w:t>
            </w:r>
          </w:p>
        </w:tc>
        <w:tc>
          <w:tcPr>
            <w:tcW w:w="2325" w:type="dxa"/>
            <w:vMerge w:val="continue"/>
            <w:tcBorders>
              <w:top w:val="nil"/>
            </w:tcBorders>
            <w:vAlign w:val="top"/>
          </w:tcPr>
          <w:p w14:paraId="67AD02F7">
            <w:pPr>
              <w:rPr>
                <w:rFonts w:ascii="Arial"/>
                <w:sz w:val="21"/>
              </w:rPr>
            </w:pPr>
          </w:p>
        </w:tc>
        <w:tc>
          <w:tcPr>
            <w:tcW w:w="2463" w:type="dxa"/>
            <w:vMerge w:val="continue"/>
            <w:tcBorders>
              <w:top w:val="nil"/>
            </w:tcBorders>
            <w:vAlign w:val="top"/>
          </w:tcPr>
          <w:p w14:paraId="5DAAB4C2">
            <w:pPr>
              <w:rPr>
                <w:rFonts w:ascii="Arial"/>
                <w:sz w:val="21"/>
              </w:rPr>
            </w:pPr>
          </w:p>
        </w:tc>
      </w:tr>
    </w:tbl>
    <w:p w14:paraId="7A2509CF">
      <w:pPr>
        <w:pStyle w:val="2"/>
        <w:spacing w:line="14" w:lineRule="auto"/>
        <w:rPr>
          <w:sz w:val="2"/>
        </w:rPr>
      </w:pPr>
    </w:p>
    <w:p w14:paraId="568298D9">
      <w:pPr>
        <w:spacing w:line="14" w:lineRule="auto"/>
        <w:rPr>
          <w:sz w:val="2"/>
          <w:szCs w:val="2"/>
        </w:rPr>
        <w:sectPr>
          <w:footerReference r:id="rId105" w:type="default"/>
          <w:pgSz w:w="11906" w:h="16839"/>
          <w:pgMar w:top="400" w:right="1475" w:bottom="1485" w:left="1475" w:header="0" w:footer="1249" w:gutter="0"/>
          <w:cols w:space="720" w:num="1"/>
        </w:sectPr>
      </w:pPr>
    </w:p>
    <w:p w14:paraId="5B66E57A">
      <w:pPr>
        <w:spacing w:before="13"/>
      </w:pPr>
    </w:p>
    <w:p w14:paraId="4C00B59B">
      <w:pPr>
        <w:spacing w:before="13"/>
      </w:pPr>
    </w:p>
    <w:p w14:paraId="46308977">
      <w:pPr>
        <w:spacing w:before="13"/>
      </w:pPr>
    </w:p>
    <w:p w14:paraId="212B532B">
      <w:pPr>
        <w:spacing w:before="13"/>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729"/>
        <w:gridCol w:w="1192"/>
        <w:gridCol w:w="2325"/>
        <w:gridCol w:w="2463"/>
      </w:tblGrid>
      <w:tr w14:paraId="7E38B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015" w:type="dxa"/>
            <w:vAlign w:val="top"/>
          </w:tcPr>
          <w:p w14:paraId="48F9BDB4">
            <w:pPr>
              <w:rPr>
                <w:rFonts w:ascii="Arial"/>
                <w:sz w:val="21"/>
              </w:rPr>
            </w:pPr>
          </w:p>
        </w:tc>
        <w:tc>
          <w:tcPr>
            <w:tcW w:w="1729" w:type="dxa"/>
            <w:vAlign w:val="top"/>
          </w:tcPr>
          <w:p w14:paraId="07A70321">
            <w:pPr>
              <w:rPr>
                <w:rFonts w:ascii="Arial"/>
                <w:sz w:val="21"/>
              </w:rPr>
            </w:pPr>
          </w:p>
        </w:tc>
        <w:tc>
          <w:tcPr>
            <w:tcW w:w="1192" w:type="dxa"/>
            <w:vAlign w:val="top"/>
          </w:tcPr>
          <w:p w14:paraId="6E2F26C0">
            <w:pPr>
              <w:rPr>
                <w:rFonts w:ascii="Arial"/>
                <w:sz w:val="21"/>
              </w:rPr>
            </w:pPr>
          </w:p>
        </w:tc>
        <w:tc>
          <w:tcPr>
            <w:tcW w:w="2325" w:type="dxa"/>
            <w:vAlign w:val="top"/>
          </w:tcPr>
          <w:p w14:paraId="64ABC75B">
            <w:pPr>
              <w:pStyle w:val="6"/>
              <w:spacing w:before="64" w:line="228" w:lineRule="auto"/>
              <w:ind w:left="330"/>
            </w:pPr>
            <w:r>
              <w:rPr>
                <w:spacing w:val="8"/>
              </w:rPr>
              <w:t>总孔隙度、渗滤率</w:t>
            </w:r>
          </w:p>
        </w:tc>
        <w:tc>
          <w:tcPr>
            <w:tcW w:w="2463" w:type="dxa"/>
            <w:vAlign w:val="top"/>
          </w:tcPr>
          <w:p w14:paraId="6E508253">
            <w:pPr>
              <w:pStyle w:val="6"/>
              <w:spacing w:before="33" w:line="285" w:lineRule="auto"/>
              <w:ind w:left="504" w:right="157" w:hanging="331"/>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36600-2018</w:t>
            </w:r>
            <w:r>
              <w:rPr>
                <w:spacing w:val="5"/>
              </w:rPr>
              <w:t>）中第</w:t>
            </w:r>
            <w:r>
              <w:rPr>
                <w:spacing w:val="12"/>
              </w:rPr>
              <w:t xml:space="preserve"> </w:t>
            </w:r>
            <w:r>
              <w:rPr>
                <w:spacing w:val="8"/>
              </w:rPr>
              <w:t>二类用地筛选值</w:t>
            </w:r>
          </w:p>
        </w:tc>
      </w:tr>
    </w:tbl>
    <w:p w14:paraId="5B13EAA2">
      <w:pPr>
        <w:spacing w:before="139" w:line="228" w:lineRule="auto"/>
        <w:ind w:left="541"/>
        <w:rPr>
          <w:rFonts w:ascii="宋体" w:hAnsi="宋体" w:eastAsia="宋体" w:cs="宋体"/>
          <w:sz w:val="20"/>
          <w:szCs w:val="20"/>
        </w:rPr>
      </w:pPr>
      <w:r>
        <w:rPr>
          <w:rFonts w:ascii="宋体" w:hAnsi="宋体" w:eastAsia="宋体" w:cs="宋体"/>
          <w:b/>
          <w:bCs/>
          <w:spacing w:val="5"/>
          <w:sz w:val="20"/>
          <w:szCs w:val="20"/>
        </w:rPr>
        <w:t>注：表层样在</w:t>
      </w:r>
      <w:r>
        <w:rPr>
          <w:rFonts w:ascii="宋体" w:hAnsi="宋体" w:eastAsia="宋体" w:cs="宋体"/>
          <w:spacing w:val="-40"/>
          <w:sz w:val="20"/>
          <w:szCs w:val="20"/>
        </w:rPr>
        <w:t xml:space="preserve"> </w:t>
      </w:r>
      <w:r>
        <w:rPr>
          <w:rFonts w:ascii="Times New Roman" w:hAnsi="Times New Roman" w:eastAsia="Times New Roman" w:cs="Times New Roman"/>
          <w:b/>
          <w:bCs/>
          <w:spacing w:val="5"/>
          <w:sz w:val="20"/>
          <w:szCs w:val="20"/>
        </w:rPr>
        <w:t xml:space="preserve">0~0.02m </w:t>
      </w:r>
      <w:r>
        <w:rPr>
          <w:rFonts w:ascii="宋体" w:hAnsi="宋体" w:eastAsia="宋体" w:cs="宋体"/>
          <w:b/>
          <w:bCs/>
          <w:spacing w:val="5"/>
          <w:sz w:val="20"/>
          <w:szCs w:val="20"/>
        </w:rPr>
        <w:t>取样。</w:t>
      </w:r>
    </w:p>
    <w:p w14:paraId="19521233">
      <w:pPr>
        <w:spacing w:before="103" w:line="7820" w:lineRule="exact"/>
        <w:ind w:firstLine="142"/>
      </w:pPr>
      <w:r>
        <w:rPr>
          <w:position w:val="-156"/>
        </w:rPr>
        <w:drawing>
          <wp:inline distT="0" distB="0" distL="0" distR="0">
            <wp:extent cx="5544185" cy="49650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20"/>
                    <a:stretch>
                      <a:fillRect/>
                    </a:stretch>
                  </pic:blipFill>
                  <pic:spPr>
                    <a:xfrm>
                      <a:off x="0" y="0"/>
                      <a:ext cx="5544311" cy="4965192"/>
                    </a:xfrm>
                    <a:prstGeom prst="rect">
                      <a:avLst/>
                    </a:prstGeom>
                  </pic:spPr>
                </pic:pic>
              </a:graphicData>
            </a:graphic>
          </wp:inline>
        </w:drawing>
      </w:r>
    </w:p>
    <w:p w14:paraId="6DBD1E90">
      <w:pPr>
        <w:spacing w:before="128" w:line="219" w:lineRule="auto"/>
        <w:ind w:left="348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52"/>
          <w:sz w:val="24"/>
          <w:szCs w:val="24"/>
        </w:rPr>
        <w:t xml:space="preserve"> </w:t>
      </w:r>
      <w:r>
        <w:rPr>
          <w:rFonts w:ascii="Times New Roman" w:hAnsi="Times New Roman" w:eastAsia="Times New Roman" w:cs="Times New Roman"/>
          <w:b/>
          <w:bCs/>
          <w:spacing w:val="-4"/>
          <w:sz w:val="24"/>
          <w:szCs w:val="24"/>
        </w:rPr>
        <w:t xml:space="preserve">4.5-1 </w:t>
      </w:r>
      <w:r>
        <w:rPr>
          <w:rFonts w:ascii="宋体" w:hAnsi="宋体" w:eastAsia="宋体" w:cs="宋体"/>
          <w:b/>
          <w:bCs/>
          <w:spacing w:val="-4"/>
          <w:sz w:val="24"/>
          <w:szCs w:val="24"/>
        </w:rPr>
        <w:t>土壤采样布点图</w:t>
      </w:r>
    </w:p>
    <w:p w14:paraId="764E7B13">
      <w:pPr>
        <w:spacing w:before="166" w:line="361"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、监测时间和频次</w:t>
      </w:r>
    </w:p>
    <w:p w14:paraId="62963008">
      <w:pPr>
        <w:spacing w:before="167" w:line="220" w:lineRule="auto"/>
        <w:ind w:left="602"/>
        <w:rPr>
          <w:rFonts w:ascii="宋体" w:hAnsi="宋体" w:eastAsia="宋体" w:cs="宋体"/>
          <w:sz w:val="24"/>
          <w:szCs w:val="24"/>
        </w:rPr>
      </w:pPr>
      <w:r>
        <w:rPr>
          <w:rFonts w:ascii="宋体" w:hAnsi="宋体" w:eastAsia="宋体" w:cs="宋体"/>
          <w:spacing w:val="-1"/>
          <w:sz w:val="24"/>
          <w:szCs w:val="24"/>
        </w:rPr>
        <w:t>每个点位监测一天一次。</w:t>
      </w:r>
    </w:p>
    <w:p w14:paraId="518AB3D5">
      <w:pPr>
        <w:spacing w:before="165" w:line="361" w:lineRule="exact"/>
        <w:ind w:left="603"/>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26"/>
          <w:position w:val="2"/>
          <w:sz w:val="24"/>
          <w:szCs w:val="24"/>
        </w:rPr>
        <w:t xml:space="preserve"> </w:t>
      </w:r>
      <w:r>
        <w:rPr>
          <w:rFonts w:ascii="宋体" w:hAnsi="宋体" w:eastAsia="宋体" w:cs="宋体"/>
          <w:spacing w:val="-3"/>
          <w:position w:val="2"/>
          <w:sz w:val="24"/>
          <w:szCs w:val="24"/>
        </w:rPr>
        <w:t>、检测方法、使用仪器及检出限</w:t>
      </w:r>
    </w:p>
    <w:p w14:paraId="3AA9411B">
      <w:pPr>
        <w:spacing w:before="179" w:line="228" w:lineRule="auto"/>
        <w:ind w:left="295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6"/>
          <w:sz w:val="20"/>
          <w:szCs w:val="20"/>
        </w:rPr>
        <w:t xml:space="preserve">4.5-2 </w:t>
      </w:r>
      <w:r>
        <w:rPr>
          <w:rFonts w:ascii="宋体" w:hAnsi="宋体" w:eastAsia="宋体" w:cs="宋体"/>
          <w:b/>
          <w:bCs/>
          <w:spacing w:val="6"/>
          <w:sz w:val="20"/>
          <w:szCs w:val="20"/>
        </w:rPr>
        <w:t>检测方法、使用仪器及检出限</w:t>
      </w:r>
    </w:p>
    <w:p w14:paraId="5F577BE1">
      <w:pPr>
        <w:spacing w:line="102" w:lineRule="exact"/>
      </w:pPr>
    </w:p>
    <w:tbl>
      <w:tblPr>
        <w:tblStyle w:val="5"/>
        <w:tblW w:w="8724"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3116"/>
        <w:gridCol w:w="2036"/>
        <w:gridCol w:w="1447"/>
      </w:tblGrid>
      <w:tr w14:paraId="04BB6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25" w:type="dxa"/>
            <w:vAlign w:val="top"/>
          </w:tcPr>
          <w:p w14:paraId="2592D856">
            <w:pPr>
              <w:pStyle w:val="6"/>
              <w:spacing w:before="70" w:line="228" w:lineRule="auto"/>
              <w:ind w:left="649"/>
            </w:pPr>
            <w:r>
              <w:rPr>
                <w:b/>
                <w:bCs/>
                <w:spacing w:val="6"/>
              </w:rPr>
              <w:t>检测项目</w:t>
            </w:r>
          </w:p>
        </w:tc>
        <w:tc>
          <w:tcPr>
            <w:tcW w:w="3116" w:type="dxa"/>
            <w:vAlign w:val="top"/>
          </w:tcPr>
          <w:p w14:paraId="7F8CD1A6">
            <w:pPr>
              <w:pStyle w:val="6"/>
              <w:spacing w:before="70" w:line="228" w:lineRule="auto"/>
              <w:ind w:left="1142"/>
            </w:pPr>
            <w:r>
              <w:rPr>
                <w:b/>
                <w:bCs/>
                <w:spacing w:val="6"/>
              </w:rPr>
              <w:t>检测方法</w:t>
            </w:r>
          </w:p>
        </w:tc>
        <w:tc>
          <w:tcPr>
            <w:tcW w:w="2036" w:type="dxa"/>
            <w:vAlign w:val="top"/>
          </w:tcPr>
          <w:p w14:paraId="39C73A64">
            <w:pPr>
              <w:pStyle w:val="6"/>
              <w:spacing w:before="70" w:line="228" w:lineRule="auto"/>
              <w:ind w:left="606"/>
            </w:pPr>
            <w:r>
              <w:rPr>
                <w:b/>
                <w:bCs/>
                <w:spacing w:val="5"/>
              </w:rPr>
              <w:t>分析仪器</w:t>
            </w:r>
          </w:p>
        </w:tc>
        <w:tc>
          <w:tcPr>
            <w:tcW w:w="1447" w:type="dxa"/>
            <w:vAlign w:val="top"/>
          </w:tcPr>
          <w:p w14:paraId="5DAC5D2C">
            <w:pPr>
              <w:pStyle w:val="6"/>
              <w:spacing w:before="70" w:line="228" w:lineRule="auto"/>
              <w:ind w:left="413"/>
            </w:pPr>
            <w:r>
              <w:rPr>
                <w:b/>
                <w:bCs/>
                <w:spacing w:val="5"/>
              </w:rPr>
              <w:t>检出限</w:t>
            </w:r>
          </w:p>
        </w:tc>
      </w:tr>
      <w:tr w14:paraId="0CC6D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2125" w:type="dxa"/>
            <w:vAlign w:val="top"/>
          </w:tcPr>
          <w:p w14:paraId="1515758D">
            <w:pPr>
              <w:pStyle w:val="6"/>
              <w:spacing w:before="270" w:line="221" w:lineRule="auto"/>
              <w:ind w:left="799"/>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值</w:t>
            </w:r>
          </w:p>
        </w:tc>
        <w:tc>
          <w:tcPr>
            <w:tcW w:w="3116" w:type="dxa"/>
            <w:vAlign w:val="top"/>
          </w:tcPr>
          <w:p w14:paraId="61B7C926">
            <w:pPr>
              <w:pStyle w:val="6"/>
              <w:spacing w:before="76" w:line="298" w:lineRule="auto"/>
              <w:ind w:left="362" w:right="140" w:hanging="208"/>
              <w:rPr>
                <w:rFonts w:ascii="Times New Roman" w:hAnsi="Times New Roman" w:eastAsia="Times New Roman" w:cs="Times New Roman"/>
              </w:rPr>
            </w:pPr>
            <w:r>
              <w:rPr>
                <w:spacing w:val="8"/>
              </w:rPr>
              <w:t>《土壤检测第</w:t>
            </w:r>
            <w:r>
              <w:rPr>
                <w:spacing w:val="-36"/>
              </w:rPr>
              <w:t xml:space="preserve"> </w:t>
            </w:r>
            <w:r>
              <w:rPr>
                <w:rFonts w:ascii="Times New Roman" w:hAnsi="Times New Roman" w:eastAsia="Times New Roman" w:cs="Times New Roman"/>
                <w:spacing w:val="8"/>
              </w:rPr>
              <w:t xml:space="preserve">2 </w:t>
            </w:r>
            <w:r>
              <w:rPr>
                <w:spacing w:val="8"/>
              </w:rPr>
              <w:t>部分：土壤</w:t>
            </w:r>
            <w:r>
              <w:rPr>
                <w:spacing w:val="-48"/>
              </w:rPr>
              <w:t xml:space="preserve"> </w:t>
            </w:r>
            <w:r>
              <w:rPr>
                <w:rFonts w:ascii="Times New Roman" w:hAnsi="Times New Roman" w:eastAsia="Times New Roman" w:cs="Times New Roman"/>
              </w:rPr>
              <w:t xml:space="preserve">pH </w:t>
            </w:r>
            <w:r>
              <w:rPr>
                <w:spacing w:val="3"/>
              </w:rPr>
              <w:t>的测定》</w:t>
            </w:r>
            <w:r>
              <w:rPr>
                <w:rFonts w:ascii="Times New Roman" w:hAnsi="Times New Roman" w:eastAsia="Times New Roman" w:cs="Times New Roman"/>
              </w:rPr>
              <w:t>NY</w:t>
            </w:r>
            <w:r>
              <w:rPr>
                <w:rFonts w:ascii="Times New Roman" w:hAnsi="Times New Roman" w:eastAsia="Times New Roman" w:cs="Times New Roman"/>
                <w:spacing w:val="3"/>
              </w:rPr>
              <w:t>/T</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1121.2-2006</w:t>
            </w:r>
          </w:p>
        </w:tc>
        <w:tc>
          <w:tcPr>
            <w:tcW w:w="2036" w:type="dxa"/>
            <w:vAlign w:val="top"/>
          </w:tcPr>
          <w:p w14:paraId="1A44E3EC">
            <w:pPr>
              <w:pStyle w:val="6"/>
              <w:spacing w:before="77" w:line="299" w:lineRule="auto"/>
              <w:ind w:left="564" w:right="371" w:hanging="183"/>
              <w:rPr>
                <w:rFonts w:ascii="Times New Roman" w:hAnsi="Times New Roman" w:eastAsia="Times New Roman" w:cs="Times New Roman"/>
              </w:rPr>
            </w:pP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计</w:t>
            </w:r>
            <w:r>
              <w:rPr>
                <w:spacing w:val="-41"/>
              </w:rPr>
              <w:t xml:space="preserve"> </w:t>
            </w:r>
            <w:r>
              <w:rPr>
                <w:rFonts w:ascii="Times New Roman" w:hAnsi="Times New Roman" w:eastAsia="Times New Roman" w:cs="Times New Roman"/>
              </w:rPr>
              <w:t>PHS</w:t>
            </w:r>
            <w:r>
              <w:rPr>
                <w:rFonts w:ascii="Times New Roman" w:hAnsi="Times New Roman" w:eastAsia="Times New Roman" w:cs="Times New Roman"/>
                <w:spacing w:val="9"/>
              </w:rPr>
              <w:t>-3C</w:t>
            </w:r>
            <w:r>
              <w:rPr>
                <w:rFonts w:ascii="Times New Roman" w:hAnsi="Times New Roman" w:eastAsia="Times New Roman" w:cs="Times New Roman"/>
              </w:rPr>
              <w:t xml:space="preserve"> YQ</w:t>
            </w:r>
            <w:r>
              <w:rPr>
                <w:rFonts w:ascii="Times New Roman" w:hAnsi="Times New Roman" w:eastAsia="Times New Roman" w:cs="Times New Roman"/>
                <w:spacing w:val="6"/>
              </w:rPr>
              <w:t>-A-010</w:t>
            </w:r>
          </w:p>
        </w:tc>
        <w:tc>
          <w:tcPr>
            <w:tcW w:w="1447" w:type="dxa"/>
            <w:vAlign w:val="top"/>
          </w:tcPr>
          <w:p w14:paraId="5F8D69BE">
            <w:pPr>
              <w:pStyle w:val="6"/>
              <w:spacing w:before="239" w:line="274" w:lineRule="exact"/>
              <w:ind w:left="166"/>
            </w:pPr>
            <w:r>
              <w:rPr>
                <w:rFonts w:ascii="Times New Roman" w:hAnsi="Times New Roman" w:eastAsia="Times New Roman" w:cs="Times New Roman"/>
                <w:spacing w:val="7"/>
                <w:position w:val="1"/>
              </w:rPr>
              <w:t>/</w:t>
            </w:r>
            <w:r>
              <w:rPr>
                <w:spacing w:val="7"/>
                <w:position w:val="1"/>
              </w:rPr>
              <w:t>（无量纲）</w:t>
            </w:r>
          </w:p>
        </w:tc>
      </w:tr>
      <w:tr w14:paraId="5AC3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125" w:type="dxa"/>
            <w:vAlign w:val="top"/>
          </w:tcPr>
          <w:p w14:paraId="58661F22">
            <w:pPr>
              <w:spacing w:line="320" w:lineRule="auto"/>
              <w:rPr>
                <w:rFonts w:ascii="Arial"/>
                <w:sz w:val="21"/>
              </w:rPr>
            </w:pPr>
          </w:p>
          <w:p w14:paraId="6A7DB6F3">
            <w:pPr>
              <w:pStyle w:val="6"/>
              <w:spacing w:before="65" w:line="229" w:lineRule="auto"/>
              <w:ind w:left="453"/>
            </w:pPr>
            <w:r>
              <w:rPr>
                <w:spacing w:val="5"/>
              </w:rPr>
              <w:t>阳离子交换量</w:t>
            </w:r>
          </w:p>
        </w:tc>
        <w:tc>
          <w:tcPr>
            <w:tcW w:w="3116" w:type="dxa"/>
            <w:vAlign w:val="top"/>
          </w:tcPr>
          <w:p w14:paraId="0B49D93D">
            <w:pPr>
              <w:pStyle w:val="6"/>
              <w:spacing w:before="60" w:line="229" w:lineRule="auto"/>
              <w:ind w:left="204"/>
            </w:pPr>
            <w:r>
              <w:rPr>
                <w:spacing w:val="8"/>
              </w:rPr>
              <w:t>《土壤阳离子交换量的测定三</w:t>
            </w:r>
          </w:p>
          <w:p w14:paraId="59A71BEE">
            <w:pPr>
              <w:pStyle w:val="6"/>
              <w:spacing w:before="78" w:line="228" w:lineRule="auto"/>
              <w:ind w:left="272"/>
            </w:pPr>
            <w:r>
              <w:rPr>
                <w:spacing w:val="8"/>
              </w:rPr>
              <w:t>氯化六氨合钴浸提</w:t>
            </w:r>
            <w:r>
              <w:rPr>
                <w:rFonts w:ascii="Times New Roman" w:hAnsi="Times New Roman" w:eastAsia="Times New Roman" w:cs="Times New Roman"/>
                <w:spacing w:val="8"/>
              </w:rPr>
              <w:t>-</w:t>
            </w:r>
            <w:r>
              <w:rPr>
                <w:spacing w:val="8"/>
              </w:rPr>
              <w:t>分光光度</w:t>
            </w:r>
          </w:p>
          <w:p w14:paraId="0AECA953">
            <w:pPr>
              <w:pStyle w:val="6"/>
              <w:spacing w:before="48" w:line="274" w:lineRule="exact"/>
              <w:ind w:left="809"/>
              <w:rPr>
                <w:rFonts w:ascii="Times New Roman" w:hAnsi="Times New Roman" w:eastAsia="Times New Roman" w:cs="Times New Roman"/>
              </w:rPr>
            </w:pPr>
            <w:r>
              <w:rPr>
                <w:spacing w:val="4"/>
                <w:position w:val="1"/>
              </w:rPr>
              <w:t>法》</w:t>
            </w:r>
            <w:r>
              <w:rPr>
                <w:rFonts w:ascii="Times New Roman" w:hAnsi="Times New Roman" w:eastAsia="Times New Roman" w:cs="Times New Roman"/>
                <w:position w:val="1"/>
              </w:rPr>
              <w:t>HJ</w:t>
            </w:r>
            <w:r>
              <w:rPr>
                <w:rFonts w:ascii="Times New Roman" w:hAnsi="Times New Roman" w:eastAsia="Times New Roman" w:cs="Times New Roman"/>
                <w:spacing w:val="22"/>
                <w:position w:val="1"/>
              </w:rPr>
              <w:t xml:space="preserve"> </w:t>
            </w:r>
            <w:r>
              <w:rPr>
                <w:rFonts w:ascii="Times New Roman" w:hAnsi="Times New Roman" w:eastAsia="Times New Roman" w:cs="Times New Roman"/>
                <w:spacing w:val="4"/>
                <w:position w:val="1"/>
              </w:rPr>
              <w:t>889-2017</w:t>
            </w:r>
          </w:p>
        </w:tc>
        <w:tc>
          <w:tcPr>
            <w:tcW w:w="2036" w:type="dxa"/>
            <w:vAlign w:val="top"/>
          </w:tcPr>
          <w:p w14:paraId="7AF0823D">
            <w:pPr>
              <w:pStyle w:val="6"/>
              <w:spacing w:before="60" w:line="287" w:lineRule="auto"/>
              <w:ind w:left="443" w:right="177" w:hanging="254"/>
              <w:rPr>
                <w:rFonts w:ascii="Times New Roman" w:hAnsi="Times New Roman" w:eastAsia="Times New Roman" w:cs="Times New Roman"/>
              </w:rPr>
            </w:pPr>
            <w:r>
              <w:rPr>
                <w:spacing w:val="8"/>
              </w:rPr>
              <w:t>紫外可见分光光度</w:t>
            </w:r>
            <w:r>
              <w:t xml:space="preserve"> </w:t>
            </w:r>
            <w:r>
              <w:rPr>
                <w:spacing w:val="6"/>
              </w:rPr>
              <w:t>计</w:t>
            </w:r>
            <w:r>
              <w:rPr>
                <w:spacing w:val="-47"/>
              </w:rPr>
              <w:t xml:space="preserve"> </w:t>
            </w:r>
            <w:r>
              <w:rPr>
                <w:rFonts w:ascii="Times New Roman" w:hAnsi="Times New Roman" w:eastAsia="Times New Roman" w:cs="Times New Roman"/>
              </w:rPr>
              <w:t>Ultra</w:t>
            </w:r>
            <w:r>
              <w:rPr>
                <w:rFonts w:ascii="Times New Roman" w:hAnsi="Times New Roman" w:eastAsia="Times New Roman" w:cs="Times New Roman"/>
                <w:spacing w:val="14"/>
                <w:w w:val="101"/>
              </w:rPr>
              <w:t xml:space="preserve"> </w:t>
            </w:r>
            <w:r>
              <w:rPr>
                <w:rFonts w:ascii="Times New Roman" w:hAnsi="Times New Roman" w:eastAsia="Times New Roman" w:cs="Times New Roman"/>
                <w:spacing w:val="6"/>
              </w:rPr>
              <w:t>3660</w:t>
            </w:r>
          </w:p>
          <w:p w14:paraId="474DBC8D">
            <w:pPr>
              <w:spacing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-A-005</w:t>
            </w:r>
          </w:p>
        </w:tc>
        <w:tc>
          <w:tcPr>
            <w:tcW w:w="1447" w:type="dxa"/>
            <w:vAlign w:val="top"/>
          </w:tcPr>
          <w:p w14:paraId="46FCFEA2">
            <w:pPr>
              <w:spacing w:before="193" w:line="274" w:lineRule="exact"/>
              <w:ind w:left="59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p w14:paraId="21598A29">
            <w:pPr>
              <w:pStyle w:val="6"/>
              <w:spacing w:before="52" w:line="274" w:lineRule="exact"/>
              <w:ind w:left="126"/>
            </w:pPr>
            <w:r>
              <w:rPr>
                <w:spacing w:val="7"/>
                <w:position w:val="3"/>
              </w:rPr>
              <w:t>（</w:t>
            </w:r>
            <w:r>
              <w:rPr>
                <w:rFonts w:ascii="Times New Roman" w:hAnsi="Times New Roman" w:eastAsia="Times New Roman" w:cs="Times New Roman"/>
                <w:position w:val="3"/>
              </w:rPr>
              <w:t>cmol</w:t>
            </w:r>
            <w:r>
              <w:rPr>
                <w:rFonts w:ascii="Times New Roman" w:hAnsi="Times New Roman" w:eastAsia="Times New Roman" w:cs="Times New Roman"/>
                <w:spacing w:val="7"/>
                <w:position w:val="3"/>
              </w:rPr>
              <w:t>+/</w:t>
            </w:r>
            <w:r>
              <w:rPr>
                <w:rFonts w:ascii="Times New Roman" w:hAnsi="Times New Roman" w:eastAsia="Times New Roman" w:cs="Times New Roman"/>
                <w:position w:val="3"/>
              </w:rPr>
              <w:t>kg</w:t>
            </w:r>
            <w:r>
              <w:rPr>
                <w:spacing w:val="7"/>
                <w:position w:val="3"/>
              </w:rPr>
              <w:t>）</w:t>
            </w:r>
          </w:p>
        </w:tc>
      </w:tr>
      <w:tr w14:paraId="1A942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125" w:type="dxa"/>
            <w:vAlign w:val="top"/>
          </w:tcPr>
          <w:p w14:paraId="06560E2D">
            <w:pPr>
              <w:pStyle w:val="6"/>
              <w:spacing w:before="70" w:line="228" w:lineRule="auto"/>
              <w:ind w:left="438"/>
            </w:pPr>
            <w:r>
              <w:rPr>
                <w:spacing w:val="8"/>
              </w:rPr>
              <w:t>氧化还原电位</w:t>
            </w:r>
          </w:p>
        </w:tc>
        <w:tc>
          <w:tcPr>
            <w:tcW w:w="3116" w:type="dxa"/>
            <w:vAlign w:val="top"/>
          </w:tcPr>
          <w:p w14:paraId="75A715A7">
            <w:pPr>
              <w:pStyle w:val="6"/>
              <w:spacing w:before="70" w:line="228" w:lineRule="auto"/>
              <w:ind w:left="204"/>
            </w:pPr>
            <w:r>
              <w:rPr>
                <w:spacing w:val="8"/>
              </w:rPr>
              <w:t>《土壤氧化还原电位的测定电</w:t>
            </w:r>
          </w:p>
        </w:tc>
        <w:tc>
          <w:tcPr>
            <w:tcW w:w="2036" w:type="dxa"/>
            <w:vAlign w:val="top"/>
          </w:tcPr>
          <w:p w14:paraId="00A94488">
            <w:pPr>
              <w:pStyle w:val="6"/>
              <w:spacing w:before="39" w:line="275" w:lineRule="exact"/>
              <w:ind w:left="206"/>
              <w:rPr>
                <w:rFonts w:ascii="Times New Roman" w:hAnsi="Times New Roman" w:eastAsia="Times New Roman" w:cs="Times New Roman"/>
              </w:rPr>
            </w:pPr>
            <w:r>
              <w:rPr>
                <w:rFonts w:ascii="Times New Roman" w:hAnsi="Times New Roman" w:eastAsia="Times New Roman" w:cs="Times New Roman"/>
                <w:position w:val="1"/>
              </w:rPr>
              <w:t>PH</w:t>
            </w:r>
            <w:r>
              <w:rPr>
                <w:rFonts w:ascii="Times New Roman" w:hAnsi="Times New Roman" w:eastAsia="Times New Roman" w:cs="Times New Roman"/>
                <w:spacing w:val="9"/>
                <w:position w:val="1"/>
              </w:rPr>
              <w:t>/</w:t>
            </w:r>
            <w:r>
              <w:rPr>
                <w:rFonts w:ascii="Times New Roman" w:hAnsi="Times New Roman" w:eastAsia="Times New Roman" w:cs="Times New Roman"/>
                <w:position w:val="1"/>
              </w:rPr>
              <w:t>ORP</w:t>
            </w:r>
            <w:r>
              <w:rPr>
                <w:rFonts w:ascii="Times New Roman" w:hAnsi="Times New Roman" w:eastAsia="Times New Roman" w:cs="Times New Roman"/>
                <w:spacing w:val="9"/>
                <w:position w:val="1"/>
              </w:rPr>
              <w:t xml:space="preserve"> </w:t>
            </w:r>
            <w:r>
              <w:rPr>
                <w:spacing w:val="9"/>
                <w:position w:val="1"/>
              </w:rPr>
              <w:t>计</w:t>
            </w:r>
            <w:r>
              <w:rPr>
                <w:spacing w:val="-32"/>
                <w:position w:val="1"/>
              </w:rPr>
              <w:t xml:space="preserve"> </w:t>
            </w:r>
            <w:r>
              <w:rPr>
                <w:rFonts w:ascii="Times New Roman" w:hAnsi="Times New Roman" w:eastAsia="Times New Roman" w:cs="Times New Roman"/>
                <w:position w:val="1"/>
              </w:rPr>
              <w:t>SX</w:t>
            </w:r>
            <w:r>
              <w:rPr>
                <w:rFonts w:ascii="Times New Roman" w:hAnsi="Times New Roman" w:eastAsia="Times New Roman" w:cs="Times New Roman"/>
                <w:spacing w:val="9"/>
                <w:position w:val="1"/>
              </w:rPr>
              <w:t>721</w:t>
            </w:r>
          </w:p>
        </w:tc>
        <w:tc>
          <w:tcPr>
            <w:tcW w:w="1447" w:type="dxa"/>
            <w:vAlign w:val="top"/>
          </w:tcPr>
          <w:p w14:paraId="3DC00B39">
            <w:pPr>
              <w:pStyle w:val="6"/>
              <w:spacing w:before="39" w:line="275" w:lineRule="exact"/>
              <w:ind w:left="324"/>
            </w:pPr>
            <w:r>
              <w:rPr>
                <w:rFonts w:ascii="Times New Roman" w:hAnsi="Times New Roman" w:eastAsia="Times New Roman" w:cs="Times New Roman"/>
                <w:spacing w:val="8"/>
                <w:position w:val="1"/>
              </w:rPr>
              <w:t>/</w:t>
            </w:r>
            <w:r>
              <w:rPr>
                <w:spacing w:val="8"/>
                <w:position w:val="1"/>
              </w:rPr>
              <w:t>（</w:t>
            </w:r>
            <w:r>
              <w:rPr>
                <w:rFonts w:ascii="Times New Roman" w:hAnsi="Times New Roman" w:eastAsia="Times New Roman" w:cs="Times New Roman"/>
                <w:position w:val="1"/>
              </w:rPr>
              <w:t>mV</w:t>
            </w:r>
            <w:r>
              <w:rPr>
                <w:spacing w:val="8"/>
                <w:position w:val="1"/>
              </w:rPr>
              <w:t>）</w:t>
            </w:r>
          </w:p>
        </w:tc>
      </w:tr>
    </w:tbl>
    <w:p w14:paraId="3DF29803">
      <w:pPr>
        <w:pStyle w:val="2"/>
        <w:spacing w:line="40" w:lineRule="exact"/>
        <w:rPr>
          <w:sz w:val="3"/>
        </w:rPr>
      </w:pPr>
    </w:p>
    <w:p w14:paraId="70B924CF">
      <w:pPr>
        <w:spacing w:line="40" w:lineRule="exact"/>
        <w:rPr>
          <w:sz w:val="3"/>
          <w:szCs w:val="3"/>
        </w:rPr>
        <w:sectPr>
          <w:footerReference r:id="rId106" w:type="default"/>
          <w:pgSz w:w="11906" w:h="16839"/>
          <w:pgMar w:top="400" w:right="1557" w:bottom="1485" w:left="1475" w:header="0" w:footer="1249" w:gutter="0"/>
          <w:cols w:space="720" w:num="1"/>
        </w:sectPr>
      </w:pPr>
    </w:p>
    <w:p w14:paraId="4A44D1AE">
      <w:pPr>
        <w:spacing w:before="13"/>
      </w:pPr>
    </w:p>
    <w:p w14:paraId="57F88985">
      <w:pPr>
        <w:spacing w:before="13"/>
      </w:pPr>
    </w:p>
    <w:p w14:paraId="26A23196">
      <w:pPr>
        <w:spacing w:before="13"/>
      </w:pPr>
    </w:p>
    <w:p w14:paraId="4E59E264">
      <w:pPr>
        <w:spacing w:before="13"/>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3116"/>
        <w:gridCol w:w="2036"/>
        <w:gridCol w:w="1447"/>
      </w:tblGrid>
      <w:tr w14:paraId="02FA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125" w:type="dxa"/>
            <w:vAlign w:val="top"/>
          </w:tcPr>
          <w:p w14:paraId="64A0E146">
            <w:pPr>
              <w:pStyle w:val="6"/>
              <w:spacing w:before="71" w:line="228" w:lineRule="auto"/>
              <w:ind w:left="649"/>
            </w:pPr>
            <w:r>
              <w:rPr>
                <w:b/>
                <w:bCs/>
                <w:spacing w:val="6"/>
              </w:rPr>
              <w:t>检测项目</w:t>
            </w:r>
          </w:p>
        </w:tc>
        <w:tc>
          <w:tcPr>
            <w:tcW w:w="3116" w:type="dxa"/>
            <w:vAlign w:val="top"/>
          </w:tcPr>
          <w:p w14:paraId="62DC517E">
            <w:pPr>
              <w:pStyle w:val="6"/>
              <w:spacing w:before="71" w:line="228" w:lineRule="auto"/>
              <w:ind w:left="1142"/>
            </w:pPr>
            <w:r>
              <w:rPr>
                <w:b/>
                <w:bCs/>
                <w:spacing w:val="6"/>
              </w:rPr>
              <w:t>检测方法</w:t>
            </w:r>
          </w:p>
        </w:tc>
        <w:tc>
          <w:tcPr>
            <w:tcW w:w="2036" w:type="dxa"/>
            <w:vAlign w:val="top"/>
          </w:tcPr>
          <w:p w14:paraId="34E39C57">
            <w:pPr>
              <w:pStyle w:val="6"/>
              <w:spacing w:before="71" w:line="228" w:lineRule="auto"/>
              <w:ind w:left="606"/>
            </w:pPr>
            <w:r>
              <w:rPr>
                <w:b/>
                <w:bCs/>
                <w:spacing w:val="5"/>
              </w:rPr>
              <w:t>分析仪器</w:t>
            </w:r>
          </w:p>
        </w:tc>
        <w:tc>
          <w:tcPr>
            <w:tcW w:w="1447" w:type="dxa"/>
            <w:vAlign w:val="top"/>
          </w:tcPr>
          <w:p w14:paraId="355E4001">
            <w:pPr>
              <w:pStyle w:val="6"/>
              <w:spacing w:before="71" w:line="228" w:lineRule="auto"/>
              <w:ind w:left="413"/>
            </w:pPr>
            <w:r>
              <w:rPr>
                <w:b/>
                <w:bCs/>
                <w:spacing w:val="5"/>
              </w:rPr>
              <w:t>检出限</w:t>
            </w:r>
          </w:p>
        </w:tc>
      </w:tr>
      <w:tr w14:paraId="7CD2B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125" w:type="dxa"/>
            <w:vAlign w:val="top"/>
          </w:tcPr>
          <w:p w14:paraId="2A40CB63">
            <w:pPr>
              <w:rPr>
                <w:rFonts w:ascii="Arial"/>
                <w:sz w:val="21"/>
              </w:rPr>
            </w:pPr>
          </w:p>
        </w:tc>
        <w:tc>
          <w:tcPr>
            <w:tcW w:w="3116" w:type="dxa"/>
            <w:vAlign w:val="top"/>
          </w:tcPr>
          <w:p w14:paraId="1B45C1DB">
            <w:pPr>
              <w:pStyle w:val="6"/>
              <w:spacing w:before="59" w:line="230" w:lineRule="auto"/>
              <w:ind w:left="1248"/>
            </w:pPr>
            <w:r>
              <w:rPr>
                <w:spacing w:val="3"/>
              </w:rPr>
              <w:t>位法》</w:t>
            </w:r>
          </w:p>
          <w:p w14:paraId="24827922">
            <w:pPr>
              <w:spacing w:before="44" w:line="274" w:lineRule="exact"/>
              <w:ind w:left="10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HJ</w:t>
            </w:r>
            <w:r>
              <w:rPr>
                <w:rFonts w:ascii="Times New Roman" w:hAnsi="Times New Roman" w:eastAsia="Times New Roman" w:cs="Times New Roman"/>
                <w:spacing w:val="5"/>
                <w:position w:val="2"/>
                <w:sz w:val="20"/>
                <w:szCs w:val="20"/>
              </w:rPr>
              <w:t xml:space="preserve"> 746-2015</w:t>
            </w:r>
          </w:p>
        </w:tc>
        <w:tc>
          <w:tcPr>
            <w:tcW w:w="2036" w:type="dxa"/>
            <w:vAlign w:val="top"/>
          </w:tcPr>
          <w:p w14:paraId="123C5EAF">
            <w:pPr>
              <w:spacing w:before="28"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-A-178</w:t>
            </w:r>
          </w:p>
        </w:tc>
        <w:tc>
          <w:tcPr>
            <w:tcW w:w="1447" w:type="dxa"/>
            <w:vAlign w:val="top"/>
          </w:tcPr>
          <w:p w14:paraId="663F345C">
            <w:pPr>
              <w:rPr>
                <w:rFonts w:ascii="Arial"/>
                <w:sz w:val="21"/>
              </w:rPr>
            </w:pPr>
          </w:p>
        </w:tc>
      </w:tr>
      <w:tr w14:paraId="01BF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125" w:type="dxa"/>
            <w:vAlign w:val="top"/>
          </w:tcPr>
          <w:p w14:paraId="61A01484">
            <w:pPr>
              <w:pStyle w:val="6"/>
              <w:spacing w:before="220" w:line="229" w:lineRule="auto"/>
              <w:ind w:left="650"/>
            </w:pPr>
            <w:r>
              <w:rPr>
                <w:spacing w:val="7"/>
              </w:rPr>
              <w:t>土壤容重</w:t>
            </w:r>
          </w:p>
        </w:tc>
        <w:tc>
          <w:tcPr>
            <w:tcW w:w="3116" w:type="dxa"/>
            <w:vAlign w:val="top"/>
          </w:tcPr>
          <w:p w14:paraId="5CB5B2E0">
            <w:pPr>
              <w:pStyle w:val="6"/>
              <w:spacing w:before="27" w:line="286" w:lineRule="auto"/>
              <w:ind w:left="362" w:right="106" w:hanging="244"/>
              <w:rPr>
                <w:rFonts w:ascii="Times New Roman" w:hAnsi="Times New Roman" w:eastAsia="Times New Roman" w:cs="Times New Roman"/>
              </w:rPr>
            </w:pPr>
            <w:r>
              <w:rPr>
                <w:spacing w:val="5"/>
              </w:rPr>
              <w:t>《土壤检测第</w:t>
            </w:r>
            <w:r>
              <w:rPr>
                <w:spacing w:val="-41"/>
              </w:rPr>
              <w:t xml:space="preserve"> </w:t>
            </w:r>
            <w:r>
              <w:rPr>
                <w:rFonts w:ascii="Times New Roman" w:hAnsi="Times New Roman" w:eastAsia="Times New Roman" w:cs="Times New Roman"/>
                <w:spacing w:val="5"/>
              </w:rPr>
              <w:t xml:space="preserve">4 </w:t>
            </w:r>
            <w:r>
              <w:rPr>
                <w:spacing w:val="5"/>
              </w:rPr>
              <w:t>部分：土壤容重</w:t>
            </w:r>
            <w:r>
              <w:t xml:space="preserve"> </w:t>
            </w:r>
            <w:r>
              <w:rPr>
                <w:spacing w:val="3"/>
              </w:rPr>
              <w:t>的测定》</w:t>
            </w:r>
            <w:r>
              <w:rPr>
                <w:rFonts w:ascii="Times New Roman" w:hAnsi="Times New Roman" w:eastAsia="Times New Roman" w:cs="Times New Roman"/>
              </w:rPr>
              <w:t>NY</w:t>
            </w:r>
            <w:r>
              <w:rPr>
                <w:rFonts w:ascii="Times New Roman" w:hAnsi="Times New Roman" w:eastAsia="Times New Roman" w:cs="Times New Roman"/>
                <w:spacing w:val="3"/>
              </w:rPr>
              <w:t>/T</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1121.4-2006</w:t>
            </w:r>
          </w:p>
        </w:tc>
        <w:tc>
          <w:tcPr>
            <w:tcW w:w="2036" w:type="dxa"/>
            <w:vAlign w:val="top"/>
          </w:tcPr>
          <w:p w14:paraId="032A6DC4">
            <w:pPr>
              <w:pStyle w:val="6"/>
              <w:spacing w:before="27" w:line="299" w:lineRule="auto"/>
              <w:ind w:left="564" w:right="240" w:hanging="308"/>
              <w:rPr>
                <w:rFonts w:ascii="Times New Roman" w:hAnsi="Times New Roman" w:eastAsia="Times New Roman" w:cs="Times New Roman"/>
              </w:rPr>
            </w:pPr>
            <w:r>
              <w:rPr>
                <w:spacing w:val="6"/>
              </w:rPr>
              <w:t>分析天平</w:t>
            </w:r>
            <w:r>
              <w:rPr>
                <w:spacing w:val="-38"/>
              </w:rPr>
              <w:t xml:space="preserve"> </w:t>
            </w:r>
            <w:r>
              <w:rPr>
                <w:rFonts w:ascii="Times New Roman" w:hAnsi="Times New Roman" w:eastAsia="Times New Roman" w:cs="Times New Roman"/>
              </w:rPr>
              <w:t>JY</w:t>
            </w:r>
            <w:r>
              <w:rPr>
                <w:rFonts w:ascii="Times New Roman" w:hAnsi="Times New Roman" w:eastAsia="Times New Roman" w:cs="Times New Roman"/>
                <w:spacing w:val="6"/>
              </w:rPr>
              <w:t>3003</w:t>
            </w:r>
            <w:r>
              <w:rPr>
                <w:rFonts w:ascii="Times New Roman" w:hAnsi="Times New Roman" w:eastAsia="Times New Roman" w:cs="Times New Roman"/>
              </w:rPr>
              <w:t xml:space="preserve"> YQ</w:t>
            </w:r>
            <w:r>
              <w:rPr>
                <w:rFonts w:ascii="Times New Roman" w:hAnsi="Times New Roman" w:eastAsia="Times New Roman" w:cs="Times New Roman"/>
                <w:spacing w:val="6"/>
              </w:rPr>
              <w:t>-A-017</w:t>
            </w:r>
          </w:p>
        </w:tc>
        <w:tc>
          <w:tcPr>
            <w:tcW w:w="1447" w:type="dxa"/>
            <w:vAlign w:val="top"/>
          </w:tcPr>
          <w:p w14:paraId="653BBF8E">
            <w:pPr>
              <w:spacing w:before="189" w:line="275"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/(g/</w:t>
            </w:r>
            <w:r>
              <w:rPr>
                <w:rFonts w:ascii="Times New Roman" w:hAnsi="Times New Roman" w:eastAsia="Times New Roman" w:cs="Times New Roman"/>
                <w:position w:val="3"/>
                <w:sz w:val="20"/>
                <w:szCs w:val="20"/>
              </w:rPr>
              <w:t>cm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position w:val="3"/>
                <w:sz w:val="20"/>
                <w:szCs w:val="20"/>
              </w:rPr>
              <w:t>)</w:t>
            </w:r>
          </w:p>
        </w:tc>
      </w:tr>
      <w:tr w14:paraId="6756D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125" w:type="dxa"/>
            <w:vAlign w:val="top"/>
          </w:tcPr>
          <w:p w14:paraId="69F05F6B">
            <w:pPr>
              <w:pStyle w:val="6"/>
              <w:spacing w:before="221" w:line="229" w:lineRule="auto"/>
              <w:ind w:left="651"/>
            </w:pPr>
            <w:r>
              <w:rPr>
                <w:spacing w:val="6"/>
              </w:rPr>
              <w:t>总孔隙度</w:t>
            </w:r>
          </w:p>
        </w:tc>
        <w:tc>
          <w:tcPr>
            <w:tcW w:w="3116" w:type="dxa"/>
            <w:vAlign w:val="top"/>
          </w:tcPr>
          <w:p w14:paraId="70E9448C">
            <w:pPr>
              <w:pStyle w:val="6"/>
              <w:spacing w:before="57" w:line="272" w:lineRule="auto"/>
              <w:ind w:left="657" w:right="159" w:hanging="489"/>
              <w:rPr>
                <w:rFonts w:ascii="Times New Roman" w:hAnsi="Times New Roman" w:eastAsia="Times New Roman" w:cs="Times New Roman"/>
              </w:rPr>
            </w:pPr>
            <w:r>
              <w:rPr>
                <w:spacing w:val="8"/>
              </w:rPr>
              <w:t>《森林土壤水分</w:t>
            </w:r>
            <w:r>
              <w:rPr>
                <w:rFonts w:ascii="Times New Roman" w:hAnsi="Times New Roman" w:eastAsia="Times New Roman" w:cs="Times New Roman"/>
                <w:spacing w:val="8"/>
              </w:rPr>
              <w:t>-</w:t>
            </w:r>
            <w:r>
              <w:rPr>
                <w:spacing w:val="8"/>
              </w:rPr>
              <w:t>物理性质的测</w:t>
            </w:r>
            <w:r>
              <w:rPr>
                <w:spacing w:val="3"/>
              </w:rPr>
              <w:t xml:space="preserve"> </w:t>
            </w:r>
            <w:r>
              <w:rPr>
                <w:spacing w:val="1"/>
              </w:rPr>
              <w:t>定》</w:t>
            </w:r>
            <w:r>
              <w:rPr>
                <w:rFonts w:ascii="Times New Roman" w:hAnsi="Times New Roman" w:eastAsia="Times New Roman" w:cs="Times New Roman"/>
              </w:rPr>
              <w:t>LY</w:t>
            </w:r>
            <w:r>
              <w:rPr>
                <w:rFonts w:ascii="Times New Roman" w:hAnsi="Times New Roman" w:eastAsia="Times New Roman" w:cs="Times New Roman"/>
                <w:spacing w:val="1"/>
              </w:rPr>
              <w:t>/T</w:t>
            </w:r>
            <w:r>
              <w:rPr>
                <w:rFonts w:ascii="Times New Roman" w:hAnsi="Times New Roman" w:eastAsia="Times New Roman" w:cs="Times New Roman"/>
                <w:spacing w:val="34"/>
                <w:w w:val="101"/>
              </w:rPr>
              <w:t xml:space="preserve"> </w:t>
            </w:r>
            <w:r>
              <w:rPr>
                <w:rFonts w:ascii="Times New Roman" w:hAnsi="Times New Roman" w:eastAsia="Times New Roman" w:cs="Times New Roman"/>
                <w:spacing w:val="1"/>
              </w:rPr>
              <w:t>1215-1999</w:t>
            </w:r>
          </w:p>
        </w:tc>
        <w:tc>
          <w:tcPr>
            <w:tcW w:w="2036" w:type="dxa"/>
            <w:vAlign w:val="top"/>
          </w:tcPr>
          <w:p w14:paraId="40D9D46E">
            <w:pPr>
              <w:pStyle w:val="6"/>
              <w:spacing w:before="27" w:line="299" w:lineRule="auto"/>
              <w:ind w:left="564" w:right="240" w:hanging="308"/>
              <w:rPr>
                <w:rFonts w:ascii="Times New Roman" w:hAnsi="Times New Roman" w:eastAsia="Times New Roman" w:cs="Times New Roman"/>
              </w:rPr>
            </w:pPr>
            <w:r>
              <w:rPr>
                <w:spacing w:val="6"/>
              </w:rPr>
              <w:t>分析天平</w:t>
            </w:r>
            <w:r>
              <w:rPr>
                <w:spacing w:val="-38"/>
              </w:rPr>
              <w:t xml:space="preserve"> </w:t>
            </w:r>
            <w:r>
              <w:rPr>
                <w:rFonts w:ascii="Times New Roman" w:hAnsi="Times New Roman" w:eastAsia="Times New Roman" w:cs="Times New Roman"/>
              </w:rPr>
              <w:t>JY</w:t>
            </w:r>
            <w:r>
              <w:rPr>
                <w:rFonts w:ascii="Times New Roman" w:hAnsi="Times New Roman" w:eastAsia="Times New Roman" w:cs="Times New Roman"/>
                <w:spacing w:val="6"/>
              </w:rPr>
              <w:t>3003</w:t>
            </w:r>
            <w:r>
              <w:rPr>
                <w:rFonts w:ascii="Times New Roman" w:hAnsi="Times New Roman" w:eastAsia="Times New Roman" w:cs="Times New Roman"/>
              </w:rPr>
              <w:t xml:space="preserve"> YQ</w:t>
            </w:r>
            <w:r>
              <w:rPr>
                <w:rFonts w:ascii="Times New Roman" w:hAnsi="Times New Roman" w:eastAsia="Times New Roman" w:cs="Times New Roman"/>
                <w:spacing w:val="6"/>
              </w:rPr>
              <w:t>-A-017</w:t>
            </w:r>
          </w:p>
        </w:tc>
        <w:tc>
          <w:tcPr>
            <w:tcW w:w="1447" w:type="dxa"/>
            <w:vAlign w:val="top"/>
          </w:tcPr>
          <w:p w14:paraId="3FF6799F">
            <w:pPr>
              <w:spacing w:before="190"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p>
        </w:tc>
      </w:tr>
      <w:tr w14:paraId="06F46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2125" w:type="dxa"/>
            <w:vAlign w:val="top"/>
          </w:tcPr>
          <w:p w14:paraId="2CF0AD24">
            <w:pPr>
              <w:rPr>
                <w:rFonts w:ascii="Arial"/>
                <w:sz w:val="21"/>
              </w:rPr>
            </w:pPr>
          </w:p>
          <w:p w14:paraId="53FF91B7">
            <w:pPr>
              <w:rPr>
                <w:rFonts w:ascii="Arial"/>
                <w:sz w:val="21"/>
              </w:rPr>
            </w:pPr>
          </w:p>
          <w:p w14:paraId="23E96932">
            <w:pPr>
              <w:pStyle w:val="6"/>
              <w:spacing w:before="65" w:line="229" w:lineRule="auto"/>
              <w:ind w:left="962"/>
            </w:pPr>
            <w:r>
              <w:rPr>
                <w:spacing w:val="1"/>
              </w:rPr>
              <w:t>砷</w:t>
            </w:r>
          </w:p>
        </w:tc>
        <w:tc>
          <w:tcPr>
            <w:tcW w:w="3116" w:type="dxa"/>
            <w:vAlign w:val="top"/>
          </w:tcPr>
          <w:p w14:paraId="1FA647C6">
            <w:pPr>
              <w:pStyle w:val="6"/>
              <w:spacing w:before="58" w:line="229" w:lineRule="auto"/>
              <w:ind w:left="118"/>
            </w:pPr>
            <w:r>
              <w:rPr>
                <w:spacing w:val="6"/>
              </w:rPr>
              <w:t>《土壤质量总汞、总砷、总铅的</w:t>
            </w:r>
          </w:p>
          <w:p w14:paraId="032051D4">
            <w:pPr>
              <w:pStyle w:val="6"/>
              <w:spacing w:before="47" w:line="274" w:lineRule="exact"/>
              <w:ind w:left="113"/>
            </w:pPr>
            <w:r>
              <w:rPr>
                <w:spacing w:val="5"/>
                <w:position w:val="1"/>
              </w:rPr>
              <w:t>测定原子荧光法第</w:t>
            </w:r>
            <w:r>
              <w:rPr>
                <w:spacing w:val="-36"/>
                <w:position w:val="1"/>
              </w:rPr>
              <w:t xml:space="preserve"> </w:t>
            </w:r>
            <w:r>
              <w:rPr>
                <w:rFonts w:ascii="Times New Roman" w:hAnsi="Times New Roman" w:eastAsia="Times New Roman" w:cs="Times New Roman"/>
                <w:spacing w:val="5"/>
                <w:position w:val="1"/>
              </w:rPr>
              <w:t xml:space="preserve">2 </w:t>
            </w:r>
            <w:r>
              <w:rPr>
                <w:spacing w:val="5"/>
                <w:position w:val="1"/>
              </w:rPr>
              <w:t>部分：土壤</w:t>
            </w:r>
          </w:p>
          <w:p w14:paraId="385B6E17">
            <w:pPr>
              <w:pStyle w:val="6"/>
              <w:spacing w:before="52" w:line="274" w:lineRule="exact"/>
              <w:ind w:left="610"/>
              <w:rPr>
                <w:rFonts w:ascii="Times New Roman" w:hAnsi="Times New Roman" w:eastAsia="Times New Roman" w:cs="Times New Roman"/>
              </w:rPr>
            </w:pPr>
            <w:r>
              <w:rPr>
                <w:spacing w:val="7"/>
                <w:position w:val="1"/>
              </w:rPr>
              <w:t>中总砷的测定》</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/T</w:t>
            </w:r>
          </w:p>
          <w:p w14:paraId="560B980B">
            <w:pPr>
              <w:spacing w:before="52" w:line="274" w:lineRule="exact"/>
              <w:ind w:left="97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22105.2-2008</w:t>
            </w:r>
          </w:p>
        </w:tc>
        <w:tc>
          <w:tcPr>
            <w:tcW w:w="2036" w:type="dxa"/>
            <w:vAlign w:val="top"/>
          </w:tcPr>
          <w:p w14:paraId="105C778B">
            <w:pPr>
              <w:pStyle w:val="6"/>
              <w:spacing w:before="221" w:line="229" w:lineRule="auto"/>
              <w:ind w:left="184"/>
            </w:pPr>
            <w:r>
              <w:rPr>
                <w:spacing w:val="8"/>
              </w:rPr>
              <w:t>双道全自动原子荧</w:t>
            </w:r>
          </w:p>
          <w:p w14:paraId="256BA566">
            <w:pPr>
              <w:pStyle w:val="6"/>
              <w:spacing w:before="47" w:line="274" w:lineRule="exact"/>
              <w:ind w:left="133"/>
              <w:rPr>
                <w:rFonts w:ascii="Times New Roman" w:hAnsi="Times New Roman" w:eastAsia="Times New Roman" w:cs="Times New Roman"/>
              </w:rPr>
            </w:pPr>
            <w:r>
              <w:rPr>
                <w:spacing w:val="7"/>
                <w:position w:val="1"/>
              </w:rPr>
              <w:t>光光度计</w:t>
            </w:r>
            <w:r>
              <w:rPr>
                <w:spacing w:val="-39"/>
                <w:position w:val="1"/>
              </w:rPr>
              <w:t xml:space="preserve"> </w:t>
            </w:r>
            <w:r>
              <w:rPr>
                <w:rFonts w:ascii="Times New Roman" w:hAnsi="Times New Roman" w:eastAsia="Times New Roman" w:cs="Times New Roman"/>
                <w:position w:val="1"/>
              </w:rPr>
              <w:t>AFS</w:t>
            </w:r>
            <w:r>
              <w:rPr>
                <w:rFonts w:ascii="Times New Roman" w:hAnsi="Times New Roman" w:eastAsia="Times New Roman" w:cs="Times New Roman"/>
                <w:spacing w:val="7"/>
                <w:position w:val="1"/>
              </w:rPr>
              <w:t>-230E</w:t>
            </w:r>
          </w:p>
          <w:p w14:paraId="21223862">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-A-004</w:t>
            </w:r>
          </w:p>
        </w:tc>
        <w:tc>
          <w:tcPr>
            <w:tcW w:w="1447" w:type="dxa"/>
            <w:vAlign w:val="top"/>
          </w:tcPr>
          <w:p w14:paraId="1384741D">
            <w:pPr>
              <w:spacing w:line="456" w:lineRule="auto"/>
              <w:rPr>
                <w:rFonts w:ascii="Arial"/>
                <w:sz w:val="21"/>
              </w:rPr>
            </w:pPr>
          </w:p>
          <w:p w14:paraId="70EA2260">
            <w:pPr>
              <w:spacing w:before="58"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455F6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6A3D9DA1">
            <w:pPr>
              <w:spacing w:line="317" w:lineRule="auto"/>
              <w:rPr>
                <w:rFonts w:ascii="Arial"/>
                <w:sz w:val="21"/>
              </w:rPr>
            </w:pPr>
          </w:p>
          <w:p w14:paraId="447B0FC2">
            <w:pPr>
              <w:pStyle w:val="6"/>
              <w:spacing w:before="65" w:line="231" w:lineRule="auto"/>
              <w:ind w:left="962"/>
            </w:pPr>
            <w:r>
              <w:rPr>
                <w:spacing w:val="2"/>
              </w:rPr>
              <w:t>镉</w:t>
            </w:r>
          </w:p>
        </w:tc>
        <w:tc>
          <w:tcPr>
            <w:tcW w:w="3116" w:type="dxa"/>
            <w:vAlign w:val="top"/>
          </w:tcPr>
          <w:p w14:paraId="28F8E4B7">
            <w:pPr>
              <w:pStyle w:val="6"/>
              <w:spacing w:before="60" w:line="229" w:lineRule="auto"/>
              <w:ind w:left="118"/>
            </w:pPr>
            <w:r>
              <w:rPr>
                <w:spacing w:val="6"/>
              </w:rPr>
              <w:t>《土壤质量铅、镉的测定石墨炉</w:t>
            </w:r>
          </w:p>
          <w:p w14:paraId="754BA7A7">
            <w:pPr>
              <w:pStyle w:val="6"/>
              <w:spacing w:before="45" w:line="274" w:lineRule="exact"/>
              <w:ind w:left="281"/>
              <w:rPr>
                <w:rFonts w:ascii="Times New Roman" w:hAnsi="Times New Roman" w:eastAsia="Times New Roman" w:cs="Times New Roman"/>
              </w:rPr>
            </w:pPr>
            <w:r>
              <w:rPr>
                <w:spacing w:val="8"/>
                <w:position w:val="1"/>
              </w:rPr>
              <w:t>原子吸收分光光度法》</w:t>
            </w:r>
            <w:r>
              <w:rPr>
                <w:rFonts w:ascii="Times New Roman" w:hAnsi="Times New Roman" w:eastAsia="Times New Roman" w:cs="Times New Roman"/>
                <w:position w:val="1"/>
              </w:rPr>
              <w:t>GB</w:t>
            </w:r>
            <w:r>
              <w:rPr>
                <w:rFonts w:ascii="Times New Roman" w:hAnsi="Times New Roman" w:eastAsia="Times New Roman" w:cs="Times New Roman"/>
                <w:spacing w:val="8"/>
                <w:position w:val="1"/>
              </w:rPr>
              <w:t>/T</w:t>
            </w:r>
          </w:p>
          <w:p w14:paraId="1B59C59F">
            <w:pPr>
              <w:spacing w:before="52" w:line="274" w:lineRule="exact"/>
              <w:ind w:left="10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17141-1997</w:t>
            </w:r>
          </w:p>
        </w:tc>
        <w:tc>
          <w:tcPr>
            <w:tcW w:w="2036" w:type="dxa"/>
            <w:vAlign w:val="top"/>
          </w:tcPr>
          <w:p w14:paraId="2C73D5F7">
            <w:pPr>
              <w:pStyle w:val="6"/>
              <w:spacing w:before="60" w:line="228" w:lineRule="auto"/>
              <w:ind w:left="185"/>
            </w:pPr>
            <w:r>
              <w:rPr>
                <w:spacing w:val="8"/>
              </w:rPr>
              <w:t>石墨炉原子吸收分</w:t>
            </w:r>
          </w:p>
          <w:p w14:paraId="65E85CE1">
            <w:pPr>
              <w:pStyle w:val="6"/>
              <w:spacing w:before="45" w:line="275" w:lineRule="exact"/>
              <w:ind w:left="332"/>
              <w:rPr>
                <w:rFonts w:ascii="Times New Roman" w:hAnsi="Times New Roman" w:eastAsia="Times New Roman" w:cs="Times New Roman"/>
              </w:rPr>
            </w:pPr>
            <w:r>
              <w:rPr>
                <w:spacing w:val="6"/>
                <w:position w:val="1"/>
              </w:rPr>
              <w:t xml:space="preserve">光光度计 </w:t>
            </w:r>
            <w:r>
              <w:rPr>
                <w:rFonts w:ascii="Times New Roman" w:hAnsi="Times New Roman" w:eastAsia="Times New Roman" w:cs="Times New Roman"/>
                <w:spacing w:val="6"/>
                <w:position w:val="1"/>
              </w:rPr>
              <w:t>240Z</w:t>
            </w:r>
          </w:p>
          <w:p w14:paraId="261A6421">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-A-210</w:t>
            </w:r>
          </w:p>
        </w:tc>
        <w:tc>
          <w:tcPr>
            <w:tcW w:w="1447" w:type="dxa"/>
            <w:vAlign w:val="top"/>
          </w:tcPr>
          <w:p w14:paraId="0E552379">
            <w:pPr>
              <w:spacing w:line="294" w:lineRule="auto"/>
              <w:rPr>
                <w:rFonts w:ascii="Arial"/>
                <w:sz w:val="21"/>
              </w:rPr>
            </w:pPr>
          </w:p>
          <w:p w14:paraId="11B1A7CE">
            <w:pPr>
              <w:spacing w:before="57" w:line="275"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1A52F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603095D1">
            <w:pPr>
              <w:spacing w:line="319" w:lineRule="auto"/>
              <w:rPr>
                <w:rFonts w:ascii="Arial"/>
                <w:sz w:val="21"/>
              </w:rPr>
            </w:pPr>
          </w:p>
          <w:p w14:paraId="0ED6F4E3">
            <w:pPr>
              <w:pStyle w:val="6"/>
              <w:spacing w:before="65" w:line="230" w:lineRule="auto"/>
              <w:ind w:left="963"/>
            </w:pPr>
            <w:r>
              <w:t>铜</w:t>
            </w:r>
          </w:p>
        </w:tc>
        <w:tc>
          <w:tcPr>
            <w:tcW w:w="3116" w:type="dxa"/>
            <w:vAlign w:val="top"/>
          </w:tcPr>
          <w:p w14:paraId="33807C71">
            <w:pPr>
              <w:pStyle w:val="6"/>
              <w:spacing w:before="59" w:line="229" w:lineRule="auto"/>
              <w:ind w:right="9"/>
              <w:jc w:val="right"/>
            </w:pPr>
            <w:r>
              <w:rPr>
                <w:spacing w:val="-2"/>
              </w:rPr>
              <w:t>《土壤和沉积物铜、锌、铅、镍、</w:t>
            </w:r>
          </w:p>
          <w:p w14:paraId="43A0AD0F">
            <w:pPr>
              <w:pStyle w:val="6"/>
              <w:spacing w:before="78" w:line="228" w:lineRule="auto"/>
              <w:ind w:left="198"/>
            </w:pPr>
            <w:r>
              <w:rPr>
                <w:spacing w:val="9"/>
              </w:rPr>
              <w:t>铬的测定火焰原子吸收分光光</w:t>
            </w:r>
          </w:p>
          <w:p w14:paraId="58D75DEF">
            <w:pPr>
              <w:pStyle w:val="6"/>
              <w:spacing w:before="48" w:line="274" w:lineRule="exact"/>
              <w:ind w:left="676"/>
              <w:rPr>
                <w:rFonts w:ascii="Times New Roman" w:hAnsi="Times New Roman" w:eastAsia="Times New Roman" w:cs="Times New Roman"/>
              </w:rPr>
            </w:pPr>
            <w:r>
              <w:rPr>
                <w:spacing w:val="5"/>
                <w:position w:val="1"/>
              </w:rPr>
              <w:t>度法》</w:t>
            </w:r>
            <w:r>
              <w:rPr>
                <w:spacing w:val="22"/>
                <w:position w:val="1"/>
              </w:rPr>
              <w:t xml:space="preserve"> </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491-2019</w:t>
            </w:r>
          </w:p>
        </w:tc>
        <w:tc>
          <w:tcPr>
            <w:tcW w:w="2036" w:type="dxa"/>
            <w:vAlign w:val="top"/>
          </w:tcPr>
          <w:p w14:paraId="7D42553C">
            <w:pPr>
              <w:pStyle w:val="6"/>
              <w:spacing w:before="60" w:line="228" w:lineRule="auto"/>
              <w:ind w:left="186"/>
            </w:pPr>
            <w:r>
              <w:rPr>
                <w:spacing w:val="8"/>
              </w:rPr>
              <w:t>火焰原子吸收分光</w:t>
            </w:r>
          </w:p>
          <w:p w14:paraId="5663DB62">
            <w:pPr>
              <w:pStyle w:val="6"/>
              <w:spacing w:before="48" w:line="274" w:lineRule="exact"/>
              <w:ind w:left="267"/>
              <w:rPr>
                <w:rFonts w:ascii="Times New Roman" w:hAnsi="Times New Roman" w:eastAsia="Times New Roman" w:cs="Times New Roman"/>
              </w:rPr>
            </w:pPr>
            <w:r>
              <w:rPr>
                <w:spacing w:val="7"/>
                <w:position w:val="1"/>
              </w:rPr>
              <w:t>光度计</w:t>
            </w:r>
            <w:r>
              <w:rPr>
                <w:spacing w:val="-40"/>
                <w:position w:val="1"/>
              </w:rPr>
              <w:t xml:space="preserve"> </w:t>
            </w:r>
            <w:r>
              <w:rPr>
                <w:rFonts w:ascii="Times New Roman" w:hAnsi="Times New Roman" w:eastAsia="Times New Roman" w:cs="Times New Roman"/>
                <w:position w:val="1"/>
              </w:rPr>
              <w:t>GGX</w:t>
            </w:r>
            <w:r>
              <w:rPr>
                <w:rFonts w:ascii="Times New Roman" w:hAnsi="Times New Roman" w:eastAsia="Times New Roman" w:cs="Times New Roman"/>
                <w:spacing w:val="7"/>
                <w:position w:val="1"/>
              </w:rPr>
              <w:t>-600</w:t>
            </w:r>
          </w:p>
          <w:p w14:paraId="3ADEA644">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-A-003</w:t>
            </w:r>
          </w:p>
        </w:tc>
        <w:tc>
          <w:tcPr>
            <w:tcW w:w="1447" w:type="dxa"/>
            <w:vAlign w:val="top"/>
          </w:tcPr>
          <w:p w14:paraId="18B9CC56">
            <w:pPr>
              <w:spacing w:line="296" w:lineRule="auto"/>
              <w:rPr>
                <w:rFonts w:ascii="Arial"/>
                <w:sz w:val="21"/>
              </w:rPr>
            </w:pPr>
          </w:p>
          <w:p w14:paraId="419C4350">
            <w:pPr>
              <w:spacing w:before="57"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position w:val="3"/>
                <w:sz w:val="20"/>
                <w:szCs w:val="20"/>
              </w:rPr>
              <w:t>kg</w:t>
            </w:r>
          </w:p>
        </w:tc>
      </w:tr>
      <w:tr w14:paraId="573A6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242AE19D">
            <w:pPr>
              <w:spacing w:line="320" w:lineRule="auto"/>
              <w:rPr>
                <w:rFonts w:ascii="Arial"/>
                <w:sz w:val="21"/>
              </w:rPr>
            </w:pPr>
          </w:p>
          <w:p w14:paraId="30ABCC04">
            <w:pPr>
              <w:pStyle w:val="6"/>
              <w:spacing w:before="65" w:line="233" w:lineRule="auto"/>
              <w:ind w:left="963"/>
            </w:pPr>
            <w:r>
              <w:t>铅</w:t>
            </w:r>
          </w:p>
        </w:tc>
        <w:tc>
          <w:tcPr>
            <w:tcW w:w="3116" w:type="dxa"/>
            <w:vAlign w:val="top"/>
          </w:tcPr>
          <w:p w14:paraId="125BA665">
            <w:pPr>
              <w:pStyle w:val="6"/>
              <w:spacing w:before="61" w:line="229" w:lineRule="auto"/>
              <w:ind w:right="9"/>
              <w:jc w:val="right"/>
            </w:pPr>
            <w:r>
              <w:rPr>
                <w:spacing w:val="-2"/>
              </w:rPr>
              <w:t>《土壤和沉积物铜、锌、铅、镍、</w:t>
            </w:r>
          </w:p>
          <w:p w14:paraId="7C785E8B">
            <w:pPr>
              <w:pStyle w:val="6"/>
              <w:spacing w:before="78" w:line="228" w:lineRule="auto"/>
              <w:ind w:left="198"/>
            </w:pPr>
            <w:r>
              <w:rPr>
                <w:spacing w:val="9"/>
              </w:rPr>
              <w:t>铬的测定火焰原子吸收分光光</w:t>
            </w:r>
          </w:p>
          <w:p w14:paraId="5EC6F8A9">
            <w:pPr>
              <w:pStyle w:val="6"/>
              <w:spacing w:before="48" w:line="274" w:lineRule="exact"/>
              <w:ind w:left="676"/>
              <w:rPr>
                <w:rFonts w:ascii="Times New Roman" w:hAnsi="Times New Roman" w:eastAsia="Times New Roman" w:cs="Times New Roman"/>
              </w:rPr>
            </w:pPr>
            <w:r>
              <w:rPr>
                <w:spacing w:val="5"/>
                <w:position w:val="1"/>
              </w:rPr>
              <w:t>度法》</w:t>
            </w:r>
            <w:r>
              <w:rPr>
                <w:spacing w:val="22"/>
                <w:position w:val="1"/>
              </w:rPr>
              <w:t xml:space="preserve"> </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491-2019</w:t>
            </w:r>
          </w:p>
        </w:tc>
        <w:tc>
          <w:tcPr>
            <w:tcW w:w="2036" w:type="dxa"/>
            <w:vAlign w:val="top"/>
          </w:tcPr>
          <w:p w14:paraId="79F072D7">
            <w:pPr>
              <w:pStyle w:val="6"/>
              <w:spacing w:before="62" w:line="228" w:lineRule="auto"/>
              <w:ind w:left="186"/>
            </w:pPr>
            <w:r>
              <w:rPr>
                <w:spacing w:val="8"/>
              </w:rPr>
              <w:t>火焰原子吸收分光</w:t>
            </w:r>
          </w:p>
          <w:p w14:paraId="7A048B9E">
            <w:pPr>
              <w:pStyle w:val="6"/>
              <w:spacing w:before="48" w:line="274" w:lineRule="exact"/>
              <w:ind w:left="267"/>
              <w:rPr>
                <w:rFonts w:ascii="Times New Roman" w:hAnsi="Times New Roman" w:eastAsia="Times New Roman" w:cs="Times New Roman"/>
              </w:rPr>
            </w:pPr>
            <w:r>
              <w:rPr>
                <w:spacing w:val="7"/>
                <w:position w:val="1"/>
              </w:rPr>
              <w:t>光度计</w:t>
            </w:r>
            <w:r>
              <w:rPr>
                <w:spacing w:val="-40"/>
                <w:position w:val="1"/>
              </w:rPr>
              <w:t xml:space="preserve"> </w:t>
            </w:r>
            <w:r>
              <w:rPr>
                <w:rFonts w:ascii="Times New Roman" w:hAnsi="Times New Roman" w:eastAsia="Times New Roman" w:cs="Times New Roman"/>
                <w:position w:val="1"/>
              </w:rPr>
              <w:t>GGX</w:t>
            </w:r>
            <w:r>
              <w:rPr>
                <w:rFonts w:ascii="Times New Roman" w:hAnsi="Times New Roman" w:eastAsia="Times New Roman" w:cs="Times New Roman"/>
                <w:spacing w:val="7"/>
                <w:position w:val="1"/>
              </w:rPr>
              <w:t>-600</w:t>
            </w:r>
          </w:p>
          <w:p w14:paraId="432DACA8">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-A-003</w:t>
            </w:r>
          </w:p>
        </w:tc>
        <w:tc>
          <w:tcPr>
            <w:tcW w:w="1447" w:type="dxa"/>
            <w:vAlign w:val="top"/>
          </w:tcPr>
          <w:p w14:paraId="48C76E7F">
            <w:pPr>
              <w:spacing w:line="298" w:lineRule="auto"/>
              <w:rPr>
                <w:rFonts w:ascii="Arial"/>
                <w:sz w:val="21"/>
              </w:rPr>
            </w:pPr>
          </w:p>
          <w:p w14:paraId="085D41DD">
            <w:pPr>
              <w:spacing w:before="57"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kg</w:t>
            </w:r>
          </w:p>
        </w:tc>
      </w:tr>
      <w:tr w14:paraId="07870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2125" w:type="dxa"/>
            <w:vAlign w:val="top"/>
          </w:tcPr>
          <w:p w14:paraId="777E96E6">
            <w:pPr>
              <w:spacing w:line="241" w:lineRule="auto"/>
              <w:rPr>
                <w:rFonts w:ascii="Arial"/>
                <w:sz w:val="21"/>
              </w:rPr>
            </w:pPr>
          </w:p>
          <w:p w14:paraId="37962D48">
            <w:pPr>
              <w:spacing w:line="241" w:lineRule="auto"/>
              <w:rPr>
                <w:rFonts w:ascii="Arial"/>
                <w:sz w:val="21"/>
              </w:rPr>
            </w:pPr>
          </w:p>
          <w:p w14:paraId="63BAF15C">
            <w:pPr>
              <w:pStyle w:val="6"/>
              <w:spacing w:before="65" w:line="229" w:lineRule="auto"/>
              <w:ind w:left="964"/>
            </w:pPr>
            <w:r>
              <w:t>汞</w:t>
            </w:r>
          </w:p>
        </w:tc>
        <w:tc>
          <w:tcPr>
            <w:tcW w:w="3116" w:type="dxa"/>
            <w:vAlign w:val="top"/>
          </w:tcPr>
          <w:p w14:paraId="492E02B9">
            <w:pPr>
              <w:pStyle w:val="6"/>
              <w:spacing w:before="63" w:line="229" w:lineRule="auto"/>
              <w:ind w:left="118"/>
            </w:pPr>
            <w:r>
              <w:rPr>
                <w:spacing w:val="6"/>
              </w:rPr>
              <w:t>《土壤质量总汞、总砷、总铅的</w:t>
            </w:r>
          </w:p>
          <w:p w14:paraId="75A95F6C">
            <w:pPr>
              <w:pStyle w:val="6"/>
              <w:spacing w:before="45" w:line="274" w:lineRule="exact"/>
              <w:ind w:left="113"/>
            </w:pPr>
            <w:r>
              <w:rPr>
                <w:spacing w:val="4"/>
                <w:position w:val="1"/>
              </w:rPr>
              <w:t>测定原子荧光法第</w:t>
            </w:r>
            <w:r>
              <w:rPr>
                <w:spacing w:val="-21"/>
                <w:position w:val="1"/>
              </w:rPr>
              <w:t xml:space="preserve"> </w:t>
            </w:r>
            <w:r>
              <w:rPr>
                <w:rFonts w:ascii="Times New Roman" w:hAnsi="Times New Roman" w:eastAsia="Times New Roman" w:cs="Times New Roman"/>
                <w:spacing w:val="4"/>
                <w:position w:val="1"/>
              </w:rPr>
              <w:t xml:space="preserve">1 </w:t>
            </w:r>
            <w:r>
              <w:rPr>
                <w:spacing w:val="4"/>
                <w:position w:val="1"/>
              </w:rPr>
              <w:t>部分：土壤</w:t>
            </w:r>
          </w:p>
          <w:p w14:paraId="485B590F">
            <w:pPr>
              <w:pStyle w:val="6"/>
              <w:spacing w:before="83" w:line="229" w:lineRule="auto"/>
              <w:ind w:left="847"/>
            </w:pPr>
            <w:r>
              <w:rPr>
                <w:spacing w:val="4"/>
              </w:rPr>
              <w:t>中总汞的测定》</w:t>
            </w:r>
          </w:p>
          <w:p w14:paraId="60C09057">
            <w:pPr>
              <w:spacing w:before="47" w:line="274" w:lineRule="exact"/>
              <w:ind w:left="73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/T22105.1-2008</w:t>
            </w:r>
          </w:p>
        </w:tc>
        <w:tc>
          <w:tcPr>
            <w:tcW w:w="2036" w:type="dxa"/>
            <w:vAlign w:val="top"/>
          </w:tcPr>
          <w:p w14:paraId="6441EE57">
            <w:pPr>
              <w:pStyle w:val="6"/>
              <w:spacing w:before="224" w:line="229" w:lineRule="auto"/>
              <w:ind w:left="184"/>
            </w:pPr>
            <w:r>
              <w:rPr>
                <w:spacing w:val="8"/>
              </w:rPr>
              <w:t>双道全自动原子荧</w:t>
            </w:r>
          </w:p>
          <w:p w14:paraId="39CEC752">
            <w:pPr>
              <w:pStyle w:val="6"/>
              <w:spacing w:before="47" w:line="274" w:lineRule="exact"/>
              <w:ind w:left="133"/>
              <w:rPr>
                <w:rFonts w:ascii="Times New Roman" w:hAnsi="Times New Roman" w:eastAsia="Times New Roman" w:cs="Times New Roman"/>
              </w:rPr>
            </w:pPr>
            <w:r>
              <w:rPr>
                <w:spacing w:val="7"/>
                <w:position w:val="1"/>
              </w:rPr>
              <w:t>光光度计</w:t>
            </w:r>
            <w:r>
              <w:rPr>
                <w:spacing w:val="-39"/>
                <w:position w:val="1"/>
              </w:rPr>
              <w:t xml:space="preserve"> </w:t>
            </w:r>
            <w:r>
              <w:rPr>
                <w:rFonts w:ascii="Times New Roman" w:hAnsi="Times New Roman" w:eastAsia="Times New Roman" w:cs="Times New Roman"/>
                <w:position w:val="1"/>
              </w:rPr>
              <w:t>AFS</w:t>
            </w:r>
            <w:r>
              <w:rPr>
                <w:rFonts w:ascii="Times New Roman" w:hAnsi="Times New Roman" w:eastAsia="Times New Roman" w:cs="Times New Roman"/>
                <w:spacing w:val="7"/>
                <w:position w:val="1"/>
              </w:rPr>
              <w:t>-230E</w:t>
            </w:r>
          </w:p>
          <w:p w14:paraId="400244E4">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-A-004</w:t>
            </w:r>
          </w:p>
        </w:tc>
        <w:tc>
          <w:tcPr>
            <w:tcW w:w="1447" w:type="dxa"/>
            <w:vAlign w:val="top"/>
          </w:tcPr>
          <w:p w14:paraId="432E9F4A">
            <w:pPr>
              <w:spacing w:line="459" w:lineRule="auto"/>
              <w:rPr>
                <w:rFonts w:ascii="Arial"/>
                <w:sz w:val="21"/>
              </w:rPr>
            </w:pPr>
          </w:p>
          <w:p w14:paraId="7C203330">
            <w:pPr>
              <w:spacing w:before="58"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797A1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3EEF8FA5">
            <w:pPr>
              <w:spacing w:line="322" w:lineRule="auto"/>
              <w:rPr>
                <w:rFonts w:ascii="Arial"/>
                <w:sz w:val="21"/>
              </w:rPr>
            </w:pPr>
          </w:p>
          <w:p w14:paraId="10BF3B56">
            <w:pPr>
              <w:pStyle w:val="6"/>
              <w:spacing w:before="65" w:line="229" w:lineRule="auto"/>
              <w:ind w:left="962"/>
            </w:pPr>
            <w:r>
              <w:rPr>
                <w:spacing w:val="1"/>
              </w:rPr>
              <w:t>镍</w:t>
            </w:r>
          </w:p>
        </w:tc>
        <w:tc>
          <w:tcPr>
            <w:tcW w:w="3116" w:type="dxa"/>
            <w:vAlign w:val="top"/>
          </w:tcPr>
          <w:p w14:paraId="1EA43BA4">
            <w:pPr>
              <w:pStyle w:val="6"/>
              <w:spacing w:before="63" w:line="229" w:lineRule="auto"/>
              <w:ind w:right="9"/>
              <w:jc w:val="right"/>
            </w:pPr>
            <w:r>
              <w:rPr>
                <w:spacing w:val="-2"/>
              </w:rPr>
              <w:t>《土壤和沉积物铜、锌、铅、镍、</w:t>
            </w:r>
          </w:p>
          <w:p w14:paraId="39D9EB2C">
            <w:pPr>
              <w:pStyle w:val="6"/>
              <w:spacing w:before="78" w:line="228" w:lineRule="auto"/>
              <w:ind w:left="198"/>
            </w:pPr>
            <w:r>
              <w:rPr>
                <w:spacing w:val="9"/>
              </w:rPr>
              <w:t>铬的测定火焰原子吸收分光光</w:t>
            </w:r>
          </w:p>
          <w:p w14:paraId="0CDCDCA3">
            <w:pPr>
              <w:pStyle w:val="6"/>
              <w:spacing w:before="48" w:line="274" w:lineRule="exact"/>
              <w:ind w:left="676"/>
              <w:rPr>
                <w:rFonts w:ascii="Times New Roman" w:hAnsi="Times New Roman" w:eastAsia="Times New Roman" w:cs="Times New Roman"/>
              </w:rPr>
            </w:pPr>
            <w:r>
              <w:rPr>
                <w:spacing w:val="5"/>
                <w:position w:val="1"/>
              </w:rPr>
              <w:t>度法》</w:t>
            </w:r>
            <w:r>
              <w:rPr>
                <w:spacing w:val="22"/>
                <w:position w:val="1"/>
              </w:rPr>
              <w:t xml:space="preserve"> </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491-2019</w:t>
            </w:r>
          </w:p>
        </w:tc>
        <w:tc>
          <w:tcPr>
            <w:tcW w:w="2036" w:type="dxa"/>
            <w:vAlign w:val="top"/>
          </w:tcPr>
          <w:p w14:paraId="0C437EDD">
            <w:pPr>
              <w:pStyle w:val="6"/>
              <w:spacing w:before="63" w:line="228" w:lineRule="auto"/>
              <w:ind w:left="186"/>
            </w:pPr>
            <w:r>
              <w:rPr>
                <w:spacing w:val="8"/>
              </w:rPr>
              <w:t>火焰原子吸收分光</w:t>
            </w:r>
          </w:p>
          <w:p w14:paraId="44DA7998">
            <w:pPr>
              <w:pStyle w:val="6"/>
              <w:spacing w:before="48" w:line="274" w:lineRule="exact"/>
              <w:ind w:left="267"/>
              <w:rPr>
                <w:rFonts w:ascii="Times New Roman" w:hAnsi="Times New Roman" w:eastAsia="Times New Roman" w:cs="Times New Roman"/>
              </w:rPr>
            </w:pPr>
            <w:r>
              <w:rPr>
                <w:spacing w:val="7"/>
                <w:position w:val="1"/>
              </w:rPr>
              <w:t>光度计</w:t>
            </w:r>
            <w:r>
              <w:rPr>
                <w:spacing w:val="-40"/>
                <w:position w:val="1"/>
              </w:rPr>
              <w:t xml:space="preserve"> </w:t>
            </w:r>
            <w:r>
              <w:rPr>
                <w:rFonts w:ascii="Times New Roman" w:hAnsi="Times New Roman" w:eastAsia="Times New Roman" w:cs="Times New Roman"/>
                <w:position w:val="1"/>
              </w:rPr>
              <w:t>GGX</w:t>
            </w:r>
            <w:r>
              <w:rPr>
                <w:rFonts w:ascii="Times New Roman" w:hAnsi="Times New Roman" w:eastAsia="Times New Roman" w:cs="Times New Roman"/>
                <w:spacing w:val="7"/>
                <w:position w:val="1"/>
              </w:rPr>
              <w:t>-600</w:t>
            </w:r>
          </w:p>
          <w:p w14:paraId="3C2D2AB6">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-A-003</w:t>
            </w:r>
          </w:p>
        </w:tc>
        <w:tc>
          <w:tcPr>
            <w:tcW w:w="1447" w:type="dxa"/>
            <w:vAlign w:val="top"/>
          </w:tcPr>
          <w:p w14:paraId="174D5F5F">
            <w:pPr>
              <w:spacing w:line="299" w:lineRule="auto"/>
              <w:rPr>
                <w:rFonts w:ascii="Arial"/>
                <w:sz w:val="21"/>
              </w:rPr>
            </w:pPr>
          </w:p>
          <w:p w14:paraId="10FC8FCB">
            <w:pPr>
              <w:spacing w:before="58"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9"/>
                <w:position w:val="3"/>
                <w:sz w:val="20"/>
                <w:szCs w:val="20"/>
              </w:rPr>
              <w:t>3</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9"/>
                <w:position w:val="3"/>
                <w:sz w:val="20"/>
                <w:szCs w:val="20"/>
              </w:rPr>
              <w:t>/</w:t>
            </w:r>
            <w:r>
              <w:rPr>
                <w:rFonts w:ascii="Times New Roman" w:hAnsi="Times New Roman" w:eastAsia="Times New Roman" w:cs="Times New Roman"/>
                <w:position w:val="3"/>
                <w:sz w:val="20"/>
                <w:szCs w:val="20"/>
              </w:rPr>
              <w:t>kg</w:t>
            </w:r>
          </w:p>
        </w:tc>
      </w:tr>
      <w:tr w14:paraId="1EDE1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CBF6935">
            <w:pPr>
              <w:pStyle w:val="6"/>
              <w:spacing w:before="72" w:line="229" w:lineRule="auto"/>
              <w:ind w:left="668"/>
            </w:pPr>
            <w:r>
              <w:rPr>
                <w:spacing w:val="2"/>
              </w:rPr>
              <w:t>四氯化碳</w:t>
            </w:r>
          </w:p>
        </w:tc>
        <w:tc>
          <w:tcPr>
            <w:tcW w:w="3116" w:type="dxa"/>
            <w:vMerge w:val="restart"/>
            <w:tcBorders>
              <w:bottom w:val="nil"/>
            </w:tcBorders>
            <w:vAlign w:val="top"/>
          </w:tcPr>
          <w:p w14:paraId="1755FCA6">
            <w:pPr>
              <w:spacing w:line="275" w:lineRule="auto"/>
              <w:rPr>
                <w:rFonts w:ascii="Arial"/>
                <w:sz w:val="21"/>
              </w:rPr>
            </w:pPr>
          </w:p>
          <w:p w14:paraId="61E23D54">
            <w:pPr>
              <w:spacing w:line="275" w:lineRule="auto"/>
              <w:rPr>
                <w:rFonts w:ascii="Arial"/>
                <w:sz w:val="21"/>
              </w:rPr>
            </w:pPr>
          </w:p>
          <w:p w14:paraId="4D5F75A3">
            <w:pPr>
              <w:pStyle w:val="6"/>
              <w:spacing w:before="65" w:line="228" w:lineRule="auto"/>
              <w:ind w:left="204"/>
            </w:pPr>
            <w:r>
              <w:rPr>
                <w:spacing w:val="8"/>
              </w:rPr>
              <w:t>《土壤和沉积物挥发性有机物</w:t>
            </w:r>
          </w:p>
          <w:p w14:paraId="29946848">
            <w:pPr>
              <w:pStyle w:val="6"/>
              <w:spacing w:before="48" w:line="275" w:lineRule="exact"/>
              <w:ind w:left="151"/>
            </w:pPr>
            <w:r>
              <w:rPr>
                <w:spacing w:val="7"/>
                <w:position w:val="1"/>
              </w:rPr>
              <w:t>的测定吹扫捕集</w:t>
            </w:r>
            <w:r>
              <w:rPr>
                <w:rFonts w:ascii="Times New Roman" w:hAnsi="Times New Roman" w:eastAsia="Times New Roman" w:cs="Times New Roman"/>
                <w:spacing w:val="7"/>
                <w:position w:val="1"/>
              </w:rPr>
              <w:t>/</w:t>
            </w:r>
            <w:r>
              <w:rPr>
                <w:spacing w:val="7"/>
                <w:position w:val="1"/>
              </w:rPr>
              <w:t>气相色谱</w:t>
            </w:r>
            <w:r>
              <w:rPr>
                <w:rFonts w:ascii="Times New Roman" w:hAnsi="Times New Roman" w:eastAsia="Times New Roman" w:cs="Times New Roman"/>
                <w:spacing w:val="7"/>
                <w:position w:val="1"/>
              </w:rPr>
              <w:t>-</w:t>
            </w:r>
            <w:r>
              <w:rPr>
                <w:spacing w:val="7"/>
                <w:position w:val="1"/>
              </w:rPr>
              <w:t>质谱</w:t>
            </w:r>
          </w:p>
          <w:p w14:paraId="40885F9B">
            <w:pPr>
              <w:pStyle w:val="6"/>
              <w:spacing w:before="52" w:line="274" w:lineRule="exact"/>
              <w:ind w:left="814"/>
              <w:rPr>
                <w:rFonts w:ascii="Times New Roman" w:hAnsi="Times New Roman" w:eastAsia="Times New Roman" w:cs="Times New Roman"/>
              </w:rPr>
            </w:pPr>
            <w:r>
              <w:rPr>
                <w:spacing w:val="5"/>
                <w:position w:val="1"/>
              </w:rPr>
              <w:t>法》</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 xml:space="preserve"> 605-2011</w:t>
            </w:r>
          </w:p>
        </w:tc>
        <w:tc>
          <w:tcPr>
            <w:tcW w:w="2036" w:type="dxa"/>
            <w:vMerge w:val="restart"/>
            <w:tcBorders>
              <w:bottom w:val="nil"/>
            </w:tcBorders>
            <w:vAlign w:val="top"/>
          </w:tcPr>
          <w:p w14:paraId="2E8F6949">
            <w:pPr>
              <w:spacing w:line="275" w:lineRule="auto"/>
              <w:rPr>
                <w:rFonts w:ascii="Arial"/>
                <w:sz w:val="21"/>
              </w:rPr>
            </w:pPr>
          </w:p>
          <w:p w14:paraId="54D110F3">
            <w:pPr>
              <w:spacing w:line="275" w:lineRule="auto"/>
              <w:rPr>
                <w:rFonts w:ascii="Arial"/>
                <w:sz w:val="21"/>
              </w:rPr>
            </w:pPr>
          </w:p>
          <w:p w14:paraId="5FC1A992">
            <w:pPr>
              <w:pStyle w:val="6"/>
              <w:spacing w:before="65" w:line="305" w:lineRule="auto"/>
              <w:ind w:left="659" w:right="280" w:hanging="369"/>
              <w:rPr>
                <w:rFonts w:ascii="Times New Roman" w:hAnsi="Times New Roman" w:eastAsia="Times New Roman" w:cs="Times New Roman"/>
              </w:rPr>
            </w:pPr>
            <w:r>
              <w:rPr>
                <w:spacing w:val="8"/>
              </w:rPr>
              <w:t>气相质谱联用仪</w:t>
            </w:r>
            <w:r>
              <w:rPr>
                <w:spacing w:val="2"/>
              </w:rPr>
              <w:t xml:space="preserve"> </w:t>
            </w:r>
            <w:r>
              <w:rPr>
                <w:rFonts w:ascii="Times New Roman" w:hAnsi="Times New Roman" w:eastAsia="Times New Roman" w:cs="Times New Roman"/>
                <w:spacing w:val="7"/>
              </w:rPr>
              <w:t>2020</w:t>
            </w:r>
            <w:r>
              <w:rPr>
                <w:rFonts w:ascii="Times New Roman" w:hAnsi="Times New Roman" w:eastAsia="Times New Roman" w:cs="Times New Roman"/>
              </w:rPr>
              <w:t>NX</w:t>
            </w:r>
          </w:p>
          <w:p w14:paraId="615E9541">
            <w:pPr>
              <w:spacing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-A-203</w:t>
            </w:r>
          </w:p>
        </w:tc>
        <w:tc>
          <w:tcPr>
            <w:tcW w:w="1447" w:type="dxa"/>
            <w:vAlign w:val="top"/>
          </w:tcPr>
          <w:p w14:paraId="62480F0F">
            <w:pPr>
              <w:spacing w:before="4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0E9E7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F3C6056">
            <w:pPr>
              <w:pStyle w:val="6"/>
              <w:spacing w:before="70" w:line="229" w:lineRule="auto"/>
              <w:ind w:left="758"/>
            </w:pPr>
            <w:r>
              <w:rPr>
                <w:spacing w:val="5"/>
              </w:rPr>
              <w:t>氯甲烷</w:t>
            </w:r>
          </w:p>
        </w:tc>
        <w:tc>
          <w:tcPr>
            <w:tcW w:w="3116" w:type="dxa"/>
            <w:vMerge w:val="continue"/>
            <w:tcBorders>
              <w:top w:val="nil"/>
              <w:bottom w:val="nil"/>
            </w:tcBorders>
            <w:vAlign w:val="top"/>
          </w:tcPr>
          <w:p w14:paraId="2BD3F2F5">
            <w:pPr>
              <w:rPr>
                <w:rFonts w:ascii="Arial"/>
                <w:sz w:val="21"/>
              </w:rPr>
            </w:pPr>
          </w:p>
        </w:tc>
        <w:tc>
          <w:tcPr>
            <w:tcW w:w="2036" w:type="dxa"/>
            <w:vMerge w:val="continue"/>
            <w:tcBorders>
              <w:top w:val="nil"/>
              <w:bottom w:val="nil"/>
            </w:tcBorders>
            <w:vAlign w:val="top"/>
          </w:tcPr>
          <w:p w14:paraId="3C19E22A">
            <w:pPr>
              <w:rPr>
                <w:rFonts w:ascii="Arial"/>
                <w:sz w:val="21"/>
              </w:rPr>
            </w:pPr>
          </w:p>
        </w:tc>
        <w:tc>
          <w:tcPr>
            <w:tcW w:w="1447" w:type="dxa"/>
            <w:vAlign w:val="top"/>
          </w:tcPr>
          <w:p w14:paraId="2B8AC630">
            <w:pPr>
              <w:spacing w:before="3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D54B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45DF9A4">
            <w:pPr>
              <w:pStyle w:val="6"/>
              <w:spacing w:before="39" w:line="275" w:lineRule="exact"/>
              <w:ind w:left="500"/>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3116" w:type="dxa"/>
            <w:vMerge w:val="continue"/>
            <w:tcBorders>
              <w:top w:val="nil"/>
              <w:bottom w:val="nil"/>
            </w:tcBorders>
            <w:vAlign w:val="top"/>
          </w:tcPr>
          <w:p w14:paraId="46122B5F">
            <w:pPr>
              <w:rPr>
                <w:rFonts w:ascii="Arial"/>
                <w:sz w:val="21"/>
              </w:rPr>
            </w:pPr>
          </w:p>
        </w:tc>
        <w:tc>
          <w:tcPr>
            <w:tcW w:w="2036" w:type="dxa"/>
            <w:vMerge w:val="continue"/>
            <w:tcBorders>
              <w:top w:val="nil"/>
              <w:bottom w:val="nil"/>
            </w:tcBorders>
            <w:vAlign w:val="top"/>
          </w:tcPr>
          <w:p w14:paraId="3845FAF9">
            <w:pPr>
              <w:rPr>
                <w:rFonts w:ascii="Arial"/>
                <w:sz w:val="21"/>
              </w:rPr>
            </w:pPr>
          </w:p>
        </w:tc>
        <w:tc>
          <w:tcPr>
            <w:tcW w:w="1447" w:type="dxa"/>
            <w:vAlign w:val="top"/>
          </w:tcPr>
          <w:p w14:paraId="286C6407">
            <w:pPr>
              <w:spacing w:before="39"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76413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510F62C9">
            <w:pPr>
              <w:pStyle w:val="6"/>
              <w:spacing w:before="71" w:line="229" w:lineRule="auto"/>
              <w:ind w:left="861"/>
            </w:pPr>
            <w:r>
              <w:rPr>
                <w:spacing w:val="3"/>
              </w:rPr>
              <w:t>氯仿</w:t>
            </w:r>
          </w:p>
        </w:tc>
        <w:tc>
          <w:tcPr>
            <w:tcW w:w="3116" w:type="dxa"/>
            <w:vMerge w:val="continue"/>
            <w:tcBorders>
              <w:top w:val="nil"/>
              <w:bottom w:val="nil"/>
            </w:tcBorders>
            <w:vAlign w:val="top"/>
          </w:tcPr>
          <w:p w14:paraId="6F3CAA68">
            <w:pPr>
              <w:rPr>
                <w:rFonts w:ascii="Arial"/>
                <w:sz w:val="21"/>
              </w:rPr>
            </w:pPr>
          </w:p>
        </w:tc>
        <w:tc>
          <w:tcPr>
            <w:tcW w:w="2036" w:type="dxa"/>
            <w:vMerge w:val="continue"/>
            <w:tcBorders>
              <w:top w:val="nil"/>
              <w:bottom w:val="nil"/>
            </w:tcBorders>
            <w:vAlign w:val="top"/>
          </w:tcPr>
          <w:p w14:paraId="077A2EC9">
            <w:pPr>
              <w:rPr>
                <w:rFonts w:ascii="Arial"/>
                <w:sz w:val="21"/>
              </w:rPr>
            </w:pPr>
          </w:p>
        </w:tc>
        <w:tc>
          <w:tcPr>
            <w:tcW w:w="1447" w:type="dxa"/>
            <w:vAlign w:val="top"/>
          </w:tcPr>
          <w:p w14:paraId="453AEC79">
            <w:pPr>
              <w:spacing w:before="4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46407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15EE24C">
            <w:pPr>
              <w:pStyle w:val="6"/>
              <w:spacing w:before="40" w:line="274" w:lineRule="exact"/>
              <w:ind w:left="500"/>
            </w:pPr>
            <w:r>
              <w:rPr>
                <w:rFonts w:ascii="Times New Roman" w:hAnsi="Times New Roman" w:eastAsia="Times New Roman" w:cs="Times New Roman"/>
                <w:spacing w:val="3"/>
                <w:position w:val="2"/>
              </w:rPr>
              <w:t>1,2-</w:t>
            </w:r>
            <w:r>
              <w:rPr>
                <w:spacing w:val="3"/>
                <w:position w:val="2"/>
              </w:rPr>
              <w:t>二氯乙烷</w:t>
            </w:r>
          </w:p>
        </w:tc>
        <w:tc>
          <w:tcPr>
            <w:tcW w:w="3116" w:type="dxa"/>
            <w:vMerge w:val="continue"/>
            <w:tcBorders>
              <w:top w:val="nil"/>
              <w:bottom w:val="nil"/>
            </w:tcBorders>
            <w:vAlign w:val="top"/>
          </w:tcPr>
          <w:p w14:paraId="53564E2C">
            <w:pPr>
              <w:rPr>
                <w:rFonts w:ascii="Arial"/>
                <w:sz w:val="21"/>
              </w:rPr>
            </w:pPr>
          </w:p>
        </w:tc>
        <w:tc>
          <w:tcPr>
            <w:tcW w:w="2036" w:type="dxa"/>
            <w:vMerge w:val="continue"/>
            <w:tcBorders>
              <w:top w:val="nil"/>
              <w:bottom w:val="nil"/>
            </w:tcBorders>
            <w:vAlign w:val="top"/>
          </w:tcPr>
          <w:p w14:paraId="479AE1B9">
            <w:pPr>
              <w:rPr>
                <w:rFonts w:ascii="Arial"/>
                <w:sz w:val="21"/>
              </w:rPr>
            </w:pPr>
          </w:p>
        </w:tc>
        <w:tc>
          <w:tcPr>
            <w:tcW w:w="1447" w:type="dxa"/>
            <w:vAlign w:val="top"/>
          </w:tcPr>
          <w:p w14:paraId="2A94CEDB">
            <w:pPr>
              <w:spacing w:before="4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2834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F197305">
            <w:pPr>
              <w:pStyle w:val="6"/>
              <w:spacing w:before="41" w:line="274" w:lineRule="exact"/>
              <w:ind w:left="500"/>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3116" w:type="dxa"/>
            <w:vMerge w:val="continue"/>
            <w:tcBorders>
              <w:top w:val="nil"/>
            </w:tcBorders>
            <w:vAlign w:val="top"/>
          </w:tcPr>
          <w:p w14:paraId="7A8CA394">
            <w:pPr>
              <w:rPr>
                <w:rFonts w:ascii="Arial"/>
                <w:sz w:val="21"/>
              </w:rPr>
            </w:pPr>
          </w:p>
        </w:tc>
        <w:tc>
          <w:tcPr>
            <w:tcW w:w="2036" w:type="dxa"/>
            <w:vMerge w:val="continue"/>
            <w:tcBorders>
              <w:top w:val="nil"/>
            </w:tcBorders>
            <w:vAlign w:val="top"/>
          </w:tcPr>
          <w:p w14:paraId="796C611F">
            <w:pPr>
              <w:rPr>
                <w:rFonts w:ascii="Arial"/>
                <w:sz w:val="21"/>
              </w:rPr>
            </w:pPr>
          </w:p>
        </w:tc>
        <w:tc>
          <w:tcPr>
            <w:tcW w:w="1447" w:type="dxa"/>
            <w:vAlign w:val="top"/>
          </w:tcPr>
          <w:p w14:paraId="2CC397D9">
            <w:pPr>
              <w:spacing w:before="4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C943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7B28AD4">
            <w:pPr>
              <w:pStyle w:val="6"/>
              <w:spacing w:before="34" w:line="274" w:lineRule="exact"/>
              <w:ind w:left="239"/>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3116" w:type="dxa"/>
            <w:vMerge w:val="restart"/>
            <w:tcBorders>
              <w:bottom w:val="nil"/>
            </w:tcBorders>
            <w:vAlign w:val="top"/>
          </w:tcPr>
          <w:p w14:paraId="32239FC3">
            <w:pPr>
              <w:pStyle w:val="6"/>
              <w:spacing w:before="64" w:line="228" w:lineRule="auto"/>
              <w:ind w:left="204"/>
            </w:pPr>
            <w:r>
              <w:rPr>
                <w:spacing w:val="8"/>
              </w:rPr>
              <w:t>《土壤和沉积物挥发性有机物</w:t>
            </w:r>
          </w:p>
          <w:p w14:paraId="41459F59">
            <w:pPr>
              <w:pStyle w:val="6"/>
              <w:spacing w:before="49" w:line="274" w:lineRule="exact"/>
              <w:ind w:left="151"/>
            </w:pPr>
            <w:r>
              <w:rPr>
                <w:spacing w:val="7"/>
                <w:position w:val="1"/>
              </w:rPr>
              <w:t>的测定吹扫捕集</w:t>
            </w:r>
            <w:r>
              <w:rPr>
                <w:rFonts w:ascii="Times New Roman" w:hAnsi="Times New Roman" w:eastAsia="Times New Roman" w:cs="Times New Roman"/>
                <w:spacing w:val="7"/>
                <w:position w:val="1"/>
              </w:rPr>
              <w:t>/</w:t>
            </w:r>
            <w:r>
              <w:rPr>
                <w:spacing w:val="7"/>
                <w:position w:val="1"/>
              </w:rPr>
              <w:t>气相色谱</w:t>
            </w:r>
            <w:r>
              <w:rPr>
                <w:rFonts w:ascii="Times New Roman" w:hAnsi="Times New Roman" w:eastAsia="Times New Roman" w:cs="Times New Roman"/>
                <w:spacing w:val="7"/>
                <w:position w:val="1"/>
              </w:rPr>
              <w:t>-</w:t>
            </w:r>
            <w:r>
              <w:rPr>
                <w:spacing w:val="7"/>
                <w:position w:val="1"/>
              </w:rPr>
              <w:t>质谱</w:t>
            </w:r>
          </w:p>
          <w:p w14:paraId="13D83F0E">
            <w:pPr>
              <w:pStyle w:val="6"/>
              <w:spacing w:before="49" w:line="274" w:lineRule="exact"/>
              <w:ind w:left="814"/>
              <w:rPr>
                <w:rFonts w:ascii="Times New Roman" w:hAnsi="Times New Roman" w:eastAsia="Times New Roman" w:cs="Times New Roman"/>
              </w:rPr>
            </w:pPr>
            <w:r>
              <w:rPr>
                <w:spacing w:val="5"/>
                <w:position w:val="1"/>
              </w:rPr>
              <w:t>法》</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 xml:space="preserve"> 605-2011</w:t>
            </w:r>
          </w:p>
        </w:tc>
        <w:tc>
          <w:tcPr>
            <w:tcW w:w="2036" w:type="dxa"/>
            <w:vMerge w:val="restart"/>
            <w:tcBorders>
              <w:bottom w:val="nil"/>
            </w:tcBorders>
            <w:vAlign w:val="top"/>
          </w:tcPr>
          <w:p w14:paraId="204053A9">
            <w:pPr>
              <w:pStyle w:val="6"/>
              <w:spacing w:before="64" w:line="304" w:lineRule="auto"/>
              <w:ind w:left="659" w:right="280" w:hanging="369"/>
              <w:rPr>
                <w:rFonts w:ascii="Times New Roman" w:hAnsi="Times New Roman" w:eastAsia="Times New Roman" w:cs="Times New Roman"/>
              </w:rPr>
            </w:pPr>
            <w:r>
              <w:rPr>
                <w:spacing w:val="8"/>
              </w:rPr>
              <w:t>气相质谱联用仪</w:t>
            </w:r>
            <w:r>
              <w:rPr>
                <w:spacing w:val="2"/>
              </w:rPr>
              <w:t xml:space="preserve"> </w:t>
            </w:r>
            <w:r>
              <w:rPr>
                <w:rFonts w:ascii="Times New Roman" w:hAnsi="Times New Roman" w:eastAsia="Times New Roman" w:cs="Times New Roman"/>
                <w:spacing w:val="7"/>
              </w:rPr>
              <w:t>2020</w:t>
            </w:r>
            <w:r>
              <w:rPr>
                <w:rFonts w:ascii="Times New Roman" w:hAnsi="Times New Roman" w:eastAsia="Times New Roman" w:cs="Times New Roman"/>
              </w:rPr>
              <w:t>NX</w:t>
            </w:r>
          </w:p>
          <w:p w14:paraId="5DC384B1">
            <w:pPr>
              <w:spacing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-A-203</w:t>
            </w:r>
          </w:p>
        </w:tc>
        <w:tc>
          <w:tcPr>
            <w:tcW w:w="1447" w:type="dxa"/>
            <w:vAlign w:val="top"/>
          </w:tcPr>
          <w:p w14:paraId="67E4B0C9">
            <w:pPr>
              <w:spacing w:before="3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E513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5543961">
            <w:pPr>
              <w:pStyle w:val="6"/>
              <w:spacing w:before="34" w:line="274" w:lineRule="exact"/>
              <w:ind w:left="239"/>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3116" w:type="dxa"/>
            <w:vMerge w:val="continue"/>
            <w:tcBorders>
              <w:top w:val="nil"/>
              <w:bottom w:val="nil"/>
            </w:tcBorders>
            <w:vAlign w:val="top"/>
          </w:tcPr>
          <w:p w14:paraId="4FFC83D9">
            <w:pPr>
              <w:rPr>
                <w:rFonts w:ascii="Arial"/>
                <w:sz w:val="21"/>
              </w:rPr>
            </w:pPr>
          </w:p>
        </w:tc>
        <w:tc>
          <w:tcPr>
            <w:tcW w:w="2036" w:type="dxa"/>
            <w:vMerge w:val="continue"/>
            <w:tcBorders>
              <w:top w:val="nil"/>
              <w:bottom w:val="nil"/>
            </w:tcBorders>
            <w:vAlign w:val="top"/>
          </w:tcPr>
          <w:p w14:paraId="753318A3">
            <w:pPr>
              <w:rPr>
                <w:rFonts w:ascii="Arial"/>
                <w:sz w:val="21"/>
              </w:rPr>
            </w:pPr>
          </w:p>
        </w:tc>
        <w:tc>
          <w:tcPr>
            <w:tcW w:w="1447" w:type="dxa"/>
            <w:vAlign w:val="top"/>
          </w:tcPr>
          <w:p w14:paraId="027BE464">
            <w:pPr>
              <w:spacing w:before="3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5B91F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E25EC55">
            <w:pPr>
              <w:pStyle w:val="6"/>
              <w:spacing w:before="63" w:line="229" w:lineRule="auto"/>
              <w:ind w:left="652"/>
            </w:pPr>
            <w:r>
              <w:rPr>
                <w:spacing w:val="6"/>
              </w:rPr>
              <w:t>二氯甲烷</w:t>
            </w:r>
          </w:p>
        </w:tc>
        <w:tc>
          <w:tcPr>
            <w:tcW w:w="3116" w:type="dxa"/>
            <w:vMerge w:val="continue"/>
            <w:tcBorders>
              <w:top w:val="nil"/>
              <w:bottom w:val="nil"/>
            </w:tcBorders>
            <w:vAlign w:val="top"/>
          </w:tcPr>
          <w:p w14:paraId="65B857BE">
            <w:pPr>
              <w:rPr>
                <w:rFonts w:ascii="Arial"/>
                <w:sz w:val="21"/>
              </w:rPr>
            </w:pPr>
          </w:p>
        </w:tc>
        <w:tc>
          <w:tcPr>
            <w:tcW w:w="2036" w:type="dxa"/>
            <w:vMerge w:val="continue"/>
            <w:tcBorders>
              <w:top w:val="nil"/>
              <w:bottom w:val="nil"/>
            </w:tcBorders>
            <w:vAlign w:val="top"/>
          </w:tcPr>
          <w:p w14:paraId="798CD930">
            <w:pPr>
              <w:rPr>
                <w:rFonts w:ascii="Arial"/>
                <w:sz w:val="21"/>
              </w:rPr>
            </w:pPr>
          </w:p>
        </w:tc>
        <w:tc>
          <w:tcPr>
            <w:tcW w:w="1447" w:type="dxa"/>
            <w:vAlign w:val="top"/>
          </w:tcPr>
          <w:p w14:paraId="2EFE5F9E">
            <w:pPr>
              <w:spacing w:before="3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49DBB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51B52AF">
            <w:pPr>
              <w:pStyle w:val="6"/>
              <w:spacing w:before="33" w:line="274" w:lineRule="exact"/>
              <w:ind w:left="420"/>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3116" w:type="dxa"/>
            <w:vMerge w:val="continue"/>
            <w:tcBorders>
              <w:top w:val="nil"/>
              <w:bottom w:val="nil"/>
            </w:tcBorders>
            <w:vAlign w:val="top"/>
          </w:tcPr>
          <w:p w14:paraId="5B5318C4">
            <w:pPr>
              <w:rPr>
                <w:rFonts w:ascii="Arial"/>
                <w:sz w:val="21"/>
              </w:rPr>
            </w:pPr>
          </w:p>
        </w:tc>
        <w:tc>
          <w:tcPr>
            <w:tcW w:w="2036" w:type="dxa"/>
            <w:vMerge w:val="continue"/>
            <w:tcBorders>
              <w:top w:val="nil"/>
              <w:bottom w:val="nil"/>
            </w:tcBorders>
            <w:vAlign w:val="top"/>
          </w:tcPr>
          <w:p w14:paraId="0A7F7795">
            <w:pPr>
              <w:rPr>
                <w:rFonts w:ascii="Arial"/>
                <w:sz w:val="21"/>
              </w:rPr>
            </w:pPr>
          </w:p>
        </w:tc>
        <w:tc>
          <w:tcPr>
            <w:tcW w:w="1447" w:type="dxa"/>
            <w:vAlign w:val="top"/>
          </w:tcPr>
          <w:p w14:paraId="2430C2F7">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0.0013</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C946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18FA33F">
            <w:pPr>
              <w:pStyle w:val="6"/>
              <w:spacing w:before="33" w:line="274" w:lineRule="exact"/>
              <w:ind w:left="500"/>
            </w:pPr>
            <w:r>
              <w:rPr>
                <w:rFonts w:ascii="Times New Roman" w:hAnsi="Times New Roman" w:eastAsia="Times New Roman" w:cs="Times New Roman"/>
                <w:spacing w:val="3"/>
                <w:position w:val="2"/>
              </w:rPr>
              <w:t>1,2-</w:t>
            </w:r>
            <w:r>
              <w:rPr>
                <w:spacing w:val="3"/>
                <w:position w:val="2"/>
              </w:rPr>
              <w:t>二氯丙烷</w:t>
            </w:r>
          </w:p>
        </w:tc>
        <w:tc>
          <w:tcPr>
            <w:tcW w:w="3116" w:type="dxa"/>
            <w:vMerge w:val="continue"/>
            <w:tcBorders>
              <w:top w:val="nil"/>
              <w:bottom w:val="nil"/>
            </w:tcBorders>
            <w:vAlign w:val="top"/>
          </w:tcPr>
          <w:p w14:paraId="704DC68B">
            <w:pPr>
              <w:rPr>
                <w:rFonts w:ascii="Arial"/>
                <w:sz w:val="21"/>
              </w:rPr>
            </w:pPr>
          </w:p>
        </w:tc>
        <w:tc>
          <w:tcPr>
            <w:tcW w:w="2036" w:type="dxa"/>
            <w:vMerge w:val="continue"/>
            <w:tcBorders>
              <w:top w:val="nil"/>
              <w:bottom w:val="nil"/>
            </w:tcBorders>
            <w:vAlign w:val="top"/>
          </w:tcPr>
          <w:p w14:paraId="1BE6CBCB">
            <w:pPr>
              <w:rPr>
                <w:rFonts w:ascii="Arial"/>
                <w:sz w:val="21"/>
              </w:rPr>
            </w:pPr>
          </w:p>
        </w:tc>
        <w:tc>
          <w:tcPr>
            <w:tcW w:w="1447" w:type="dxa"/>
            <w:vAlign w:val="top"/>
          </w:tcPr>
          <w:p w14:paraId="5FCE2D76">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25D74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71D9813">
            <w:pPr>
              <w:pStyle w:val="6"/>
              <w:spacing w:before="33" w:line="275" w:lineRule="exact"/>
              <w:ind w:left="341"/>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3116" w:type="dxa"/>
            <w:vMerge w:val="continue"/>
            <w:tcBorders>
              <w:top w:val="nil"/>
              <w:bottom w:val="nil"/>
            </w:tcBorders>
            <w:vAlign w:val="top"/>
          </w:tcPr>
          <w:p w14:paraId="5FB04B40">
            <w:pPr>
              <w:rPr>
                <w:rFonts w:ascii="Arial"/>
                <w:sz w:val="21"/>
              </w:rPr>
            </w:pPr>
          </w:p>
        </w:tc>
        <w:tc>
          <w:tcPr>
            <w:tcW w:w="2036" w:type="dxa"/>
            <w:vMerge w:val="continue"/>
            <w:tcBorders>
              <w:top w:val="nil"/>
              <w:bottom w:val="nil"/>
            </w:tcBorders>
            <w:vAlign w:val="top"/>
          </w:tcPr>
          <w:p w14:paraId="6EC9004D">
            <w:pPr>
              <w:rPr>
                <w:rFonts w:ascii="Arial"/>
                <w:sz w:val="21"/>
              </w:rPr>
            </w:pPr>
          </w:p>
        </w:tc>
        <w:tc>
          <w:tcPr>
            <w:tcW w:w="1447" w:type="dxa"/>
            <w:vAlign w:val="top"/>
          </w:tcPr>
          <w:p w14:paraId="2CA84088">
            <w:pPr>
              <w:spacing w:before="33"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275DB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C8ED048">
            <w:pPr>
              <w:pStyle w:val="6"/>
              <w:spacing w:before="34" w:line="274" w:lineRule="exact"/>
              <w:ind w:left="341"/>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3116" w:type="dxa"/>
            <w:vMerge w:val="continue"/>
            <w:tcBorders>
              <w:top w:val="nil"/>
              <w:bottom w:val="nil"/>
            </w:tcBorders>
            <w:vAlign w:val="top"/>
          </w:tcPr>
          <w:p w14:paraId="42017B7D">
            <w:pPr>
              <w:rPr>
                <w:rFonts w:ascii="Arial"/>
                <w:sz w:val="21"/>
              </w:rPr>
            </w:pPr>
          </w:p>
        </w:tc>
        <w:tc>
          <w:tcPr>
            <w:tcW w:w="2036" w:type="dxa"/>
            <w:vMerge w:val="continue"/>
            <w:tcBorders>
              <w:top w:val="nil"/>
              <w:bottom w:val="nil"/>
            </w:tcBorders>
            <w:vAlign w:val="top"/>
          </w:tcPr>
          <w:p w14:paraId="4F9F579F">
            <w:pPr>
              <w:rPr>
                <w:rFonts w:ascii="Arial"/>
                <w:sz w:val="21"/>
              </w:rPr>
            </w:pPr>
          </w:p>
        </w:tc>
        <w:tc>
          <w:tcPr>
            <w:tcW w:w="1447" w:type="dxa"/>
            <w:vAlign w:val="top"/>
          </w:tcPr>
          <w:p w14:paraId="7575CFD7">
            <w:pPr>
              <w:spacing w:before="34"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4A36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125" w:type="dxa"/>
            <w:vAlign w:val="top"/>
          </w:tcPr>
          <w:p w14:paraId="67610436">
            <w:pPr>
              <w:pStyle w:val="6"/>
              <w:spacing w:before="65" w:line="228" w:lineRule="auto"/>
              <w:ind w:left="668"/>
            </w:pPr>
            <w:r>
              <w:rPr>
                <w:spacing w:val="2"/>
              </w:rPr>
              <w:t>四氯乙烯</w:t>
            </w:r>
          </w:p>
        </w:tc>
        <w:tc>
          <w:tcPr>
            <w:tcW w:w="3116" w:type="dxa"/>
            <w:vMerge w:val="continue"/>
            <w:tcBorders>
              <w:top w:val="nil"/>
            </w:tcBorders>
            <w:vAlign w:val="top"/>
          </w:tcPr>
          <w:p w14:paraId="22907D71">
            <w:pPr>
              <w:rPr>
                <w:rFonts w:ascii="Arial"/>
                <w:sz w:val="21"/>
              </w:rPr>
            </w:pPr>
          </w:p>
        </w:tc>
        <w:tc>
          <w:tcPr>
            <w:tcW w:w="2036" w:type="dxa"/>
            <w:vMerge w:val="continue"/>
            <w:tcBorders>
              <w:top w:val="nil"/>
            </w:tcBorders>
            <w:vAlign w:val="top"/>
          </w:tcPr>
          <w:p w14:paraId="1138CF45">
            <w:pPr>
              <w:rPr>
                <w:rFonts w:ascii="Arial"/>
                <w:sz w:val="21"/>
              </w:rPr>
            </w:pPr>
          </w:p>
        </w:tc>
        <w:tc>
          <w:tcPr>
            <w:tcW w:w="1447" w:type="dxa"/>
            <w:vAlign w:val="top"/>
          </w:tcPr>
          <w:p w14:paraId="266EA9CB">
            <w:pPr>
              <w:spacing w:before="3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bl>
    <w:p w14:paraId="10E6318D">
      <w:pPr>
        <w:pStyle w:val="2"/>
        <w:spacing w:line="101" w:lineRule="exact"/>
        <w:rPr>
          <w:sz w:val="8"/>
        </w:rPr>
      </w:pPr>
    </w:p>
    <w:p w14:paraId="049DB133">
      <w:pPr>
        <w:spacing w:line="101" w:lineRule="exact"/>
        <w:rPr>
          <w:sz w:val="8"/>
          <w:szCs w:val="8"/>
        </w:rPr>
        <w:sectPr>
          <w:footerReference r:id="rId107" w:type="default"/>
          <w:pgSz w:w="11906" w:h="16839"/>
          <w:pgMar w:top="400" w:right="1588" w:bottom="1485" w:left="1588" w:header="0" w:footer="1249" w:gutter="0"/>
          <w:cols w:space="720" w:num="1"/>
        </w:sectPr>
      </w:pPr>
    </w:p>
    <w:p w14:paraId="39CBBD86">
      <w:pPr>
        <w:spacing w:before="13"/>
      </w:pPr>
    </w:p>
    <w:p w14:paraId="34FE7EE1">
      <w:pPr>
        <w:spacing w:before="13"/>
      </w:pPr>
    </w:p>
    <w:p w14:paraId="34045BC0">
      <w:pPr>
        <w:spacing w:before="13"/>
      </w:pPr>
    </w:p>
    <w:p w14:paraId="51927726">
      <w:pPr>
        <w:spacing w:before="13"/>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3116"/>
        <w:gridCol w:w="2036"/>
        <w:gridCol w:w="1447"/>
      </w:tblGrid>
      <w:tr w14:paraId="15A06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25" w:type="dxa"/>
            <w:vAlign w:val="top"/>
          </w:tcPr>
          <w:p w14:paraId="0E7D1755">
            <w:pPr>
              <w:pStyle w:val="6"/>
              <w:spacing w:before="71" w:line="228" w:lineRule="auto"/>
              <w:ind w:left="649"/>
            </w:pPr>
            <w:r>
              <w:rPr>
                <w:b/>
                <w:bCs/>
                <w:spacing w:val="6"/>
              </w:rPr>
              <w:t>检测项目</w:t>
            </w:r>
          </w:p>
        </w:tc>
        <w:tc>
          <w:tcPr>
            <w:tcW w:w="3116" w:type="dxa"/>
            <w:vAlign w:val="top"/>
          </w:tcPr>
          <w:p w14:paraId="64BC181C">
            <w:pPr>
              <w:pStyle w:val="6"/>
              <w:spacing w:before="71" w:line="228" w:lineRule="auto"/>
              <w:ind w:left="1142"/>
            </w:pPr>
            <w:r>
              <w:rPr>
                <w:b/>
                <w:bCs/>
                <w:spacing w:val="6"/>
              </w:rPr>
              <w:t>检测方法</w:t>
            </w:r>
          </w:p>
        </w:tc>
        <w:tc>
          <w:tcPr>
            <w:tcW w:w="2036" w:type="dxa"/>
            <w:vAlign w:val="top"/>
          </w:tcPr>
          <w:p w14:paraId="525882FA">
            <w:pPr>
              <w:pStyle w:val="6"/>
              <w:spacing w:before="71" w:line="228" w:lineRule="auto"/>
              <w:ind w:left="606"/>
            </w:pPr>
            <w:r>
              <w:rPr>
                <w:b/>
                <w:bCs/>
                <w:spacing w:val="5"/>
              </w:rPr>
              <w:t>分析仪器</w:t>
            </w:r>
          </w:p>
        </w:tc>
        <w:tc>
          <w:tcPr>
            <w:tcW w:w="1447" w:type="dxa"/>
            <w:vAlign w:val="top"/>
          </w:tcPr>
          <w:p w14:paraId="5736F1D0">
            <w:pPr>
              <w:pStyle w:val="6"/>
              <w:spacing w:before="71" w:line="228" w:lineRule="auto"/>
              <w:ind w:left="413"/>
            </w:pPr>
            <w:r>
              <w:rPr>
                <w:b/>
                <w:bCs/>
                <w:spacing w:val="5"/>
              </w:rPr>
              <w:t>检出限</w:t>
            </w:r>
          </w:p>
        </w:tc>
      </w:tr>
      <w:tr w14:paraId="44C39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25" w:type="dxa"/>
            <w:vAlign w:val="top"/>
          </w:tcPr>
          <w:p w14:paraId="3A9BC13A">
            <w:pPr>
              <w:pStyle w:val="6"/>
              <w:spacing w:before="29" w:line="274" w:lineRule="exact"/>
              <w:ind w:left="420"/>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3116" w:type="dxa"/>
            <w:vMerge w:val="restart"/>
            <w:tcBorders>
              <w:bottom w:val="nil"/>
            </w:tcBorders>
            <w:vAlign w:val="top"/>
          </w:tcPr>
          <w:p w14:paraId="55B237AA">
            <w:pPr>
              <w:rPr>
                <w:rFonts w:ascii="Arial"/>
                <w:sz w:val="21"/>
              </w:rPr>
            </w:pPr>
          </w:p>
        </w:tc>
        <w:tc>
          <w:tcPr>
            <w:tcW w:w="2036" w:type="dxa"/>
            <w:vMerge w:val="restart"/>
            <w:tcBorders>
              <w:bottom w:val="nil"/>
            </w:tcBorders>
            <w:vAlign w:val="top"/>
          </w:tcPr>
          <w:p w14:paraId="20C55392">
            <w:pPr>
              <w:rPr>
                <w:rFonts w:ascii="Arial"/>
                <w:sz w:val="21"/>
              </w:rPr>
            </w:pPr>
          </w:p>
        </w:tc>
        <w:tc>
          <w:tcPr>
            <w:tcW w:w="1447" w:type="dxa"/>
            <w:vAlign w:val="top"/>
          </w:tcPr>
          <w:p w14:paraId="4A691C65">
            <w:pPr>
              <w:spacing w:before="2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521C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25" w:type="dxa"/>
            <w:vAlign w:val="top"/>
          </w:tcPr>
          <w:p w14:paraId="17562C62">
            <w:pPr>
              <w:pStyle w:val="6"/>
              <w:spacing w:before="59" w:line="228" w:lineRule="auto"/>
              <w:ind w:left="649"/>
            </w:pPr>
            <w:r>
              <w:rPr>
                <w:spacing w:val="7"/>
              </w:rPr>
              <w:t>三氯乙烯</w:t>
            </w:r>
          </w:p>
        </w:tc>
        <w:tc>
          <w:tcPr>
            <w:tcW w:w="3116" w:type="dxa"/>
            <w:vMerge w:val="continue"/>
            <w:tcBorders>
              <w:top w:val="nil"/>
              <w:bottom w:val="nil"/>
            </w:tcBorders>
            <w:vAlign w:val="top"/>
          </w:tcPr>
          <w:p w14:paraId="6D4C95E4">
            <w:pPr>
              <w:rPr>
                <w:rFonts w:ascii="Arial"/>
                <w:sz w:val="21"/>
              </w:rPr>
            </w:pPr>
          </w:p>
        </w:tc>
        <w:tc>
          <w:tcPr>
            <w:tcW w:w="2036" w:type="dxa"/>
            <w:vMerge w:val="continue"/>
            <w:tcBorders>
              <w:top w:val="nil"/>
              <w:bottom w:val="nil"/>
            </w:tcBorders>
            <w:vAlign w:val="top"/>
          </w:tcPr>
          <w:p w14:paraId="35F450E2">
            <w:pPr>
              <w:rPr>
                <w:rFonts w:ascii="Arial"/>
                <w:sz w:val="21"/>
              </w:rPr>
            </w:pPr>
          </w:p>
        </w:tc>
        <w:tc>
          <w:tcPr>
            <w:tcW w:w="1447" w:type="dxa"/>
            <w:vAlign w:val="top"/>
          </w:tcPr>
          <w:p w14:paraId="1DBECA83">
            <w:pPr>
              <w:spacing w:before="2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1E628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6D1BAB8">
            <w:pPr>
              <w:pStyle w:val="6"/>
              <w:spacing w:before="30" w:line="274" w:lineRule="exact"/>
              <w:ind w:left="420"/>
            </w:pPr>
            <w:r>
              <w:rPr>
                <w:rFonts w:ascii="Times New Roman" w:hAnsi="Times New Roman" w:eastAsia="Times New Roman" w:cs="Times New Roman"/>
                <w:spacing w:val="3"/>
                <w:position w:val="2"/>
              </w:rPr>
              <w:t>1,2,3-</w:t>
            </w:r>
            <w:r>
              <w:rPr>
                <w:spacing w:val="3"/>
                <w:position w:val="2"/>
              </w:rPr>
              <w:t>三氯丙烷</w:t>
            </w:r>
          </w:p>
        </w:tc>
        <w:tc>
          <w:tcPr>
            <w:tcW w:w="3116" w:type="dxa"/>
            <w:vMerge w:val="continue"/>
            <w:tcBorders>
              <w:top w:val="nil"/>
              <w:bottom w:val="nil"/>
            </w:tcBorders>
            <w:vAlign w:val="top"/>
          </w:tcPr>
          <w:p w14:paraId="17978C15">
            <w:pPr>
              <w:rPr>
                <w:rFonts w:ascii="Arial"/>
                <w:sz w:val="21"/>
              </w:rPr>
            </w:pPr>
          </w:p>
        </w:tc>
        <w:tc>
          <w:tcPr>
            <w:tcW w:w="2036" w:type="dxa"/>
            <w:vMerge w:val="continue"/>
            <w:tcBorders>
              <w:top w:val="nil"/>
              <w:bottom w:val="nil"/>
            </w:tcBorders>
            <w:vAlign w:val="top"/>
          </w:tcPr>
          <w:p w14:paraId="7D2812DA">
            <w:pPr>
              <w:rPr>
                <w:rFonts w:ascii="Arial"/>
                <w:sz w:val="21"/>
              </w:rPr>
            </w:pPr>
          </w:p>
        </w:tc>
        <w:tc>
          <w:tcPr>
            <w:tcW w:w="1447" w:type="dxa"/>
            <w:vAlign w:val="top"/>
          </w:tcPr>
          <w:p w14:paraId="7F4B5908">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17039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5C2FDFF2">
            <w:pPr>
              <w:pStyle w:val="6"/>
              <w:spacing w:before="61" w:line="228" w:lineRule="auto"/>
              <w:ind w:left="758"/>
            </w:pPr>
            <w:r>
              <w:rPr>
                <w:spacing w:val="5"/>
              </w:rPr>
              <w:t>氯乙烯</w:t>
            </w:r>
          </w:p>
        </w:tc>
        <w:tc>
          <w:tcPr>
            <w:tcW w:w="3116" w:type="dxa"/>
            <w:vMerge w:val="continue"/>
            <w:tcBorders>
              <w:top w:val="nil"/>
              <w:bottom w:val="nil"/>
            </w:tcBorders>
            <w:vAlign w:val="top"/>
          </w:tcPr>
          <w:p w14:paraId="4108E292">
            <w:pPr>
              <w:rPr>
                <w:rFonts w:ascii="Arial"/>
                <w:sz w:val="21"/>
              </w:rPr>
            </w:pPr>
          </w:p>
        </w:tc>
        <w:tc>
          <w:tcPr>
            <w:tcW w:w="2036" w:type="dxa"/>
            <w:vMerge w:val="continue"/>
            <w:tcBorders>
              <w:top w:val="nil"/>
              <w:bottom w:val="nil"/>
            </w:tcBorders>
            <w:vAlign w:val="top"/>
          </w:tcPr>
          <w:p w14:paraId="6832FFF6">
            <w:pPr>
              <w:rPr>
                <w:rFonts w:ascii="Arial"/>
                <w:sz w:val="21"/>
              </w:rPr>
            </w:pPr>
          </w:p>
        </w:tc>
        <w:tc>
          <w:tcPr>
            <w:tcW w:w="1447" w:type="dxa"/>
            <w:vAlign w:val="top"/>
          </w:tcPr>
          <w:p w14:paraId="295593AB">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1D728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E28ECC5">
            <w:pPr>
              <w:pStyle w:val="6"/>
              <w:spacing w:before="61" w:line="228" w:lineRule="auto"/>
              <w:ind w:left="966"/>
            </w:pPr>
            <w:r>
              <w:t>苯</w:t>
            </w:r>
          </w:p>
        </w:tc>
        <w:tc>
          <w:tcPr>
            <w:tcW w:w="3116" w:type="dxa"/>
            <w:vMerge w:val="continue"/>
            <w:tcBorders>
              <w:top w:val="nil"/>
              <w:bottom w:val="nil"/>
            </w:tcBorders>
            <w:vAlign w:val="top"/>
          </w:tcPr>
          <w:p w14:paraId="7D35AF8A">
            <w:pPr>
              <w:rPr>
                <w:rFonts w:ascii="Arial"/>
                <w:sz w:val="21"/>
              </w:rPr>
            </w:pPr>
          </w:p>
        </w:tc>
        <w:tc>
          <w:tcPr>
            <w:tcW w:w="2036" w:type="dxa"/>
            <w:vMerge w:val="continue"/>
            <w:tcBorders>
              <w:top w:val="nil"/>
              <w:bottom w:val="nil"/>
            </w:tcBorders>
            <w:vAlign w:val="top"/>
          </w:tcPr>
          <w:p w14:paraId="714980B0">
            <w:pPr>
              <w:rPr>
                <w:rFonts w:ascii="Arial"/>
                <w:sz w:val="21"/>
              </w:rPr>
            </w:pPr>
          </w:p>
        </w:tc>
        <w:tc>
          <w:tcPr>
            <w:tcW w:w="1447" w:type="dxa"/>
            <w:vAlign w:val="top"/>
          </w:tcPr>
          <w:p w14:paraId="2B7414FF">
            <w:pPr>
              <w:spacing w:before="30"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7BAD1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96C6BF1">
            <w:pPr>
              <w:pStyle w:val="6"/>
              <w:spacing w:before="61" w:line="228" w:lineRule="auto"/>
              <w:ind w:left="861"/>
            </w:pPr>
            <w:r>
              <w:rPr>
                <w:spacing w:val="3"/>
              </w:rPr>
              <w:t>氯苯</w:t>
            </w:r>
          </w:p>
        </w:tc>
        <w:tc>
          <w:tcPr>
            <w:tcW w:w="3116" w:type="dxa"/>
            <w:vMerge w:val="continue"/>
            <w:tcBorders>
              <w:top w:val="nil"/>
              <w:bottom w:val="nil"/>
            </w:tcBorders>
            <w:vAlign w:val="top"/>
          </w:tcPr>
          <w:p w14:paraId="506F8C41">
            <w:pPr>
              <w:rPr>
                <w:rFonts w:ascii="Arial"/>
                <w:sz w:val="21"/>
              </w:rPr>
            </w:pPr>
          </w:p>
        </w:tc>
        <w:tc>
          <w:tcPr>
            <w:tcW w:w="2036" w:type="dxa"/>
            <w:vMerge w:val="continue"/>
            <w:tcBorders>
              <w:top w:val="nil"/>
              <w:bottom w:val="nil"/>
            </w:tcBorders>
            <w:vAlign w:val="top"/>
          </w:tcPr>
          <w:p w14:paraId="3EDE80AD">
            <w:pPr>
              <w:rPr>
                <w:rFonts w:ascii="Arial"/>
                <w:sz w:val="21"/>
              </w:rPr>
            </w:pPr>
          </w:p>
        </w:tc>
        <w:tc>
          <w:tcPr>
            <w:tcW w:w="1447" w:type="dxa"/>
            <w:vAlign w:val="top"/>
          </w:tcPr>
          <w:p w14:paraId="367AFC7E">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7997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F886A8B">
            <w:pPr>
              <w:pStyle w:val="6"/>
              <w:spacing w:before="31" w:line="274" w:lineRule="exact"/>
              <w:ind w:left="603"/>
            </w:pPr>
            <w:r>
              <w:rPr>
                <w:rFonts w:ascii="Times New Roman" w:hAnsi="Times New Roman" w:eastAsia="Times New Roman" w:cs="Times New Roman"/>
                <w:spacing w:val="3"/>
                <w:position w:val="2"/>
              </w:rPr>
              <w:t>1,2-</w:t>
            </w:r>
            <w:r>
              <w:rPr>
                <w:spacing w:val="3"/>
                <w:position w:val="2"/>
              </w:rPr>
              <w:t>二氯苯</w:t>
            </w:r>
          </w:p>
        </w:tc>
        <w:tc>
          <w:tcPr>
            <w:tcW w:w="3116" w:type="dxa"/>
            <w:vMerge w:val="continue"/>
            <w:tcBorders>
              <w:top w:val="nil"/>
              <w:bottom w:val="nil"/>
            </w:tcBorders>
            <w:vAlign w:val="top"/>
          </w:tcPr>
          <w:p w14:paraId="504BCC60">
            <w:pPr>
              <w:rPr>
                <w:rFonts w:ascii="Arial"/>
                <w:sz w:val="21"/>
              </w:rPr>
            </w:pPr>
          </w:p>
        </w:tc>
        <w:tc>
          <w:tcPr>
            <w:tcW w:w="2036" w:type="dxa"/>
            <w:vMerge w:val="continue"/>
            <w:tcBorders>
              <w:top w:val="nil"/>
              <w:bottom w:val="nil"/>
            </w:tcBorders>
            <w:vAlign w:val="top"/>
          </w:tcPr>
          <w:p w14:paraId="4C8E7603">
            <w:pPr>
              <w:rPr>
                <w:rFonts w:ascii="Arial"/>
                <w:sz w:val="21"/>
              </w:rPr>
            </w:pPr>
          </w:p>
        </w:tc>
        <w:tc>
          <w:tcPr>
            <w:tcW w:w="1447" w:type="dxa"/>
            <w:vAlign w:val="top"/>
          </w:tcPr>
          <w:p w14:paraId="1FFC38F3">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37BEE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125" w:type="dxa"/>
            <w:vAlign w:val="top"/>
          </w:tcPr>
          <w:p w14:paraId="631CBC39">
            <w:pPr>
              <w:pStyle w:val="6"/>
              <w:spacing w:before="29" w:line="274" w:lineRule="exact"/>
              <w:ind w:left="603"/>
            </w:pPr>
            <w:r>
              <w:rPr>
                <w:rFonts w:ascii="Times New Roman" w:hAnsi="Times New Roman" w:eastAsia="Times New Roman" w:cs="Times New Roman"/>
                <w:spacing w:val="3"/>
                <w:position w:val="2"/>
              </w:rPr>
              <w:t>1,4-</w:t>
            </w:r>
            <w:r>
              <w:rPr>
                <w:spacing w:val="3"/>
                <w:position w:val="2"/>
              </w:rPr>
              <w:t>二氯苯</w:t>
            </w:r>
          </w:p>
        </w:tc>
        <w:tc>
          <w:tcPr>
            <w:tcW w:w="3116" w:type="dxa"/>
            <w:vMerge w:val="continue"/>
            <w:tcBorders>
              <w:top w:val="nil"/>
              <w:bottom w:val="nil"/>
            </w:tcBorders>
            <w:vAlign w:val="top"/>
          </w:tcPr>
          <w:p w14:paraId="5E7F7F7C">
            <w:pPr>
              <w:rPr>
                <w:rFonts w:ascii="Arial"/>
                <w:sz w:val="21"/>
              </w:rPr>
            </w:pPr>
          </w:p>
        </w:tc>
        <w:tc>
          <w:tcPr>
            <w:tcW w:w="2036" w:type="dxa"/>
            <w:vMerge w:val="continue"/>
            <w:tcBorders>
              <w:top w:val="nil"/>
              <w:bottom w:val="nil"/>
            </w:tcBorders>
            <w:vAlign w:val="top"/>
          </w:tcPr>
          <w:p w14:paraId="33702976">
            <w:pPr>
              <w:rPr>
                <w:rFonts w:ascii="Arial"/>
                <w:sz w:val="21"/>
              </w:rPr>
            </w:pPr>
          </w:p>
        </w:tc>
        <w:tc>
          <w:tcPr>
            <w:tcW w:w="1447" w:type="dxa"/>
            <w:vAlign w:val="top"/>
          </w:tcPr>
          <w:p w14:paraId="133391B1">
            <w:pPr>
              <w:spacing w:before="2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7049E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2528E0F">
            <w:pPr>
              <w:pStyle w:val="6"/>
              <w:spacing w:before="60" w:line="228" w:lineRule="auto"/>
              <w:ind w:left="875"/>
            </w:pPr>
            <w:r>
              <w:rPr>
                <w:spacing w:val="-4"/>
              </w:rPr>
              <w:t>乙苯</w:t>
            </w:r>
          </w:p>
        </w:tc>
        <w:tc>
          <w:tcPr>
            <w:tcW w:w="3116" w:type="dxa"/>
            <w:vMerge w:val="continue"/>
            <w:tcBorders>
              <w:top w:val="nil"/>
              <w:bottom w:val="nil"/>
            </w:tcBorders>
            <w:vAlign w:val="top"/>
          </w:tcPr>
          <w:p w14:paraId="65B0D31A">
            <w:pPr>
              <w:rPr>
                <w:rFonts w:ascii="Arial"/>
                <w:sz w:val="21"/>
              </w:rPr>
            </w:pPr>
          </w:p>
        </w:tc>
        <w:tc>
          <w:tcPr>
            <w:tcW w:w="2036" w:type="dxa"/>
            <w:vMerge w:val="continue"/>
            <w:tcBorders>
              <w:top w:val="nil"/>
              <w:bottom w:val="nil"/>
            </w:tcBorders>
            <w:vAlign w:val="top"/>
          </w:tcPr>
          <w:p w14:paraId="0BEA23DB">
            <w:pPr>
              <w:rPr>
                <w:rFonts w:ascii="Arial"/>
                <w:sz w:val="21"/>
              </w:rPr>
            </w:pPr>
          </w:p>
        </w:tc>
        <w:tc>
          <w:tcPr>
            <w:tcW w:w="1447" w:type="dxa"/>
            <w:vAlign w:val="top"/>
          </w:tcPr>
          <w:p w14:paraId="09C2D562">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0.0007</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944C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5F2FB0F">
            <w:pPr>
              <w:pStyle w:val="6"/>
              <w:spacing w:before="61" w:line="228" w:lineRule="auto"/>
              <w:ind w:left="757"/>
            </w:pPr>
            <w:r>
              <w:rPr>
                <w:spacing w:val="6"/>
              </w:rPr>
              <w:t>苯乙烯</w:t>
            </w:r>
          </w:p>
        </w:tc>
        <w:tc>
          <w:tcPr>
            <w:tcW w:w="3116" w:type="dxa"/>
            <w:vMerge w:val="continue"/>
            <w:tcBorders>
              <w:top w:val="nil"/>
              <w:bottom w:val="nil"/>
            </w:tcBorders>
            <w:vAlign w:val="top"/>
          </w:tcPr>
          <w:p w14:paraId="50633F11">
            <w:pPr>
              <w:rPr>
                <w:rFonts w:ascii="Arial"/>
                <w:sz w:val="21"/>
              </w:rPr>
            </w:pPr>
          </w:p>
        </w:tc>
        <w:tc>
          <w:tcPr>
            <w:tcW w:w="2036" w:type="dxa"/>
            <w:vMerge w:val="continue"/>
            <w:tcBorders>
              <w:top w:val="nil"/>
              <w:bottom w:val="nil"/>
            </w:tcBorders>
            <w:vAlign w:val="top"/>
          </w:tcPr>
          <w:p w14:paraId="28F03BED">
            <w:pPr>
              <w:rPr>
                <w:rFonts w:ascii="Arial"/>
                <w:sz w:val="21"/>
              </w:rPr>
            </w:pPr>
          </w:p>
        </w:tc>
        <w:tc>
          <w:tcPr>
            <w:tcW w:w="1447" w:type="dxa"/>
            <w:vAlign w:val="top"/>
          </w:tcPr>
          <w:p w14:paraId="48443930">
            <w:pPr>
              <w:spacing w:before="30"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EECB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B56DE9A">
            <w:pPr>
              <w:pStyle w:val="6"/>
              <w:spacing w:before="61" w:line="228" w:lineRule="auto"/>
              <w:ind w:left="885"/>
            </w:pPr>
            <w:r>
              <w:rPr>
                <w:spacing w:val="-9"/>
              </w:rPr>
              <w:t>甲苯</w:t>
            </w:r>
          </w:p>
        </w:tc>
        <w:tc>
          <w:tcPr>
            <w:tcW w:w="3116" w:type="dxa"/>
            <w:vMerge w:val="continue"/>
            <w:tcBorders>
              <w:top w:val="nil"/>
              <w:bottom w:val="nil"/>
            </w:tcBorders>
            <w:vAlign w:val="top"/>
          </w:tcPr>
          <w:p w14:paraId="4CB5FC80">
            <w:pPr>
              <w:rPr>
                <w:rFonts w:ascii="Arial"/>
                <w:sz w:val="21"/>
              </w:rPr>
            </w:pPr>
          </w:p>
        </w:tc>
        <w:tc>
          <w:tcPr>
            <w:tcW w:w="2036" w:type="dxa"/>
            <w:vMerge w:val="continue"/>
            <w:tcBorders>
              <w:top w:val="nil"/>
              <w:bottom w:val="nil"/>
            </w:tcBorders>
            <w:vAlign w:val="top"/>
          </w:tcPr>
          <w:p w14:paraId="7823EAF7">
            <w:pPr>
              <w:rPr>
                <w:rFonts w:ascii="Arial"/>
                <w:sz w:val="21"/>
              </w:rPr>
            </w:pPr>
          </w:p>
        </w:tc>
        <w:tc>
          <w:tcPr>
            <w:tcW w:w="1447" w:type="dxa"/>
            <w:vAlign w:val="top"/>
          </w:tcPr>
          <w:p w14:paraId="73D94488">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456D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4D251DE5">
            <w:pPr>
              <w:pStyle w:val="6"/>
              <w:spacing w:before="62" w:line="228" w:lineRule="auto"/>
              <w:ind w:left="185"/>
            </w:pPr>
            <w:r>
              <w:rPr>
                <w:spacing w:val="6"/>
              </w:rPr>
              <w:t>间二甲苯</w:t>
            </w:r>
            <w:r>
              <w:rPr>
                <w:rFonts w:ascii="Times New Roman" w:hAnsi="Times New Roman" w:eastAsia="Times New Roman" w:cs="Times New Roman"/>
                <w:spacing w:val="6"/>
              </w:rPr>
              <w:t>+</w:t>
            </w:r>
            <w:r>
              <w:rPr>
                <w:spacing w:val="6"/>
              </w:rPr>
              <w:t>对二甲苯</w:t>
            </w:r>
          </w:p>
        </w:tc>
        <w:tc>
          <w:tcPr>
            <w:tcW w:w="3116" w:type="dxa"/>
            <w:vMerge w:val="continue"/>
            <w:tcBorders>
              <w:top w:val="nil"/>
              <w:bottom w:val="nil"/>
            </w:tcBorders>
            <w:vAlign w:val="top"/>
          </w:tcPr>
          <w:p w14:paraId="0ECC7C82">
            <w:pPr>
              <w:rPr>
                <w:rFonts w:ascii="Arial"/>
                <w:sz w:val="21"/>
              </w:rPr>
            </w:pPr>
          </w:p>
        </w:tc>
        <w:tc>
          <w:tcPr>
            <w:tcW w:w="2036" w:type="dxa"/>
            <w:vMerge w:val="continue"/>
            <w:tcBorders>
              <w:top w:val="nil"/>
              <w:bottom w:val="nil"/>
            </w:tcBorders>
            <w:vAlign w:val="top"/>
          </w:tcPr>
          <w:p w14:paraId="58C8AB3A">
            <w:pPr>
              <w:rPr>
                <w:rFonts w:ascii="Arial"/>
                <w:sz w:val="21"/>
              </w:rPr>
            </w:pPr>
          </w:p>
        </w:tc>
        <w:tc>
          <w:tcPr>
            <w:tcW w:w="1447" w:type="dxa"/>
            <w:vAlign w:val="top"/>
          </w:tcPr>
          <w:p w14:paraId="3D9E4CE3">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20337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946D132">
            <w:pPr>
              <w:pStyle w:val="6"/>
              <w:spacing w:before="62" w:line="228" w:lineRule="auto"/>
              <w:ind w:left="648"/>
            </w:pPr>
            <w:r>
              <w:rPr>
                <w:spacing w:val="7"/>
              </w:rPr>
              <w:t>邻二甲苯</w:t>
            </w:r>
          </w:p>
        </w:tc>
        <w:tc>
          <w:tcPr>
            <w:tcW w:w="3116" w:type="dxa"/>
            <w:vMerge w:val="continue"/>
            <w:tcBorders>
              <w:top w:val="nil"/>
            </w:tcBorders>
            <w:vAlign w:val="top"/>
          </w:tcPr>
          <w:p w14:paraId="79910E04">
            <w:pPr>
              <w:rPr>
                <w:rFonts w:ascii="Arial"/>
                <w:sz w:val="21"/>
              </w:rPr>
            </w:pPr>
          </w:p>
        </w:tc>
        <w:tc>
          <w:tcPr>
            <w:tcW w:w="2036" w:type="dxa"/>
            <w:vMerge w:val="continue"/>
            <w:tcBorders>
              <w:top w:val="nil"/>
            </w:tcBorders>
            <w:vAlign w:val="top"/>
          </w:tcPr>
          <w:p w14:paraId="3052238C">
            <w:pPr>
              <w:rPr>
                <w:rFonts w:ascii="Arial"/>
                <w:sz w:val="21"/>
              </w:rPr>
            </w:pPr>
          </w:p>
        </w:tc>
        <w:tc>
          <w:tcPr>
            <w:tcW w:w="1447" w:type="dxa"/>
            <w:vAlign w:val="top"/>
          </w:tcPr>
          <w:p w14:paraId="6F5162E6">
            <w:pPr>
              <w:spacing w:before="3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1B73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25" w:type="dxa"/>
            <w:vAlign w:val="top"/>
          </w:tcPr>
          <w:p w14:paraId="208B09D1">
            <w:pPr>
              <w:pStyle w:val="6"/>
              <w:spacing w:before="62" w:line="228" w:lineRule="auto"/>
              <w:ind w:left="756"/>
            </w:pPr>
            <w:r>
              <w:rPr>
                <w:spacing w:val="6"/>
              </w:rPr>
              <w:t>硝基苯</w:t>
            </w:r>
          </w:p>
        </w:tc>
        <w:tc>
          <w:tcPr>
            <w:tcW w:w="3116" w:type="dxa"/>
            <w:vMerge w:val="restart"/>
            <w:tcBorders>
              <w:bottom w:val="nil"/>
            </w:tcBorders>
            <w:vAlign w:val="top"/>
          </w:tcPr>
          <w:p w14:paraId="2A018358">
            <w:pPr>
              <w:pStyle w:val="6"/>
              <w:spacing w:before="62" w:line="228" w:lineRule="auto"/>
              <w:ind w:left="204"/>
            </w:pPr>
            <w:r>
              <w:rPr>
                <w:spacing w:val="8"/>
              </w:rPr>
              <w:t>《土壤和沉积物半挥发性有机</w:t>
            </w:r>
          </w:p>
          <w:p w14:paraId="3DBFEE11">
            <w:pPr>
              <w:pStyle w:val="6"/>
              <w:spacing w:before="77" w:line="229" w:lineRule="auto"/>
              <w:ind w:left="153"/>
              <w:rPr>
                <w:rFonts w:ascii="Times New Roman" w:hAnsi="Times New Roman" w:eastAsia="Times New Roman" w:cs="Times New Roman"/>
              </w:rPr>
            </w:pPr>
            <w:r>
              <w:rPr>
                <w:spacing w:val="9"/>
              </w:rPr>
              <w:t>物的测定气相色谱</w:t>
            </w:r>
            <w:r>
              <w:rPr>
                <w:rFonts w:ascii="Times New Roman" w:hAnsi="Times New Roman" w:eastAsia="Times New Roman" w:cs="Times New Roman"/>
                <w:spacing w:val="9"/>
              </w:rPr>
              <w:t>-</w:t>
            </w:r>
            <w:r>
              <w:rPr>
                <w:spacing w:val="9"/>
              </w:rPr>
              <w:t>质谱法》</w:t>
            </w:r>
            <w:r>
              <w:rPr>
                <w:rFonts w:ascii="Times New Roman" w:hAnsi="Times New Roman" w:eastAsia="Times New Roman" w:cs="Times New Roman"/>
              </w:rPr>
              <w:t>HJ</w:t>
            </w:r>
          </w:p>
          <w:p w14:paraId="548E88FA">
            <w:pPr>
              <w:spacing w:before="47" w:line="274" w:lineRule="exact"/>
              <w:ind w:left="1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834-2017</w:t>
            </w:r>
          </w:p>
        </w:tc>
        <w:tc>
          <w:tcPr>
            <w:tcW w:w="2036" w:type="dxa"/>
            <w:vMerge w:val="restart"/>
            <w:tcBorders>
              <w:bottom w:val="nil"/>
            </w:tcBorders>
            <w:vAlign w:val="top"/>
          </w:tcPr>
          <w:p w14:paraId="75FD73F1">
            <w:pPr>
              <w:pStyle w:val="6"/>
              <w:spacing w:before="63" w:line="286" w:lineRule="auto"/>
              <w:ind w:left="590" w:right="177" w:hanging="405"/>
              <w:rPr>
                <w:rFonts w:ascii="Times New Roman" w:hAnsi="Times New Roman" w:eastAsia="Times New Roman" w:cs="Times New Roman"/>
              </w:rPr>
            </w:pPr>
            <w:r>
              <w:rPr>
                <w:spacing w:val="8"/>
              </w:rPr>
              <w:t>气相色谱质谱联用</w:t>
            </w:r>
            <w:r>
              <w:rPr>
                <w:spacing w:val="3"/>
              </w:rPr>
              <w:t xml:space="preserve"> </w:t>
            </w:r>
            <w:r>
              <w:rPr>
                <w:spacing w:val="14"/>
              </w:rPr>
              <w:t>仪</w:t>
            </w:r>
            <w:r>
              <w:rPr>
                <w:rFonts w:ascii="Times New Roman" w:hAnsi="Times New Roman" w:eastAsia="Times New Roman" w:cs="Times New Roman"/>
                <w:spacing w:val="14"/>
              </w:rPr>
              <w:t>-</w:t>
            </w:r>
            <w:r>
              <w:rPr>
                <w:rFonts w:ascii="Times New Roman" w:hAnsi="Times New Roman" w:eastAsia="Times New Roman" w:cs="Times New Roman"/>
              </w:rPr>
              <w:t>GCMS</w:t>
            </w:r>
          </w:p>
          <w:p w14:paraId="02868010">
            <w:pPr>
              <w:spacing w:before="1" w:line="318" w:lineRule="auto"/>
              <w:ind w:left="563" w:right="487"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6890N/5973</w:t>
            </w:r>
            <w:r>
              <w:rPr>
                <w:rFonts w:ascii="Times New Roman" w:hAnsi="Times New Roman" w:eastAsia="Times New Roman" w:cs="Times New Roman"/>
                <w:sz w:val="20"/>
                <w:szCs w:val="20"/>
              </w:rPr>
              <w:t xml:space="preserve"> YQ</w:t>
            </w:r>
            <w:r>
              <w:rPr>
                <w:rFonts w:ascii="Times New Roman" w:hAnsi="Times New Roman" w:eastAsia="Times New Roman" w:cs="Times New Roman"/>
                <w:spacing w:val="6"/>
                <w:sz w:val="20"/>
                <w:szCs w:val="20"/>
              </w:rPr>
              <w:t>-A-202</w:t>
            </w:r>
          </w:p>
        </w:tc>
        <w:tc>
          <w:tcPr>
            <w:tcW w:w="1447" w:type="dxa"/>
            <w:vAlign w:val="top"/>
          </w:tcPr>
          <w:p w14:paraId="28E2D592">
            <w:pPr>
              <w:spacing w:before="32"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A160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E50F326">
            <w:pPr>
              <w:pStyle w:val="6"/>
              <w:spacing w:before="31" w:line="274" w:lineRule="exact"/>
              <w:ind w:left="662"/>
            </w:pPr>
            <w:r>
              <w:rPr>
                <w:rFonts w:ascii="Times New Roman" w:hAnsi="Times New Roman" w:eastAsia="Times New Roman" w:cs="Times New Roman"/>
                <w:spacing w:val="6"/>
                <w:position w:val="1"/>
              </w:rPr>
              <w:t>2-</w:t>
            </w:r>
            <w:r>
              <w:rPr>
                <w:spacing w:val="6"/>
                <w:position w:val="1"/>
              </w:rPr>
              <w:t>氯苯酚</w:t>
            </w:r>
          </w:p>
        </w:tc>
        <w:tc>
          <w:tcPr>
            <w:tcW w:w="3116" w:type="dxa"/>
            <w:vMerge w:val="continue"/>
            <w:tcBorders>
              <w:top w:val="nil"/>
              <w:bottom w:val="nil"/>
            </w:tcBorders>
            <w:vAlign w:val="top"/>
          </w:tcPr>
          <w:p w14:paraId="366EA5FD">
            <w:pPr>
              <w:rPr>
                <w:rFonts w:ascii="Arial"/>
                <w:sz w:val="21"/>
              </w:rPr>
            </w:pPr>
          </w:p>
        </w:tc>
        <w:tc>
          <w:tcPr>
            <w:tcW w:w="2036" w:type="dxa"/>
            <w:vMerge w:val="continue"/>
            <w:tcBorders>
              <w:top w:val="nil"/>
              <w:bottom w:val="nil"/>
            </w:tcBorders>
            <w:vAlign w:val="top"/>
          </w:tcPr>
          <w:p w14:paraId="3E941231">
            <w:pPr>
              <w:rPr>
                <w:rFonts w:ascii="Arial"/>
                <w:sz w:val="21"/>
              </w:rPr>
            </w:pPr>
          </w:p>
        </w:tc>
        <w:tc>
          <w:tcPr>
            <w:tcW w:w="1447" w:type="dxa"/>
            <w:vAlign w:val="top"/>
          </w:tcPr>
          <w:p w14:paraId="54154E87">
            <w:pPr>
              <w:spacing w:before="31"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19C9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206D10D">
            <w:pPr>
              <w:pStyle w:val="6"/>
              <w:spacing w:before="31" w:line="275" w:lineRule="exact"/>
              <w:ind w:left="639"/>
            </w:pPr>
            <w:r>
              <w:rPr>
                <w:spacing w:val="4"/>
                <w:position w:val="2"/>
              </w:rPr>
              <w:t>苯并</w:t>
            </w:r>
            <w:r>
              <w:rPr>
                <w:rFonts w:ascii="Times New Roman" w:hAnsi="Times New Roman" w:eastAsia="Times New Roman" w:cs="Times New Roman"/>
                <w:spacing w:val="4"/>
                <w:position w:val="2"/>
              </w:rPr>
              <w:t>(a)</w:t>
            </w:r>
            <w:r>
              <w:rPr>
                <w:spacing w:val="4"/>
                <w:position w:val="2"/>
              </w:rPr>
              <w:t>蒽</w:t>
            </w:r>
          </w:p>
        </w:tc>
        <w:tc>
          <w:tcPr>
            <w:tcW w:w="3116" w:type="dxa"/>
            <w:vMerge w:val="continue"/>
            <w:tcBorders>
              <w:top w:val="nil"/>
              <w:bottom w:val="nil"/>
            </w:tcBorders>
            <w:vAlign w:val="top"/>
          </w:tcPr>
          <w:p w14:paraId="6716DAAC">
            <w:pPr>
              <w:rPr>
                <w:rFonts w:ascii="Arial"/>
                <w:sz w:val="21"/>
              </w:rPr>
            </w:pPr>
          </w:p>
        </w:tc>
        <w:tc>
          <w:tcPr>
            <w:tcW w:w="2036" w:type="dxa"/>
            <w:vMerge w:val="continue"/>
            <w:tcBorders>
              <w:top w:val="nil"/>
              <w:bottom w:val="nil"/>
            </w:tcBorders>
            <w:vAlign w:val="top"/>
          </w:tcPr>
          <w:p w14:paraId="67AA8153">
            <w:pPr>
              <w:rPr>
                <w:rFonts w:ascii="Arial"/>
                <w:sz w:val="21"/>
              </w:rPr>
            </w:pPr>
          </w:p>
        </w:tc>
        <w:tc>
          <w:tcPr>
            <w:tcW w:w="1447" w:type="dxa"/>
            <w:vAlign w:val="top"/>
          </w:tcPr>
          <w:p w14:paraId="255A7606">
            <w:pPr>
              <w:spacing w:before="31" w:line="275"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0900C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880113E">
            <w:pPr>
              <w:pStyle w:val="6"/>
              <w:spacing w:before="32" w:line="274" w:lineRule="exact"/>
              <w:ind w:left="639"/>
            </w:pPr>
            <w:r>
              <w:rPr>
                <w:spacing w:val="4"/>
                <w:position w:val="2"/>
              </w:rPr>
              <w:t>苯并</w:t>
            </w:r>
            <w:r>
              <w:rPr>
                <w:rFonts w:ascii="Times New Roman" w:hAnsi="Times New Roman" w:eastAsia="Times New Roman" w:cs="Times New Roman"/>
                <w:spacing w:val="4"/>
                <w:position w:val="2"/>
              </w:rPr>
              <w:t>(a)</w:t>
            </w:r>
            <w:r>
              <w:rPr>
                <w:spacing w:val="4"/>
                <w:position w:val="2"/>
              </w:rPr>
              <w:t>芘</w:t>
            </w:r>
          </w:p>
        </w:tc>
        <w:tc>
          <w:tcPr>
            <w:tcW w:w="3116" w:type="dxa"/>
            <w:vMerge w:val="continue"/>
            <w:tcBorders>
              <w:top w:val="nil"/>
              <w:bottom w:val="nil"/>
            </w:tcBorders>
            <w:vAlign w:val="top"/>
          </w:tcPr>
          <w:p w14:paraId="3662D0DC">
            <w:pPr>
              <w:rPr>
                <w:rFonts w:ascii="Arial"/>
                <w:sz w:val="21"/>
              </w:rPr>
            </w:pPr>
          </w:p>
        </w:tc>
        <w:tc>
          <w:tcPr>
            <w:tcW w:w="2036" w:type="dxa"/>
            <w:vMerge w:val="continue"/>
            <w:tcBorders>
              <w:top w:val="nil"/>
              <w:bottom w:val="nil"/>
            </w:tcBorders>
            <w:vAlign w:val="top"/>
          </w:tcPr>
          <w:p w14:paraId="6EE6716D">
            <w:pPr>
              <w:rPr>
                <w:rFonts w:ascii="Arial"/>
                <w:sz w:val="21"/>
              </w:rPr>
            </w:pPr>
          </w:p>
        </w:tc>
        <w:tc>
          <w:tcPr>
            <w:tcW w:w="1447" w:type="dxa"/>
            <w:vAlign w:val="top"/>
          </w:tcPr>
          <w:p w14:paraId="781C1CA2">
            <w:pPr>
              <w:spacing w:before="32"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31F95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0BB2DBF">
            <w:pPr>
              <w:pStyle w:val="6"/>
              <w:spacing w:before="32" w:line="274" w:lineRule="exact"/>
              <w:ind w:left="529"/>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3116" w:type="dxa"/>
            <w:vMerge w:val="continue"/>
            <w:tcBorders>
              <w:top w:val="nil"/>
              <w:bottom w:val="nil"/>
            </w:tcBorders>
            <w:vAlign w:val="top"/>
          </w:tcPr>
          <w:p w14:paraId="22A9FB35">
            <w:pPr>
              <w:rPr>
                <w:rFonts w:ascii="Arial"/>
                <w:sz w:val="21"/>
              </w:rPr>
            </w:pPr>
          </w:p>
        </w:tc>
        <w:tc>
          <w:tcPr>
            <w:tcW w:w="2036" w:type="dxa"/>
            <w:vMerge w:val="continue"/>
            <w:tcBorders>
              <w:top w:val="nil"/>
              <w:bottom w:val="nil"/>
            </w:tcBorders>
            <w:vAlign w:val="top"/>
          </w:tcPr>
          <w:p w14:paraId="5A590056">
            <w:pPr>
              <w:rPr>
                <w:rFonts w:ascii="Arial"/>
                <w:sz w:val="21"/>
              </w:rPr>
            </w:pPr>
          </w:p>
        </w:tc>
        <w:tc>
          <w:tcPr>
            <w:tcW w:w="1447" w:type="dxa"/>
            <w:vAlign w:val="top"/>
          </w:tcPr>
          <w:p w14:paraId="32951A70">
            <w:pPr>
              <w:spacing w:before="32"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757CF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042C74C">
            <w:pPr>
              <w:pStyle w:val="6"/>
              <w:spacing w:before="33" w:line="274" w:lineRule="exact"/>
              <w:ind w:left="529"/>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3116" w:type="dxa"/>
            <w:vMerge w:val="continue"/>
            <w:tcBorders>
              <w:top w:val="nil"/>
              <w:bottom w:val="nil"/>
            </w:tcBorders>
            <w:vAlign w:val="top"/>
          </w:tcPr>
          <w:p w14:paraId="17C7356A">
            <w:pPr>
              <w:rPr>
                <w:rFonts w:ascii="Arial"/>
                <w:sz w:val="21"/>
              </w:rPr>
            </w:pPr>
          </w:p>
        </w:tc>
        <w:tc>
          <w:tcPr>
            <w:tcW w:w="2036" w:type="dxa"/>
            <w:vMerge w:val="continue"/>
            <w:tcBorders>
              <w:top w:val="nil"/>
              <w:bottom w:val="nil"/>
            </w:tcBorders>
            <w:vAlign w:val="top"/>
          </w:tcPr>
          <w:p w14:paraId="2B1E1EC2">
            <w:pPr>
              <w:rPr>
                <w:rFonts w:ascii="Arial"/>
                <w:sz w:val="21"/>
              </w:rPr>
            </w:pPr>
          </w:p>
        </w:tc>
        <w:tc>
          <w:tcPr>
            <w:tcW w:w="1447" w:type="dxa"/>
            <w:vAlign w:val="top"/>
          </w:tcPr>
          <w:p w14:paraId="686D4DF0">
            <w:pPr>
              <w:spacing w:before="33"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7BE0C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C2B4C81">
            <w:pPr>
              <w:pStyle w:val="6"/>
              <w:spacing w:before="64" w:line="230" w:lineRule="auto"/>
              <w:ind w:left="962"/>
            </w:pPr>
            <w:r>
              <w:rPr>
                <w:spacing w:val="2"/>
              </w:rPr>
              <w:t>䓛</w:t>
            </w:r>
          </w:p>
        </w:tc>
        <w:tc>
          <w:tcPr>
            <w:tcW w:w="3116" w:type="dxa"/>
            <w:vMerge w:val="continue"/>
            <w:tcBorders>
              <w:top w:val="nil"/>
              <w:bottom w:val="nil"/>
            </w:tcBorders>
            <w:vAlign w:val="top"/>
          </w:tcPr>
          <w:p w14:paraId="40A33C44">
            <w:pPr>
              <w:rPr>
                <w:rFonts w:ascii="Arial"/>
                <w:sz w:val="21"/>
              </w:rPr>
            </w:pPr>
          </w:p>
        </w:tc>
        <w:tc>
          <w:tcPr>
            <w:tcW w:w="2036" w:type="dxa"/>
            <w:vMerge w:val="continue"/>
            <w:tcBorders>
              <w:top w:val="nil"/>
              <w:bottom w:val="nil"/>
            </w:tcBorders>
            <w:vAlign w:val="top"/>
          </w:tcPr>
          <w:p w14:paraId="2190896E">
            <w:pPr>
              <w:rPr>
                <w:rFonts w:ascii="Arial"/>
                <w:sz w:val="21"/>
              </w:rPr>
            </w:pPr>
          </w:p>
        </w:tc>
        <w:tc>
          <w:tcPr>
            <w:tcW w:w="1447" w:type="dxa"/>
            <w:vAlign w:val="top"/>
          </w:tcPr>
          <w:p w14:paraId="34DB2050">
            <w:pPr>
              <w:spacing w:before="33"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641B2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6F2D0A11">
            <w:pPr>
              <w:pStyle w:val="6"/>
              <w:spacing w:before="31" w:line="274" w:lineRule="exact"/>
              <w:ind w:left="431"/>
            </w:pPr>
            <w:r>
              <w:rPr>
                <w:spacing w:val="4"/>
                <w:position w:val="2"/>
              </w:rPr>
              <w:t>二苯并</w:t>
            </w:r>
            <w:r>
              <w:rPr>
                <w:rFonts w:ascii="Times New Roman" w:hAnsi="Times New Roman" w:eastAsia="Times New Roman" w:cs="Times New Roman"/>
                <w:spacing w:val="4"/>
                <w:position w:val="2"/>
              </w:rPr>
              <w:t>[a, h]</w:t>
            </w:r>
            <w:r>
              <w:rPr>
                <w:spacing w:val="4"/>
                <w:position w:val="2"/>
              </w:rPr>
              <w:t>蒽</w:t>
            </w:r>
          </w:p>
        </w:tc>
        <w:tc>
          <w:tcPr>
            <w:tcW w:w="3116" w:type="dxa"/>
            <w:vMerge w:val="continue"/>
            <w:tcBorders>
              <w:top w:val="nil"/>
              <w:bottom w:val="nil"/>
            </w:tcBorders>
            <w:vAlign w:val="top"/>
          </w:tcPr>
          <w:p w14:paraId="1DEDC247">
            <w:pPr>
              <w:rPr>
                <w:rFonts w:ascii="Arial"/>
                <w:sz w:val="21"/>
              </w:rPr>
            </w:pPr>
          </w:p>
        </w:tc>
        <w:tc>
          <w:tcPr>
            <w:tcW w:w="2036" w:type="dxa"/>
            <w:vMerge w:val="continue"/>
            <w:tcBorders>
              <w:top w:val="nil"/>
              <w:bottom w:val="nil"/>
            </w:tcBorders>
            <w:vAlign w:val="top"/>
          </w:tcPr>
          <w:p w14:paraId="5C8B8C6D">
            <w:pPr>
              <w:rPr>
                <w:rFonts w:ascii="Arial"/>
                <w:sz w:val="21"/>
              </w:rPr>
            </w:pPr>
          </w:p>
        </w:tc>
        <w:tc>
          <w:tcPr>
            <w:tcW w:w="1447" w:type="dxa"/>
            <w:vAlign w:val="top"/>
          </w:tcPr>
          <w:p w14:paraId="4FE80CED">
            <w:pPr>
              <w:spacing w:before="31"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31B9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0DF50132">
            <w:pPr>
              <w:pStyle w:val="6"/>
              <w:spacing w:before="31" w:line="275" w:lineRule="exact"/>
              <w:ind w:left="346"/>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3116" w:type="dxa"/>
            <w:vMerge w:val="continue"/>
            <w:tcBorders>
              <w:top w:val="nil"/>
              <w:bottom w:val="nil"/>
            </w:tcBorders>
            <w:vAlign w:val="top"/>
          </w:tcPr>
          <w:p w14:paraId="662519C0">
            <w:pPr>
              <w:rPr>
                <w:rFonts w:ascii="Arial"/>
                <w:sz w:val="21"/>
              </w:rPr>
            </w:pPr>
          </w:p>
        </w:tc>
        <w:tc>
          <w:tcPr>
            <w:tcW w:w="2036" w:type="dxa"/>
            <w:vMerge w:val="continue"/>
            <w:tcBorders>
              <w:top w:val="nil"/>
              <w:bottom w:val="nil"/>
            </w:tcBorders>
            <w:vAlign w:val="top"/>
          </w:tcPr>
          <w:p w14:paraId="4879029C">
            <w:pPr>
              <w:rPr>
                <w:rFonts w:ascii="Arial"/>
                <w:sz w:val="21"/>
              </w:rPr>
            </w:pPr>
          </w:p>
        </w:tc>
        <w:tc>
          <w:tcPr>
            <w:tcW w:w="1447" w:type="dxa"/>
            <w:vAlign w:val="top"/>
          </w:tcPr>
          <w:p w14:paraId="261AA696">
            <w:pPr>
              <w:spacing w:before="31" w:line="275"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4D199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017894E6">
            <w:pPr>
              <w:pStyle w:val="6"/>
              <w:spacing w:before="63" w:line="229" w:lineRule="auto"/>
              <w:ind w:left="964"/>
            </w:pPr>
            <w:r>
              <w:t>萘</w:t>
            </w:r>
          </w:p>
        </w:tc>
        <w:tc>
          <w:tcPr>
            <w:tcW w:w="3116" w:type="dxa"/>
            <w:vMerge w:val="continue"/>
            <w:tcBorders>
              <w:top w:val="nil"/>
              <w:bottom w:val="nil"/>
            </w:tcBorders>
            <w:vAlign w:val="top"/>
          </w:tcPr>
          <w:p w14:paraId="1EA3690B">
            <w:pPr>
              <w:rPr>
                <w:rFonts w:ascii="Arial"/>
                <w:sz w:val="21"/>
              </w:rPr>
            </w:pPr>
          </w:p>
        </w:tc>
        <w:tc>
          <w:tcPr>
            <w:tcW w:w="2036" w:type="dxa"/>
            <w:vMerge w:val="continue"/>
            <w:tcBorders>
              <w:top w:val="nil"/>
              <w:bottom w:val="nil"/>
            </w:tcBorders>
            <w:vAlign w:val="top"/>
          </w:tcPr>
          <w:p w14:paraId="52657813">
            <w:pPr>
              <w:rPr>
                <w:rFonts w:ascii="Arial"/>
                <w:sz w:val="21"/>
              </w:rPr>
            </w:pPr>
          </w:p>
        </w:tc>
        <w:tc>
          <w:tcPr>
            <w:tcW w:w="1447" w:type="dxa"/>
            <w:vAlign w:val="top"/>
          </w:tcPr>
          <w:p w14:paraId="5A1C06C1">
            <w:pPr>
              <w:spacing w:before="32"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39617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25" w:type="dxa"/>
            <w:vAlign w:val="top"/>
          </w:tcPr>
          <w:p w14:paraId="3F36A52F">
            <w:pPr>
              <w:pStyle w:val="6"/>
              <w:spacing w:before="63" w:line="228" w:lineRule="auto"/>
              <w:ind w:left="860"/>
            </w:pPr>
            <w:r>
              <w:rPr>
                <w:spacing w:val="3"/>
              </w:rPr>
              <w:t>苯胺</w:t>
            </w:r>
          </w:p>
        </w:tc>
        <w:tc>
          <w:tcPr>
            <w:tcW w:w="3116" w:type="dxa"/>
            <w:vMerge w:val="continue"/>
            <w:tcBorders>
              <w:top w:val="nil"/>
            </w:tcBorders>
            <w:vAlign w:val="top"/>
          </w:tcPr>
          <w:p w14:paraId="02BFF1F4">
            <w:pPr>
              <w:rPr>
                <w:rFonts w:ascii="Arial"/>
                <w:sz w:val="21"/>
              </w:rPr>
            </w:pPr>
          </w:p>
        </w:tc>
        <w:tc>
          <w:tcPr>
            <w:tcW w:w="2036" w:type="dxa"/>
            <w:vMerge w:val="continue"/>
            <w:tcBorders>
              <w:top w:val="nil"/>
            </w:tcBorders>
            <w:vAlign w:val="top"/>
          </w:tcPr>
          <w:p w14:paraId="5EBB81C3">
            <w:pPr>
              <w:rPr>
                <w:rFonts w:ascii="Arial"/>
                <w:sz w:val="21"/>
              </w:rPr>
            </w:pPr>
          </w:p>
        </w:tc>
        <w:tc>
          <w:tcPr>
            <w:tcW w:w="1447" w:type="dxa"/>
            <w:vAlign w:val="top"/>
          </w:tcPr>
          <w:p w14:paraId="137E11E6">
            <w:pPr>
              <w:spacing w:before="32"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bl>
    <w:p w14:paraId="6FD0BE65">
      <w:pPr>
        <w:pStyle w:val="2"/>
        <w:spacing w:line="248" w:lineRule="auto"/>
      </w:pPr>
    </w:p>
    <w:p w14:paraId="693BDBF2">
      <w:pPr>
        <w:pStyle w:val="2"/>
        <w:spacing w:line="249" w:lineRule="auto"/>
      </w:pPr>
    </w:p>
    <w:p w14:paraId="590BC99A">
      <w:pPr>
        <w:spacing w:before="78" w:line="361" w:lineRule="exact"/>
        <w:ind w:left="484"/>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、监测结果</w:t>
      </w:r>
    </w:p>
    <w:p w14:paraId="6E0FEA30">
      <w:pPr>
        <w:spacing w:before="128" w:line="359" w:lineRule="exact"/>
        <w:ind w:left="493"/>
        <w:rPr>
          <w:rFonts w:ascii="宋体" w:hAnsi="宋体" w:eastAsia="宋体" w:cs="宋体"/>
          <w:sz w:val="24"/>
          <w:szCs w:val="24"/>
        </w:rPr>
      </w:pPr>
      <w:r>
        <w:rPr>
          <w:rFonts w:ascii="宋体" w:hAnsi="宋体" w:eastAsia="宋体" w:cs="宋体"/>
          <w:spacing w:val="1"/>
          <w:position w:val="2"/>
          <w:sz w:val="24"/>
          <w:szCs w:val="24"/>
        </w:rPr>
        <w:t>项目土壤采样点土壤理化特性、监测数据见表</w:t>
      </w:r>
      <w:r>
        <w:rPr>
          <w:rFonts w:ascii="Times New Roman" w:hAnsi="Times New Roman" w:eastAsia="Times New Roman" w:cs="Times New Roman"/>
          <w:spacing w:val="1"/>
          <w:position w:val="2"/>
          <w:sz w:val="24"/>
          <w:szCs w:val="24"/>
        </w:rPr>
        <w:t>4.5-3~4.5-4</w:t>
      </w:r>
      <w:r>
        <w:rPr>
          <w:rFonts w:ascii="宋体" w:hAnsi="宋体" w:eastAsia="宋体" w:cs="宋体"/>
          <w:spacing w:val="1"/>
          <w:position w:val="2"/>
          <w:sz w:val="24"/>
          <w:szCs w:val="24"/>
        </w:rPr>
        <w:t>。</w:t>
      </w:r>
    </w:p>
    <w:p w14:paraId="0B6DE79A">
      <w:pPr>
        <w:spacing w:line="359" w:lineRule="exact"/>
        <w:rPr>
          <w:rFonts w:ascii="宋体" w:hAnsi="宋体" w:eastAsia="宋体" w:cs="宋体"/>
          <w:sz w:val="24"/>
          <w:szCs w:val="24"/>
        </w:rPr>
        <w:sectPr>
          <w:footerReference r:id="rId108" w:type="default"/>
          <w:pgSz w:w="11906" w:h="16839"/>
          <w:pgMar w:top="400" w:right="1588" w:bottom="1485" w:left="1588" w:header="0" w:footer="1249" w:gutter="0"/>
          <w:cols w:space="720" w:num="1"/>
        </w:sectPr>
      </w:pPr>
    </w:p>
    <w:p w14:paraId="08C83693">
      <w:pPr>
        <w:pStyle w:val="2"/>
        <w:spacing w:line="271" w:lineRule="auto"/>
      </w:pPr>
    </w:p>
    <w:p w14:paraId="00248400">
      <w:pPr>
        <w:pStyle w:val="2"/>
        <w:spacing w:line="271" w:lineRule="auto"/>
      </w:pPr>
    </w:p>
    <w:p w14:paraId="5A7DA381">
      <w:pPr>
        <w:pStyle w:val="2"/>
        <w:spacing w:line="271" w:lineRule="auto"/>
      </w:pPr>
    </w:p>
    <w:p w14:paraId="377D6287">
      <w:pPr>
        <w:pStyle w:val="2"/>
        <w:spacing w:line="272" w:lineRule="auto"/>
      </w:pPr>
    </w:p>
    <w:p w14:paraId="5D462AFC">
      <w:pPr>
        <w:spacing w:before="65" w:line="228" w:lineRule="auto"/>
        <w:ind w:left="337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4.5-3 </w:t>
      </w:r>
      <w:r>
        <w:rPr>
          <w:rFonts w:ascii="宋体" w:hAnsi="宋体" w:eastAsia="宋体" w:cs="宋体"/>
          <w:b/>
          <w:bCs/>
          <w:spacing w:val="5"/>
          <w:sz w:val="20"/>
          <w:szCs w:val="20"/>
        </w:rPr>
        <w:t>土壤理化特性调查表</w:t>
      </w:r>
    </w:p>
    <w:p w14:paraId="53DA0273">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2855"/>
        <w:gridCol w:w="1828"/>
        <w:gridCol w:w="1828"/>
        <w:gridCol w:w="1947"/>
      </w:tblGrid>
      <w:tr w14:paraId="55F8B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347" w:type="dxa"/>
            <w:gridSpan w:val="2"/>
            <w:vAlign w:val="top"/>
          </w:tcPr>
          <w:p w14:paraId="154058B0">
            <w:pPr>
              <w:pStyle w:val="6"/>
              <w:spacing w:before="61" w:line="231" w:lineRule="auto"/>
              <w:ind w:left="1480"/>
            </w:pPr>
            <w:r>
              <w:rPr>
                <w:spacing w:val="-1"/>
              </w:rPr>
              <w:t>时间</w:t>
            </w:r>
          </w:p>
        </w:tc>
        <w:tc>
          <w:tcPr>
            <w:tcW w:w="5603" w:type="dxa"/>
            <w:gridSpan w:val="3"/>
            <w:vAlign w:val="top"/>
          </w:tcPr>
          <w:p w14:paraId="55D66BEF">
            <w:pPr>
              <w:spacing w:before="31" w:line="274" w:lineRule="exact"/>
              <w:ind w:left="2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2019.11.12</w:t>
            </w:r>
          </w:p>
        </w:tc>
      </w:tr>
      <w:tr w14:paraId="7ABE4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347" w:type="dxa"/>
            <w:gridSpan w:val="2"/>
            <w:vAlign w:val="top"/>
          </w:tcPr>
          <w:p w14:paraId="5125E014">
            <w:pPr>
              <w:pStyle w:val="6"/>
              <w:spacing w:before="58" w:line="230" w:lineRule="auto"/>
              <w:ind w:left="1477"/>
            </w:pPr>
            <w:r>
              <w:rPr>
                <w:spacing w:val="1"/>
              </w:rPr>
              <w:t>点号</w:t>
            </w:r>
          </w:p>
        </w:tc>
        <w:tc>
          <w:tcPr>
            <w:tcW w:w="1828" w:type="dxa"/>
            <w:vAlign w:val="top"/>
          </w:tcPr>
          <w:p w14:paraId="26BF068B">
            <w:pPr>
              <w:spacing w:before="27" w:line="274"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T1</w:t>
            </w:r>
          </w:p>
        </w:tc>
        <w:tc>
          <w:tcPr>
            <w:tcW w:w="1828" w:type="dxa"/>
            <w:vAlign w:val="top"/>
          </w:tcPr>
          <w:p w14:paraId="1B2144E8">
            <w:pPr>
              <w:spacing w:before="27" w:line="274" w:lineRule="exact"/>
              <w:ind w:left="80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T2</w:t>
            </w:r>
          </w:p>
        </w:tc>
        <w:tc>
          <w:tcPr>
            <w:tcW w:w="1947" w:type="dxa"/>
            <w:vAlign w:val="top"/>
          </w:tcPr>
          <w:p w14:paraId="33A002B6">
            <w:pPr>
              <w:spacing w:before="2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T3</w:t>
            </w:r>
          </w:p>
        </w:tc>
      </w:tr>
      <w:tr w14:paraId="52D48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347" w:type="dxa"/>
            <w:gridSpan w:val="2"/>
            <w:vAlign w:val="top"/>
          </w:tcPr>
          <w:p w14:paraId="7DC05753">
            <w:pPr>
              <w:pStyle w:val="6"/>
              <w:spacing w:before="59" w:line="229" w:lineRule="auto"/>
              <w:ind w:left="1366"/>
            </w:pPr>
            <w:r>
              <w:rPr>
                <w:spacing w:val="6"/>
              </w:rPr>
              <w:t>经纬度</w:t>
            </w:r>
          </w:p>
        </w:tc>
        <w:tc>
          <w:tcPr>
            <w:tcW w:w="1828" w:type="dxa"/>
            <w:vAlign w:val="top"/>
          </w:tcPr>
          <w:p w14:paraId="30AF6343">
            <w:pPr>
              <w:pStyle w:val="6"/>
              <w:spacing w:before="28" w:line="274" w:lineRule="exact"/>
              <w:ind w:left="147"/>
            </w:pPr>
            <w:r>
              <w:rPr>
                <w:rFonts w:ascii="Times New Roman" w:hAnsi="Times New Roman" w:eastAsia="Times New Roman" w:cs="Times New Roman"/>
                <w:spacing w:val="3"/>
                <w:position w:val="2"/>
              </w:rPr>
              <w:t>E</w:t>
            </w:r>
            <w:r>
              <w:rPr>
                <w:spacing w:val="3"/>
                <w:position w:val="2"/>
              </w:rPr>
              <w:t>：</w:t>
            </w:r>
            <w:r>
              <w:rPr>
                <w:rFonts w:ascii="Times New Roman" w:hAnsi="Times New Roman" w:eastAsia="Times New Roman" w:cs="Times New Roman"/>
                <w:spacing w:val="3"/>
                <w:position w:val="2"/>
              </w:rPr>
              <w:t>115.413135</w:t>
            </w:r>
            <w:r>
              <w:rPr>
                <w:spacing w:val="3"/>
                <w:position w:val="2"/>
              </w:rPr>
              <w:t>；</w:t>
            </w:r>
          </w:p>
          <w:p w14:paraId="439D7D94">
            <w:pPr>
              <w:pStyle w:val="6"/>
              <w:spacing w:before="52" w:line="274" w:lineRule="exact"/>
              <w:ind w:left="282"/>
              <w:rPr>
                <w:rFonts w:ascii="Times New Roman" w:hAnsi="Times New Roman" w:eastAsia="Times New Roman" w:cs="Times New Roman"/>
              </w:rPr>
            </w:pPr>
            <w:r>
              <w:rPr>
                <w:rFonts w:ascii="Times New Roman" w:hAnsi="Times New Roman" w:eastAsia="Times New Roman" w:cs="Times New Roman"/>
                <w:spacing w:val="5"/>
                <w:position w:val="2"/>
              </w:rPr>
              <w:t>N</w:t>
            </w:r>
            <w:r>
              <w:rPr>
                <w:spacing w:val="5"/>
                <w:position w:val="2"/>
              </w:rPr>
              <w:t>：</w:t>
            </w:r>
            <w:r>
              <w:rPr>
                <w:rFonts w:ascii="Times New Roman" w:hAnsi="Times New Roman" w:eastAsia="Times New Roman" w:cs="Times New Roman"/>
                <w:spacing w:val="5"/>
                <w:position w:val="2"/>
              </w:rPr>
              <w:t>23.031982</w:t>
            </w:r>
          </w:p>
        </w:tc>
        <w:tc>
          <w:tcPr>
            <w:tcW w:w="1828" w:type="dxa"/>
            <w:vAlign w:val="top"/>
          </w:tcPr>
          <w:p w14:paraId="493FC2D3">
            <w:pPr>
              <w:pStyle w:val="6"/>
              <w:spacing w:before="28" w:line="274" w:lineRule="exact"/>
              <w:ind w:left="148"/>
            </w:pPr>
            <w:r>
              <w:rPr>
                <w:rFonts w:ascii="Times New Roman" w:hAnsi="Times New Roman" w:eastAsia="Times New Roman" w:cs="Times New Roman"/>
                <w:spacing w:val="3"/>
                <w:position w:val="2"/>
              </w:rPr>
              <w:t>E</w:t>
            </w:r>
            <w:r>
              <w:rPr>
                <w:spacing w:val="3"/>
                <w:position w:val="2"/>
              </w:rPr>
              <w:t>：</w:t>
            </w:r>
            <w:r>
              <w:rPr>
                <w:rFonts w:ascii="Times New Roman" w:hAnsi="Times New Roman" w:eastAsia="Times New Roman" w:cs="Times New Roman"/>
                <w:spacing w:val="3"/>
                <w:position w:val="2"/>
              </w:rPr>
              <w:t>115.413533</w:t>
            </w:r>
            <w:r>
              <w:rPr>
                <w:spacing w:val="3"/>
                <w:position w:val="2"/>
              </w:rPr>
              <w:t>；</w:t>
            </w:r>
          </w:p>
          <w:p w14:paraId="2E8FBAF7">
            <w:pPr>
              <w:pStyle w:val="6"/>
              <w:spacing w:before="52" w:line="274" w:lineRule="exact"/>
              <w:ind w:left="283"/>
              <w:rPr>
                <w:rFonts w:ascii="Times New Roman" w:hAnsi="Times New Roman" w:eastAsia="Times New Roman" w:cs="Times New Roman"/>
              </w:rPr>
            </w:pPr>
            <w:r>
              <w:rPr>
                <w:rFonts w:ascii="Times New Roman" w:hAnsi="Times New Roman" w:eastAsia="Times New Roman" w:cs="Times New Roman"/>
                <w:spacing w:val="5"/>
                <w:position w:val="2"/>
              </w:rPr>
              <w:t>N</w:t>
            </w:r>
            <w:r>
              <w:rPr>
                <w:spacing w:val="5"/>
                <w:position w:val="2"/>
              </w:rPr>
              <w:t>：</w:t>
            </w:r>
            <w:r>
              <w:rPr>
                <w:rFonts w:ascii="Times New Roman" w:hAnsi="Times New Roman" w:eastAsia="Times New Roman" w:cs="Times New Roman"/>
                <w:spacing w:val="5"/>
                <w:position w:val="2"/>
              </w:rPr>
              <w:t>23.032226</w:t>
            </w:r>
          </w:p>
        </w:tc>
        <w:tc>
          <w:tcPr>
            <w:tcW w:w="1947" w:type="dxa"/>
            <w:vAlign w:val="top"/>
          </w:tcPr>
          <w:p w14:paraId="6B730FE3">
            <w:pPr>
              <w:pStyle w:val="6"/>
              <w:spacing w:before="28" w:line="274" w:lineRule="exact"/>
              <w:ind w:left="312"/>
              <w:rPr>
                <w:rFonts w:ascii="Times New Roman" w:hAnsi="Times New Roman" w:eastAsia="Times New Roman" w:cs="Times New Roman"/>
              </w:rPr>
            </w:pPr>
            <w:r>
              <w:rPr>
                <w:rFonts w:ascii="Times New Roman" w:hAnsi="Times New Roman" w:eastAsia="Times New Roman" w:cs="Times New Roman"/>
                <w:spacing w:val="4"/>
                <w:position w:val="2"/>
              </w:rPr>
              <w:t>E</w:t>
            </w:r>
            <w:r>
              <w:rPr>
                <w:spacing w:val="4"/>
                <w:position w:val="2"/>
              </w:rPr>
              <w:t>：</w:t>
            </w:r>
            <w:r>
              <w:rPr>
                <w:rFonts w:ascii="Times New Roman" w:hAnsi="Times New Roman" w:eastAsia="Times New Roman" w:cs="Times New Roman"/>
                <w:spacing w:val="4"/>
                <w:position w:val="2"/>
              </w:rPr>
              <w:t>115.412757</w:t>
            </w:r>
          </w:p>
          <w:p w14:paraId="55EB49F3">
            <w:pPr>
              <w:pStyle w:val="6"/>
              <w:spacing w:before="52" w:line="274" w:lineRule="exact"/>
              <w:ind w:left="346"/>
              <w:rPr>
                <w:rFonts w:ascii="Times New Roman" w:hAnsi="Times New Roman" w:eastAsia="Times New Roman" w:cs="Times New Roman"/>
              </w:rPr>
            </w:pPr>
            <w:r>
              <w:rPr>
                <w:rFonts w:ascii="Times New Roman" w:hAnsi="Times New Roman" w:eastAsia="Times New Roman" w:cs="Times New Roman"/>
                <w:spacing w:val="4"/>
                <w:position w:val="2"/>
              </w:rPr>
              <w:t>N</w:t>
            </w:r>
            <w:r>
              <w:rPr>
                <w:spacing w:val="4"/>
                <w:position w:val="2"/>
              </w:rPr>
              <w:t>：</w:t>
            </w:r>
            <w:r>
              <w:rPr>
                <w:rFonts w:ascii="Times New Roman" w:hAnsi="Times New Roman" w:eastAsia="Times New Roman" w:cs="Times New Roman"/>
                <w:spacing w:val="4"/>
                <w:position w:val="2"/>
              </w:rPr>
              <w:t>23.031145</w:t>
            </w:r>
          </w:p>
        </w:tc>
      </w:tr>
      <w:tr w14:paraId="4B1AE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347" w:type="dxa"/>
            <w:gridSpan w:val="2"/>
            <w:vAlign w:val="top"/>
          </w:tcPr>
          <w:p w14:paraId="5649F337">
            <w:pPr>
              <w:pStyle w:val="6"/>
              <w:spacing w:before="61" w:line="228" w:lineRule="auto"/>
              <w:ind w:left="1470"/>
            </w:pPr>
            <w:r>
              <w:rPr>
                <w:spacing w:val="4"/>
              </w:rPr>
              <w:t>层次</w:t>
            </w:r>
          </w:p>
        </w:tc>
        <w:tc>
          <w:tcPr>
            <w:tcW w:w="1828" w:type="dxa"/>
            <w:vAlign w:val="top"/>
          </w:tcPr>
          <w:p w14:paraId="0133E030">
            <w:pPr>
              <w:spacing w:before="29" w:line="275"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c>
          <w:tcPr>
            <w:tcW w:w="1828" w:type="dxa"/>
            <w:vAlign w:val="top"/>
          </w:tcPr>
          <w:p w14:paraId="1F4B5B3D">
            <w:pPr>
              <w:spacing w:before="29" w:line="275"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c>
          <w:tcPr>
            <w:tcW w:w="1947" w:type="dxa"/>
            <w:vAlign w:val="top"/>
          </w:tcPr>
          <w:p w14:paraId="62F12278">
            <w:pPr>
              <w:spacing w:before="29" w:line="275" w:lineRule="exact"/>
              <w:ind w:left="6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r>
      <w:tr w14:paraId="19465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restart"/>
            <w:tcBorders>
              <w:bottom w:val="nil"/>
            </w:tcBorders>
            <w:textDirection w:val="tbRlV"/>
            <w:vAlign w:val="top"/>
          </w:tcPr>
          <w:p w14:paraId="7DDC4747">
            <w:pPr>
              <w:pStyle w:val="6"/>
              <w:spacing w:before="138" w:line="217" w:lineRule="auto"/>
              <w:ind w:left="61"/>
            </w:pPr>
            <w:r>
              <w:rPr>
                <w:spacing w:val="9"/>
              </w:rPr>
              <w:t>现</w:t>
            </w:r>
            <w:r>
              <w:rPr>
                <w:spacing w:val="18"/>
              </w:rPr>
              <w:t xml:space="preserve"> </w:t>
            </w:r>
            <w:r>
              <w:rPr>
                <w:spacing w:val="9"/>
              </w:rPr>
              <w:t>场</w:t>
            </w:r>
            <w:r>
              <w:rPr>
                <w:spacing w:val="17"/>
              </w:rPr>
              <w:t xml:space="preserve"> </w:t>
            </w:r>
            <w:r>
              <w:rPr>
                <w:spacing w:val="9"/>
              </w:rPr>
              <w:t>记</w:t>
            </w:r>
            <w:r>
              <w:rPr>
                <w:spacing w:val="16"/>
              </w:rPr>
              <w:t xml:space="preserve"> </w:t>
            </w:r>
            <w:r>
              <w:rPr>
                <w:spacing w:val="9"/>
              </w:rPr>
              <w:t>录</w:t>
            </w:r>
          </w:p>
        </w:tc>
        <w:tc>
          <w:tcPr>
            <w:tcW w:w="2855" w:type="dxa"/>
            <w:vAlign w:val="top"/>
          </w:tcPr>
          <w:p w14:paraId="0D092EDC">
            <w:pPr>
              <w:pStyle w:val="6"/>
              <w:spacing w:before="61" w:line="230" w:lineRule="auto"/>
              <w:ind w:left="1219"/>
            </w:pPr>
            <w:r>
              <w:rPr>
                <w:spacing w:val="5"/>
              </w:rPr>
              <w:t>颜色</w:t>
            </w:r>
          </w:p>
        </w:tc>
        <w:tc>
          <w:tcPr>
            <w:tcW w:w="1828" w:type="dxa"/>
            <w:vAlign w:val="top"/>
          </w:tcPr>
          <w:p w14:paraId="246EF5C1">
            <w:pPr>
              <w:pStyle w:val="6"/>
              <w:spacing w:before="62" w:line="228" w:lineRule="auto"/>
              <w:ind w:left="604"/>
            </w:pPr>
            <w:r>
              <w:rPr>
                <w:spacing w:val="6"/>
              </w:rPr>
              <w:t>深棕色</w:t>
            </w:r>
          </w:p>
        </w:tc>
        <w:tc>
          <w:tcPr>
            <w:tcW w:w="1828" w:type="dxa"/>
            <w:vAlign w:val="top"/>
          </w:tcPr>
          <w:p w14:paraId="59EC6A6D">
            <w:pPr>
              <w:pStyle w:val="6"/>
              <w:spacing w:before="62" w:line="228" w:lineRule="auto"/>
              <w:ind w:left="604"/>
            </w:pPr>
            <w:r>
              <w:rPr>
                <w:spacing w:val="7"/>
              </w:rPr>
              <w:t>黄棕色</w:t>
            </w:r>
          </w:p>
        </w:tc>
        <w:tc>
          <w:tcPr>
            <w:tcW w:w="1947" w:type="dxa"/>
            <w:vAlign w:val="top"/>
          </w:tcPr>
          <w:p w14:paraId="08B4961D">
            <w:pPr>
              <w:pStyle w:val="6"/>
              <w:spacing w:before="62" w:line="228" w:lineRule="auto"/>
              <w:ind w:left="667"/>
            </w:pPr>
            <w:r>
              <w:rPr>
                <w:spacing w:val="5"/>
              </w:rPr>
              <w:t>浅棕色</w:t>
            </w:r>
          </w:p>
        </w:tc>
      </w:tr>
      <w:tr w14:paraId="24782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BEFEABE">
            <w:pPr>
              <w:rPr>
                <w:rFonts w:ascii="Arial"/>
                <w:sz w:val="21"/>
              </w:rPr>
            </w:pPr>
          </w:p>
        </w:tc>
        <w:tc>
          <w:tcPr>
            <w:tcW w:w="2855" w:type="dxa"/>
            <w:vAlign w:val="top"/>
          </w:tcPr>
          <w:p w14:paraId="05866296">
            <w:pPr>
              <w:pStyle w:val="6"/>
              <w:spacing w:before="61" w:line="229" w:lineRule="auto"/>
              <w:ind w:left="1225"/>
            </w:pPr>
            <w:r>
              <w:rPr>
                <w:spacing w:val="2"/>
              </w:rPr>
              <w:t>结构</w:t>
            </w:r>
          </w:p>
        </w:tc>
        <w:tc>
          <w:tcPr>
            <w:tcW w:w="1828" w:type="dxa"/>
            <w:vAlign w:val="top"/>
          </w:tcPr>
          <w:p w14:paraId="058DD60E">
            <w:pPr>
              <w:pStyle w:val="6"/>
              <w:spacing w:before="62" w:line="228" w:lineRule="auto"/>
              <w:ind w:left="709"/>
            </w:pPr>
            <w:r>
              <w:rPr>
                <w:spacing w:val="5"/>
              </w:rPr>
              <w:t>散状</w:t>
            </w:r>
          </w:p>
        </w:tc>
        <w:tc>
          <w:tcPr>
            <w:tcW w:w="1828" w:type="dxa"/>
            <w:vAlign w:val="top"/>
          </w:tcPr>
          <w:p w14:paraId="090F1C82">
            <w:pPr>
              <w:pStyle w:val="6"/>
              <w:spacing w:before="61" w:line="229" w:lineRule="auto"/>
              <w:ind w:left="729"/>
            </w:pPr>
            <w:r>
              <w:rPr>
                <w:spacing w:val="-5"/>
              </w:rPr>
              <w:t>固体</w:t>
            </w:r>
          </w:p>
        </w:tc>
        <w:tc>
          <w:tcPr>
            <w:tcW w:w="1947" w:type="dxa"/>
            <w:vAlign w:val="top"/>
          </w:tcPr>
          <w:p w14:paraId="29E6926E">
            <w:pPr>
              <w:pStyle w:val="6"/>
              <w:spacing w:before="62" w:line="228" w:lineRule="auto"/>
              <w:ind w:left="768"/>
            </w:pPr>
            <w:r>
              <w:rPr>
                <w:spacing w:val="5"/>
              </w:rPr>
              <w:t>散状</w:t>
            </w:r>
          </w:p>
        </w:tc>
      </w:tr>
      <w:tr w14:paraId="47730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65E0671">
            <w:pPr>
              <w:rPr>
                <w:rFonts w:ascii="Arial"/>
                <w:sz w:val="21"/>
              </w:rPr>
            </w:pPr>
          </w:p>
        </w:tc>
        <w:tc>
          <w:tcPr>
            <w:tcW w:w="2855" w:type="dxa"/>
            <w:vAlign w:val="top"/>
          </w:tcPr>
          <w:p w14:paraId="039CB859">
            <w:pPr>
              <w:pStyle w:val="6"/>
              <w:spacing w:before="61" w:line="229" w:lineRule="auto"/>
              <w:ind w:left="1221"/>
            </w:pPr>
            <w:r>
              <w:rPr>
                <w:spacing w:val="4"/>
              </w:rPr>
              <w:t>质地</w:t>
            </w:r>
          </w:p>
        </w:tc>
        <w:tc>
          <w:tcPr>
            <w:tcW w:w="1828" w:type="dxa"/>
            <w:vAlign w:val="top"/>
          </w:tcPr>
          <w:p w14:paraId="0A32AA20">
            <w:pPr>
              <w:pStyle w:val="6"/>
              <w:spacing w:before="61" w:line="230" w:lineRule="auto"/>
              <w:ind w:left="604"/>
            </w:pPr>
            <w:r>
              <w:rPr>
                <w:spacing w:val="7"/>
              </w:rPr>
              <w:t>砂壤土</w:t>
            </w:r>
          </w:p>
        </w:tc>
        <w:tc>
          <w:tcPr>
            <w:tcW w:w="1828" w:type="dxa"/>
            <w:vAlign w:val="top"/>
          </w:tcPr>
          <w:p w14:paraId="2FB6D8A1">
            <w:pPr>
              <w:pStyle w:val="6"/>
              <w:spacing w:before="61" w:line="231" w:lineRule="auto"/>
              <w:ind w:left="710"/>
            </w:pPr>
            <w:r>
              <w:rPr>
                <w:spacing w:val="5"/>
              </w:rPr>
              <w:t>砂土</w:t>
            </w:r>
          </w:p>
        </w:tc>
        <w:tc>
          <w:tcPr>
            <w:tcW w:w="1947" w:type="dxa"/>
            <w:vAlign w:val="top"/>
          </w:tcPr>
          <w:p w14:paraId="30E35D9E">
            <w:pPr>
              <w:pStyle w:val="6"/>
              <w:spacing w:before="61" w:line="231" w:lineRule="auto"/>
              <w:ind w:left="768"/>
            </w:pPr>
            <w:r>
              <w:rPr>
                <w:spacing w:val="5"/>
              </w:rPr>
              <w:t>砂土</w:t>
            </w:r>
          </w:p>
        </w:tc>
      </w:tr>
      <w:tr w14:paraId="68FA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1728F22">
            <w:pPr>
              <w:rPr>
                <w:rFonts w:ascii="Arial"/>
                <w:sz w:val="21"/>
              </w:rPr>
            </w:pPr>
          </w:p>
        </w:tc>
        <w:tc>
          <w:tcPr>
            <w:tcW w:w="2855" w:type="dxa"/>
            <w:vAlign w:val="top"/>
          </w:tcPr>
          <w:p w14:paraId="790B2BEE">
            <w:pPr>
              <w:pStyle w:val="6"/>
              <w:spacing w:before="62" w:line="228" w:lineRule="auto"/>
              <w:ind w:left="1011"/>
            </w:pPr>
            <w:r>
              <w:rPr>
                <w:spacing w:val="7"/>
              </w:rPr>
              <w:t>砂砾含量</w:t>
            </w:r>
          </w:p>
        </w:tc>
        <w:tc>
          <w:tcPr>
            <w:tcW w:w="1828" w:type="dxa"/>
            <w:vAlign w:val="top"/>
          </w:tcPr>
          <w:p w14:paraId="5DD6C9F4">
            <w:pPr>
              <w:pStyle w:val="6"/>
              <w:spacing w:before="30" w:line="275" w:lineRule="exact"/>
              <w:ind w:left="602"/>
              <w:rPr>
                <w:rFonts w:ascii="Times New Roman" w:hAnsi="Times New Roman" w:eastAsia="Times New Roman" w:cs="Times New Roman"/>
              </w:rPr>
            </w:pPr>
            <w:r>
              <w:rPr>
                <w:spacing w:val="2"/>
                <w:position w:val="1"/>
              </w:rPr>
              <w:t>约</w:t>
            </w:r>
            <w:r>
              <w:rPr>
                <w:spacing w:val="-42"/>
                <w:position w:val="1"/>
              </w:rPr>
              <w:t xml:space="preserve"> </w:t>
            </w:r>
            <w:r>
              <w:rPr>
                <w:rFonts w:ascii="Times New Roman" w:hAnsi="Times New Roman" w:eastAsia="Times New Roman" w:cs="Times New Roman"/>
                <w:spacing w:val="2"/>
                <w:position w:val="1"/>
              </w:rPr>
              <w:t>20%</w:t>
            </w:r>
          </w:p>
        </w:tc>
        <w:tc>
          <w:tcPr>
            <w:tcW w:w="1828" w:type="dxa"/>
            <w:vAlign w:val="top"/>
          </w:tcPr>
          <w:p w14:paraId="2AFE8113">
            <w:pPr>
              <w:pStyle w:val="6"/>
              <w:spacing w:before="30" w:line="275" w:lineRule="exact"/>
              <w:ind w:left="603"/>
              <w:rPr>
                <w:rFonts w:ascii="Times New Roman" w:hAnsi="Times New Roman" w:eastAsia="Times New Roman" w:cs="Times New Roman"/>
              </w:rPr>
            </w:pPr>
            <w:r>
              <w:rPr>
                <w:spacing w:val="1"/>
                <w:position w:val="1"/>
              </w:rPr>
              <w:t>约</w:t>
            </w:r>
            <w:r>
              <w:rPr>
                <w:spacing w:val="-38"/>
                <w:position w:val="1"/>
              </w:rPr>
              <w:t xml:space="preserve"> </w:t>
            </w:r>
            <w:r>
              <w:rPr>
                <w:rFonts w:ascii="Times New Roman" w:hAnsi="Times New Roman" w:eastAsia="Times New Roman" w:cs="Times New Roman"/>
                <w:spacing w:val="1"/>
                <w:position w:val="1"/>
              </w:rPr>
              <w:t>30%</w:t>
            </w:r>
          </w:p>
        </w:tc>
        <w:tc>
          <w:tcPr>
            <w:tcW w:w="1947" w:type="dxa"/>
            <w:vAlign w:val="top"/>
          </w:tcPr>
          <w:p w14:paraId="628A6D97">
            <w:pPr>
              <w:pStyle w:val="6"/>
              <w:spacing w:before="30" w:line="275" w:lineRule="exact"/>
              <w:ind w:left="661"/>
              <w:rPr>
                <w:rFonts w:ascii="Times New Roman" w:hAnsi="Times New Roman" w:eastAsia="Times New Roman" w:cs="Times New Roman"/>
              </w:rPr>
            </w:pPr>
            <w:r>
              <w:rPr>
                <w:spacing w:val="2"/>
                <w:position w:val="1"/>
              </w:rPr>
              <w:t>约</w:t>
            </w:r>
            <w:r>
              <w:rPr>
                <w:spacing w:val="-42"/>
                <w:position w:val="1"/>
              </w:rPr>
              <w:t xml:space="preserve"> </w:t>
            </w:r>
            <w:r>
              <w:rPr>
                <w:rFonts w:ascii="Times New Roman" w:hAnsi="Times New Roman" w:eastAsia="Times New Roman" w:cs="Times New Roman"/>
                <w:spacing w:val="2"/>
                <w:position w:val="1"/>
              </w:rPr>
              <w:t>25%</w:t>
            </w:r>
          </w:p>
        </w:tc>
      </w:tr>
      <w:tr w14:paraId="6D3C0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92" w:type="dxa"/>
            <w:vMerge w:val="continue"/>
            <w:tcBorders>
              <w:top w:val="nil"/>
            </w:tcBorders>
            <w:textDirection w:val="tbRlV"/>
            <w:vAlign w:val="top"/>
          </w:tcPr>
          <w:p w14:paraId="0468BB3B">
            <w:pPr>
              <w:rPr>
                <w:rFonts w:ascii="Arial"/>
                <w:sz w:val="21"/>
              </w:rPr>
            </w:pPr>
          </w:p>
        </w:tc>
        <w:tc>
          <w:tcPr>
            <w:tcW w:w="2855" w:type="dxa"/>
            <w:vAlign w:val="top"/>
          </w:tcPr>
          <w:p w14:paraId="1E5F60A1">
            <w:pPr>
              <w:pStyle w:val="6"/>
              <w:spacing w:before="62" w:line="228" w:lineRule="auto"/>
              <w:ind w:left="1012"/>
            </w:pPr>
            <w:r>
              <w:rPr>
                <w:spacing w:val="7"/>
              </w:rPr>
              <w:t>其他异物</w:t>
            </w:r>
          </w:p>
        </w:tc>
        <w:tc>
          <w:tcPr>
            <w:tcW w:w="1828" w:type="dxa"/>
            <w:vAlign w:val="top"/>
          </w:tcPr>
          <w:p w14:paraId="536EC7B0">
            <w:pPr>
              <w:pStyle w:val="6"/>
              <w:spacing w:before="61" w:line="229" w:lineRule="auto"/>
              <w:ind w:left="815"/>
            </w:pPr>
            <w:r>
              <w:t>无</w:t>
            </w:r>
          </w:p>
        </w:tc>
        <w:tc>
          <w:tcPr>
            <w:tcW w:w="1828" w:type="dxa"/>
            <w:vAlign w:val="top"/>
          </w:tcPr>
          <w:p w14:paraId="0B9C6AED">
            <w:pPr>
              <w:pStyle w:val="6"/>
              <w:spacing w:before="61" w:line="229" w:lineRule="auto"/>
              <w:ind w:left="818"/>
            </w:pPr>
            <w:r>
              <w:t>无</w:t>
            </w:r>
          </w:p>
        </w:tc>
        <w:tc>
          <w:tcPr>
            <w:tcW w:w="1947" w:type="dxa"/>
            <w:vAlign w:val="top"/>
          </w:tcPr>
          <w:p w14:paraId="0A2E7357">
            <w:pPr>
              <w:pStyle w:val="6"/>
              <w:spacing w:before="61" w:line="229" w:lineRule="auto"/>
              <w:ind w:left="874"/>
            </w:pPr>
            <w:r>
              <w:t>无</w:t>
            </w:r>
          </w:p>
        </w:tc>
      </w:tr>
      <w:tr w14:paraId="0D176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restart"/>
            <w:tcBorders>
              <w:bottom w:val="nil"/>
            </w:tcBorders>
            <w:textDirection w:val="tbRlV"/>
            <w:vAlign w:val="top"/>
          </w:tcPr>
          <w:p w14:paraId="6D664509">
            <w:pPr>
              <w:pStyle w:val="6"/>
              <w:spacing w:before="138" w:line="217" w:lineRule="auto"/>
              <w:ind w:left="62"/>
            </w:pPr>
            <w:r>
              <w:rPr>
                <w:spacing w:val="9"/>
              </w:rPr>
              <w:t>实</w:t>
            </w:r>
            <w:r>
              <w:rPr>
                <w:spacing w:val="18"/>
              </w:rPr>
              <w:t xml:space="preserve"> </w:t>
            </w:r>
            <w:r>
              <w:rPr>
                <w:spacing w:val="9"/>
              </w:rPr>
              <w:t>验</w:t>
            </w:r>
            <w:r>
              <w:rPr>
                <w:spacing w:val="17"/>
              </w:rPr>
              <w:t xml:space="preserve"> </w:t>
            </w:r>
            <w:r>
              <w:rPr>
                <w:spacing w:val="9"/>
              </w:rPr>
              <w:t>室</w:t>
            </w:r>
            <w:r>
              <w:rPr>
                <w:spacing w:val="17"/>
              </w:rPr>
              <w:t xml:space="preserve"> </w:t>
            </w:r>
            <w:r>
              <w:rPr>
                <w:spacing w:val="9"/>
              </w:rPr>
              <w:t>测</w:t>
            </w:r>
            <w:r>
              <w:rPr>
                <w:spacing w:val="17"/>
              </w:rPr>
              <w:t xml:space="preserve"> </w:t>
            </w:r>
            <w:r>
              <w:rPr>
                <w:spacing w:val="9"/>
              </w:rPr>
              <w:t>定</w:t>
            </w:r>
          </w:p>
        </w:tc>
        <w:tc>
          <w:tcPr>
            <w:tcW w:w="2855" w:type="dxa"/>
            <w:vAlign w:val="top"/>
          </w:tcPr>
          <w:p w14:paraId="261F91F4">
            <w:pPr>
              <w:spacing w:before="101" w:line="194" w:lineRule="auto"/>
              <w:ind w:left="129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828" w:type="dxa"/>
            <w:vAlign w:val="top"/>
          </w:tcPr>
          <w:p w14:paraId="26E83DFE">
            <w:pPr>
              <w:spacing w:before="31" w:line="275"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6.21</w:t>
            </w:r>
          </w:p>
        </w:tc>
        <w:tc>
          <w:tcPr>
            <w:tcW w:w="1828" w:type="dxa"/>
            <w:vAlign w:val="top"/>
          </w:tcPr>
          <w:p w14:paraId="6CF5CA9A">
            <w:pPr>
              <w:spacing w:before="31" w:line="275" w:lineRule="exact"/>
              <w:ind w:left="7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6.17</w:t>
            </w:r>
          </w:p>
        </w:tc>
        <w:tc>
          <w:tcPr>
            <w:tcW w:w="1947" w:type="dxa"/>
            <w:vAlign w:val="top"/>
          </w:tcPr>
          <w:p w14:paraId="044E5615">
            <w:pPr>
              <w:spacing w:before="31" w:line="275"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6.39</w:t>
            </w:r>
          </w:p>
        </w:tc>
      </w:tr>
      <w:tr w14:paraId="2F5D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2BFC379">
            <w:pPr>
              <w:rPr>
                <w:rFonts w:ascii="Arial"/>
                <w:sz w:val="21"/>
              </w:rPr>
            </w:pPr>
          </w:p>
        </w:tc>
        <w:tc>
          <w:tcPr>
            <w:tcW w:w="2855" w:type="dxa"/>
            <w:vAlign w:val="top"/>
          </w:tcPr>
          <w:p w14:paraId="71F48668">
            <w:pPr>
              <w:pStyle w:val="6"/>
              <w:spacing w:before="31" w:line="275" w:lineRule="exact"/>
              <w:ind w:left="317"/>
              <w:rPr>
                <w:rFonts w:ascii="Times New Roman" w:hAnsi="Times New Roman" w:eastAsia="Times New Roman" w:cs="Times New Roman"/>
              </w:rPr>
            </w:pPr>
            <w:r>
              <w:rPr>
                <w:spacing w:val="7"/>
                <w:position w:val="2"/>
              </w:rPr>
              <w:t>阳离子交换量</w:t>
            </w:r>
            <w:r>
              <w:rPr>
                <w:rFonts w:ascii="Times New Roman" w:hAnsi="Times New Roman" w:eastAsia="Times New Roman" w:cs="Times New Roman"/>
                <w:spacing w:val="7"/>
                <w:position w:val="2"/>
              </w:rPr>
              <w:t>/(</w:t>
            </w:r>
            <w:r>
              <w:rPr>
                <w:rFonts w:ascii="Times New Roman" w:hAnsi="Times New Roman" w:eastAsia="Times New Roman" w:cs="Times New Roman"/>
                <w:position w:val="2"/>
              </w:rPr>
              <w:t>cmol</w:t>
            </w:r>
            <w:r>
              <w:rPr>
                <w:rFonts w:ascii="Times New Roman" w:hAnsi="Times New Roman" w:eastAsia="Times New Roman" w:cs="Times New Roman"/>
                <w:spacing w:val="7"/>
                <w:position w:val="2"/>
              </w:rPr>
              <w:t>+/</w:t>
            </w:r>
            <w:r>
              <w:rPr>
                <w:rFonts w:ascii="Times New Roman" w:hAnsi="Times New Roman" w:eastAsia="Times New Roman" w:cs="Times New Roman"/>
                <w:position w:val="2"/>
              </w:rPr>
              <w:t>kg</w:t>
            </w:r>
            <w:r>
              <w:rPr>
                <w:rFonts w:ascii="Times New Roman" w:hAnsi="Times New Roman" w:eastAsia="Times New Roman" w:cs="Times New Roman"/>
                <w:spacing w:val="7"/>
                <w:position w:val="2"/>
              </w:rPr>
              <w:t>)</w:t>
            </w:r>
          </w:p>
        </w:tc>
        <w:tc>
          <w:tcPr>
            <w:tcW w:w="1828" w:type="dxa"/>
            <w:vAlign w:val="top"/>
          </w:tcPr>
          <w:p w14:paraId="290FA361">
            <w:pPr>
              <w:spacing w:before="31" w:line="275" w:lineRule="exact"/>
              <w:ind w:left="8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828" w:type="dxa"/>
            <w:vAlign w:val="top"/>
          </w:tcPr>
          <w:p w14:paraId="7EB8A964">
            <w:pPr>
              <w:spacing w:before="101" w:line="192" w:lineRule="auto"/>
              <w:ind w:left="8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47" w:type="dxa"/>
            <w:vAlign w:val="top"/>
          </w:tcPr>
          <w:p w14:paraId="594D945E">
            <w:pPr>
              <w:spacing w:before="31" w:line="275" w:lineRule="exact"/>
              <w:ind w:left="9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r>
      <w:tr w14:paraId="661EA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58300AC3">
            <w:pPr>
              <w:rPr>
                <w:rFonts w:ascii="Arial"/>
                <w:sz w:val="21"/>
              </w:rPr>
            </w:pPr>
          </w:p>
        </w:tc>
        <w:tc>
          <w:tcPr>
            <w:tcW w:w="2855" w:type="dxa"/>
            <w:vAlign w:val="top"/>
          </w:tcPr>
          <w:p w14:paraId="32CD1BE2">
            <w:pPr>
              <w:pStyle w:val="6"/>
              <w:spacing w:before="31" w:line="275" w:lineRule="exact"/>
              <w:ind w:left="547"/>
              <w:rPr>
                <w:rFonts w:ascii="Times New Roman" w:hAnsi="Times New Roman" w:eastAsia="Times New Roman" w:cs="Times New Roman"/>
              </w:rPr>
            </w:pPr>
            <w:r>
              <w:rPr>
                <w:spacing w:val="8"/>
                <w:position w:val="2"/>
              </w:rPr>
              <w:t>氧化还原电位</w:t>
            </w:r>
            <w:r>
              <w:rPr>
                <w:rFonts w:ascii="Times New Roman" w:hAnsi="Times New Roman" w:eastAsia="Times New Roman" w:cs="Times New Roman"/>
                <w:spacing w:val="8"/>
                <w:position w:val="2"/>
              </w:rPr>
              <w:t>/(</w:t>
            </w:r>
            <w:r>
              <w:rPr>
                <w:rFonts w:ascii="Times New Roman" w:hAnsi="Times New Roman" w:eastAsia="Times New Roman" w:cs="Times New Roman"/>
                <w:position w:val="2"/>
              </w:rPr>
              <w:t>mV</w:t>
            </w:r>
            <w:r>
              <w:rPr>
                <w:rFonts w:ascii="Times New Roman" w:hAnsi="Times New Roman" w:eastAsia="Times New Roman" w:cs="Times New Roman"/>
                <w:spacing w:val="8"/>
                <w:position w:val="2"/>
              </w:rPr>
              <w:t>)</w:t>
            </w:r>
          </w:p>
        </w:tc>
        <w:tc>
          <w:tcPr>
            <w:tcW w:w="1828" w:type="dxa"/>
            <w:vAlign w:val="top"/>
          </w:tcPr>
          <w:p w14:paraId="35C143F5">
            <w:pPr>
              <w:spacing w:before="31" w:line="275"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828" w:type="dxa"/>
            <w:vAlign w:val="top"/>
          </w:tcPr>
          <w:p w14:paraId="5A3C8046">
            <w:pPr>
              <w:spacing w:before="31" w:line="275"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108</w:t>
            </w:r>
          </w:p>
        </w:tc>
        <w:tc>
          <w:tcPr>
            <w:tcW w:w="1947" w:type="dxa"/>
            <w:vAlign w:val="top"/>
          </w:tcPr>
          <w:p w14:paraId="1CAF8146">
            <w:pPr>
              <w:spacing w:before="31" w:line="275" w:lineRule="exact"/>
              <w:ind w:left="8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147</w:t>
            </w:r>
          </w:p>
        </w:tc>
      </w:tr>
      <w:tr w14:paraId="03E60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356CE02">
            <w:pPr>
              <w:rPr>
                <w:rFonts w:ascii="Arial"/>
                <w:sz w:val="21"/>
              </w:rPr>
            </w:pPr>
          </w:p>
        </w:tc>
        <w:tc>
          <w:tcPr>
            <w:tcW w:w="2855" w:type="dxa"/>
            <w:vAlign w:val="top"/>
          </w:tcPr>
          <w:p w14:paraId="20E60FCF">
            <w:pPr>
              <w:pStyle w:val="6"/>
              <w:spacing w:before="31" w:line="275" w:lineRule="exact"/>
              <w:ind w:left="645"/>
              <w:rPr>
                <w:rFonts w:ascii="Times New Roman" w:hAnsi="Times New Roman" w:eastAsia="Times New Roman" w:cs="Times New Roman"/>
              </w:rPr>
            </w:pPr>
            <w:r>
              <w:rPr>
                <w:spacing w:val="5"/>
                <w:position w:val="2"/>
              </w:rPr>
              <w:t>土壤容量</w:t>
            </w:r>
            <w:r>
              <w:rPr>
                <w:rFonts w:ascii="Times New Roman" w:hAnsi="Times New Roman" w:eastAsia="Times New Roman" w:cs="Times New Roman"/>
                <w:spacing w:val="5"/>
                <w:position w:val="2"/>
              </w:rPr>
              <w:t>/( g/</w:t>
            </w:r>
            <w:r>
              <w:rPr>
                <w:rFonts w:ascii="Times New Roman" w:hAnsi="Times New Roman" w:eastAsia="Times New Roman" w:cs="Times New Roman"/>
                <w:position w:val="2"/>
              </w:rPr>
              <w:t>cm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5"/>
                <w:position w:val="2"/>
              </w:rPr>
              <w:t>)</w:t>
            </w:r>
          </w:p>
        </w:tc>
        <w:tc>
          <w:tcPr>
            <w:tcW w:w="1828" w:type="dxa"/>
            <w:vAlign w:val="top"/>
          </w:tcPr>
          <w:p w14:paraId="4571D8F0">
            <w:pPr>
              <w:spacing w:before="31" w:line="275"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1.24</w:t>
            </w:r>
          </w:p>
        </w:tc>
        <w:tc>
          <w:tcPr>
            <w:tcW w:w="1828" w:type="dxa"/>
            <w:vAlign w:val="top"/>
          </w:tcPr>
          <w:p w14:paraId="3EB5FEDB">
            <w:pPr>
              <w:spacing w:before="31" w:line="275"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1.10</w:t>
            </w:r>
          </w:p>
        </w:tc>
        <w:tc>
          <w:tcPr>
            <w:tcW w:w="1947" w:type="dxa"/>
            <w:vAlign w:val="top"/>
          </w:tcPr>
          <w:p w14:paraId="046199C3">
            <w:pPr>
              <w:spacing w:before="31"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w:t>
            </w:r>
          </w:p>
        </w:tc>
      </w:tr>
      <w:tr w14:paraId="41D5F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2A67CF5A">
            <w:pPr>
              <w:rPr>
                <w:rFonts w:ascii="Arial"/>
                <w:sz w:val="21"/>
              </w:rPr>
            </w:pPr>
          </w:p>
        </w:tc>
        <w:tc>
          <w:tcPr>
            <w:tcW w:w="2855" w:type="dxa"/>
            <w:vAlign w:val="top"/>
          </w:tcPr>
          <w:p w14:paraId="5FB1F885">
            <w:pPr>
              <w:pStyle w:val="6"/>
              <w:spacing w:before="31" w:line="275" w:lineRule="exact"/>
              <w:ind w:left="829"/>
              <w:rPr>
                <w:rFonts w:ascii="Times New Roman" w:hAnsi="Times New Roman" w:eastAsia="Times New Roman" w:cs="Times New Roman"/>
              </w:rPr>
            </w:pPr>
            <w:r>
              <w:rPr>
                <w:spacing w:val="5"/>
                <w:position w:val="2"/>
              </w:rPr>
              <w:t>总孔隙度</w:t>
            </w:r>
            <w:r>
              <w:rPr>
                <w:rFonts w:ascii="Times New Roman" w:hAnsi="Times New Roman" w:eastAsia="Times New Roman" w:cs="Times New Roman"/>
                <w:spacing w:val="5"/>
                <w:position w:val="2"/>
              </w:rPr>
              <w:t>/(%)</w:t>
            </w:r>
          </w:p>
        </w:tc>
        <w:tc>
          <w:tcPr>
            <w:tcW w:w="1828" w:type="dxa"/>
            <w:vAlign w:val="top"/>
          </w:tcPr>
          <w:p w14:paraId="180CCB1E">
            <w:pPr>
              <w:spacing w:before="31" w:line="275" w:lineRule="exact"/>
              <w:ind w:left="6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50.39</w:t>
            </w:r>
          </w:p>
        </w:tc>
        <w:tc>
          <w:tcPr>
            <w:tcW w:w="1828" w:type="dxa"/>
            <w:vAlign w:val="top"/>
          </w:tcPr>
          <w:p w14:paraId="3BEDC817">
            <w:pPr>
              <w:spacing w:before="31" w:line="275" w:lineRule="exact"/>
              <w:ind w:left="6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53.90</w:t>
            </w:r>
          </w:p>
        </w:tc>
        <w:tc>
          <w:tcPr>
            <w:tcW w:w="1947" w:type="dxa"/>
            <w:vAlign w:val="top"/>
          </w:tcPr>
          <w:p w14:paraId="0C5ED6F2">
            <w:pPr>
              <w:spacing w:before="31" w:line="275" w:lineRule="exact"/>
              <w:ind w:left="7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49.82</w:t>
            </w:r>
          </w:p>
        </w:tc>
      </w:tr>
      <w:tr w14:paraId="64EE4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92" w:type="dxa"/>
            <w:vMerge w:val="continue"/>
            <w:tcBorders>
              <w:top w:val="nil"/>
            </w:tcBorders>
            <w:textDirection w:val="tbRlV"/>
            <w:vAlign w:val="top"/>
          </w:tcPr>
          <w:p w14:paraId="54233C08">
            <w:pPr>
              <w:rPr>
                <w:rFonts w:ascii="Arial"/>
                <w:sz w:val="21"/>
              </w:rPr>
            </w:pPr>
          </w:p>
        </w:tc>
        <w:tc>
          <w:tcPr>
            <w:tcW w:w="2855" w:type="dxa"/>
            <w:vAlign w:val="top"/>
          </w:tcPr>
          <w:p w14:paraId="1E274F01">
            <w:pPr>
              <w:pStyle w:val="6"/>
              <w:spacing w:before="31" w:line="275" w:lineRule="exact"/>
              <w:ind w:left="734"/>
              <w:rPr>
                <w:rFonts w:ascii="Times New Roman" w:hAnsi="Times New Roman" w:eastAsia="Times New Roman" w:cs="Times New Roman"/>
              </w:rPr>
            </w:pPr>
            <w:r>
              <w:rPr>
                <w:spacing w:val="11"/>
                <w:position w:val="1"/>
              </w:rPr>
              <w:t>渗滤率</w:t>
            </w:r>
            <w:r>
              <w:rPr>
                <w:rFonts w:ascii="Times New Roman" w:hAnsi="Times New Roman" w:eastAsia="Times New Roman" w:cs="Times New Roman"/>
                <w:spacing w:val="11"/>
                <w:position w:val="1"/>
              </w:rPr>
              <w:t>/</w:t>
            </w:r>
            <w:r>
              <w:rPr>
                <w:rFonts w:ascii="Times New Roman" w:hAnsi="Times New Roman" w:eastAsia="Times New Roman" w:cs="Times New Roman"/>
                <w:position w:val="1"/>
              </w:rPr>
              <w:t>mm</w:t>
            </w:r>
            <w:r>
              <w:rPr>
                <w:rFonts w:ascii="Times New Roman" w:hAnsi="Times New Roman" w:eastAsia="Times New Roman" w:cs="Times New Roman"/>
                <w:spacing w:val="11"/>
                <w:position w:val="1"/>
              </w:rPr>
              <w:t>/</w:t>
            </w:r>
            <w:r>
              <w:rPr>
                <w:rFonts w:ascii="Times New Roman" w:hAnsi="Times New Roman" w:eastAsia="Times New Roman" w:cs="Times New Roman"/>
                <w:position w:val="1"/>
              </w:rPr>
              <w:t>min</w:t>
            </w:r>
          </w:p>
        </w:tc>
        <w:tc>
          <w:tcPr>
            <w:tcW w:w="1828" w:type="dxa"/>
            <w:vAlign w:val="top"/>
          </w:tcPr>
          <w:p w14:paraId="7FB951E2">
            <w:pPr>
              <w:spacing w:before="31" w:line="275" w:lineRule="exact"/>
              <w:ind w:left="6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24.94</w:t>
            </w:r>
          </w:p>
        </w:tc>
        <w:tc>
          <w:tcPr>
            <w:tcW w:w="1828" w:type="dxa"/>
            <w:vAlign w:val="top"/>
          </w:tcPr>
          <w:p w14:paraId="77502E22">
            <w:pPr>
              <w:spacing w:before="31" w:line="275" w:lineRule="exact"/>
              <w:ind w:left="6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26.15</w:t>
            </w:r>
          </w:p>
        </w:tc>
        <w:tc>
          <w:tcPr>
            <w:tcW w:w="1947" w:type="dxa"/>
            <w:vAlign w:val="top"/>
          </w:tcPr>
          <w:p w14:paraId="6B737348">
            <w:pPr>
              <w:spacing w:before="31"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23.66</w:t>
            </w:r>
          </w:p>
        </w:tc>
      </w:tr>
    </w:tbl>
    <w:p w14:paraId="723D02B7">
      <w:pPr>
        <w:spacing w:before="139" w:line="221" w:lineRule="auto"/>
        <w:ind w:left="2753"/>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6"/>
          <w:sz w:val="20"/>
          <w:szCs w:val="20"/>
        </w:rPr>
        <w:t>4.5-4</w:t>
      </w:r>
      <w:r>
        <w:rPr>
          <w:rFonts w:ascii="Times New Roman" w:hAnsi="Times New Roman" w:eastAsia="Times New Roman" w:cs="Times New Roman"/>
          <w:b/>
          <w:bCs/>
          <w:spacing w:val="16"/>
          <w:sz w:val="20"/>
          <w:szCs w:val="20"/>
        </w:rPr>
        <w:t xml:space="preserve"> </w:t>
      </w:r>
      <w:r>
        <w:rPr>
          <w:rFonts w:ascii="宋体" w:hAnsi="宋体" w:eastAsia="宋体" w:cs="宋体"/>
          <w:b/>
          <w:bCs/>
          <w:spacing w:val="6"/>
          <w:sz w:val="20"/>
          <w:szCs w:val="20"/>
        </w:rPr>
        <w:t>项目土壤监测结果统计单位</w:t>
      </w:r>
      <w:r>
        <w:rPr>
          <w:rFonts w:ascii="宋体" w:hAnsi="宋体" w:eastAsia="宋体" w:cs="宋体"/>
          <w:spacing w:val="-37"/>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kg</w:t>
      </w:r>
    </w:p>
    <w:p w14:paraId="327B7119">
      <w:pPr>
        <w:spacing w:line="110" w:lineRule="exact"/>
      </w:pPr>
    </w:p>
    <w:tbl>
      <w:tblPr>
        <w:tblStyle w:val="5"/>
        <w:tblW w:w="8854" w:type="dxa"/>
        <w:tblInd w:w="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6"/>
        <w:gridCol w:w="2100"/>
        <w:gridCol w:w="1674"/>
        <w:gridCol w:w="1893"/>
        <w:gridCol w:w="711"/>
      </w:tblGrid>
      <w:tr w14:paraId="316E1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2476" w:type="dxa"/>
            <w:vMerge w:val="restart"/>
            <w:tcBorders>
              <w:bottom w:val="nil"/>
            </w:tcBorders>
            <w:vAlign w:val="top"/>
          </w:tcPr>
          <w:p w14:paraId="427BB085">
            <w:pPr>
              <w:rPr>
                <w:rFonts w:ascii="Arial"/>
                <w:sz w:val="21"/>
              </w:rPr>
            </w:pPr>
            <w:r>
              <w:drawing>
                <wp:anchor distT="0" distB="0" distL="0" distR="0" simplePos="0" relativeHeight="251666432" behindDoc="1" locked="0" layoutInCell="1" allowOverlap="1">
                  <wp:simplePos x="0" y="0"/>
                  <wp:positionH relativeFrom="rightMargin">
                    <wp:posOffset>-1572260</wp:posOffset>
                  </wp:positionH>
                  <wp:positionV relativeFrom="topMargin">
                    <wp:posOffset>36830</wp:posOffset>
                  </wp:positionV>
                  <wp:extent cx="1583055" cy="96075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1"/>
                          <a:stretch>
                            <a:fillRect/>
                          </a:stretch>
                        </pic:blipFill>
                        <pic:spPr>
                          <a:xfrm>
                            <a:off x="0" y="0"/>
                            <a:ext cx="1582953" cy="960767"/>
                          </a:xfrm>
                          <a:prstGeom prst="rect">
                            <a:avLst/>
                          </a:prstGeom>
                        </pic:spPr>
                      </pic:pic>
                    </a:graphicData>
                  </a:graphic>
                </wp:anchor>
              </w:drawing>
            </w:r>
            <w:r>
              <w:pict>
                <v:shape id="_x0000_s1035" o:spid="_x0000_s1035" o:spt="202" type="#_x0000_t202" style="position:absolute;left:0pt;margin-left:43.15pt;margin-top:2.35pt;height:47.05pt;width:59.5pt;mso-position-horizontal-relative:page;mso-position-vertical-relative:page;z-index:251668480;mso-width-relative:page;mso-height-relative:page;" filled="f" stroked="f" coordsize="21600,21600">
                  <v:path/>
                  <v:fill on="f" focussize="0,0"/>
                  <v:stroke on="f"/>
                  <v:imagedata o:title=""/>
                  <o:lock v:ext="edit" aspectratio="f"/>
                  <v:textbox inset="0mm,0mm,0mm,0mm">
                    <w:txbxContent>
                      <w:p w14:paraId="42A074BC">
                        <w:pPr>
                          <w:pStyle w:val="6"/>
                          <w:spacing w:before="19" w:line="228" w:lineRule="auto"/>
                          <w:ind w:left="20"/>
                        </w:pPr>
                        <w:r>
                          <w:rPr>
                            <w:b/>
                            <w:bCs/>
                            <w:spacing w:val="6"/>
                          </w:rPr>
                          <w:t>采样点位</w:t>
                        </w:r>
                      </w:p>
                      <w:p w14:paraId="3C4D7F6C">
                        <w:pPr>
                          <w:spacing w:line="339" w:lineRule="auto"/>
                          <w:rPr>
                            <w:rFonts w:ascii="Arial"/>
                            <w:sz w:val="21"/>
                          </w:rPr>
                        </w:pPr>
                      </w:p>
                      <w:p w14:paraId="24F4FF04">
                        <w:pPr>
                          <w:pStyle w:val="6"/>
                          <w:spacing w:before="65" w:line="228" w:lineRule="auto"/>
                          <w:ind w:right="20"/>
                          <w:jc w:val="right"/>
                        </w:pPr>
                        <w:r>
                          <w:rPr>
                            <w:b/>
                            <w:bCs/>
                            <w:spacing w:val="4"/>
                          </w:rPr>
                          <w:t>断面深度</w:t>
                        </w:r>
                      </w:p>
                    </w:txbxContent>
                  </v:textbox>
                </v:shape>
              </w:pict>
            </w:r>
            <w:r>
              <w:pict>
                <v:shape id="_x0000_s1036" o:spid="_x0000_s1036" o:spt="202" type="#_x0000_t202" style="position:absolute;left:0pt;margin-left:2.75pt;margin-top:51.35pt;height:14.4pt;width:83.05pt;mso-position-horizontal-relative:page;mso-position-vertical-relative:page;z-index:251667456;mso-width-relative:page;mso-height-relative:page;" filled="f" stroked="f" coordsize="21600,21600">
                  <v:path/>
                  <v:fill on="f" focussize="0,0"/>
                  <v:stroke on="f"/>
                  <v:imagedata o:title=""/>
                  <o:lock v:ext="edit" aspectratio="f"/>
                  <v:textbox inset="0mm,0mm,0mm,0mm">
                    <w:txbxContent>
                      <w:p w14:paraId="7EC80656">
                        <w:pPr>
                          <w:pStyle w:val="6"/>
                          <w:spacing w:before="20" w:line="228" w:lineRule="auto"/>
                          <w:ind w:left="20"/>
                        </w:pPr>
                        <w:r>
                          <w:rPr>
                            <w:b/>
                            <w:bCs/>
                          </w:rPr>
                          <w:t>检测项目</w:t>
                        </w:r>
                        <w:r>
                          <w:t xml:space="preserve">  </w:t>
                        </w:r>
                        <w:r>
                          <w:rPr>
                            <w:b/>
                            <w:bCs/>
                          </w:rPr>
                          <w:t>（</w:t>
                        </w:r>
                        <w:r>
                          <w:rPr>
                            <w:spacing w:val="-52"/>
                          </w:rPr>
                          <w:t xml:space="preserve"> </w:t>
                        </w:r>
                        <w:r>
                          <w:rPr>
                            <w:rFonts w:ascii="Times New Roman" w:hAnsi="Times New Roman" w:eastAsia="Times New Roman" w:cs="Times New Roman"/>
                            <w:b/>
                            <w:bCs/>
                          </w:rPr>
                          <w:t>m</w:t>
                        </w:r>
                        <w:r>
                          <w:rPr>
                            <w:b/>
                            <w:bCs/>
                          </w:rPr>
                          <w:t>）</w:t>
                        </w:r>
                      </w:p>
                    </w:txbxContent>
                  </v:textbox>
                </v:shape>
              </w:pict>
            </w:r>
          </w:p>
        </w:tc>
        <w:tc>
          <w:tcPr>
            <w:tcW w:w="2100" w:type="dxa"/>
            <w:vAlign w:val="top"/>
          </w:tcPr>
          <w:p w14:paraId="18151DBF">
            <w:pPr>
              <w:pStyle w:val="6"/>
              <w:spacing w:before="226" w:line="228" w:lineRule="auto"/>
              <w:ind w:left="486"/>
            </w:pPr>
            <w:r>
              <w:rPr>
                <w:rFonts w:ascii="Times New Roman" w:hAnsi="Times New Roman" w:eastAsia="Times New Roman" w:cs="Times New Roman"/>
                <w:b/>
                <w:bCs/>
                <w:spacing w:val="5"/>
              </w:rPr>
              <w:t xml:space="preserve">T1 </w:t>
            </w:r>
            <w:r>
              <w:rPr>
                <w:b/>
                <w:bCs/>
                <w:spacing w:val="5"/>
              </w:rPr>
              <w:t>养殖区域</w:t>
            </w:r>
          </w:p>
        </w:tc>
        <w:tc>
          <w:tcPr>
            <w:tcW w:w="1674" w:type="dxa"/>
            <w:vAlign w:val="top"/>
          </w:tcPr>
          <w:p w14:paraId="46914984">
            <w:pPr>
              <w:pStyle w:val="6"/>
              <w:spacing w:before="63" w:line="228" w:lineRule="auto"/>
              <w:ind w:left="273"/>
            </w:pPr>
            <w:r>
              <w:rPr>
                <w:rFonts w:ascii="Times New Roman" w:hAnsi="Times New Roman" w:eastAsia="Times New Roman" w:cs="Times New Roman"/>
                <w:b/>
                <w:bCs/>
                <w:spacing w:val="4"/>
              </w:rPr>
              <w:t>T2</w:t>
            </w:r>
            <w:r>
              <w:rPr>
                <w:rFonts w:ascii="Times New Roman" w:hAnsi="Times New Roman" w:eastAsia="Times New Roman" w:cs="Times New Roman"/>
                <w:b/>
                <w:bCs/>
                <w:spacing w:val="15"/>
                <w:w w:val="101"/>
              </w:rPr>
              <w:t xml:space="preserve"> </w:t>
            </w:r>
            <w:r>
              <w:rPr>
                <w:b/>
                <w:bCs/>
                <w:spacing w:val="4"/>
              </w:rPr>
              <w:t>污水处理</w:t>
            </w:r>
          </w:p>
          <w:p w14:paraId="5ADCBC31">
            <w:pPr>
              <w:pStyle w:val="6"/>
              <w:spacing w:before="79" w:line="229" w:lineRule="auto"/>
              <w:ind w:left="646"/>
            </w:pPr>
            <w:r>
              <w:rPr>
                <w:b/>
                <w:bCs/>
                <w:spacing w:val="-4"/>
              </w:rPr>
              <w:t>区域</w:t>
            </w:r>
          </w:p>
        </w:tc>
        <w:tc>
          <w:tcPr>
            <w:tcW w:w="1893" w:type="dxa"/>
            <w:vAlign w:val="top"/>
          </w:tcPr>
          <w:p w14:paraId="0DFD5C98">
            <w:pPr>
              <w:pStyle w:val="6"/>
              <w:spacing w:before="62" w:line="229" w:lineRule="auto"/>
              <w:ind w:left="384"/>
            </w:pPr>
            <w:r>
              <w:rPr>
                <w:rFonts w:ascii="Times New Roman" w:hAnsi="Times New Roman" w:eastAsia="Times New Roman" w:cs="Times New Roman"/>
                <w:b/>
                <w:bCs/>
                <w:spacing w:val="4"/>
              </w:rPr>
              <w:t>T3</w:t>
            </w:r>
            <w:r>
              <w:rPr>
                <w:rFonts w:ascii="Times New Roman" w:hAnsi="Times New Roman" w:eastAsia="Times New Roman" w:cs="Times New Roman"/>
                <w:b/>
                <w:bCs/>
                <w:spacing w:val="13"/>
              </w:rPr>
              <w:t xml:space="preserve"> </w:t>
            </w:r>
            <w:r>
              <w:rPr>
                <w:b/>
                <w:bCs/>
                <w:spacing w:val="4"/>
              </w:rPr>
              <w:t>项目区域</w:t>
            </w:r>
          </w:p>
          <w:p w14:paraId="519B29F7">
            <w:pPr>
              <w:pStyle w:val="6"/>
              <w:spacing w:before="78" w:line="230" w:lineRule="auto"/>
              <w:ind w:left="642"/>
            </w:pPr>
            <w:r>
              <w:rPr>
                <w:b/>
                <w:bCs/>
                <w:spacing w:val="3"/>
              </w:rPr>
              <w:t>西南面</w:t>
            </w:r>
          </w:p>
        </w:tc>
        <w:tc>
          <w:tcPr>
            <w:tcW w:w="711" w:type="dxa"/>
            <w:vMerge w:val="restart"/>
            <w:tcBorders>
              <w:bottom w:val="nil"/>
            </w:tcBorders>
            <w:vAlign w:val="top"/>
          </w:tcPr>
          <w:p w14:paraId="3DEE3974">
            <w:pPr>
              <w:spacing w:line="346" w:lineRule="auto"/>
              <w:rPr>
                <w:rFonts w:ascii="Arial"/>
                <w:sz w:val="21"/>
              </w:rPr>
            </w:pPr>
          </w:p>
          <w:p w14:paraId="3488D698">
            <w:pPr>
              <w:spacing w:line="346" w:lineRule="auto"/>
              <w:rPr>
                <w:rFonts w:ascii="Arial"/>
                <w:sz w:val="21"/>
              </w:rPr>
            </w:pPr>
          </w:p>
          <w:p w14:paraId="39A12D58">
            <w:pPr>
              <w:pStyle w:val="6"/>
              <w:spacing w:before="65" w:line="228" w:lineRule="auto"/>
              <w:ind w:right="28"/>
              <w:jc w:val="right"/>
              <w:rPr>
                <w:rFonts w:ascii="Times New Roman" w:hAnsi="Times New Roman" w:eastAsia="Times New Roman" w:cs="Times New Roman"/>
                <w:sz w:val="11"/>
                <w:szCs w:val="11"/>
              </w:rPr>
            </w:pPr>
            <w:r>
              <w:rPr>
                <w:b/>
                <w:bCs/>
                <w:spacing w:val="-3"/>
              </w:rPr>
              <w:t>限值</w:t>
            </w:r>
            <w:r>
              <w:rPr>
                <w:spacing w:val="-40"/>
              </w:rPr>
              <w:t xml:space="preserve"> </w:t>
            </w:r>
            <w:r>
              <w:rPr>
                <w:rFonts w:ascii="Times New Roman" w:hAnsi="Times New Roman" w:eastAsia="Times New Roman" w:cs="Times New Roman"/>
                <w:spacing w:val="-3"/>
                <w:position w:val="5"/>
                <w:sz w:val="11"/>
                <w:szCs w:val="11"/>
              </w:rPr>
              <w:t>c</w:t>
            </w:r>
          </w:p>
        </w:tc>
      </w:tr>
      <w:tr w14:paraId="7EF6A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Merge w:val="continue"/>
            <w:tcBorders>
              <w:top w:val="nil"/>
              <w:bottom w:val="nil"/>
            </w:tcBorders>
            <w:vAlign w:val="top"/>
          </w:tcPr>
          <w:p w14:paraId="7EA4A99B">
            <w:pPr>
              <w:rPr>
                <w:rFonts w:ascii="Arial"/>
                <w:sz w:val="21"/>
              </w:rPr>
            </w:pPr>
          </w:p>
        </w:tc>
        <w:tc>
          <w:tcPr>
            <w:tcW w:w="2100" w:type="dxa"/>
            <w:vAlign w:val="top"/>
          </w:tcPr>
          <w:p w14:paraId="301A00CB">
            <w:pPr>
              <w:spacing w:before="131" w:line="195" w:lineRule="auto"/>
              <w:ind w:left="83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1674" w:type="dxa"/>
            <w:vAlign w:val="top"/>
          </w:tcPr>
          <w:p w14:paraId="5566A5B6">
            <w:pPr>
              <w:spacing w:before="131" w:line="195" w:lineRule="auto"/>
              <w:ind w:left="62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1893" w:type="dxa"/>
            <w:vAlign w:val="top"/>
          </w:tcPr>
          <w:p w14:paraId="215A9FA2">
            <w:pPr>
              <w:spacing w:before="131" w:line="195" w:lineRule="auto"/>
              <w:ind w:left="73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711" w:type="dxa"/>
            <w:vMerge w:val="continue"/>
            <w:tcBorders>
              <w:top w:val="nil"/>
              <w:bottom w:val="nil"/>
            </w:tcBorders>
            <w:vAlign w:val="top"/>
          </w:tcPr>
          <w:p w14:paraId="79E56D8B">
            <w:pPr>
              <w:rPr>
                <w:rFonts w:ascii="Arial"/>
                <w:sz w:val="21"/>
              </w:rPr>
            </w:pPr>
          </w:p>
        </w:tc>
      </w:tr>
      <w:tr w14:paraId="3F50A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476" w:type="dxa"/>
            <w:vMerge w:val="continue"/>
            <w:tcBorders>
              <w:top w:val="nil"/>
            </w:tcBorders>
            <w:vAlign w:val="top"/>
          </w:tcPr>
          <w:p w14:paraId="1CEE38C4">
            <w:pPr>
              <w:rPr>
                <w:rFonts w:ascii="Arial"/>
                <w:sz w:val="21"/>
              </w:rPr>
            </w:pPr>
          </w:p>
        </w:tc>
        <w:tc>
          <w:tcPr>
            <w:tcW w:w="2100" w:type="dxa"/>
            <w:vAlign w:val="top"/>
          </w:tcPr>
          <w:p w14:paraId="7136693B">
            <w:pPr>
              <w:spacing w:before="96" w:line="195" w:lineRule="auto"/>
              <w:ind w:left="41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X08510N11E1</w:t>
            </w:r>
          </w:p>
          <w:p w14:paraId="4078A83D">
            <w:pPr>
              <w:spacing w:before="137" w:line="195" w:lineRule="auto"/>
              <w:ind w:left="77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T0101</w:t>
            </w:r>
          </w:p>
        </w:tc>
        <w:tc>
          <w:tcPr>
            <w:tcW w:w="1674" w:type="dxa"/>
            <w:vAlign w:val="top"/>
          </w:tcPr>
          <w:p w14:paraId="07663E69">
            <w:pPr>
              <w:spacing w:before="96" w:line="195" w:lineRule="auto"/>
              <w:ind w:left="19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X08510N11E1</w:t>
            </w:r>
          </w:p>
          <w:p w14:paraId="4BCFBD70">
            <w:pPr>
              <w:spacing w:before="137" w:line="195" w:lineRule="auto"/>
              <w:ind w:left="56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T0201</w:t>
            </w:r>
          </w:p>
        </w:tc>
        <w:tc>
          <w:tcPr>
            <w:tcW w:w="1893" w:type="dxa"/>
            <w:vAlign w:val="top"/>
          </w:tcPr>
          <w:p w14:paraId="25C79E5E">
            <w:pPr>
              <w:spacing w:before="96" w:line="195" w:lineRule="auto"/>
              <w:ind w:left="31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X08510N11E1</w:t>
            </w:r>
          </w:p>
          <w:p w14:paraId="309A0E15">
            <w:pPr>
              <w:spacing w:before="137" w:line="195" w:lineRule="auto"/>
              <w:ind w:left="67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T0301</w:t>
            </w:r>
          </w:p>
        </w:tc>
        <w:tc>
          <w:tcPr>
            <w:tcW w:w="711" w:type="dxa"/>
            <w:vMerge w:val="continue"/>
            <w:tcBorders>
              <w:top w:val="nil"/>
            </w:tcBorders>
            <w:vAlign w:val="top"/>
          </w:tcPr>
          <w:p w14:paraId="4580D9CD">
            <w:pPr>
              <w:rPr>
                <w:rFonts w:ascii="Arial"/>
                <w:sz w:val="21"/>
              </w:rPr>
            </w:pPr>
          </w:p>
        </w:tc>
      </w:tr>
      <w:tr w14:paraId="5EF10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67CE1C88">
            <w:pPr>
              <w:pStyle w:val="6"/>
              <w:spacing w:before="95" w:line="229" w:lineRule="auto"/>
              <w:ind w:left="1140"/>
            </w:pPr>
            <w:r>
              <w:rPr>
                <w:spacing w:val="1"/>
              </w:rPr>
              <w:t>砷</w:t>
            </w:r>
          </w:p>
        </w:tc>
        <w:tc>
          <w:tcPr>
            <w:tcW w:w="2100" w:type="dxa"/>
            <w:vAlign w:val="top"/>
          </w:tcPr>
          <w:p w14:paraId="68DC2F9C">
            <w:pPr>
              <w:spacing w:before="64" w:line="274" w:lineRule="exact"/>
              <w:ind w:left="8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14.8</w:t>
            </w:r>
          </w:p>
        </w:tc>
        <w:tc>
          <w:tcPr>
            <w:tcW w:w="1674" w:type="dxa"/>
            <w:vAlign w:val="top"/>
          </w:tcPr>
          <w:p w14:paraId="2E8206A2">
            <w:pPr>
              <w:spacing w:before="64" w:line="274" w:lineRule="exact"/>
              <w:ind w:left="6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26.8</w:t>
            </w:r>
          </w:p>
        </w:tc>
        <w:tc>
          <w:tcPr>
            <w:tcW w:w="1893" w:type="dxa"/>
            <w:vAlign w:val="top"/>
          </w:tcPr>
          <w:p w14:paraId="409BCA9D">
            <w:pPr>
              <w:spacing w:before="64" w:line="274" w:lineRule="exact"/>
              <w:ind w:left="7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7.41</w:t>
            </w:r>
          </w:p>
        </w:tc>
        <w:tc>
          <w:tcPr>
            <w:tcW w:w="711" w:type="dxa"/>
            <w:vAlign w:val="top"/>
          </w:tcPr>
          <w:p w14:paraId="2C27A233">
            <w:pPr>
              <w:spacing w:before="64" w:line="274" w:lineRule="exact"/>
              <w:ind w:left="2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26B3A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5C46C683">
            <w:pPr>
              <w:pStyle w:val="6"/>
              <w:spacing w:before="96" w:line="231" w:lineRule="auto"/>
              <w:ind w:left="1140"/>
            </w:pPr>
            <w:r>
              <w:rPr>
                <w:spacing w:val="2"/>
              </w:rPr>
              <w:t>镉</w:t>
            </w:r>
          </w:p>
        </w:tc>
        <w:tc>
          <w:tcPr>
            <w:tcW w:w="2100" w:type="dxa"/>
            <w:vAlign w:val="top"/>
          </w:tcPr>
          <w:p w14:paraId="402A6D21">
            <w:pPr>
              <w:spacing w:before="65" w:line="274" w:lineRule="exact"/>
              <w:ind w:left="8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674" w:type="dxa"/>
            <w:vAlign w:val="top"/>
          </w:tcPr>
          <w:p w14:paraId="47177757">
            <w:pPr>
              <w:spacing w:before="65"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893" w:type="dxa"/>
            <w:vAlign w:val="top"/>
          </w:tcPr>
          <w:p w14:paraId="55F10C84">
            <w:pPr>
              <w:spacing w:before="65" w:line="274" w:lineRule="exact"/>
              <w:ind w:left="7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711" w:type="dxa"/>
            <w:vAlign w:val="top"/>
          </w:tcPr>
          <w:p w14:paraId="145182BA">
            <w:pPr>
              <w:spacing w:before="65" w:line="274" w:lineRule="exact"/>
              <w:ind w:left="2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r>
      <w:tr w14:paraId="4291F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6" w:type="dxa"/>
            <w:vAlign w:val="top"/>
          </w:tcPr>
          <w:p w14:paraId="6AF74943">
            <w:pPr>
              <w:pStyle w:val="6"/>
              <w:spacing w:before="94" w:line="227" w:lineRule="auto"/>
              <w:ind w:left="720"/>
            </w:pPr>
            <w:r>
              <w:rPr>
                <w:spacing w:val="6"/>
              </w:rPr>
              <w:t>铬（六价）</w:t>
            </w:r>
          </w:p>
        </w:tc>
        <w:tc>
          <w:tcPr>
            <w:tcW w:w="2100" w:type="dxa"/>
            <w:vAlign w:val="top"/>
          </w:tcPr>
          <w:p w14:paraId="11EC7FB3">
            <w:pPr>
              <w:spacing w:before="64" w:line="274" w:lineRule="exact"/>
              <w:ind w:left="8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1674" w:type="dxa"/>
            <w:vAlign w:val="top"/>
          </w:tcPr>
          <w:p w14:paraId="1964E323">
            <w:pPr>
              <w:spacing w:before="64"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1893" w:type="dxa"/>
            <w:vAlign w:val="top"/>
          </w:tcPr>
          <w:p w14:paraId="221A5E80">
            <w:pPr>
              <w:spacing w:before="64" w:line="274" w:lineRule="exact"/>
              <w:ind w:left="7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711" w:type="dxa"/>
            <w:vAlign w:val="top"/>
          </w:tcPr>
          <w:p w14:paraId="4E0A5751">
            <w:pPr>
              <w:spacing w:before="133" w:line="192"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r>
      <w:tr w14:paraId="37DC5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01B492AA">
            <w:pPr>
              <w:pStyle w:val="6"/>
              <w:spacing w:before="96" w:line="230" w:lineRule="auto"/>
              <w:ind w:left="1141"/>
            </w:pPr>
            <w:r>
              <w:t>铜</w:t>
            </w:r>
          </w:p>
        </w:tc>
        <w:tc>
          <w:tcPr>
            <w:tcW w:w="2100" w:type="dxa"/>
            <w:vAlign w:val="top"/>
          </w:tcPr>
          <w:p w14:paraId="750C048A">
            <w:pPr>
              <w:spacing w:before="66" w:line="274" w:lineRule="exact"/>
              <w:ind w:left="8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10.4</w:t>
            </w:r>
          </w:p>
        </w:tc>
        <w:tc>
          <w:tcPr>
            <w:tcW w:w="1674" w:type="dxa"/>
            <w:vAlign w:val="top"/>
          </w:tcPr>
          <w:p w14:paraId="55B2CA57">
            <w:pPr>
              <w:spacing w:before="66" w:line="274" w:lineRule="exact"/>
              <w:ind w:left="6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19.1</w:t>
            </w:r>
          </w:p>
        </w:tc>
        <w:tc>
          <w:tcPr>
            <w:tcW w:w="1893" w:type="dxa"/>
            <w:vAlign w:val="top"/>
          </w:tcPr>
          <w:p w14:paraId="353E5168">
            <w:pPr>
              <w:spacing w:before="66" w:line="274"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711" w:type="dxa"/>
            <w:vAlign w:val="top"/>
          </w:tcPr>
          <w:p w14:paraId="088E5041">
            <w:pPr>
              <w:spacing w:before="66" w:line="274" w:lineRule="exact"/>
              <w:ind w:left="1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18000</w:t>
            </w:r>
          </w:p>
        </w:tc>
      </w:tr>
      <w:tr w14:paraId="517DD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6" w:type="dxa"/>
            <w:vAlign w:val="top"/>
          </w:tcPr>
          <w:p w14:paraId="3ACD74A2">
            <w:pPr>
              <w:pStyle w:val="6"/>
              <w:spacing w:before="95" w:line="233" w:lineRule="auto"/>
              <w:ind w:left="1141"/>
            </w:pPr>
            <w:r>
              <w:t>铅</w:t>
            </w:r>
          </w:p>
        </w:tc>
        <w:tc>
          <w:tcPr>
            <w:tcW w:w="2100" w:type="dxa"/>
            <w:vAlign w:val="top"/>
          </w:tcPr>
          <w:p w14:paraId="3FFAF460">
            <w:pPr>
              <w:spacing w:before="64" w:line="274" w:lineRule="exact"/>
              <w:ind w:left="96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674" w:type="dxa"/>
            <w:vAlign w:val="top"/>
          </w:tcPr>
          <w:p w14:paraId="50B145EE">
            <w:pPr>
              <w:spacing w:before="64" w:line="274"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1893" w:type="dxa"/>
            <w:vAlign w:val="top"/>
          </w:tcPr>
          <w:p w14:paraId="06518C71">
            <w:pPr>
              <w:spacing w:before="64" w:line="274" w:lineRule="exact"/>
              <w:ind w:left="86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711" w:type="dxa"/>
            <w:vAlign w:val="top"/>
          </w:tcPr>
          <w:p w14:paraId="39ACBCC5">
            <w:pPr>
              <w:spacing w:before="64" w:line="274"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800</w:t>
            </w:r>
          </w:p>
        </w:tc>
      </w:tr>
      <w:tr w14:paraId="7C7A4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015851CA">
            <w:pPr>
              <w:pStyle w:val="6"/>
              <w:spacing w:before="97" w:line="229" w:lineRule="auto"/>
              <w:ind w:left="1142"/>
            </w:pPr>
            <w:r>
              <w:t>汞</w:t>
            </w:r>
          </w:p>
        </w:tc>
        <w:tc>
          <w:tcPr>
            <w:tcW w:w="2100" w:type="dxa"/>
            <w:vAlign w:val="top"/>
          </w:tcPr>
          <w:p w14:paraId="65B3F5DD">
            <w:pPr>
              <w:spacing w:before="66" w:line="274" w:lineRule="exact"/>
              <w:ind w:left="81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0.151</w:t>
            </w:r>
          </w:p>
        </w:tc>
        <w:tc>
          <w:tcPr>
            <w:tcW w:w="1674" w:type="dxa"/>
            <w:vAlign w:val="top"/>
          </w:tcPr>
          <w:p w14:paraId="56C8389A">
            <w:pPr>
              <w:spacing w:before="66" w:line="274"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0.192</w:t>
            </w:r>
          </w:p>
        </w:tc>
        <w:tc>
          <w:tcPr>
            <w:tcW w:w="1893" w:type="dxa"/>
            <w:vAlign w:val="top"/>
          </w:tcPr>
          <w:p w14:paraId="5ECC65F8">
            <w:pPr>
              <w:spacing w:before="66" w:line="274" w:lineRule="exact"/>
              <w:ind w:left="7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0.153</w:t>
            </w:r>
          </w:p>
        </w:tc>
        <w:tc>
          <w:tcPr>
            <w:tcW w:w="711" w:type="dxa"/>
            <w:vAlign w:val="top"/>
          </w:tcPr>
          <w:p w14:paraId="1C701160">
            <w:pPr>
              <w:spacing w:before="66" w:line="274"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r>
      <w:tr w14:paraId="3DAAA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6" w:type="dxa"/>
            <w:vAlign w:val="top"/>
          </w:tcPr>
          <w:p w14:paraId="032455DD">
            <w:pPr>
              <w:pStyle w:val="6"/>
              <w:spacing w:before="98" w:line="229" w:lineRule="auto"/>
              <w:ind w:left="1140"/>
            </w:pPr>
            <w:r>
              <w:rPr>
                <w:spacing w:val="1"/>
              </w:rPr>
              <w:t>镍</w:t>
            </w:r>
          </w:p>
        </w:tc>
        <w:tc>
          <w:tcPr>
            <w:tcW w:w="2100" w:type="dxa"/>
            <w:vAlign w:val="top"/>
          </w:tcPr>
          <w:p w14:paraId="286E2BAF">
            <w:pPr>
              <w:spacing w:before="67" w:line="274" w:lineRule="exact"/>
              <w:ind w:left="10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674" w:type="dxa"/>
            <w:vAlign w:val="top"/>
          </w:tcPr>
          <w:p w14:paraId="23333A3B">
            <w:pPr>
              <w:spacing w:before="67" w:line="274"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893" w:type="dxa"/>
            <w:vAlign w:val="top"/>
          </w:tcPr>
          <w:p w14:paraId="23F1C784">
            <w:pPr>
              <w:spacing w:before="137" w:line="192" w:lineRule="auto"/>
              <w:ind w:left="90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11" w:type="dxa"/>
            <w:vAlign w:val="top"/>
          </w:tcPr>
          <w:p w14:paraId="5BDDA482">
            <w:pPr>
              <w:spacing w:before="67"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900</w:t>
            </w:r>
          </w:p>
        </w:tc>
      </w:tr>
      <w:tr w14:paraId="05755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5F70E564">
            <w:pPr>
              <w:pStyle w:val="6"/>
              <w:spacing w:before="98" w:line="229" w:lineRule="auto"/>
              <w:ind w:left="847"/>
            </w:pPr>
            <w:r>
              <w:rPr>
                <w:spacing w:val="2"/>
              </w:rPr>
              <w:t>四氯化碳</w:t>
            </w:r>
          </w:p>
        </w:tc>
        <w:tc>
          <w:tcPr>
            <w:tcW w:w="2100" w:type="dxa"/>
            <w:vAlign w:val="top"/>
          </w:tcPr>
          <w:p w14:paraId="753B0789">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0.0021L</w:t>
            </w:r>
          </w:p>
        </w:tc>
        <w:tc>
          <w:tcPr>
            <w:tcW w:w="1674" w:type="dxa"/>
            <w:vAlign w:val="top"/>
          </w:tcPr>
          <w:p w14:paraId="02CA8392">
            <w:pPr>
              <w:spacing w:before="67"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0.0021L</w:t>
            </w:r>
          </w:p>
        </w:tc>
        <w:tc>
          <w:tcPr>
            <w:tcW w:w="1893" w:type="dxa"/>
            <w:vAlign w:val="top"/>
          </w:tcPr>
          <w:p w14:paraId="3CE6982C">
            <w:pPr>
              <w:spacing w:before="67"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0.0021L</w:t>
            </w:r>
          </w:p>
        </w:tc>
        <w:tc>
          <w:tcPr>
            <w:tcW w:w="711" w:type="dxa"/>
            <w:vAlign w:val="top"/>
          </w:tcPr>
          <w:p w14:paraId="4C015A5A">
            <w:pPr>
              <w:spacing w:before="67"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586DE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294EA767">
            <w:pPr>
              <w:pStyle w:val="6"/>
              <w:spacing w:before="99" w:line="229" w:lineRule="auto"/>
              <w:ind w:left="1039"/>
            </w:pPr>
            <w:r>
              <w:rPr>
                <w:spacing w:val="3"/>
              </w:rPr>
              <w:t>氯仿</w:t>
            </w:r>
          </w:p>
        </w:tc>
        <w:tc>
          <w:tcPr>
            <w:tcW w:w="2100" w:type="dxa"/>
            <w:vAlign w:val="top"/>
          </w:tcPr>
          <w:p w14:paraId="6CBE9F81">
            <w:pPr>
              <w:spacing w:before="68" w:line="274" w:lineRule="exact"/>
              <w:ind w:left="7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674" w:type="dxa"/>
            <w:vAlign w:val="top"/>
          </w:tcPr>
          <w:p w14:paraId="7193E2CB">
            <w:pPr>
              <w:spacing w:before="68"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893" w:type="dxa"/>
            <w:vAlign w:val="top"/>
          </w:tcPr>
          <w:p w14:paraId="14A843EB">
            <w:pPr>
              <w:spacing w:before="68"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711" w:type="dxa"/>
            <w:vAlign w:val="top"/>
          </w:tcPr>
          <w:p w14:paraId="726966B6">
            <w:pPr>
              <w:spacing w:before="68"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r>
      <w:tr w14:paraId="6293D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5333C1C1">
            <w:pPr>
              <w:pStyle w:val="6"/>
              <w:spacing w:before="97" w:line="229" w:lineRule="auto"/>
              <w:ind w:left="933"/>
            </w:pPr>
            <w:r>
              <w:rPr>
                <w:spacing w:val="5"/>
              </w:rPr>
              <w:t>氯甲烷</w:t>
            </w:r>
          </w:p>
        </w:tc>
        <w:tc>
          <w:tcPr>
            <w:tcW w:w="2100" w:type="dxa"/>
            <w:vAlign w:val="top"/>
          </w:tcPr>
          <w:p w14:paraId="49B24C79">
            <w:pPr>
              <w:spacing w:before="66" w:line="275"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0.003L</w:t>
            </w:r>
          </w:p>
        </w:tc>
        <w:tc>
          <w:tcPr>
            <w:tcW w:w="1674" w:type="dxa"/>
            <w:vAlign w:val="top"/>
          </w:tcPr>
          <w:p w14:paraId="2A2084BF">
            <w:pPr>
              <w:spacing w:before="66" w:line="275" w:lineRule="exact"/>
              <w:ind w:left="5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0.003L</w:t>
            </w:r>
          </w:p>
        </w:tc>
        <w:tc>
          <w:tcPr>
            <w:tcW w:w="1893" w:type="dxa"/>
            <w:vAlign w:val="top"/>
          </w:tcPr>
          <w:p w14:paraId="590A7CED">
            <w:pPr>
              <w:spacing w:before="66" w:line="275" w:lineRule="exact"/>
              <w:ind w:left="6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0.003L</w:t>
            </w:r>
          </w:p>
        </w:tc>
        <w:tc>
          <w:tcPr>
            <w:tcW w:w="711" w:type="dxa"/>
            <w:vAlign w:val="top"/>
          </w:tcPr>
          <w:p w14:paraId="1ED1014A">
            <w:pPr>
              <w:spacing w:before="66" w:line="275"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r>
      <w:tr w14:paraId="49F3D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62E81A2A">
            <w:pPr>
              <w:pStyle w:val="6"/>
              <w:spacing w:before="67" w:line="275" w:lineRule="exact"/>
              <w:ind w:left="67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2100" w:type="dxa"/>
            <w:vAlign w:val="top"/>
          </w:tcPr>
          <w:p w14:paraId="21D10EC5">
            <w:pPr>
              <w:spacing w:before="67"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674" w:type="dxa"/>
            <w:vAlign w:val="top"/>
          </w:tcPr>
          <w:p w14:paraId="3942C67C">
            <w:pPr>
              <w:spacing w:before="67" w:line="275"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893" w:type="dxa"/>
            <w:vAlign w:val="top"/>
          </w:tcPr>
          <w:p w14:paraId="34A6CAF1">
            <w:pPr>
              <w:spacing w:before="67"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711" w:type="dxa"/>
            <w:vAlign w:val="top"/>
          </w:tcPr>
          <w:p w14:paraId="3D2EEDBE">
            <w:pPr>
              <w:spacing w:before="67" w:line="275"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r>
      <w:tr w14:paraId="008EA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66A526ED">
            <w:pPr>
              <w:pStyle w:val="6"/>
              <w:spacing w:before="66" w:line="274" w:lineRule="exact"/>
              <w:ind w:left="678"/>
            </w:pPr>
            <w:r>
              <w:rPr>
                <w:rFonts w:ascii="Times New Roman" w:hAnsi="Times New Roman" w:eastAsia="Times New Roman" w:cs="Times New Roman"/>
                <w:spacing w:val="3"/>
                <w:position w:val="2"/>
              </w:rPr>
              <w:t>1,2-</w:t>
            </w:r>
            <w:r>
              <w:rPr>
                <w:spacing w:val="3"/>
                <w:position w:val="2"/>
              </w:rPr>
              <w:t>二氯乙烷</w:t>
            </w:r>
          </w:p>
        </w:tc>
        <w:tc>
          <w:tcPr>
            <w:tcW w:w="2100" w:type="dxa"/>
            <w:vAlign w:val="top"/>
          </w:tcPr>
          <w:p w14:paraId="27972019">
            <w:pPr>
              <w:spacing w:before="66"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674" w:type="dxa"/>
            <w:vAlign w:val="top"/>
          </w:tcPr>
          <w:p w14:paraId="5F4DC401">
            <w:pPr>
              <w:spacing w:before="66"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893" w:type="dxa"/>
            <w:vAlign w:val="top"/>
          </w:tcPr>
          <w:p w14:paraId="2021E943">
            <w:pPr>
              <w:spacing w:before="66"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711" w:type="dxa"/>
            <w:vAlign w:val="top"/>
          </w:tcPr>
          <w:p w14:paraId="18FFA16C">
            <w:pPr>
              <w:spacing w:before="136"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A6BB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2436968F">
            <w:pPr>
              <w:pStyle w:val="6"/>
              <w:spacing w:before="67" w:line="274" w:lineRule="exact"/>
              <w:ind w:left="67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2100" w:type="dxa"/>
            <w:vAlign w:val="top"/>
          </w:tcPr>
          <w:p w14:paraId="27459263">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674" w:type="dxa"/>
            <w:vAlign w:val="top"/>
          </w:tcPr>
          <w:p w14:paraId="47E120B8">
            <w:pPr>
              <w:spacing w:before="67"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893" w:type="dxa"/>
            <w:vAlign w:val="top"/>
          </w:tcPr>
          <w:p w14:paraId="7AF491CE">
            <w:pPr>
              <w:spacing w:before="67"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711" w:type="dxa"/>
            <w:vAlign w:val="top"/>
          </w:tcPr>
          <w:p w14:paraId="4BFA1D24">
            <w:pPr>
              <w:spacing w:before="67" w:line="274" w:lineRule="exact"/>
              <w:ind w:left="2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r>
      <w:tr w14:paraId="03802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476" w:type="dxa"/>
            <w:vAlign w:val="top"/>
          </w:tcPr>
          <w:p w14:paraId="5223FF79">
            <w:pPr>
              <w:pStyle w:val="6"/>
              <w:spacing w:before="68" w:line="274" w:lineRule="exact"/>
              <w:ind w:left="523"/>
            </w:pPr>
            <w:r>
              <w:rPr>
                <w:spacing w:val="5"/>
                <w:position w:val="2"/>
              </w:rPr>
              <w:t>顺</w:t>
            </w:r>
            <w:r>
              <w:rPr>
                <w:rFonts w:ascii="Times New Roman" w:hAnsi="Times New Roman" w:eastAsia="Times New Roman" w:cs="Times New Roman"/>
                <w:spacing w:val="5"/>
                <w:position w:val="2"/>
              </w:rPr>
              <w:t>-1,2-</w:t>
            </w:r>
            <w:r>
              <w:rPr>
                <w:spacing w:val="5"/>
                <w:position w:val="2"/>
              </w:rPr>
              <w:t>二氯乙烯</w:t>
            </w:r>
          </w:p>
        </w:tc>
        <w:tc>
          <w:tcPr>
            <w:tcW w:w="2100" w:type="dxa"/>
            <w:vAlign w:val="top"/>
          </w:tcPr>
          <w:p w14:paraId="7C3E50A6">
            <w:pPr>
              <w:spacing w:before="68"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674" w:type="dxa"/>
            <w:vAlign w:val="top"/>
          </w:tcPr>
          <w:p w14:paraId="5881E025">
            <w:pPr>
              <w:spacing w:before="68"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893" w:type="dxa"/>
            <w:vAlign w:val="top"/>
          </w:tcPr>
          <w:p w14:paraId="4DDFAAF9">
            <w:pPr>
              <w:spacing w:before="68"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711" w:type="dxa"/>
            <w:vAlign w:val="top"/>
          </w:tcPr>
          <w:p w14:paraId="5CC5BC49">
            <w:pPr>
              <w:spacing w:before="68"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596</w:t>
            </w:r>
          </w:p>
        </w:tc>
      </w:tr>
    </w:tbl>
    <w:p w14:paraId="1FD9899A">
      <w:pPr>
        <w:pStyle w:val="2"/>
        <w:spacing w:line="134" w:lineRule="exact"/>
        <w:rPr>
          <w:sz w:val="11"/>
        </w:rPr>
      </w:pPr>
    </w:p>
    <w:p w14:paraId="69C690CF">
      <w:pPr>
        <w:spacing w:line="134" w:lineRule="exact"/>
        <w:rPr>
          <w:sz w:val="11"/>
          <w:szCs w:val="11"/>
        </w:rPr>
        <w:sectPr>
          <w:footerReference r:id="rId109" w:type="default"/>
          <w:pgSz w:w="11906" w:h="16839"/>
          <w:pgMar w:top="400" w:right="1475" w:bottom="1485" w:left="1475" w:header="0" w:footer="1249" w:gutter="0"/>
          <w:cols w:space="720" w:num="1"/>
        </w:sectPr>
      </w:pPr>
    </w:p>
    <w:p w14:paraId="344C17A1">
      <w:pPr>
        <w:spacing w:before="13"/>
      </w:pPr>
    </w:p>
    <w:p w14:paraId="73CA318F">
      <w:pPr>
        <w:spacing w:before="13"/>
      </w:pPr>
    </w:p>
    <w:p w14:paraId="34FC9418">
      <w:pPr>
        <w:spacing w:before="13"/>
      </w:pPr>
    </w:p>
    <w:p w14:paraId="56D2FF5B">
      <w:pPr>
        <w:spacing w:before="13"/>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0"/>
        <w:gridCol w:w="2100"/>
        <w:gridCol w:w="1674"/>
        <w:gridCol w:w="1893"/>
        <w:gridCol w:w="711"/>
      </w:tblGrid>
      <w:tr w14:paraId="2A856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0" w:type="dxa"/>
            <w:vAlign w:val="top"/>
          </w:tcPr>
          <w:p w14:paraId="0B7E490A">
            <w:pPr>
              <w:pStyle w:val="6"/>
              <w:spacing w:before="66" w:line="275" w:lineRule="exact"/>
              <w:ind w:left="517"/>
            </w:pPr>
            <w:r>
              <w:rPr>
                <w:spacing w:val="5"/>
                <w:position w:val="2"/>
              </w:rPr>
              <w:t>反</w:t>
            </w:r>
            <w:r>
              <w:rPr>
                <w:rFonts w:ascii="Times New Roman" w:hAnsi="Times New Roman" w:eastAsia="Times New Roman" w:cs="Times New Roman"/>
                <w:spacing w:val="5"/>
                <w:position w:val="2"/>
              </w:rPr>
              <w:t>-1,2-</w:t>
            </w:r>
            <w:r>
              <w:rPr>
                <w:spacing w:val="5"/>
                <w:position w:val="2"/>
              </w:rPr>
              <w:t>二氯乙烯</w:t>
            </w:r>
          </w:p>
        </w:tc>
        <w:tc>
          <w:tcPr>
            <w:tcW w:w="2100" w:type="dxa"/>
            <w:vAlign w:val="top"/>
          </w:tcPr>
          <w:p w14:paraId="1E5DD25C">
            <w:pPr>
              <w:spacing w:before="66" w:line="275"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674" w:type="dxa"/>
            <w:vAlign w:val="top"/>
          </w:tcPr>
          <w:p w14:paraId="27E43A19">
            <w:pPr>
              <w:spacing w:before="66" w:line="275"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893" w:type="dxa"/>
            <w:vAlign w:val="top"/>
          </w:tcPr>
          <w:p w14:paraId="51F7ACE3">
            <w:pPr>
              <w:spacing w:before="66"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711" w:type="dxa"/>
            <w:vAlign w:val="top"/>
          </w:tcPr>
          <w:p w14:paraId="73A38C42">
            <w:pPr>
              <w:spacing w:before="66" w:line="275" w:lineRule="exact"/>
              <w:ind w:left="2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r>
      <w:tr w14:paraId="79B00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5E5A0C8F">
            <w:pPr>
              <w:pStyle w:val="6"/>
              <w:spacing w:before="94" w:line="229" w:lineRule="auto"/>
              <w:ind w:left="825"/>
            </w:pPr>
            <w:r>
              <w:rPr>
                <w:spacing w:val="6"/>
              </w:rPr>
              <w:t>二氯甲烷</w:t>
            </w:r>
          </w:p>
        </w:tc>
        <w:tc>
          <w:tcPr>
            <w:tcW w:w="2100" w:type="dxa"/>
            <w:vAlign w:val="top"/>
          </w:tcPr>
          <w:p w14:paraId="5B7591C5">
            <w:pPr>
              <w:spacing w:before="63" w:line="275"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0.0026L</w:t>
            </w:r>
          </w:p>
        </w:tc>
        <w:tc>
          <w:tcPr>
            <w:tcW w:w="1674" w:type="dxa"/>
            <w:vAlign w:val="top"/>
          </w:tcPr>
          <w:p w14:paraId="768921C6">
            <w:pPr>
              <w:spacing w:before="63" w:line="275"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0.0026L</w:t>
            </w:r>
          </w:p>
        </w:tc>
        <w:tc>
          <w:tcPr>
            <w:tcW w:w="1893" w:type="dxa"/>
            <w:vAlign w:val="top"/>
          </w:tcPr>
          <w:p w14:paraId="24FF30E0">
            <w:pPr>
              <w:spacing w:before="63"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0.0026L</w:t>
            </w:r>
          </w:p>
        </w:tc>
        <w:tc>
          <w:tcPr>
            <w:tcW w:w="711" w:type="dxa"/>
            <w:vAlign w:val="top"/>
          </w:tcPr>
          <w:p w14:paraId="07E1252A">
            <w:pPr>
              <w:spacing w:before="63" w:line="275"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616</w:t>
            </w:r>
          </w:p>
        </w:tc>
      </w:tr>
      <w:tr w14:paraId="662C0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0586E7F">
            <w:pPr>
              <w:pStyle w:val="6"/>
              <w:spacing w:before="63" w:line="274" w:lineRule="exact"/>
              <w:ind w:left="672"/>
            </w:pPr>
            <w:r>
              <w:rPr>
                <w:rFonts w:ascii="Times New Roman" w:hAnsi="Times New Roman" w:eastAsia="Times New Roman" w:cs="Times New Roman"/>
                <w:spacing w:val="3"/>
                <w:position w:val="2"/>
              </w:rPr>
              <w:t>1,2-</w:t>
            </w:r>
            <w:r>
              <w:rPr>
                <w:spacing w:val="3"/>
                <w:position w:val="2"/>
              </w:rPr>
              <w:t>二氯丙烷</w:t>
            </w:r>
          </w:p>
        </w:tc>
        <w:tc>
          <w:tcPr>
            <w:tcW w:w="2100" w:type="dxa"/>
            <w:vAlign w:val="top"/>
          </w:tcPr>
          <w:p w14:paraId="1D226698">
            <w:pPr>
              <w:spacing w:before="63" w:line="274"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0.0019L</w:t>
            </w:r>
          </w:p>
        </w:tc>
        <w:tc>
          <w:tcPr>
            <w:tcW w:w="1674" w:type="dxa"/>
            <w:vAlign w:val="top"/>
          </w:tcPr>
          <w:p w14:paraId="2AF13BE3">
            <w:pPr>
              <w:spacing w:before="63"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0.0019L</w:t>
            </w:r>
          </w:p>
        </w:tc>
        <w:tc>
          <w:tcPr>
            <w:tcW w:w="1893" w:type="dxa"/>
            <w:vAlign w:val="top"/>
          </w:tcPr>
          <w:p w14:paraId="0466C1D3">
            <w:pPr>
              <w:spacing w:before="63"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0.0019L</w:t>
            </w:r>
          </w:p>
        </w:tc>
        <w:tc>
          <w:tcPr>
            <w:tcW w:w="711" w:type="dxa"/>
            <w:vAlign w:val="top"/>
          </w:tcPr>
          <w:p w14:paraId="59F247B6">
            <w:pPr>
              <w:spacing w:before="133"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D3AC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58CCF4B">
            <w:pPr>
              <w:pStyle w:val="6"/>
              <w:spacing w:before="64" w:line="274" w:lineRule="exact"/>
              <w:ind w:left="506"/>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7"/>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2100" w:type="dxa"/>
            <w:vAlign w:val="top"/>
          </w:tcPr>
          <w:p w14:paraId="309D2383">
            <w:pPr>
              <w:spacing w:before="64" w:line="274"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5D61A232">
            <w:pPr>
              <w:spacing w:before="64"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7FC3EFBD">
            <w:pPr>
              <w:spacing w:before="64"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07DBE13D">
            <w:pPr>
              <w:spacing w:before="64"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05F2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54591C90">
            <w:pPr>
              <w:pStyle w:val="6"/>
              <w:spacing w:before="65" w:line="274" w:lineRule="exact"/>
              <w:ind w:left="514"/>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2100" w:type="dxa"/>
            <w:vAlign w:val="top"/>
          </w:tcPr>
          <w:p w14:paraId="7AD5DADB">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792A25D5">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1833B3D9">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5D7FE77C">
            <w:pPr>
              <w:spacing w:before="65"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6.8</w:t>
            </w:r>
          </w:p>
        </w:tc>
      </w:tr>
      <w:tr w14:paraId="0EC38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BD26160">
            <w:pPr>
              <w:pStyle w:val="6"/>
              <w:spacing w:before="96" w:line="228" w:lineRule="auto"/>
              <w:ind w:left="841"/>
            </w:pPr>
            <w:r>
              <w:rPr>
                <w:spacing w:val="2"/>
              </w:rPr>
              <w:t>四氯乙烯</w:t>
            </w:r>
          </w:p>
        </w:tc>
        <w:tc>
          <w:tcPr>
            <w:tcW w:w="2100" w:type="dxa"/>
            <w:vAlign w:val="top"/>
          </w:tcPr>
          <w:p w14:paraId="7D0AC2EA">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674" w:type="dxa"/>
            <w:vAlign w:val="top"/>
          </w:tcPr>
          <w:p w14:paraId="006C5F74">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893" w:type="dxa"/>
            <w:vAlign w:val="top"/>
          </w:tcPr>
          <w:p w14:paraId="03C04E5F">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711" w:type="dxa"/>
            <w:vAlign w:val="top"/>
          </w:tcPr>
          <w:p w14:paraId="2C8E5AE1">
            <w:pPr>
              <w:spacing w:before="65" w:line="274" w:lineRule="exact"/>
              <w:ind w:left="2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r>
      <w:tr w14:paraId="57D4D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2025709">
            <w:pPr>
              <w:pStyle w:val="6"/>
              <w:spacing w:before="66" w:line="274" w:lineRule="exact"/>
              <w:ind w:left="593"/>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2100" w:type="dxa"/>
            <w:vAlign w:val="top"/>
          </w:tcPr>
          <w:p w14:paraId="4F08E806">
            <w:pPr>
              <w:spacing w:before="66" w:line="274" w:lineRule="exact"/>
              <w:ind w:left="7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674" w:type="dxa"/>
            <w:vAlign w:val="top"/>
          </w:tcPr>
          <w:p w14:paraId="223F2A85">
            <w:pPr>
              <w:spacing w:before="66" w:line="274"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893" w:type="dxa"/>
            <w:vAlign w:val="top"/>
          </w:tcPr>
          <w:p w14:paraId="6D2B3CAF">
            <w:pPr>
              <w:spacing w:before="66"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711" w:type="dxa"/>
            <w:vAlign w:val="top"/>
          </w:tcPr>
          <w:p w14:paraId="45063228">
            <w:pPr>
              <w:spacing w:before="66" w:line="274"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r>
      <w:tr w14:paraId="0E5E4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4B74A018">
            <w:pPr>
              <w:pStyle w:val="6"/>
              <w:spacing w:before="64" w:line="274" w:lineRule="exact"/>
              <w:ind w:left="593"/>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2100" w:type="dxa"/>
            <w:vAlign w:val="top"/>
          </w:tcPr>
          <w:p w14:paraId="7BD086C0">
            <w:pPr>
              <w:spacing w:before="64"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0.0014L</w:t>
            </w:r>
          </w:p>
        </w:tc>
        <w:tc>
          <w:tcPr>
            <w:tcW w:w="1674" w:type="dxa"/>
            <w:vAlign w:val="top"/>
          </w:tcPr>
          <w:p w14:paraId="3C615C51">
            <w:pPr>
              <w:spacing w:before="64"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0.0014L</w:t>
            </w:r>
          </w:p>
        </w:tc>
        <w:tc>
          <w:tcPr>
            <w:tcW w:w="1893" w:type="dxa"/>
            <w:vAlign w:val="top"/>
          </w:tcPr>
          <w:p w14:paraId="16AE30E9">
            <w:pPr>
              <w:spacing w:before="64"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0.0014L</w:t>
            </w:r>
          </w:p>
        </w:tc>
        <w:tc>
          <w:tcPr>
            <w:tcW w:w="711" w:type="dxa"/>
            <w:vAlign w:val="top"/>
          </w:tcPr>
          <w:p w14:paraId="63E07851">
            <w:pPr>
              <w:spacing w:before="64"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0FACB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6C6256B9">
            <w:pPr>
              <w:pStyle w:val="6"/>
              <w:spacing w:before="96" w:line="228" w:lineRule="auto"/>
              <w:ind w:left="821"/>
            </w:pPr>
            <w:r>
              <w:rPr>
                <w:spacing w:val="7"/>
              </w:rPr>
              <w:t>三氯乙烯</w:t>
            </w:r>
          </w:p>
        </w:tc>
        <w:tc>
          <w:tcPr>
            <w:tcW w:w="2100" w:type="dxa"/>
            <w:vAlign w:val="top"/>
          </w:tcPr>
          <w:p w14:paraId="322420CF">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674" w:type="dxa"/>
            <w:vAlign w:val="top"/>
          </w:tcPr>
          <w:p w14:paraId="0A50AC04">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893" w:type="dxa"/>
            <w:vAlign w:val="top"/>
          </w:tcPr>
          <w:p w14:paraId="0E6AF2D6">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711" w:type="dxa"/>
            <w:vAlign w:val="top"/>
          </w:tcPr>
          <w:p w14:paraId="05C8ABDF">
            <w:pPr>
              <w:spacing w:before="65"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3A196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1FA8387">
            <w:pPr>
              <w:pStyle w:val="6"/>
              <w:spacing w:before="66" w:line="274" w:lineRule="exact"/>
              <w:ind w:left="593"/>
            </w:pPr>
            <w:r>
              <w:rPr>
                <w:rFonts w:ascii="Times New Roman" w:hAnsi="Times New Roman" w:eastAsia="Times New Roman" w:cs="Times New Roman"/>
                <w:spacing w:val="3"/>
                <w:position w:val="2"/>
              </w:rPr>
              <w:t>1,2,3-</w:t>
            </w:r>
            <w:r>
              <w:rPr>
                <w:spacing w:val="3"/>
                <w:position w:val="2"/>
              </w:rPr>
              <w:t>三氯丙烷</w:t>
            </w:r>
          </w:p>
        </w:tc>
        <w:tc>
          <w:tcPr>
            <w:tcW w:w="2100" w:type="dxa"/>
            <w:vAlign w:val="top"/>
          </w:tcPr>
          <w:p w14:paraId="150D01B0">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6023E3A6">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146343A5">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76374E42">
            <w:pPr>
              <w:spacing w:before="66"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7041A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F4CC4F4">
            <w:pPr>
              <w:pStyle w:val="6"/>
              <w:spacing w:before="96" w:line="228" w:lineRule="auto"/>
              <w:ind w:left="928"/>
            </w:pPr>
            <w:r>
              <w:rPr>
                <w:spacing w:val="5"/>
              </w:rPr>
              <w:t>氯乙烯</w:t>
            </w:r>
          </w:p>
        </w:tc>
        <w:tc>
          <w:tcPr>
            <w:tcW w:w="2100" w:type="dxa"/>
            <w:vAlign w:val="top"/>
          </w:tcPr>
          <w:p w14:paraId="13A8C263">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674" w:type="dxa"/>
            <w:vAlign w:val="top"/>
          </w:tcPr>
          <w:p w14:paraId="48DF6B34">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893" w:type="dxa"/>
            <w:vAlign w:val="top"/>
          </w:tcPr>
          <w:p w14:paraId="3448EDF0">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711" w:type="dxa"/>
            <w:vAlign w:val="top"/>
          </w:tcPr>
          <w:p w14:paraId="50E6D00D">
            <w:pPr>
              <w:spacing w:before="65"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0.43</w:t>
            </w:r>
          </w:p>
        </w:tc>
      </w:tr>
      <w:tr w14:paraId="78A2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6C97E1C0">
            <w:pPr>
              <w:pStyle w:val="6"/>
              <w:spacing w:before="96" w:line="228" w:lineRule="auto"/>
              <w:ind w:left="1138"/>
            </w:pPr>
            <w:r>
              <w:t>苯</w:t>
            </w:r>
          </w:p>
        </w:tc>
        <w:tc>
          <w:tcPr>
            <w:tcW w:w="2100" w:type="dxa"/>
            <w:vAlign w:val="top"/>
          </w:tcPr>
          <w:p w14:paraId="1A28E18A">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674" w:type="dxa"/>
            <w:vAlign w:val="top"/>
          </w:tcPr>
          <w:p w14:paraId="7CFB332B">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893" w:type="dxa"/>
            <w:vAlign w:val="top"/>
          </w:tcPr>
          <w:p w14:paraId="1E5DD294">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711" w:type="dxa"/>
            <w:vAlign w:val="top"/>
          </w:tcPr>
          <w:p w14:paraId="0A5F495F">
            <w:pPr>
              <w:spacing w:before="66"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48D47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0EB1422">
            <w:pPr>
              <w:pStyle w:val="6"/>
              <w:spacing w:before="95" w:line="228" w:lineRule="auto"/>
              <w:ind w:left="1033"/>
            </w:pPr>
            <w:r>
              <w:rPr>
                <w:spacing w:val="3"/>
              </w:rPr>
              <w:t>氯苯</w:t>
            </w:r>
          </w:p>
        </w:tc>
        <w:tc>
          <w:tcPr>
            <w:tcW w:w="2100" w:type="dxa"/>
            <w:vAlign w:val="top"/>
          </w:tcPr>
          <w:p w14:paraId="7906E2A1">
            <w:pPr>
              <w:spacing w:before="64" w:line="275" w:lineRule="exact"/>
              <w:ind w:left="7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674" w:type="dxa"/>
            <w:vAlign w:val="top"/>
          </w:tcPr>
          <w:p w14:paraId="715EC19F">
            <w:pPr>
              <w:spacing w:before="64" w:line="275"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893" w:type="dxa"/>
            <w:vAlign w:val="top"/>
          </w:tcPr>
          <w:p w14:paraId="13BA62B2">
            <w:pPr>
              <w:spacing w:before="64"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711" w:type="dxa"/>
            <w:vAlign w:val="top"/>
          </w:tcPr>
          <w:p w14:paraId="1EA14096">
            <w:pPr>
              <w:spacing w:before="64" w:line="275"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270</w:t>
            </w:r>
          </w:p>
        </w:tc>
      </w:tr>
      <w:tr w14:paraId="53FA0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B71C15F">
            <w:pPr>
              <w:pStyle w:val="6"/>
              <w:spacing w:before="65" w:line="275" w:lineRule="exact"/>
              <w:ind w:left="778"/>
            </w:pPr>
            <w:r>
              <w:rPr>
                <w:rFonts w:ascii="Times New Roman" w:hAnsi="Times New Roman" w:eastAsia="Times New Roman" w:cs="Times New Roman"/>
                <w:spacing w:val="2"/>
                <w:position w:val="2"/>
              </w:rPr>
              <w:t>1,2-</w:t>
            </w:r>
            <w:r>
              <w:rPr>
                <w:spacing w:val="2"/>
                <w:position w:val="2"/>
              </w:rPr>
              <w:t>二氯苯</w:t>
            </w:r>
          </w:p>
        </w:tc>
        <w:tc>
          <w:tcPr>
            <w:tcW w:w="2100" w:type="dxa"/>
            <w:vAlign w:val="top"/>
          </w:tcPr>
          <w:p w14:paraId="49E06AE3">
            <w:pPr>
              <w:spacing w:before="65"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1F7A9451">
            <w:pPr>
              <w:spacing w:before="65" w:line="275"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38CBC0DB">
            <w:pPr>
              <w:spacing w:before="65" w:line="275"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2E694DC0">
            <w:pPr>
              <w:spacing w:before="65" w:line="275"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r>
      <w:tr w14:paraId="2C96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1B18EFD0">
            <w:pPr>
              <w:pStyle w:val="6"/>
              <w:spacing w:before="64" w:line="274" w:lineRule="exact"/>
              <w:ind w:left="778"/>
            </w:pPr>
            <w:r>
              <w:rPr>
                <w:rFonts w:ascii="Times New Roman" w:hAnsi="Times New Roman" w:eastAsia="Times New Roman" w:cs="Times New Roman"/>
                <w:spacing w:val="2"/>
                <w:position w:val="2"/>
              </w:rPr>
              <w:t>1,4-</w:t>
            </w:r>
            <w:r>
              <w:rPr>
                <w:spacing w:val="2"/>
                <w:position w:val="2"/>
              </w:rPr>
              <w:t>二氯苯</w:t>
            </w:r>
          </w:p>
        </w:tc>
        <w:tc>
          <w:tcPr>
            <w:tcW w:w="2100" w:type="dxa"/>
            <w:vAlign w:val="top"/>
          </w:tcPr>
          <w:p w14:paraId="3A1754D3">
            <w:pPr>
              <w:spacing w:before="64"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674" w:type="dxa"/>
            <w:vAlign w:val="top"/>
          </w:tcPr>
          <w:p w14:paraId="46724726">
            <w:pPr>
              <w:spacing w:before="64"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893" w:type="dxa"/>
            <w:vAlign w:val="top"/>
          </w:tcPr>
          <w:p w14:paraId="73BD3022">
            <w:pPr>
              <w:spacing w:before="64"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711" w:type="dxa"/>
            <w:vAlign w:val="top"/>
          </w:tcPr>
          <w:p w14:paraId="2F8D5DA2">
            <w:pPr>
              <w:spacing w:before="64"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3DAA0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1A33BC77">
            <w:pPr>
              <w:pStyle w:val="6"/>
              <w:spacing w:before="95" w:line="228" w:lineRule="auto"/>
              <w:ind w:left="1047"/>
            </w:pPr>
            <w:r>
              <w:rPr>
                <w:spacing w:val="-4"/>
              </w:rPr>
              <w:t>乙苯</w:t>
            </w:r>
          </w:p>
        </w:tc>
        <w:tc>
          <w:tcPr>
            <w:tcW w:w="2100" w:type="dxa"/>
            <w:vAlign w:val="top"/>
          </w:tcPr>
          <w:p w14:paraId="4821DED7">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674" w:type="dxa"/>
            <w:vAlign w:val="top"/>
          </w:tcPr>
          <w:p w14:paraId="0E1634FE">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893" w:type="dxa"/>
            <w:vAlign w:val="top"/>
          </w:tcPr>
          <w:p w14:paraId="7DCB4240">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711" w:type="dxa"/>
            <w:vAlign w:val="top"/>
          </w:tcPr>
          <w:p w14:paraId="00CAC41E">
            <w:pPr>
              <w:spacing w:before="65"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3D3B3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2209A8B3">
            <w:pPr>
              <w:pStyle w:val="6"/>
              <w:spacing w:before="96" w:line="228" w:lineRule="auto"/>
              <w:ind w:left="927"/>
            </w:pPr>
            <w:r>
              <w:rPr>
                <w:spacing w:val="6"/>
              </w:rPr>
              <w:t>苯乙烯</w:t>
            </w:r>
          </w:p>
        </w:tc>
        <w:tc>
          <w:tcPr>
            <w:tcW w:w="2100" w:type="dxa"/>
            <w:vAlign w:val="top"/>
          </w:tcPr>
          <w:p w14:paraId="41C5C182">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674" w:type="dxa"/>
            <w:vAlign w:val="top"/>
          </w:tcPr>
          <w:p w14:paraId="459E3163">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893" w:type="dxa"/>
            <w:vAlign w:val="top"/>
          </w:tcPr>
          <w:p w14:paraId="03623306">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711" w:type="dxa"/>
            <w:vAlign w:val="top"/>
          </w:tcPr>
          <w:p w14:paraId="3B610BA3">
            <w:pPr>
              <w:spacing w:before="6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1290</w:t>
            </w:r>
          </w:p>
        </w:tc>
      </w:tr>
      <w:tr w14:paraId="13975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D024538">
            <w:pPr>
              <w:pStyle w:val="6"/>
              <w:spacing w:before="95" w:line="228" w:lineRule="auto"/>
              <w:ind w:left="1057"/>
            </w:pPr>
            <w:r>
              <w:rPr>
                <w:spacing w:val="-9"/>
              </w:rPr>
              <w:t>甲苯</w:t>
            </w:r>
          </w:p>
        </w:tc>
        <w:tc>
          <w:tcPr>
            <w:tcW w:w="2100" w:type="dxa"/>
            <w:vAlign w:val="top"/>
          </w:tcPr>
          <w:p w14:paraId="0B994EF4">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0.0020L</w:t>
            </w:r>
          </w:p>
        </w:tc>
        <w:tc>
          <w:tcPr>
            <w:tcW w:w="1674" w:type="dxa"/>
            <w:vAlign w:val="top"/>
          </w:tcPr>
          <w:p w14:paraId="0FB111C1">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0.0020L</w:t>
            </w:r>
          </w:p>
        </w:tc>
        <w:tc>
          <w:tcPr>
            <w:tcW w:w="1893" w:type="dxa"/>
            <w:vAlign w:val="top"/>
          </w:tcPr>
          <w:p w14:paraId="1F80CF4F">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0.0020L</w:t>
            </w:r>
          </w:p>
        </w:tc>
        <w:tc>
          <w:tcPr>
            <w:tcW w:w="711" w:type="dxa"/>
            <w:vAlign w:val="top"/>
          </w:tcPr>
          <w:p w14:paraId="316ED78A">
            <w:pPr>
              <w:spacing w:before="6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r>
      <w:tr w14:paraId="53A6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40861A00">
            <w:pPr>
              <w:pStyle w:val="6"/>
              <w:spacing w:before="66" w:line="274" w:lineRule="exact"/>
              <w:ind w:left="670"/>
            </w:pPr>
            <w:r>
              <w:rPr>
                <w:spacing w:val="4"/>
                <w:position w:val="1"/>
              </w:rPr>
              <w:t>间</w:t>
            </w:r>
            <w:r>
              <w:rPr>
                <w:rFonts w:ascii="Times New Roman" w:hAnsi="Times New Roman" w:eastAsia="Times New Roman" w:cs="Times New Roman"/>
                <w:spacing w:val="4"/>
                <w:position w:val="1"/>
              </w:rPr>
              <w:t>/</w:t>
            </w:r>
            <w:r>
              <w:rPr>
                <w:spacing w:val="4"/>
                <w:position w:val="1"/>
              </w:rPr>
              <w:t>对</w:t>
            </w:r>
            <w:r>
              <w:rPr>
                <w:rFonts w:ascii="Times New Roman" w:hAnsi="Times New Roman" w:eastAsia="Times New Roman" w:cs="Times New Roman"/>
                <w:spacing w:val="4"/>
                <w:position w:val="1"/>
              </w:rPr>
              <w:t>-</w:t>
            </w:r>
            <w:r>
              <w:rPr>
                <w:spacing w:val="4"/>
                <w:position w:val="1"/>
              </w:rPr>
              <w:t>二甲苯</w:t>
            </w:r>
          </w:p>
        </w:tc>
        <w:tc>
          <w:tcPr>
            <w:tcW w:w="2100" w:type="dxa"/>
            <w:vAlign w:val="top"/>
          </w:tcPr>
          <w:p w14:paraId="42E171F3">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0.0036L</w:t>
            </w:r>
          </w:p>
        </w:tc>
        <w:tc>
          <w:tcPr>
            <w:tcW w:w="1674" w:type="dxa"/>
            <w:vAlign w:val="top"/>
          </w:tcPr>
          <w:p w14:paraId="16AAFC53">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0.0036L</w:t>
            </w:r>
          </w:p>
        </w:tc>
        <w:tc>
          <w:tcPr>
            <w:tcW w:w="1893" w:type="dxa"/>
            <w:vAlign w:val="top"/>
          </w:tcPr>
          <w:p w14:paraId="7FE9796F">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0.0036L</w:t>
            </w:r>
          </w:p>
        </w:tc>
        <w:tc>
          <w:tcPr>
            <w:tcW w:w="711" w:type="dxa"/>
            <w:vAlign w:val="top"/>
          </w:tcPr>
          <w:p w14:paraId="40005846">
            <w:pPr>
              <w:spacing w:before="66"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570</w:t>
            </w:r>
          </w:p>
        </w:tc>
      </w:tr>
      <w:tr w14:paraId="68C68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DE5F7EE">
            <w:pPr>
              <w:pStyle w:val="6"/>
              <w:spacing w:before="95" w:line="228" w:lineRule="auto"/>
              <w:ind w:left="784"/>
            </w:pPr>
            <w:r>
              <w:rPr>
                <w:spacing w:val="7"/>
              </w:rPr>
              <w:t>邻</w:t>
            </w:r>
            <w:r>
              <w:rPr>
                <w:rFonts w:ascii="Times New Roman" w:hAnsi="Times New Roman" w:eastAsia="Times New Roman" w:cs="Times New Roman"/>
                <w:spacing w:val="7"/>
              </w:rPr>
              <w:t>-</w:t>
            </w:r>
            <w:r>
              <w:rPr>
                <w:spacing w:val="7"/>
              </w:rPr>
              <w:t>二甲苯</w:t>
            </w:r>
          </w:p>
        </w:tc>
        <w:tc>
          <w:tcPr>
            <w:tcW w:w="2100" w:type="dxa"/>
            <w:vAlign w:val="top"/>
          </w:tcPr>
          <w:p w14:paraId="5DCC2703">
            <w:pPr>
              <w:spacing w:before="64"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674" w:type="dxa"/>
            <w:vAlign w:val="top"/>
          </w:tcPr>
          <w:p w14:paraId="1C3B719D">
            <w:pPr>
              <w:spacing w:before="64"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893" w:type="dxa"/>
            <w:vAlign w:val="top"/>
          </w:tcPr>
          <w:p w14:paraId="0BE510AB">
            <w:pPr>
              <w:spacing w:before="64"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711" w:type="dxa"/>
            <w:vAlign w:val="top"/>
          </w:tcPr>
          <w:p w14:paraId="03993B40">
            <w:pPr>
              <w:spacing w:before="64"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r>
      <w:tr w14:paraId="66A5F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A92F209">
            <w:pPr>
              <w:pStyle w:val="6"/>
              <w:spacing w:before="96" w:line="228" w:lineRule="auto"/>
              <w:ind w:left="926"/>
            </w:pPr>
            <w:r>
              <w:rPr>
                <w:spacing w:val="6"/>
              </w:rPr>
              <w:t>硝基苯</w:t>
            </w:r>
          </w:p>
        </w:tc>
        <w:tc>
          <w:tcPr>
            <w:tcW w:w="2100" w:type="dxa"/>
            <w:vAlign w:val="top"/>
          </w:tcPr>
          <w:p w14:paraId="50ACF834">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674" w:type="dxa"/>
            <w:vAlign w:val="top"/>
          </w:tcPr>
          <w:p w14:paraId="59782FAB">
            <w:pPr>
              <w:spacing w:before="65"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893" w:type="dxa"/>
            <w:vAlign w:val="top"/>
          </w:tcPr>
          <w:p w14:paraId="64A508D6">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711" w:type="dxa"/>
            <w:vAlign w:val="top"/>
          </w:tcPr>
          <w:p w14:paraId="3B338EEC">
            <w:pPr>
              <w:spacing w:before="65"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r>
      <w:tr w14:paraId="51619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8DE06DB">
            <w:pPr>
              <w:pStyle w:val="6"/>
              <w:spacing w:before="97" w:line="228" w:lineRule="auto"/>
              <w:ind w:left="1033"/>
            </w:pPr>
            <w:r>
              <w:rPr>
                <w:spacing w:val="3"/>
              </w:rPr>
              <w:t>苯胺</w:t>
            </w:r>
          </w:p>
        </w:tc>
        <w:tc>
          <w:tcPr>
            <w:tcW w:w="2100" w:type="dxa"/>
            <w:vAlign w:val="top"/>
          </w:tcPr>
          <w:p w14:paraId="7C6AE9A2">
            <w:pPr>
              <w:spacing w:before="66"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0.92L</w:t>
            </w:r>
          </w:p>
        </w:tc>
        <w:tc>
          <w:tcPr>
            <w:tcW w:w="1674" w:type="dxa"/>
            <w:vAlign w:val="top"/>
          </w:tcPr>
          <w:p w14:paraId="36CF1EFA">
            <w:pPr>
              <w:spacing w:before="66"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0.92L</w:t>
            </w:r>
          </w:p>
        </w:tc>
        <w:tc>
          <w:tcPr>
            <w:tcW w:w="1893" w:type="dxa"/>
            <w:vAlign w:val="top"/>
          </w:tcPr>
          <w:p w14:paraId="36674593">
            <w:pPr>
              <w:spacing w:before="66"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0.92L</w:t>
            </w:r>
          </w:p>
        </w:tc>
        <w:tc>
          <w:tcPr>
            <w:tcW w:w="711" w:type="dxa"/>
            <w:vAlign w:val="top"/>
          </w:tcPr>
          <w:p w14:paraId="2656C7C5">
            <w:pPr>
              <w:spacing w:before="66" w:line="274"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260</w:t>
            </w:r>
          </w:p>
        </w:tc>
      </w:tr>
      <w:tr w14:paraId="1D5DD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58FB28AB">
            <w:pPr>
              <w:pStyle w:val="6"/>
              <w:spacing w:before="65" w:line="274" w:lineRule="exact"/>
              <w:ind w:left="940"/>
            </w:pPr>
            <w:r>
              <w:rPr>
                <w:rFonts w:ascii="Times New Roman" w:hAnsi="Times New Roman" w:eastAsia="Times New Roman" w:cs="Times New Roman"/>
                <w:spacing w:val="4"/>
                <w:position w:val="1"/>
              </w:rPr>
              <w:t>2-</w:t>
            </w:r>
            <w:r>
              <w:rPr>
                <w:spacing w:val="4"/>
                <w:position w:val="1"/>
              </w:rPr>
              <w:t>氯酚</w:t>
            </w:r>
          </w:p>
        </w:tc>
        <w:tc>
          <w:tcPr>
            <w:tcW w:w="2100" w:type="dxa"/>
            <w:vAlign w:val="top"/>
          </w:tcPr>
          <w:p w14:paraId="7FA09D1C">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1674" w:type="dxa"/>
            <w:vAlign w:val="top"/>
          </w:tcPr>
          <w:p w14:paraId="5B5B359B">
            <w:pPr>
              <w:spacing w:before="65"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1893" w:type="dxa"/>
            <w:vAlign w:val="top"/>
          </w:tcPr>
          <w:p w14:paraId="59D35893">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1A9F82F2">
            <w:pPr>
              <w:spacing w:before="65"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2256</w:t>
            </w:r>
          </w:p>
        </w:tc>
      </w:tr>
      <w:tr w14:paraId="378FE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F8DC9CC">
            <w:pPr>
              <w:pStyle w:val="6"/>
              <w:spacing w:before="66" w:line="274" w:lineRule="exact"/>
              <w:ind w:left="812"/>
            </w:pPr>
            <w:r>
              <w:rPr>
                <w:spacing w:val="5"/>
                <w:position w:val="2"/>
              </w:rPr>
              <w:t>苯并</w:t>
            </w:r>
            <w:r>
              <w:rPr>
                <w:rFonts w:ascii="Times New Roman" w:hAnsi="Times New Roman" w:eastAsia="Times New Roman" w:cs="Times New Roman"/>
                <w:spacing w:val="5"/>
                <w:position w:val="2"/>
              </w:rPr>
              <w:t>[a]</w:t>
            </w:r>
            <w:r>
              <w:rPr>
                <w:spacing w:val="5"/>
                <w:position w:val="2"/>
              </w:rPr>
              <w:t>蒽</w:t>
            </w:r>
          </w:p>
        </w:tc>
        <w:tc>
          <w:tcPr>
            <w:tcW w:w="2100" w:type="dxa"/>
            <w:vAlign w:val="top"/>
          </w:tcPr>
          <w:p w14:paraId="60DFD823">
            <w:pPr>
              <w:spacing w:before="66"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5857921C">
            <w:pPr>
              <w:spacing w:before="66"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2A378EBB">
            <w:pPr>
              <w:spacing w:before="66"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75069010">
            <w:pPr>
              <w:spacing w:before="66"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6C2CE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B72EA5B">
            <w:pPr>
              <w:pStyle w:val="6"/>
              <w:spacing w:before="64" w:line="275" w:lineRule="exact"/>
              <w:ind w:left="812"/>
            </w:pPr>
            <w:r>
              <w:rPr>
                <w:spacing w:val="5"/>
                <w:position w:val="2"/>
              </w:rPr>
              <w:t>苯并</w:t>
            </w:r>
            <w:r>
              <w:rPr>
                <w:rFonts w:ascii="Times New Roman" w:hAnsi="Times New Roman" w:eastAsia="Times New Roman" w:cs="Times New Roman"/>
                <w:spacing w:val="5"/>
                <w:position w:val="2"/>
              </w:rPr>
              <w:t>[a]</w:t>
            </w:r>
            <w:r>
              <w:rPr>
                <w:spacing w:val="5"/>
                <w:position w:val="2"/>
              </w:rPr>
              <w:t>芘</w:t>
            </w:r>
          </w:p>
        </w:tc>
        <w:tc>
          <w:tcPr>
            <w:tcW w:w="2100" w:type="dxa"/>
            <w:vAlign w:val="top"/>
          </w:tcPr>
          <w:p w14:paraId="6E8E20DF">
            <w:pPr>
              <w:spacing w:before="64" w:line="275"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12E45CBD">
            <w:pPr>
              <w:spacing w:before="64" w:line="275"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3ADC859F">
            <w:pPr>
              <w:spacing w:before="64" w:line="275"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30407C18">
            <w:pPr>
              <w:spacing w:before="64" w:line="275"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r>
      <w:tr w14:paraId="3A212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6F405F1D">
            <w:pPr>
              <w:pStyle w:val="6"/>
              <w:spacing w:before="65" w:line="275" w:lineRule="exact"/>
              <w:ind w:left="701"/>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2100" w:type="dxa"/>
            <w:vAlign w:val="top"/>
          </w:tcPr>
          <w:p w14:paraId="1F836CCE">
            <w:pPr>
              <w:spacing w:before="65" w:line="275"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0.2L</w:t>
            </w:r>
          </w:p>
        </w:tc>
        <w:tc>
          <w:tcPr>
            <w:tcW w:w="1674" w:type="dxa"/>
            <w:vAlign w:val="top"/>
          </w:tcPr>
          <w:p w14:paraId="2E38EA65">
            <w:pPr>
              <w:spacing w:before="65" w:line="275"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0.2L</w:t>
            </w:r>
          </w:p>
        </w:tc>
        <w:tc>
          <w:tcPr>
            <w:tcW w:w="1893" w:type="dxa"/>
            <w:vAlign w:val="top"/>
          </w:tcPr>
          <w:p w14:paraId="24FE04EF">
            <w:pPr>
              <w:spacing w:before="65" w:line="275"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0.2L</w:t>
            </w:r>
          </w:p>
        </w:tc>
        <w:tc>
          <w:tcPr>
            <w:tcW w:w="711" w:type="dxa"/>
            <w:vAlign w:val="top"/>
          </w:tcPr>
          <w:p w14:paraId="1C739B27">
            <w:pPr>
              <w:spacing w:before="65"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36DD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7F5636C">
            <w:pPr>
              <w:pStyle w:val="6"/>
              <w:spacing w:before="64" w:line="274" w:lineRule="exact"/>
              <w:ind w:left="701"/>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2100" w:type="dxa"/>
            <w:vAlign w:val="top"/>
          </w:tcPr>
          <w:p w14:paraId="15848021">
            <w:pPr>
              <w:spacing w:before="64"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4F6779F4">
            <w:pPr>
              <w:spacing w:before="64"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434FA9B9">
            <w:pPr>
              <w:spacing w:before="64"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0B53A42E">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3CB1E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B1761DD">
            <w:pPr>
              <w:pStyle w:val="6"/>
              <w:spacing w:before="96" w:line="230" w:lineRule="auto"/>
              <w:ind w:left="1134"/>
            </w:pPr>
            <w:r>
              <w:rPr>
                <w:spacing w:val="2"/>
              </w:rPr>
              <w:t>䓛</w:t>
            </w:r>
          </w:p>
        </w:tc>
        <w:tc>
          <w:tcPr>
            <w:tcW w:w="2100" w:type="dxa"/>
            <w:vAlign w:val="top"/>
          </w:tcPr>
          <w:p w14:paraId="2891230C">
            <w:pPr>
              <w:spacing w:before="65"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668018B2">
            <w:pPr>
              <w:spacing w:before="65"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1D1BFA69">
            <w:pPr>
              <w:spacing w:before="65"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73EB54A0">
            <w:pPr>
              <w:spacing w:before="6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1293</w:t>
            </w:r>
          </w:p>
        </w:tc>
      </w:tr>
      <w:tr w14:paraId="0A392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7F5A1AE">
            <w:pPr>
              <w:pStyle w:val="6"/>
              <w:spacing w:before="66" w:line="274" w:lineRule="exact"/>
              <w:ind w:left="630"/>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2100" w:type="dxa"/>
            <w:vAlign w:val="top"/>
          </w:tcPr>
          <w:p w14:paraId="4758B5CB">
            <w:pPr>
              <w:spacing w:before="66"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3E98E4FE">
            <w:pPr>
              <w:spacing w:before="66"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4925A8A2">
            <w:pPr>
              <w:spacing w:before="66"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71638FEC">
            <w:pPr>
              <w:spacing w:before="66"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r>
      <w:tr w14:paraId="47D45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321ADD2F">
            <w:pPr>
              <w:pStyle w:val="6"/>
              <w:spacing w:before="65" w:line="274" w:lineRule="exact"/>
              <w:ind w:left="518"/>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2100" w:type="dxa"/>
            <w:vAlign w:val="top"/>
          </w:tcPr>
          <w:p w14:paraId="0006EA5F">
            <w:pPr>
              <w:spacing w:before="65"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1FFDF9D0">
            <w:pPr>
              <w:spacing w:before="65"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0F88C44A">
            <w:pPr>
              <w:spacing w:before="65"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0687CFBB">
            <w:pPr>
              <w:spacing w:before="65"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30467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192BA400">
            <w:pPr>
              <w:pStyle w:val="6"/>
              <w:spacing w:before="97" w:line="229" w:lineRule="auto"/>
              <w:ind w:left="1136"/>
            </w:pPr>
            <w:r>
              <w:t>萘</w:t>
            </w:r>
          </w:p>
        </w:tc>
        <w:tc>
          <w:tcPr>
            <w:tcW w:w="2100" w:type="dxa"/>
            <w:vAlign w:val="top"/>
          </w:tcPr>
          <w:p w14:paraId="2D98341A">
            <w:pPr>
              <w:spacing w:before="67"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674" w:type="dxa"/>
            <w:vAlign w:val="top"/>
          </w:tcPr>
          <w:p w14:paraId="28407094">
            <w:pPr>
              <w:spacing w:before="67"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893" w:type="dxa"/>
            <w:vAlign w:val="top"/>
          </w:tcPr>
          <w:p w14:paraId="5E15DCAF">
            <w:pPr>
              <w:spacing w:before="67"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711" w:type="dxa"/>
            <w:vAlign w:val="top"/>
          </w:tcPr>
          <w:p w14:paraId="1B08586F">
            <w:pPr>
              <w:spacing w:before="67"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3257A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630FA37F">
            <w:pPr>
              <w:pStyle w:val="6"/>
              <w:spacing w:before="96" w:line="221" w:lineRule="auto"/>
              <w:ind w:left="733"/>
            </w:pPr>
            <w:r>
              <w:rPr>
                <w:rFonts w:ascii="Times New Roman" w:hAnsi="Times New Roman" w:eastAsia="Times New Roman" w:cs="Times New Roman"/>
                <w:spacing w:val="5"/>
              </w:rPr>
              <w:t>p,p'-</w:t>
            </w:r>
            <w:r>
              <w:rPr>
                <w:spacing w:val="5"/>
              </w:rPr>
              <w:t>滴滴滴</w:t>
            </w:r>
          </w:p>
        </w:tc>
        <w:tc>
          <w:tcPr>
            <w:tcW w:w="2100" w:type="dxa"/>
            <w:vAlign w:val="top"/>
          </w:tcPr>
          <w:p w14:paraId="0FA6F7D7">
            <w:pPr>
              <w:spacing w:before="65"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6B916496">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4F9385C2">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0.08L</w:t>
            </w:r>
          </w:p>
        </w:tc>
        <w:tc>
          <w:tcPr>
            <w:tcW w:w="711" w:type="dxa"/>
            <w:vAlign w:val="top"/>
          </w:tcPr>
          <w:p w14:paraId="005DB229">
            <w:pPr>
              <w:spacing w:before="65"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r>
      <w:tr w14:paraId="22A70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2107D462">
            <w:pPr>
              <w:pStyle w:val="6"/>
              <w:spacing w:before="98" w:line="221" w:lineRule="auto"/>
              <w:ind w:left="733"/>
            </w:pPr>
            <w:r>
              <w:rPr>
                <w:rFonts w:ascii="Times New Roman" w:hAnsi="Times New Roman" w:eastAsia="Times New Roman" w:cs="Times New Roman"/>
                <w:spacing w:val="5"/>
              </w:rPr>
              <w:t>p,p'-</w:t>
            </w:r>
            <w:r>
              <w:rPr>
                <w:spacing w:val="5"/>
              </w:rPr>
              <w:t>滴滴伊</w:t>
            </w:r>
          </w:p>
        </w:tc>
        <w:tc>
          <w:tcPr>
            <w:tcW w:w="2100" w:type="dxa"/>
            <w:vAlign w:val="top"/>
          </w:tcPr>
          <w:p w14:paraId="6E5ABD67">
            <w:pPr>
              <w:spacing w:before="67"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756D1ED0">
            <w:pPr>
              <w:spacing w:before="67"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43A28866">
            <w:pPr>
              <w:spacing w:before="67"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0.04L</w:t>
            </w:r>
          </w:p>
        </w:tc>
        <w:tc>
          <w:tcPr>
            <w:tcW w:w="711" w:type="dxa"/>
            <w:vAlign w:val="top"/>
          </w:tcPr>
          <w:p w14:paraId="40C658F6">
            <w:pPr>
              <w:spacing w:before="67"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72C5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470" w:type="dxa"/>
            <w:vAlign w:val="top"/>
          </w:tcPr>
          <w:p w14:paraId="250C363D">
            <w:pPr>
              <w:pStyle w:val="6"/>
              <w:spacing w:before="99" w:line="221" w:lineRule="auto"/>
              <w:ind w:left="741"/>
            </w:pPr>
            <w:r>
              <w:rPr>
                <w:rFonts w:ascii="Times New Roman" w:hAnsi="Times New Roman" w:eastAsia="Times New Roman" w:cs="Times New Roman"/>
                <w:spacing w:val="4"/>
              </w:rPr>
              <w:t>o,p'-</w:t>
            </w:r>
            <w:r>
              <w:rPr>
                <w:spacing w:val="4"/>
              </w:rPr>
              <w:t>滴滴涕</w:t>
            </w:r>
          </w:p>
        </w:tc>
        <w:tc>
          <w:tcPr>
            <w:tcW w:w="2100" w:type="dxa"/>
            <w:vAlign w:val="top"/>
          </w:tcPr>
          <w:p w14:paraId="30917A80">
            <w:pPr>
              <w:spacing w:before="68"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2B403776">
            <w:pPr>
              <w:spacing w:before="68"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7A693A59">
            <w:pPr>
              <w:spacing w:before="68"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0.08L</w:t>
            </w:r>
          </w:p>
        </w:tc>
        <w:tc>
          <w:tcPr>
            <w:tcW w:w="711" w:type="dxa"/>
            <w:vAlign w:val="top"/>
          </w:tcPr>
          <w:p w14:paraId="0BBDB568">
            <w:pPr>
              <w:spacing w:before="223" w:line="97"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27651452">
      <w:pPr>
        <w:pStyle w:val="2"/>
        <w:spacing w:line="79" w:lineRule="exact"/>
        <w:rPr>
          <w:sz w:val="6"/>
        </w:rPr>
      </w:pPr>
    </w:p>
    <w:p w14:paraId="7BB77258">
      <w:pPr>
        <w:spacing w:line="79" w:lineRule="exact"/>
        <w:rPr>
          <w:sz w:val="6"/>
          <w:szCs w:val="6"/>
        </w:rPr>
        <w:sectPr>
          <w:footerReference r:id="rId110" w:type="default"/>
          <w:pgSz w:w="11906" w:h="16839"/>
          <w:pgMar w:top="400" w:right="1526" w:bottom="1485" w:left="1526" w:header="0" w:footer="1249" w:gutter="0"/>
          <w:cols w:space="720" w:num="1"/>
        </w:sectPr>
      </w:pPr>
    </w:p>
    <w:p w14:paraId="294FC833">
      <w:pPr>
        <w:spacing w:before="13"/>
      </w:pPr>
    </w:p>
    <w:p w14:paraId="527B3E4A">
      <w:pPr>
        <w:spacing w:before="13"/>
      </w:pPr>
    </w:p>
    <w:p w14:paraId="6AD6C60C">
      <w:pPr>
        <w:spacing w:before="13"/>
      </w:pPr>
    </w:p>
    <w:p w14:paraId="2D1A47B8">
      <w:pPr>
        <w:spacing w:before="13"/>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0"/>
        <w:gridCol w:w="2100"/>
        <w:gridCol w:w="1674"/>
        <w:gridCol w:w="1893"/>
        <w:gridCol w:w="711"/>
      </w:tblGrid>
      <w:tr w14:paraId="6825C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0" w:type="dxa"/>
            <w:vAlign w:val="top"/>
          </w:tcPr>
          <w:p w14:paraId="7AD66F56">
            <w:pPr>
              <w:pStyle w:val="6"/>
              <w:spacing w:before="97" w:line="221" w:lineRule="auto"/>
              <w:ind w:left="733"/>
            </w:pPr>
            <w:r>
              <w:rPr>
                <w:rFonts w:ascii="Times New Roman" w:hAnsi="Times New Roman" w:eastAsia="Times New Roman" w:cs="Times New Roman"/>
                <w:spacing w:val="5"/>
              </w:rPr>
              <w:t>p,p'-</w:t>
            </w:r>
            <w:r>
              <w:rPr>
                <w:spacing w:val="5"/>
              </w:rPr>
              <w:t>滴滴涕</w:t>
            </w:r>
          </w:p>
        </w:tc>
        <w:tc>
          <w:tcPr>
            <w:tcW w:w="2100" w:type="dxa"/>
            <w:vAlign w:val="top"/>
          </w:tcPr>
          <w:p w14:paraId="48409855">
            <w:pPr>
              <w:spacing w:before="66" w:line="275"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7FA089D3">
            <w:pPr>
              <w:spacing w:before="66" w:line="275"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4EE59BE6">
            <w:pPr>
              <w:spacing w:before="66" w:line="275"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711" w:type="dxa"/>
            <w:vAlign w:val="top"/>
          </w:tcPr>
          <w:p w14:paraId="2BFF9FD6">
            <w:pPr>
              <w:spacing w:before="221" w:line="97"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70C17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75FA0878">
            <w:pPr>
              <w:pStyle w:val="6"/>
              <w:spacing w:before="94" w:line="230" w:lineRule="auto"/>
              <w:ind w:left="926"/>
            </w:pPr>
            <w:r>
              <w:rPr>
                <w:spacing w:val="6"/>
              </w:rPr>
              <w:t>滴滴涕</w:t>
            </w:r>
          </w:p>
        </w:tc>
        <w:tc>
          <w:tcPr>
            <w:tcW w:w="2100" w:type="dxa"/>
            <w:vAlign w:val="top"/>
          </w:tcPr>
          <w:p w14:paraId="4BAA5A39">
            <w:pPr>
              <w:spacing w:before="63" w:line="275"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260DCFD1">
            <w:pPr>
              <w:spacing w:before="63" w:line="275"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3287824C">
            <w:pPr>
              <w:spacing w:before="63" w:line="275"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0.08L</w:t>
            </w:r>
          </w:p>
        </w:tc>
        <w:tc>
          <w:tcPr>
            <w:tcW w:w="711" w:type="dxa"/>
            <w:vAlign w:val="top"/>
          </w:tcPr>
          <w:p w14:paraId="1AB04976">
            <w:pPr>
              <w:spacing w:before="63" w:line="275"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w:t>
            </w:r>
          </w:p>
        </w:tc>
      </w:tr>
      <w:tr w14:paraId="7D265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277BFF91">
            <w:pPr>
              <w:pStyle w:val="6"/>
              <w:spacing w:before="93" w:line="233" w:lineRule="auto"/>
              <w:ind w:left="836"/>
            </w:pPr>
            <w:r>
              <w:rPr>
                <w:rFonts w:ascii="Times New Roman" w:hAnsi="Times New Roman" w:eastAsia="Times New Roman" w:cs="Times New Roman"/>
                <w:spacing w:val="5"/>
              </w:rPr>
              <w:t>α-</w:t>
            </w:r>
            <w:r>
              <w:rPr>
                <w:spacing w:val="5"/>
              </w:rPr>
              <w:t>六六六</w:t>
            </w:r>
          </w:p>
        </w:tc>
        <w:tc>
          <w:tcPr>
            <w:tcW w:w="2100" w:type="dxa"/>
            <w:vAlign w:val="top"/>
          </w:tcPr>
          <w:p w14:paraId="789CC10F">
            <w:pPr>
              <w:spacing w:before="63"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2650877D">
            <w:pPr>
              <w:spacing w:before="63"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6C413542">
            <w:pPr>
              <w:spacing w:before="63"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0.07L</w:t>
            </w:r>
          </w:p>
        </w:tc>
        <w:tc>
          <w:tcPr>
            <w:tcW w:w="711" w:type="dxa"/>
            <w:vAlign w:val="top"/>
          </w:tcPr>
          <w:p w14:paraId="2687583C">
            <w:pPr>
              <w:spacing w:before="63"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r>
      <w:tr w14:paraId="697C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2AD5E05C">
            <w:pPr>
              <w:pStyle w:val="6"/>
              <w:spacing w:before="65" w:line="274" w:lineRule="exact"/>
              <w:ind w:left="841"/>
            </w:pPr>
            <w:r>
              <w:rPr>
                <w:rFonts w:ascii="Times New Roman" w:hAnsi="Times New Roman" w:eastAsia="Times New Roman" w:cs="Times New Roman"/>
                <w:spacing w:val="4"/>
                <w:position w:val="2"/>
              </w:rPr>
              <w:t>β-</w:t>
            </w:r>
            <w:r>
              <w:rPr>
                <w:spacing w:val="4"/>
                <w:position w:val="2"/>
              </w:rPr>
              <w:t>六六六</w:t>
            </w:r>
          </w:p>
        </w:tc>
        <w:tc>
          <w:tcPr>
            <w:tcW w:w="2100" w:type="dxa"/>
            <w:vAlign w:val="top"/>
          </w:tcPr>
          <w:p w14:paraId="35815C6C">
            <w:pPr>
              <w:spacing w:before="65"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559B53CC">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5268224E">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151E8526">
            <w:pPr>
              <w:spacing w:before="65"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0.92</w:t>
            </w:r>
          </w:p>
        </w:tc>
      </w:tr>
      <w:tr w14:paraId="63C7A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4E9EA0FE">
            <w:pPr>
              <w:pStyle w:val="6"/>
              <w:spacing w:before="97" w:line="221" w:lineRule="auto"/>
              <w:ind w:left="837"/>
            </w:pPr>
            <w:r>
              <w:rPr>
                <w:rFonts w:ascii="Times New Roman" w:hAnsi="Times New Roman" w:eastAsia="Times New Roman" w:cs="Times New Roman"/>
                <w:spacing w:val="7"/>
              </w:rPr>
              <w:t>γ-</w:t>
            </w:r>
            <w:r>
              <w:rPr>
                <w:spacing w:val="7"/>
              </w:rPr>
              <w:t>六六六</w:t>
            </w:r>
          </w:p>
        </w:tc>
        <w:tc>
          <w:tcPr>
            <w:tcW w:w="2100" w:type="dxa"/>
            <w:vAlign w:val="top"/>
          </w:tcPr>
          <w:p w14:paraId="35839192">
            <w:pPr>
              <w:spacing w:before="66"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4318E2D9">
            <w:pPr>
              <w:spacing w:before="66"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26E4F061">
            <w:pPr>
              <w:spacing w:before="66"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34261B4D">
            <w:pPr>
              <w:spacing w:before="66"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r>
      <w:tr w14:paraId="159DB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3C511DDF">
            <w:pPr>
              <w:pStyle w:val="6"/>
              <w:spacing w:before="66" w:line="274" w:lineRule="exact"/>
              <w:ind w:left="842"/>
            </w:pPr>
            <w:r>
              <w:rPr>
                <w:rFonts w:ascii="Times New Roman" w:hAnsi="Times New Roman" w:eastAsia="Times New Roman" w:cs="Times New Roman"/>
                <w:spacing w:val="5"/>
                <w:position w:val="1"/>
              </w:rPr>
              <w:t>δ-</w:t>
            </w:r>
            <w:r>
              <w:rPr>
                <w:spacing w:val="5"/>
                <w:position w:val="1"/>
              </w:rPr>
              <w:t>六六六</w:t>
            </w:r>
          </w:p>
        </w:tc>
        <w:tc>
          <w:tcPr>
            <w:tcW w:w="2100" w:type="dxa"/>
            <w:vAlign w:val="top"/>
          </w:tcPr>
          <w:p w14:paraId="15BE66BD">
            <w:pPr>
              <w:spacing w:before="66"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35BD7F92">
            <w:pPr>
              <w:spacing w:before="66"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397D69F1">
            <w:pPr>
              <w:spacing w:before="66"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0.10L</w:t>
            </w:r>
          </w:p>
        </w:tc>
        <w:tc>
          <w:tcPr>
            <w:tcW w:w="711" w:type="dxa"/>
            <w:vAlign w:val="top"/>
          </w:tcPr>
          <w:p w14:paraId="67539810">
            <w:pPr>
              <w:spacing w:before="221" w:line="96"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01101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0" w:type="dxa"/>
            <w:vAlign w:val="top"/>
          </w:tcPr>
          <w:p w14:paraId="6E423660">
            <w:pPr>
              <w:pStyle w:val="6"/>
              <w:spacing w:before="98" w:line="233" w:lineRule="auto"/>
              <w:ind w:left="717"/>
            </w:pPr>
            <w:r>
              <w:rPr>
                <w:spacing w:val="7"/>
              </w:rPr>
              <w:t>六六六总量</w:t>
            </w:r>
          </w:p>
        </w:tc>
        <w:tc>
          <w:tcPr>
            <w:tcW w:w="2100" w:type="dxa"/>
            <w:vAlign w:val="top"/>
          </w:tcPr>
          <w:p w14:paraId="672B19DF">
            <w:pPr>
              <w:spacing w:before="68"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54223423">
            <w:pPr>
              <w:spacing w:before="68"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554B33EE">
            <w:pPr>
              <w:spacing w:before="68"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7DE303D2">
            <w:pPr>
              <w:spacing w:before="223" w:line="96"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5F4C0621">
      <w:pPr>
        <w:pStyle w:val="2"/>
        <w:spacing w:line="249" w:lineRule="auto"/>
      </w:pPr>
    </w:p>
    <w:p w14:paraId="42763C15">
      <w:pPr>
        <w:spacing w:before="59" w:line="270" w:lineRule="exact"/>
        <w:ind w:left="69"/>
        <w:rPr>
          <w:rFonts w:ascii="宋体" w:hAnsi="宋体" w:eastAsia="宋体" w:cs="宋体"/>
          <w:sz w:val="18"/>
          <w:szCs w:val="18"/>
        </w:rPr>
      </w:pPr>
      <w:r>
        <w:rPr>
          <w:rFonts w:ascii="宋体" w:hAnsi="宋体" w:eastAsia="宋体" w:cs="宋体"/>
          <w:spacing w:val="-1"/>
          <w:position w:val="2"/>
          <w:sz w:val="18"/>
          <w:szCs w:val="18"/>
        </w:rPr>
        <w:t>注：</w:t>
      </w:r>
      <w:r>
        <w:rPr>
          <w:rFonts w:ascii="Times New Roman" w:hAnsi="Times New Roman" w:eastAsia="Times New Roman" w:cs="Times New Roman"/>
          <w:spacing w:val="-1"/>
          <w:position w:val="2"/>
          <w:sz w:val="18"/>
          <w:szCs w:val="18"/>
        </w:rPr>
        <w:t>1</w:t>
      </w:r>
      <w:r>
        <w:rPr>
          <w:rFonts w:ascii="Times New Roman" w:hAnsi="Times New Roman" w:eastAsia="Times New Roman" w:cs="Times New Roman"/>
          <w:spacing w:val="-26"/>
          <w:position w:val="2"/>
          <w:sz w:val="18"/>
          <w:szCs w:val="18"/>
        </w:rPr>
        <w:t xml:space="preserve"> </w:t>
      </w:r>
      <w:r>
        <w:rPr>
          <w:rFonts w:ascii="宋体" w:hAnsi="宋体" w:eastAsia="宋体" w:cs="宋体"/>
          <w:spacing w:val="-1"/>
          <w:position w:val="2"/>
          <w:sz w:val="18"/>
          <w:szCs w:val="18"/>
        </w:rPr>
        <w:t>、</w:t>
      </w:r>
      <w:r>
        <w:rPr>
          <w:rFonts w:ascii="Times New Roman" w:hAnsi="Times New Roman" w:eastAsia="Times New Roman" w:cs="Times New Roman"/>
          <w:spacing w:val="-1"/>
          <w:position w:val="2"/>
          <w:sz w:val="18"/>
          <w:szCs w:val="18"/>
        </w:rPr>
        <w:t>“L”</w:t>
      </w:r>
      <w:r>
        <w:rPr>
          <w:rFonts w:ascii="宋体" w:hAnsi="宋体" w:eastAsia="宋体" w:cs="宋体"/>
          <w:spacing w:val="-1"/>
          <w:position w:val="2"/>
          <w:sz w:val="18"/>
          <w:szCs w:val="18"/>
        </w:rPr>
        <w:t>表示检测浓度低于检出限，以方法检出限加</w:t>
      </w:r>
      <w:r>
        <w:rPr>
          <w:rFonts w:ascii="宋体" w:hAnsi="宋体" w:eastAsia="宋体" w:cs="宋体"/>
          <w:spacing w:val="-41"/>
          <w:position w:val="2"/>
          <w:sz w:val="18"/>
          <w:szCs w:val="18"/>
        </w:rPr>
        <w:t xml:space="preserve"> </w:t>
      </w:r>
      <w:r>
        <w:rPr>
          <w:rFonts w:ascii="Times New Roman" w:hAnsi="Times New Roman" w:eastAsia="Times New Roman" w:cs="Times New Roman"/>
          <w:spacing w:val="-1"/>
          <w:position w:val="2"/>
          <w:sz w:val="18"/>
          <w:szCs w:val="18"/>
        </w:rPr>
        <w:t xml:space="preserve">L </w:t>
      </w:r>
      <w:r>
        <w:rPr>
          <w:rFonts w:ascii="宋体" w:hAnsi="宋体" w:eastAsia="宋体" w:cs="宋体"/>
          <w:spacing w:val="-1"/>
          <w:position w:val="2"/>
          <w:sz w:val="18"/>
          <w:szCs w:val="18"/>
        </w:rPr>
        <w:t>报结果。</w:t>
      </w:r>
    </w:p>
    <w:p w14:paraId="77C7F8E0">
      <w:pPr>
        <w:spacing w:before="80" w:line="303" w:lineRule="auto"/>
        <w:ind w:left="755" w:hanging="276"/>
        <w:rPr>
          <w:rFonts w:ascii="宋体" w:hAnsi="宋体" w:eastAsia="宋体" w:cs="宋体"/>
          <w:sz w:val="18"/>
          <w:szCs w:val="18"/>
        </w:rPr>
      </w:pPr>
      <w:r>
        <w:rPr>
          <w:rFonts w:ascii="Times New Roman" w:hAnsi="Times New Roman" w:eastAsia="Times New Roman" w:cs="Times New Roman"/>
          <w:spacing w:val="-2"/>
          <w:sz w:val="18"/>
          <w:szCs w:val="18"/>
        </w:rPr>
        <w:t>2</w:t>
      </w:r>
      <w:r>
        <w:rPr>
          <w:rFonts w:ascii="Times New Roman" w:hAnsi="Times New Roman" w:eastAsia="Times New Roman" w:cs="Times New Roman"/>
          <w:spacing w:val="-26"/>
          <w:sz w:val="18"/>
          <w:szCs w:val="18"/>
        </w:rPr>
        <w:t xml:space="preserve"> </w:t>
      </w:r>
      <w:r>
        <w:rPr>
          <w:rFonts w:ascii="宋体" w:hAnsi="宋体" w:eastAsia="宋体" w:cs="宋体"/>
          <w:spacing w:val="-2"/>
          <w:sz w:val="18"/>
          <w:szCs w:val="18"/>
        </w:rPr>
        <w:t>、</w:t>
      </w:r>
      <w:r>
        <w:rPr>
          <w:rFonts w:ascii="Times New Roman" w:hAnsi="Times New Roman" w:eastAsia="Times New Roman" w:cs="Times New Roman"/>
          <w:spacing w:val="-2"/>
          <w:sz w:val="18"/>
          <w:szCs w:val="18"/>
        </w:rPr>
        <w:t>“c”</w:t>
      </w:r>
      <w:r>
        <w:rPr>
          <w:rFonts w:ascii="宋体" w:hAnsi="宋体" w:eastAsia="宋体" w:cs="宋体"/>
          <w:spacing w:val="-2"/>
          <w:sz w:val="18"/>
          <w:szCs w:val="18"/>
        </w:rPr>
        <w:t>表示执行《土壤环境质量建设用地土壤污染风险管控标准（</w:t>
      </w:r>
      <w:r>
        <w:rPr>
          <w:rFonts w:ascii="宋体" w:hAnsi="宋体" w:eastAsia="宋体" w:cs="宋体"/>
          <w:spacing w:val="-3"/>
          <w:sz w:val="18"/>
          <w:szCs w:val="18"/>
        </w:rPr>
        <w:t>试行）》（</w:t>
      </w:r>
      <w:r>
        <w:rPr>
          <w:rFonts w:ascii="Times New Roman" w:hAnsi="Times New Roman" w:eastAsia="Times New Roman" w:cs="Times New Roman"/>
          <w:spacing w:val="-3"/>
          <w:sz w:val="18"/>
          <w:szCs w:val="18"/>
        </w:rPr>
        <w:t>GB 36600-2018</w:t>
      </w:r>
      <w:r>
        <w:rPr>
          <w:rFonts w:ascii="宋体" w:hAnsi="宋体" w:eastAsia="宋体" w:cs="宋体"/>
          <w:spacing w:val="-3"/>
          <w:sz w:val="18"/>
          <w:szCs w:val="18"/>
        </w:rPr>
        <w:t>）表</w:t>
      </w:r>
      <w:r>
        <w:rPr>
          <w:rFonts w:ascii="宋体" w:hAnsi="宋体" w:eastAsia="宋体" w:cs="宋体"/>
          <w:spacing w:val="-26"/>
          <w:sz w:val="18"/>
          <w:szCs w:val="18"/>
        </w:rPr>
        <w:t xml:space="preserve"> </w:t>
      </w:r>
      <w:r>
        <w:rPr>
          <w:rFonts w:ascii="Times New Roman" w:hAnsi="Times New Roman" w:eastAsia="Times New Roman" w:cs="Times New Roman"/>
          <w:spacing w:val="-3"/>
          <w:sz w:val="18"/>
          <w:szCs w:val="18"/>
        </w:rPr>
        <w:t>1</w:t>
      </w:r>
      <w:r>
        <w:rPr>
          <w:rFonts w:ascii="Times New Roman" w:hAnsi="Times New Roman" w:eastAsia="Times New Roman" w:cs="Times New Roman"/>
          <w:spacing w:val="-24"/>
          <w:sz w:val="18"/>
          <w:szCs w:val="18"/>
        </w:rPr>
        <w:t xml:space="preserve"> </w:t>
      </w:r>
      <w:r>
        <w:rPr>
          <w:rFonts w:ascii="宋体" w:hAnsi="宋体" w:eastAsia="宋体" w:cs="宋体"/>
          <w:spacing w:val="-3"/>
          <w:sz w:val="18"/>
          <w:szCs w:val="18"/>
        </w:rPr>
        <w:t>、表</w:t>
      </w:r>
      <w:r>
        <w:rPr>
          <w:rFonts w:ascii="宋体" w:hAnsi="宋体" w:eastAsia="宋体" w:cs="宋体"/>
          <w:spacing w:val="-41"/>
          <w:sz w:val="18"/>
          <w:szCs w:val="18"/>
        </w:rPr>
        <w:t xml:space="preserve"> </w:t>
      </w:r>
      <w:r>
        <w:rPr>
          <w:rFonts w:ascii="Times New Roman" w:hAnsi="Times New Roman" w:eastAsia="Times New Roman" w:cs="Times New Roman"/>
          <w:spacing w:val="-3"/>
          <w:sz w:val="18"/>
          <w:szCs w:val="18"/>
        </w:rPr>
        <w:t xml:space="preserve">2 </w:t>
      </w:r>
      <w:r>
        <w:rPr>
          <w:rFonts w:ascii="宋体" w:hAnsi="宋体" w:eastAsia="宋体" w:cs="宋体"/>
          <w:spacing w:val="-3"/>
          <w:sz w:val="18"/>
          <w:szCs w:val="18"/>
        </w:rPr>
        <w:t>筛选</w:t>
      </w:r>
      <w:r>
        <w:rPr>
          <w:rFonts w:ascii="宋体" w:hAnsi="宋体" w:eastAsia="宋体" w:cs="宋体"/>
          <w:sz w:val="18"/>
          <w:szCs w:val="18"/>
        </w:rPr>
        <w:t xml:space="preserve"> </w:t>
      </w:r>
      <w:r>
        <w:rPr>
          <w:rFonts w:ascii="宋体" w:hAnsi="宋体" w:eastAsia="宋体" w:cs="宋体"/>
          <w:spacing w:val="-1"/>
          <w:sz w:val="18"/>
          <w:szCs w:val="18"/>
        </w:rPr>
        <w:t>值第二类用地限值。</w:t>
      </w:r>
    </w:p>
    <w:p w14:paraId="501F948A">
      <w:pPr>
        <w:spacing w:before="108" w:line="303" w:lineRule="auto"/>
        <w:ind w:left="756" w:right="1" w:hanging="27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w:t>
      </w:r>
      <w:r>
        <w:rPr>
          <w:rFonts w:ascii="Times New Roman" w:hAnsi="Times New Roman" w:eastAsia="Times New Roman" w:cs="Times New Roman"/>
          <w:spacing w:val="-1"/>
          <w:sz w:val="18"/>
          <w:szCs w:val="18"/>
        </w:rPr>
        <w:t>“-”</w:t>
      </w:r>
      <w:r>
        <w:rPr>
          <w:rFonts w:ascii="宋体" w:hAnsi="宋体" w:eastAsia="宋体" w:cs="宋体"/>
          <w:spacing w:val="-1"/>
          <w:sz w:val="18"/>
          <w:szCs w:val="18"/>
        </w:rPr>
        <w:t>表示该项目在《土壤环境质量建设用地土壤污染风险管控标准</w:t>
      </w:r>
      <w:r>
        <w:rPr>
          <w:rFonts w:ascii="宋体" w:hAnsi="宋体" w:eastAsia="宋体" w:cs="宋体"/>
          <w:spacing w:val="-2"/>
          <w:sz w:val="18"/>
          <w:szCs w:val="18"/>
        </w:rPr>
        <w:t>（试行）》（</w:t>
      </w:r>
      <w:r>
        <w:rPr>
          <w:rFonts w:ascii="Times New Roman" w:hAnsi="Times New Roman" w:eastAsia="Times New Roman" w:cs="Times New Roman"/>
          <w:spacing w:val="-2"/>
          <w:sz w:val="18"/>
          <w:szCs w:val="18"/>
        </w:rPr>
        <w:t>GB 36600-2018</w:t>
      </w:r>
      <w:r>
        <w:rPr>
          <w:rFonts w:ascii="宋体" w:hAnsi="宋体" w:eastAsia="宋体" w:cs="宋体"/>
          <w:spacing w:val="-2"/>
          <w:sz w:val="18"/>
          <w:szCs w:val="18"/>
        </w:rPr>
        <w:t>）表</w:t>
      </w:r>
      <w:r>
        <w:rPr>
          <w:rFonts w:ascii="宋体" w:hAnsi="宋体" w:eastAsia="宋体" w:cs="宋体"/>
          <w:spacing w:val="-23"/>
          <w:sz w:val="18"/>
          <w:szCs w:val="18"/>
        </w:rPr>
        <w:t xml:space="preserve"> </w:t>
      </w:r>
      <w:r>
        <w:rPr>
          <w:rFonts w:ascii="Times New Roman" w:hAnsi="Times New Roman" w:eastAsia="Times New Roman" w:cs="Times New Roman"/>
          <w:spacing w:val="-2"/>
          <w:sz w:val="18"/>
          <w:szCs w:val="18"/>
        </w:rPr>
        <w:t>1</w:t>
      </w:r>
      <w:r>
        <w:rPr>
          <w:rFonts w:ascii="Times New Roman" w:hAnsi="Times New Roman" w:eastAsia="Times New Roman" w:cs="Times New Roman"/>
          <w:spacing w:val="-27"/>
          <w:sz w:val="18"/>
          <w:szCs w:val="18"/>
        </w:rPr>
        <w:t xml:space="preserve"> </w:t>
      </w:r>
      <w:r>
        <w:rPr>
          <w:rFonts w:ascii="宋体" w:hAnsi="宋体" w:eastAsia="宋体" w:cs="宋体"/>
          <w:spacing w:val="-2"/>
          <w:sz w:val="18"/>
          <w:szCs w:val="18"/>
        </w:rPr>
        <w:t>、表</w:t>
      </w:r>
      <w:r>
        <w:rPr>
          <w:rFonts w:ascii="宋体" w:hAnsi="宋体" w:eastAsia="宋体" w:cs="宋体"/>
          <w:spacing w:val="-41"/>
          <w:sz w:val="18"/>
          <w:szCs w:val="18"/>
        </w:rPr>
        <w:t xml:space="preserve"> </w:t>
      </w:r>
      <w:r>
        <w:rPr>
          <w:rFonts w:ascii="Times New Roman" w:hAnsi="Times New Roman" w:eastAsia="Times New Roman" w:cs="Times New Roman"/>
          <w:spacing w:val="-2"/>
          <w:sz w:val="18"/>
          <w:szCs w:val="18"/>
        </w:rPr>
        <w:t>2</w:t>
      </w:r>
      <w:r>
        <w:rPr>
          <w:rFonts w:ascii="Times New Roman" w:hAnsi="Times New Roman" w:eastAsia="Times New Roman" w:cs="Times New Roman"/>
          <w:sz w:val="18"/>
          <w:szCs w:val="18"/>
        </w:rPr>
        <w:t xml:space="preserve"> </w:t>
      </w:r>
      <w:r>
        <w:rPr>
          <w:rFonts w:ascii="宋体" w:hAnsi="宋体" w:eastAsia="宋体" w:cs="宋体"/>
          <w:spacing w:val="-1"/>
          <w:sz w:val="18"/>
          <w:szCs w:val="18"/>
        </w:rPr>
        <w:t>筛选值第二类用地中没有评价限值。</w:t>
      </w:r>
    </w:p>
    <w:p w14:paraId="227123FA">
      <w:pPr>
        <w:spacing w:before="110" w:line="250" w:lineRule="exact"/>
        <w:ind w:left="478"/>
        <w:rPr>
          <w:rFonts w:ascii="宋体" w:hAnsi="宋体" w:eastAsia="宋体" w:cs="宋体"/>
          <w:sz w:val="18"/>
          <w:szCs w:val="18"/>
        </w:rPr>
      </w:pPr>
      <w:r>
        <w:rPr>
          <w:rFonts w:ascii="Times New Roman" w:hAnsi="Times New Roman" w:eastAsia="Times New Roman" w:cs="Times New Roman"/>
          <w:spacing w:val="-1"/>
          <w:position w:val="2"/>
          <w:sz w:val="18"/>
          <w:szCs w:val="18"/>
        </w:rPr>
        <w:t>4</w:t>
      </w:r>
      <w:r>
        <w:rPr>
          <w:rFonts w:ascii="Times New Roman" w:hAnsi="Times New Roman" w:eastAsia="Times New Roman" w:cs="Times New Roman"/>
          <w:spacing w:val="-26"/>
          <w:position w:val="2"/>
          <w:sz w:val="18"/>
          <w:szCs w:val="18"/>
        </w:rPr>
        <w:t xml:space="preserve"> </w:t>
      </w:r>
      <w:r>
        <w:rPr>
          <w:rFonts w:ascii="宋体" w:hAnsi="宋体" w:eastAsia="宋体" w:cs="宋体"/>
          <w:spacing w:val="-1"/>
          <w:position w:val="2"/>
          <w:sz w:val="18"/>
          <w:szCs w:val="18"/>
        </w:rPr>
        <w:t>、滴滴涕为</w:t>
      </w:r>
      <w:r>
        <w:rPr>
          <w:rFonts w:ascii="宋体" w:hAnsi="宋体" w:eastAsia="宋体" w:cs="宋体"/>
          <w:spacing w:val="-38"/>
          <w:position w:val="2"/>
          <w:sz w:val="18"/>
          <w:szCs w:val="18"/>
        </w:rPr>
        <w:t xml:space="preserve"> </w:t>
      </w:r>
      <w:r>
        <w:rPr>
          <w:rFonts w:ascii="Times New Roman" w:hAnsi="Times New Roman" w:eastAsia="Times New Roman" w:cs="Times New Roman"/>
          <w:spacing w:val="-1"/>
          <w:position w:val="2"/>
          <w:sz w:val="18"/>
          <w:szCs w:val="18"/>
        </w:rPr>
        <w:t>o,p'-</w:t>
      </w:r>
      <w:r>
        <w:rPr>
          <w:rFonts w:ascii="宋体" w:hAnsi="宋体" w:eastAsia="宋体" w:cs="宋体"/>
          <w:spacing w:val="-1"/>
          <w:position w:val="2"/>
          <w:sz w:val="18"/>
          <w:szCs w:val="18"/>
        </w:rPr>
        <w:t>滴滴涕、</w:t>
      </w:r>
      <w:r>
        <w:rPr>
          <w:rFonts w:ascii="Times New Roman" w:hAnsi="Times New Roman" w:eastAsia="Times New Roman" w:cs="Times New Roman"/>
          <w:spacing w:val="-1"/>
          <w:position w:val="2"/>
          <w:sz w:val="18"/>
          <w:szCs w:val="18"/>
        </w:rPr>
        <w:t>p,p'-</w:t>
      </w:r>
      <w:r>
        <w:rPr>
          <w:rFonts w:ascii="宋体" w:hAnsi="宋体" w:eastAsia="宋体" w:cs="宋体"/>
          <w:spacing w:val="-1"/>
          <w:position w:val="2"/>
          <w:sz w:val="18"/>
          <w:szCs w:val="18"/>
        </w:rPr>
        <w:t>滴滴涕两种物质含量总和。</w:t>
      </w:r>
    </w:p>
    <w:p w14:paraId="240E92B1">
      <w:pPr>
        <w:spacing w:line="250" w:lineRule="exact"/>
        <w:rPr>
          <w:rFonts w:ascii="宋体" w:hAnsi="宋体" w:eastAsia="宋体" w:cs="宋体"/>
          <w:sz w:val="18"/>
          <w:szCs w:val="18"/>
        </w:rPr>
        <w:sectPr>
          <w:footerReference r:id="rId111" w:type="default"/>
          <w:pgSz w:w="11906" w:h="16839"/>
          <w:pgMar w:top="400" w:right="1329" w:bottom="1485" w:left="1526" w:header="0" w:footer="1249" w:gutter="0"/>
          <w:cols w:space="720" w:num="1"/>
        </w:sectPr>
      </w:pPr>
    </w:p>
    <w:p w14:paraId="254AEB1D">
      <w:pPr>
        <w:pStyle w:val="2"/>
        <w:spacing w:line="270" w:lineRule="auto"/>
      </w:pPr>
    </w:p>
    <w:p w14:paraId="42F27B96">
      <w:pPr>
        <w:pStyle w:val="2"/>
        <w:spacing w:line="270" w:lineRule="auto"/>
      </w:pPr>
    </w:p>
    <w:p w14:paraId="787AEEA8">
      <w:pPr>
        <w:pStyle w:val="2"/>
        <w:spacing w:line="270" w:lineRule="auto"/>
      </w:pPr>
    </w:p>
    <w:p w14:paraId="08CCE8B3">
      <w:pPr>
        <w:pStyle w:val="2"/>
        <w:spacing w:line="271" w:lineRule="auto"/>
      </w:pPr>
    </w:p>
    <w:p w14:paraId="0076731C">
      <w:pPr>
        <w:pStyle w:val="2"/>
        <w:spacing w:line="271" w:lineRule="auto"/>
      </w:pPr>
    </w:p>
    <w:p w14:paraId="1B8424C9">
      <w:pPr>
        <w:spacing w:before="78" w:line="219" w:lineRule="auto"/>
        <w:ind w:left="68"/>
        <w:outlineLvl w:val="2"/>
        <w:rPr>
          <w:rFonts w:ascii="宋体" w:hAnsi="宋体" w:eastAsia="宋体" w:cs="宋体"/>
          <w:sz w:val="24"/>
          <w:szCs w:val="24"/>
        </w:rPr>
      </w:pPr>
      <w:r>
        <w:rPr>
          <w:rFonts w:ascii="Times New Roman" w:hAnsi="Times New Roman" w:eastAsia="Times New Roman" w:cs="Times New Roman"/>
          <w:b/>
          <w:bCs/>
          <w:spacing w:val="-2"/>
          <w:sz w:val="24"/>
          <w:szCs w:val="24"/>
        </w:rPr>
        <w:t>4.5.2</w:t>
      </w:r>
      <w:r>
        <w:rPr>
          <w:rFonts w:ascii="宋体" w:hAnsi="宋体" w:eastAsia="宋体" w:cs="宋体"/>
          <w:b/>
          <w:bCs/>
          <w:spacing w:val="-2"/>
          <w:sz w:val="24"/>
          <w:szCs w:val="24"/>
        </w:rPr>
        <w:t>土壤环境质量评价</w:t>
      </w:r>
    </w:p>
    <w:p w14:paraId="41902001">
      <w:pPr>
        <w:pStyle w:val="2"/>
        <w:spacing w:line="246" w:lineRule="auto"/>
      </w:pPr>
    </w:p>
    <w:p w14:paraId="79316DA4">
      <w:pPr>
        <w:spacing w:before="78" w:line="358" w:lineRule="exact"/>
        <w:ind w:left="570"/>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、评价标准</w:t>
      </w:r>
    </w:p>
    <w:p w14:paraId="45BD8D89">
      <w:pPr>
        <w:spacing w:before="166" w:line="362" w:lineRule="auto"/>
        <w:ind w:left="83" w:firstLine="469"/>
        <w:rPr>
          <w:rFonts w:ascii="宋体" w:hAnsi="宋体" w:eastAsia="宋体" w:cs="宋体"/>
          <w:sz w:val="24"/>
          <w:szCs w:val="24"/>
        </w:rPr>
      </w:pPr>
      <w:r>
        <w:rPr>
          <w:rFonts w:ascii="宋体" w:hAnsi="宋体" w:eastAsia="宋体" w:cs="宋体"/>
          <w:spacing w:val="-2"/>
          <w:sz w:val="24"/>
          <w:szCs w:val="24"/>
        </w:rPr>
        <w:t>本项目土壤环境质量执行《土壤环境质量标准建设用地土壤污染风险管控标准》</w:t>
      </w:r>
      <w:r>
        <w:rPr>
          <w:rFonts w:ascii="宋体" w:hAnsi="宋体" w:eastAsia="宋体" w:cs="宋体"/>
          <w:spacing w:val="1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GB36600-2018</w:t>
      </w:r>
      <w:r>
        <w:rPr>
          <w:rFonts w:ascii="宋体" w:hAnsi="宋体" w:eastAsia="宋体" w:cs="宋体"/>
          <w:spacing w:val="-1"/>
          <w:sz w:val="24"/>
          <w:szCs w:val="24"/>
        </w:rPr>
        <w:t>）中的第二类用地筛选值。</w:t>
      </w:r>
    </w:p>
    <w:p w14:paraId="40C47353">
      <w:pPr>
        <w:spacing w:line="358" w:lineRule="exact"/>
        <w:ind w:left="547"/>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、评价方法</w:t>
      </w:r>
    </w:p>
    <w:p w14:paraId="354B3BC3">
      <w:pPr>
        <w:spacing w:before="132" w:line="376" w:lineRule="auto"/>
        <w:ind w:left="71" w:right="103" w:firstLine="480"/>
        <w:rPr>
          <w:rFonts w:ascii="宋体" w:hAnsi="宋体" w:eastAsia="宋体" w:cs="宋体"/>
          <w:sz w:val="24"/>
          <w:szCs w:val="24"/>
        </w:rPr>
      </w:pPr>
      <w:r>
        <w:rPr>
          <w:rFonts w:ascii="宋体" w:hAnsi="宋体" w:eastAsia="宋体" w:cs="宋体"/>
          <w:spacing w:val="2"/>
          <w:sz w:val="24"/>
          <w:szCs w:val="24"/>
        </w:rPr>
        <w:t>根据《环境影响评价技术导则土壤环境（试行）》（</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964-2018</w:t>
      </w:r>
      <w:r>
        <w:rPr>
          <w:rFonts w:ascii="宋体" w:hAnsi="宋体" w:eastAsia="宋体" w:cs="宋体"/>
          <w:spacing w:val="12"/>
          <w:sz w:val="24"/>
          <w:szCs w:val="24"/>
        </w:rPr>
        <w:t>），</w:t>
      </w:r>
      <w:r>
        <w:rPr>
          <w:rFonts w:ascii="宋体" w:hAnsi="宋体" w:eastAsia="宋体" w:cs="宋体"/>
          <w:spacing w:val="2"/>
          <w:sz w:val="24"/>
          <w:szCs w:val="24"/>
        </w:rPr>
        <w:t>土壤环境</w:t>
      </w:r>
      <w:r>
        <w:rPr>
          <w:rFonts w:ascii="宋体" w:hAnsi="宋体" w:eastAsia="宋体" w:cs="宋体"/>
          <w:sz w:val="24"/>
          <w:szCs w:val="24"/>
        </w:rPr>
        <w:t xml:space="preserve"> </w:t>
      </w:r>
      <w:r>
        <w:rPr>
          <w:rFonts w:ascii="宋体" w:hAnsi="宋体" w:eastAsia="宋体" w:cs="宋体"/>
          <w:spacing w:val="2"/>
          <w:sz w:val="24"/>
          <w:szCs w:val="24"/>
        </w:rPr>
        <w:t>质量现状评价应采用标准指数法，并进行统计分析，给出样本数量、最大值、最小</w:t>
      </w:r>
      <w:r>
        <w:rPr>
          <w:rFonts w:ascii="宋体" w:hAnsi="宋体" w:eastAsia="宋体" w:cs="宋体"/>
          <w:spacing w:val="6"/>
          <w:sz w:val="24"/>
          <w:szCs w:val="24"/>
        </w:rPr>
        <w:t xml:space="preserve"> </w:t>
      </w:r>
      <w:r>
        <w:rPr>
          <w:rFonts w:ascii="宋体" w:hAnsi="宋体" w:eastAsia="宋体" w:cs="宋体"/>
          <w:spacing w:val="-1"/>
          <w:sz w:val="24"/>
          <w:szCs w:val="24"/>
        </w:rPr>
        <w:t>值、均值、标准差、检出率和超标率、最大超标倍数等。</w:t>
      </w:r>
    </w:p>
    <w:p w14:paraId="164538AA">
      <w:pPr>
        <w:spacing w:line="358" w:lineRule="exact"/>
        <w:ind w:left="552"/>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、评价结果</w:t>
      </w:r>
    </w:p>
    <w:p w14:paraId="3E84339B">
      <w:pPr>
        <w:spacing w:before="167" w:line="382" w:lineRule="auto"/>
        <w:ind w:left="76" w:right="105" w:firstLine="477"/>
        <w:rPr>
          <w:rFonts w:ascii="宋体" w:hAnsi="宋体" w:eastAsia="宋体" w:cs="宋体"/>
          <w:sz w:val="24"/>
          <w:szCs w:val="24"/>
        </w:rPr>
      </w:pPr>
      <w:r>
        <w:rPr>
          <w:rFonts w:ascii="宋体" w:hAnsi="宋体" w:eastAsia="宋体" w:cs="宋体"/>
          <w:spacing w:val="2"/>
          <w:sz w:val="24"/>
          <w:szCs w:val="24"/>
        </w:rPr>
        <w:t>经计算，可得到评价区域土壤环境各个监测点监测指标的标准指数值，具体结</w:t>
      </w:r>
      <w:r>
        <w:rPr>
          <w:rFonts w:ascii="宋体" w:hAnsi="宋体" w:eastAsia="宋体" w:cs="宋体"/>
          <w:spacing w:val="8"/>
          <w:sz w:val="24"/>
          <w:szCs w:val="24"/>
        </w:rPr>
        <w:t xml:space="preserve"> </w:t>
      </w:r>
      <w:r>
        <w:rPr>
          <w:rFonts w:ascii="宋体" w:hAnsi="宋体" w:eastAsia="宋体" w:cs="宋体"/>
          <w:spacing w:val="-2"/>
          <w:sz w:val="24"/>
          <w:szCs w:val="24"/>
        </w:rPr>
        <w:t>果详见</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4.5-5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，其他统计分析具体见表</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4.5-6</w:t>
      </w:r>
      <w:r>
        <w:rPr>
          <w:rFonts w:ascii="宋体" w:hAnsi="宋体" w:eastAsia="宋体" w:cs="宋体"/>
          <w:spacing w:val="-2"/>
          <w:sz w:val="24"/>
          <w:szCs w:val="24"/>
        </w:rPr>
        <w:t>。</w:t>
      </w:r>
    </w:p>
    <w:p w14:paraId="20240F59">
      <w:pPr>
        <w:spacing w:before="1" w:line="228" w:lineRule="auto"/>
        <w:ind w:left="248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4.5-5 </w:t>
      </w:r>
      <w:r>
        <w:rPr>
          <w:rFonts w:ascii="宋体" w:hAnsi="宋体" w:eastAsia="宋体" w:cs="宋体"/>
          <w:b/>
          <w:bCs/>
          <w:spacing w:val="6"/>
          <w:sz w:val="20"/>
          <w:szCs w:val="20"/>
        </w:rPr>
        <w:t>项目土壤环境各检测数据的标准指数值</w:t>
      </w:r>
    </w:p>
    <w:p w14:paraId="33EBB6E6">
      <w:pPr>
        <w:spacing w:line="102" w:lineRule="exact"/>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0"/>
        <w:gridCol w:w="2187"/>
        <w:gridCol w:w="2157"/>
        <w:gridCol w:w="2154"/>
      </w:tblGrid>
      <w:tr w14:paraId="0B620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350" w:type="dxa"/>
            <w:vMerge w:val="restart"/>
            <w:tcBorders>
              <w:bottom w:val="nil"/>
            </w:tcBorders>
            <w:vAlign w:val="top"/>
          </w:tcPr>
          <w:p w14:paraId="21C0B4D5">
            <w:pPr>
              <w:spacing w:line="278" w:lineRule="auto"/>
              <w:rPr>
                <w:rFonts w:ascii="Arial"/>
                <w:sz w:val="21"/>
              </w:rPr>
            </w:pPr>
          </w:p>
          <w:p w14:paraId="5688B08D">
            <w:pPr>
              <w:pStyle w:val="6"/>
              <w:spacing w:before="65" w:line="228" w:lineRule="auto"/>
              <w:ind w:left="864"/>
            </w:pPr>
            <w:r>
              <w:rPr>
                <w:b/>
                <w:bCs/>
                <w:spacing w:val="5"/>
              </w:rPr>
              <w:t>采样点</w:t>
            </w:r>
          </w:p>
        </w:tc>
        <w:tc>
          <w:tcPr>
            <w:tcW w:w="6498" w:type="dxa"/>
            <w:gridSpan w:val="3"/>
            <w:vAlign w:val="top"/>
          </w:tcPr>
          <w:p w14:paraId="3CE3F210">
            <w:pPr>
              <w:pStyle w:val="6"/>
              <w:spacing w:before="120" w:line="228" w:lineRule="auto"/>
              <w:ind w:left="2727"/>
            </w:pPr>
            <w:r>
              <w:rPr>
                <w:b/>
                <w:bCs/>
                <w:spacing w:val="6"/>
              </w:rPr>
              <w:t>标准指标值</w:t>
            </w:r>
          </w:p>
        </w:tc>
      </w:tr>
      <w:tr w14:paraId="71EA5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350" w:type="dxa"/>
            <w:vMerge w:val="continue"/>
            <w:tcBorders>
              <w:top w:val="nil"/>
            </w:tcBorders>
            <w:vAlign w:val="top"/>
          </w:tcPr>
          <w:p w14:paraId="12E178CD">
            <w:pPr>
              <w:rPr>
                <w:rFonts w:ascii="Arial"/>
                <w:sz w:val="21"/>
              </w:rPr>
            </w:pPr>
          </w:p>
        </w:tc>
        <w:tc>
          <w:tcPr>
            <w:tcW w:w="2187" w:type="dxa"/>
            <w:vAlign w:val="top"/>
          </w:tcPr>
          <w:p w14:paraId="65588ECF">
            <w:pPr>
              <w:spacing w:before="151" w:line="195" w:lineRule="auto"/>
              <w:ind w:left="97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T1</w:t>
            </w:r>
          </w:p>
        </w:tc>
        <w:tc>
          <w:tcPr>
            <w:tcW w:w="2157" w:type="dxa"/>
            <w:vAlign w:val="top"/>
          </w:tcPr>
          <w:p w14:paraId="33E4A4AD">
            <w:pPr>
              <w:spacing w:before="151" w:line="195" w:lineRule="auto"/>
              <w:ind w:left="96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T2</w:t>
            </w:r>
          </w:p>
        </w:tc>
        <w:tc>
          <w:tcPr>
            <w:tcW w:w="2154" w:type="dxa"/>
            <w:vAlign w:val="top"/>
          </w:tcPr>
          <w:p w14:paraId="392E28DC">
            <w:pPr>
              <w:spacing w:before="151" w:line="195" w:lineRule="auto"/>
              <w:ind w:left="95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T3</w:t>
            </w:r>
          </w:p>
        </w:tc>
      </w:tr>
      <w:tr w14:paraId="4C824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350" w:type="dxa"/>
            <w:vAlign w:val="top"/>
          </w:tcPr>
          <w:p w14:paraId="41A19492">
            <w:pPr>
              <w:pStyle w:val="6"/>
              <w:spacing w:before="117" w:line="228" w:lineRule="auto"/>
              <w:ind w:left="468"/>
            </w:pPr>
            <w:r>
              <w:rPr>
                <w:spacing w:val="7"/>
              </w:rPr>
              <w:t>采样深度（</w:t>
            </w:r>
            <w:r>
              <w:rPr>
                <w:rFonts w:ascii="Times New Roman" w:hAnsi="Times New Roman" w:eastAsia="Times New Roman" w:cs="Times New Roman"/>
                <w:spacing w:val="7"/>
              </w:rPr>
              <w:t>m</w:t>
            </w:r>
            <w:r>
              <w:rPr>
                <w:spacing w:val="7"/>
              </w:rPr>
              <w:t>）</w:t>
            </w:r>
          </w:p>
        </w:tc>
        <w:tc>
          <w:tcPr>
            <w:tcW w:w="2187" w:type="dxa"/>
            <w:vAlign w:val="top"/>
          </w:tcPr>
          <w:p w14:paraId="117BBD8D">
            <w:pPr>
              <w:spacing w:before="87"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2157" w:type="dxa"/>
            <w:vAlign w:val="top"/>
          </w:tcPr>
          <w:p w14:paraId="342B5B45">
            <w:pPr>
              <w:spacing w:before="87"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w:t>
            </w:r>
          </w:p>
        </w:tc>
        <w:tc>
          <w:tcPr>
            <w:tcW w:w="2154" w:type="dxa"/>
            <w:vAlign w:val="top"/>
          </w:tcPr>
          <w:p w14:paraId="5F8E2FBF">
            <w:pPr>
              <w:spacing w:before="87"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11915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4DA0137">
            <w:pPr>
              <w:spacing w:before="99" w:line="194" w:lineRule="auto"/>
              <w:ind w:left="104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187" w:type="dxa"/>
            <w:vAlign w:val="top"/>
          </w:tcPr>
          <w:p w14:paraId="5D7EA062">
            <w:pPr>
              <w:spacing w:before="63" w:line="274" w:lineRule="exact"/>
              <w:ind w:left="10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57" w:type="dxa"/>
            <w:vAlign w:val="top"/>
          </w:tcPr>
          <w:p w14:paraId="6360D884">
            <w:pPr>
              <w:spacing w:before="63" w:line="274" w:lineRule="exact"/>
              <w:ind w:left="10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54" w:type="dxa"/>
            <w:vAlign w:val="top"/>
          </w:tcPr>
          <w:p w14:paraId="6FF22AB6">
            <w:pPr>
              <w:spacing w:before="63" w:line="274" w:lineRule="exact"/>
              <w:ind w:left="10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F7C6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1A488B4">
            <w:pPr>
              <w:pStyle w:val="6"/>
              <w:spacing w:before="95" w:line="229" w:lineRule="auto"/>
              <w:ind w:left="1075"/>
            </w:pPr>
            <w:r>
              <w:rPr>
                <w:spacing w:val="1"/>
              </w:rPr>
              <w:t>砷</w:t>
            </w:r>
          </w:p>
        </w:tc>
        <w:tc>
          <w:tcPr>
            <w:tcW w:w="2187" w:type="dxa"/>
            <w:vAlign w:val="top"/>
          </w:tcPr>
          <w:p w14:paraId="698B60FE">
            <w:pPr>
              <w:spacing w:before="64"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0.2467</w:t>
            </w:r>
          </w:p>
        </w:tc>
        <w:tc>
          <w:tcPr>
            <w:tcW w:w="2157" w:type="dxa"/>
            <w:vAlign w:val="top"/>
          </w:tcPr>
          <w:p w14:paraId="410A4407">
            <w:pPr>
              <w:spacing w:before="64"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0.4467</w:t>
            </w:r>
          </w:p>
        </w:tc>
        <w:tc>
          <w:tcPr>
            <w:tcW w:w="2154" w:type="dxa"/>
            <w:vAlign w:val="top"/>
          </w:tcPr>
          <w:p w14:paraId="32673FF1">
            <w:pPr>
              <w:spacing w:before="64"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0.1235</w:t>
            </w:r>
          </w:p>
        </w:tc>
      </w:tr>
      <w:tr w14:paraId="2F7C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1E36FEF">
            <w:pPr>
              <w:pStyle w:val="6"/>
              <w:spacing w:before="96" w:line="231" w:lineRule="auto"/>
              <w:ind w:left="1074"/>
            </w:pPr>
            <w:r>
              <w:rPr>
                <w:spacing w:val="2"/>
              </w:rPr>
              <w:t>镉</w:t>
            </w:r>
          </w:p>
        </w:tc>
        <w:tc>
          <w:tcPr>
            <w:tcW w:w="2187" w:type="dxa"/>
            <w:vAlign w:val="top"/>
          </w:tcPr>
          <w:p w14:paraId="32A79940">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w:t>
            </w:r>
          </w:p>
        </w:tc>
        <w:tc>
          <w:tcPr>
            <w:tcW w:w="2157" w:type="dxa"/>
            <w:vAlign w:val="top"/>
          </w:tcPr>
          <w:p w14:paraId="798744BE">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w:t>
            </w:r>
          </w:p>
        </w:tc>
        <w:tc>
          <w:tcPr>
            <w:tcW w:w="2154" w:type="dxa"/>
            <w:vAlign w:val="top"/>
          </w:tcPr>
          <w:p w14:paraId="3A3C999D">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w:t>
            </w:r>
          </w:p>
        </w:tc>
      </w:tr>
      <w:tr w14:paraId="33147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67ADCD6">
            <w:pPr>
              <w:pStyle w:val="6"/>
              <w:spacing w:before="94" w:line="227" w:lineRule="auto"/>
              <w:ind w:left="655"/>
            </w:pPr>
            <w:r>
              <w:rPr>
                <w:spacing w:val="6"/>
              </w:rPr>
              <w:t>铬（六价）</w:t>
            </w:r>
          </w:p>
        </w:tc>
        <w:tc>
          <w:tcPr>
            <w:tcW w:w="2187" w:type="dxa"/>
            <w:vAlign w:val="top"/>
          </w:tcPr>
          <w:p w14:paraId="5130B894">
            <w:pPr>
              <w:spacing w:before="64"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0.0877</w:t>
            </w:r>
          </w:p>
        </w:tc>
        <w:tc>
          <w:tcPr>
            <w:tcW w:w="2157" w:type="dxa"/>
            <w:vAlign w:val="top"/>
          </w:tcPr>
          <w:p w14:paraId="0B75E764">
            <w:pPr>
              <w:spacing w:before="64"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0.0877</w:t>
            </w:r>
          </w:p>
        </w:tc>
        <w:tc>
          <w:tcPr>
            <w:tcW w:w="2154" w:type="dxa"/>
            <w:vAlign w:val="top"/>
          </w:tcPr>
          <w:p w14:paraId="2798CC9A">
            <w:pPr>
              <w:spacing w:before="64"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0.0877</w:t>
            </w:r>
          </w:p>
        </w:tc>
      </w:tr>
      <w:tr w14:paraId="3D24A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14FD5A70">
            <w:pPr>
              <w:pStyle w:val="6"/>
              <w:spacing w:before="95" w:line="230" w:lineRule="auto"/>
              <w:ind w:left="1076"/>
            </w:pPr>
            <w:r>
              <w:t>铜</w:t>
            </w:r>
          </w:p>
        </w:tc>
        <w:tc>
          <w:tcPr>
            <w:tcW w:w="2187" w:type="dxa"/>
            <w:vAlign w:val="top"/>
          </w:tcPr>
          <w:p w14:paraId="69B62458">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2157" w:type="dxa"/>
            <w:vAlign w:val="top"/>
          </w:tcPr>
          <w:p w14:paraId="2EF46BFE">
            <w:pPr>
              <w:spacing w:before="65" w:line="274" w:lineRule="exact"/>
              <w:ind w:left="7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2154" w:type="dxa"/>
            <w:vAlign w:val="top"/>
          </w:tcPr>
          <w:p w14:paraId="1718B0B1">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w:t>
            </w:r>
          </w:p>
        </w:tc>
      </w:tr>
      <w:tr w14:paraId="57242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EB1C2CB">
            <w:pPr>
              <w:pStyle w:val="6"/>
              <w:spacing w:before="95" w:line="233" w:lineRule="auto"/>
              <w:ind w:left="1076"/>
            </w:pPr>
            <w:r>
              <w:t>铅</w:t>
            </w:r>
          </w:p>
        </w:tc>
        <w:tc>
          <w:tcPr>
            <w:tcW w:w="2187" w:type="dxa"/>
            <w:vAlign w:val="top"/>
          </w:tcPr>
          <w:p w14:paraId="3F537E3F">
            <w:pPr>
              <w:spacing w:before="64"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0.0125</w:t>
            </w:r>
          </w:p>
        </w:tc>
        <w:tc>
          <w:tcPr>
            <w:tcW w:w="2157" w:type="dxa"/>
            <w:vAlign w:val="top"/>
          </w:tcPr>
          <w:p w14:paraId="5213E927">
            <w:pPr>
              <w:spacing w:before="64"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0.0213</w:t>
            </w:r>
          </w:p>
        </w:tc>
        <w:tc>
          <w:tcPr>
            <w:tcW w:w="2154" w:type="dxa"/>
            <w:vAlign w:val="top"/>
          </w:tcPr>
          <w:p w14:paraId="7876643C">
            <w:pPr>
              <w:spacing w:before="64"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0.0200</w:t>
            </w:r>
          </w:p>
        </w:tc>
      </w:tr>
      <w:tr w14:paraId="61161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50ECBD9">
            <w:pPr>
              <w:pStyle w:val="6"/>
              <w:spacing w:before="96" w:line="229" w:lineRule="auto"/>
              <w:ind w:left="1076"/>
            </w:pPr>
            <w:r>
              <w:t>汞</w:t>
            </w:r>
          </w:p>
        </w:tc>
        <w:tc>
          <w:tcPr>
            <w:tcW w:w="2187" w:type="dxa"/>
            <w:vAlign w:val="top"/>
          </w:tcPr>
          <w:p w14:paraId="1276F975">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0.0040</w:t>
            </w:r>
          </w:p>
        </w:tc>
        <w:tc>
          <w:tcPr>
            <w:tcW w:w="2157" w:type="dxa"/>
            <w:vAlign w:val="top"/>
          </w:tcPr>
          <w:p w14:paraId="1232AF9F">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0.0051</w:t>
            </w:r>
          </w:p>
        </w:tc>
        <w:tc>
          <w:tcPr>
            <w:tcW w:w="2154" w:type="dxa"/>
            <w:vAlign w:val="top"/>
          </w:tcPr>
          <w:p w14:paraId="455833A4">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0.0040</w:t>
            </w:r>
          </w:p>
        </w:tc>
      </w:tr>
      <w:tr w14:paraId="274D7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CA9E865">
            <w:pPr>
              <w:pStyle w:val="6"/>
              <w:spacing w:before="97" w:line="229" w:lineRule="auto"/>
              <w:ind w:left="1075"/>
            </w:pPr>
            <w:r>
              <w:rPr>
                <w:spacing w:val="1"/>
              </w:rPr>
              <w:t>镍</w:t>
            </w:r>
          </w:p>
        </w:tc>
        <w:tc>
          <w:tcPr>
            <w:tcW w:w="2187" w:type="dxa"/>
            <w:vAlign w:val="top"/>
          </w:tcPr>
          <w:p w14:paraId="1A7C1745">
            <w:pPr>
              <w:spacing w:before="66"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0.0067</w:t>
            </w:r>
          </w:p>
        </w:tc>
        <w:tc>
          <w:tcPr>
            <w:tcW w:w="2157" w:type="dxa"/>
            <w:vAlign w:val="top"/>
          </w:tcPr>
          <w:p w14:paraId="5C7A3239">
            <w:pPr>
              <w:spacing w:before="66"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0.0133</w:t>
            </w:r>
          </w:p>
        </w:tc>
        <w:tc>
          <w:tcPr>
            <w:tcW w:w="2154" w:type="dxa"/>
            <w:vAlign w:val="top"/>
          </w:tcPr>
          <w:p w14:paraId="7AEB9462">
            <w:pPr>
              <w:spacing w:before="66"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0.0078</w:t>
            </w:r>
          </w:p>
        </w:tc>
      </w:tr>
      <w:tr w14:paraId="26842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85A4CE1">
            <w:pPr>
              <w:pStyle w:val="6"/>
              <w:spacing w:before="96" w:line="229" w:lineRule="auto"/>
              <w:ind w:left="781"/>
            </w:pPr>
            <w:r>
              <w:rPr>
                <w:spacing w:val="2"/>
              </w:rPr>
              <w:t>四氯化碳</w:t>
            </w:r>
          </w:p>
        </w:tc>
        <w:tc>
          <w:tcPr>
            <w:tcW w:w="2187" w:type="dxa"/>
            <w:vAlign w:val="top"/>
          </w:tcPr>
          <w:p w14:paraId="226763E7">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7" w:type="dxa"/>
            <w:vAlign w:val="top"/>
          </w:tcPr>
          <w:p w14:paraId="0C270568">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4" w:type="dxa"/>
            <w:vAlign w:val="top"/>
          </w:tcPr>
          <w:p w14:paraId="2B2FD731">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r>
      <w:tr w14:paraId="0723B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AB82F52">
            <w:pPr>
              <w:pStyle w:val="6"/>
              <w:spacing w:before="61" w:line="229" w:lineRule="auto"/>
              <w:ind w:left="973"/>
            </w:pPr>
            <w:r>
              <w:rPr>
                <w:spacing w:val="3"/>
              </w:rPr>
              <w:t>氯仿</w:t>
            </w:r>
          </w:p>
        </w:tc>
        <w:tc>
          <w:tcPr>
            <w:tcW w:w="2187" w:type="dxa"/>
            <w:vAlign w:val="top"/>
          </w:tcPr>
          <w:p w14:paraId="5139C6F4">
            <w:pPr>
              <w:spacing w:before="66"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2157" w:type="dxa"/>
            <w:vAlign w:val="top"/>
          </w:tcPr>
          <w:p w14:paraId="2C9482A9">
            <w:pPr>
              <w:spacing w:before="66"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2154" w:type="dxa"/>
            <w:vAlign w:val="top"/>
          </w:tcPr>
          <w:p w14:paraId="59D08E1C">
            <w:pPr>
              <w:spacing w:before="66"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r>
      <w:tr w14:paraId="1FCFD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E85542C">
            <w:pPr>
              <w:pStyle w:val="6"/>
              <w:spacing w:before="62" w:line="229" w:lineRule="auto"/>
              <w:ind w:left="868"/>
            </w:pPr>
            <w:r>
              <w:rPr>
                <w:spacing w:val="5"/>
              </w:rPr>
              <w:t>氯甲烷</w:t>
            </w:r>
          </w:p>
        </w:tc>
        <w:tc>
          <w:tcPr>
            <w:tcW w:w="2187" w:type="dxa"/>
            <w:vAlign w:val="top"/>
          </w:tcPr>
          <w:p w14:paraId="0999E3CF">
            <w:pPr>
              <w:spacing w:before="64" w:line="275"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7868C7F4">
            <w:pPr>
              <w:spacing w:before="64"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581200E0">
            <w:pPr>
              <w:spacing w:before="64"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39E04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6CB2109">
            <w:pPr>
              <w:pStyle w:val="6"/>
              <w:spacing w:before="29" w:line="275" w:lineRule="exact"/>
              <w:ind w:left="612"/>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2187" w:type="dxa"/>
            <w:vAlign w:val="top"/>
          </w:tcPr>
          <w:p w14:paraId="0AB128F0">
            <w:pPr>
              <w:spacing w:before="65" w:line="275"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0.00009</w:t>
            </w:r>
          </w:p>
        </w:tc>
        <w:tc>
          <w:tcPr>
            <w:tcW w:w="2157" w:type="dxa"/>
            <w:vAlign w:val="top"/>
          </w:tcPr>
          <w:p w14:paraId="6D938413">
            <w:pPr>
              <w:spacing w:before="65"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0.00009</w:t>
            </w:r>
          </w:p>
        </w:tc>
        <w:tc>
          <w:tcPr>
            <w:tcW w:w="2154" w:type="dxa"/>
            <w:vAlign w:val="top"/>
          </w:tcPr>
          <w:p w14:paraId="3D791519">
            <w:pPr>
              <w:spacing w:before="65"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0.00009</w:t>
            </w:r>
          </w:p>
        </w:tc>
      </w:tr>
      <w:tr w14:paraId="61C13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62296FE0">
            <w:pPr>
              <w:pStyle w:val="6"/>
              <w:spacing w:before="30" w:line="275" w:lineRule="exact"/>
              <w:ind w:left="612"/>
            </w:pPr>
            <w:r>
              <w:rPr>
                <w:rFonts w:ascii="Times New Roman" w:hAnsi="Times New Roman" w:eastAsia="Times New Roman" w:cs="Times New Roman"/>
                <w:spacing w:val="3"/>
                <w:position w:val="2"/>
              </w:rPr>
              <w:t>1,2-</w:t>
            </w:r>
            <w:r>
              <w:rPr>
                <w:spacing w:val="3"/>
                <w:position w:val="2"/>
              </w:rPr>
              <w:t>二氯乙烷</w:t>
            </w:r>
          </w:p>
        </w:tc>
        <w:tc>
          <w:tcPr>
            <w:tcW w:w="2187" w:type="dxa"/>
            <w:vAlign w:val="top"/>
          </w:tcPr>
          <w:p w14:paraId="5EBCD62B">
            <w:pPr>
              <w:spacing w:before="64"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0.00013</w:t>
            </w:r>
          </w:p>
        </w:tc>
        <w:tc>
          <w:tcPr>
            <w:tcW w:w="2157" w:type="dxa"/>
            <w:vAlign w:val="top"/>
          </w:tcPr>
          <w:p w14:paraId="1633B185">
            <w:pPr>
              <w:spacing w:before="64"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0.00013</w:t>
            </w:r>
          </w:p>
        </w:tc>
        <w:tc>
          <w:tcPr>
            <w:tcW w:w="2154" w:type="dxa"/>
            <w:vAlign w:val="top"/>
          </w:tcPr>
          <w:p w14:paraId="79FFADA4">
            <w:pPr>
              <w:spacing w:before="64"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0.00013</w:t>
            </w:r>
          </w:p>
        </w:tc>
      </w:tr>
      <w:tr w14:paraId="4B93A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237BEE7">
            <w:pPr>
              <w:pStyle w:val="6"/>
              <w:spacing w:before="30" w:line="274" w:lineRule="exact"/>
              <w:ind w:left="612"/>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2187" w:type="dxa"/>
            <w:vAlign w:val="top"/>
          </w:tcPr>
          <w:p w14:paraId="6BC0F5A7">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52B74908">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6816969C">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52B83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350" w:type="dxa"/>
            <w:vAlign w:val="top"/>
          </w:tcPr>
          <w:p w14:paraId="004F8D08">
            <w:pPr>
              <w:pStyle w:val="6"/>
              <w:spacing w:before="67" w:line="274" w:lineRule="exact"/>
              <w:ind w:left="352"/>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2187" w:type="dxa"/>
            <w:vAlign w:val="top"/>
          </w:tcPr>
          <w:p w14:paraId="1531ACB7">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62F1F020">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58EF5ABB">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bl>
    <w:p w14:paraId="51A2857F">
      <w:pPr>
        <w:pStyle w:val="2"/>
        <w:spacing w:line="133" w:lineRule="exact"/>
        <w:rPr>
          <w:sz w:val="11"/>
        </w:rPr>
      </w:pPr>
    </w:p>
    <w:p w14:paraId="08275F14">
      <w:pPr>
        <w:spacing w:line="133" w:lineRule="exact"/>
        <w:rPr>
          <w:sz w:val="11"/>
          <w:szCs w:val="11"/>
        </w:rPr>
        <w:sectPr>
          <w:footerReference r:id="rId112" w:type="default"/>
          <w:pgSz w:w="11906" w:h="16839"/>
          <w:pgMar w:top="400" w:right="1482" w:bottom="1485" w:left="1526" w:header="0" w:footer="1249" w:gutter="0"/>
          <w:cols w:space="720" w:num="1"/>
        </w:sectPr>
      </w:pPr>
    </w:p>
    <w:p w14:paraId="54C7382A">
      <w:pPr>
        <w:spacing w:before="13"/>
      </w:pPr>
    </w:p>
    <w:p w14:paraId="79584C9E">
      <w:pPr>
        <w:spacing w:before="13"/>
      </w:pPr>
    </w:p>
    <w:p w14:paraId="108F09CB">
      <w:pPr>
        <w:spacing w:before="13"/>
      </w:pPr>
    </w:p>
    <w:p w14:paraId="717497CD">
      <w:pPr>
        <w:spacing w:before="13"/>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0"/>
        <w:gridCol w:w="2187"/>
        <w:gridCol w:w="2157"/>
        <w:gridCol w:w="2154"/>
      </w:tblGrid>
      <w:tr w14:paraId="40527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350" w:type="dxa"/>
            <w:vAlign w:val="top"/>
          </w:tcPr>
          <w:p w14:paraId="5CA90CAB">
            <w:pPr>
              <w:pStyle w:val="6"/>
              <w:spacing w:before="33" w:line="274" w:lineRule="exact"/>
              <w:ind w:left="352"/>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2187" w:type="dxa"/>
            <w:vAlign w:val="top"/>
          </w:tcPr>
          <w:p w14:paraId="70D6ECFC">
            <w:pPr>
              <w:spacing w:before="66" w:line="275"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00EC4EAA">
            <w:pPr>
              <w:spacing w:before="66"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261D3326">
            <w:pPr>
              <w:spacing w:before="66"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0454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44FB833B">
            <w:pPr>
              <w:pStyle w:val="6"/>
              <w:spacing w:before="58" w:line="229" w:lineRule="auto"/>
              <w:ind w:left="765"/>
            </w:pPr>
            <w:r>
              <w:rPr>
                <w:spacing w:val="6"/>
              </w:rPr>
              <w:t>二氯甲烷</w:t>
            </w:r>
          </w:p>
        </w:tc>
        <w:tc>
          <w:tcPr>
            <w:tcW w:w="2187" w:type="dxa"/>
            <w:vAlign w:val="top"/>
          </w:tcPr>
          <w:p w14:paraId="3AA15FB4">
            <w:pPr>
              <w:spacing w:before="63"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7" w:type="dxa"/>
            <w:vAlign w:val="top"/>
          </w:tcPr>
          <w:p w14:paraId="18222BEB">
            <w:pPr>
              <w:spacing w:before="63"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4" w:type="dxa"/>
            <w:vAlign w:val="top"/>
          </w:tcPr>
          <w:p w14:paraId="658EB387">
            <w:pPr>
              <w:spacing w:before="63" w:line="275"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r>
      <w:tr w14:paraId="00FA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67F66471">
            <w:pPr>
              <w:pStyle w:val="6"/>
              <w:spacing w:before="29" w:line="275" w:lineRule="exact"/>
              <w:ind w:left="612"/>
            </w:pPr>
            <w:r>
              <w:rPr>
                <w:rFonts w:ascii="Times New Roman" w:hAnsi="Times New Roman" w:eastAsia="Times New Roman" w:cs="Times New Roman"/>
                <w:spacing w:val="3"/>
                <w:position w:val="2"/>
              </w:rPr>
              <w:t>1,2-</w:t>
            </w:r>
            <w:r>
              <w:rPr>
                <w:spacing w:val="3"/>
                <w:position w:val="2"/>
              </w:rPr>
              <w:t>二氯丙烷</w:t>
            </w:r>
          </w:p>
        </w:tc>
        <w:tc>
          <w:tcPr>
            <w:tcW w:w="2187" w:type="dxa"/>
            <w:vAlign w:val="top"/>
          </w:tcPr>
          <w:p w14:paraId="5B0CC51E">
            <w:pPr>
              <w:spacing w:before="63"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7" w:type="dxa"/>
            <w:vAlign w:val="top"/>
          </w:tcPr>
          <w:p w14:paraId="67EF727A">
            <w:pPr>
              <w:spacing w:before="63"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4" w:type="dxa"/>
            <w:vAlign w:val="top"/>
          </w:tcPr>
          <w:p w14:paraId="7B1ACCEA">
            <w:pPr>
              <w:spacing w:before="63"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r>
      <w:tr w14:paraId="168E2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FBAF992">
            <w:pPr>
              <w:pStyle w:val="6"/>
              <w:spacing w:before="28" w:line="274" w:lineRule="exact"/>
              <w:ind w:left="454"/>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2187" w:type="dxa"/>
            <w:vAlign w:val="top"/>
          </w:tcPr>
          <w:p w14:paraId="3A3A0958">
            <w:pPr>
              <w:spacing w:before="64"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7" w:type="dxa"/>
            <w:vAlign w:val="top"/>
          </w:tcPr>
          <w:p w14:paraId="39F479D9">
            <w:pPr>
              <w:spacing w:before="64"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4" w:type="dxa"/>
            <w:vAlign w:val="top"/>
          </w:tcPr>
          <w:p w14:paraId="4693D72B">
            <w:pPr>
              <w:spacing w:before="64"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r>
      <w:tr w14:paraId="5896F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7DF7691D">
            <w:pPr>
              <w:pStyle w:val="6"/>
              <w:spacing w:before="29" w:line="274" w:lineRule="exact"/>
              <w:ind w:left="454"/>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2187" w:type="dxa"/>
            <w:vAlign w:val="top"/>
          </w:tcPr>
          <w:p w14:paraId="2D27DFBC">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w:t>
            </w:r>
          </w:p>
        </w:tc>
        <w:tc>
          <w:tcPr>
            <w:tcW w:w="2157" w:type="dxa"/>
            <w:vAlign w:val="top"/>
          </w:tcPr>
          <w:p w14:paraId="046754C9">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w:t>
            </w:r>
          </w:p>
        </w:tc>
        <w:tc>
          <w:tcPr>
            <w:tcW w:w="2154" w:type="dxa"/>
            <w:vAlign w:val="top"/>
          </w:tcPr>
          <w:p w14:paraId="29D774E3">
            <w:pPr>
              <w:spacing w:before="65"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w:t>
            </w:r>
          </w:p>
        </w:tc>
      </w:tr>
      <w:tr w14:paraId="5C83F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5BC66D52">
            <w:pPr>
              <w:pStyle w:val="6"/>
              <w:spacing w:before="62" w:line="228" w:lineRule="auto"/>
              <w:ind w:left="781"/>
            </w:pPr>
            <w:r>
              <w:rPr>
                <w:spacing w:val="2"/>
              </w:rPr>
              <w:t>四氯乙烯</w:t>
            </w:r>
          </w:p>
        </w:tc>
        <w:tc>
          <w:tcPr>
            <w:tcW w:w="2187" w:type="dxa"/>
            <w:vAlign w:val="top"/>
          </w:tcPr>
          <w:p w14:paraId="6D5DBE34">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c>
          <w:tcPr>
            <w:tcW w:w="2157" w:type="dxa"/>
            <w:vAlign w:val="top"/>
          </w:tcPr>
          <w:p w14:paraId="53D369C4">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c>
          <w:tcPr>
            <w:tcW w:w="2154" w:type="dxa"/>
            <w:vAlign w:val="top"/>
          </w:tcPr>
          <w:p w14:paraId="33A9BDDA">
            <w:pPr>
              <w:spacing w:before="31"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r>
      <w:tr w14:paraId="77442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59152CB">
            <w:pPr>
              <w:pStyle w:val="6"/>
              <w:spacing w:before="67" w:line="274" w:lineRule="exact"/>
              <w:ind w:left="533"/>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2187" w:type="dxa"/>
            <w:vAlign w:val="top"/>
          </w:tcPr>
          <w:p w14:paraId="795CFA26">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5C7155B2">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1C0FAA6">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4DD14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1ECCA6F">
            <w:pPr>
              <w:pStyle w:val="6"/>
              <w:spacing w:before="32" w:line="274" w:lineRule="exact"/>
              <w:ind w:left="533"/>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2187" w:type="dxa"/>
            <w:vAlign w:val="top"/>
          </w:tcPr>
          <w:p w14:paraId="596F40D0">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c>
          <w:tcPr>
            <w:tcW w:w="2157" w:type="dxa"/>
            <w:vAlign w:val="top"/>
          </w:tcPr>
          <w:p w14:paraId="490FE168">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c>
          <w:tcPr>
            <w:tcW w:w="2154" w:type="dxa"/>
            <w:vAlign w:val="top"/>
          </w:tcPr>
          <w:p w14:paraId="105A3220">
            <w:pPr>
              <w:spacing w:before="65"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r>
      <w:tr w14:paraId="55101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C377FD1">
            <w:pPr>
              <w:pStyle w:val="6"/>
              <w:spacing w:before="61" w:line="228" w:lineRule="auto"/>
              <w:ind w:left="761"/>
            </w:pPr>
            <w:r>
              <w:rPr>
                <w:spacing w:val="7"/>
              </w:rPr>
              <w:t>三氯乙烯</w:t>
            </w:r>
          </w:p>
        </w:tc>
        <w:tc>
          <w:tcPr>
            <w:tcW w:w="2187" w:type="dxa"/>
            <w:vAlign w:val="top"/>
          </w:tcPr>
          <w:p w14:paraId="2956342F">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0.00016</w:t>
            </w:r>
          </w:p>
        </w:tc>
        <w:tc>
          <w:tcPr>
            <w:tcW w:w="2157" w:type="dxa"/>
            <w:vAlign w:val="top"/>
          </w:tcPr>
          <w:p w14:paraId="0D00E767">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0.00016</w:t>
            </w:r>
          </w:p>
        </w:tc>
        <w:tc>
          <w:tcPr>
            <w:tcW w:w="2154" w:type="dxa"/>
            <w:vAlign w:val="top"/>
          </w:tcPr>
          <w:p w14:paraId="6AD8E24A">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0.00016</w:t>
            </w:r>
          </w:p>
        </w:tc>
      </w:tr>
      <w:tr w14:paraId="616F5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7A96F54">
            <w:pPr>
              <w:pStyle w:val="6"/>
              <w:spacing w:before="31" w:line="274" w:lineRule="exact"/>
              <w:ind w:left="533"/>
            </w:pPr>
            <w:r>
              <w:rPr>
                <w:rFonts w:ascii="Times New Roman" w:hAnsi="Times New Roman" w:eastAsia="Times New Roman" w:cs="Times New Roman"/>
                <w:spacing w:val="3"/>
                <w:position w:val="2"/>
              </w:rPr>
              <w:t>1,2,3-</w:t>
            </w:r>
            <w:r>
              <w:rPr>
                <w:spacing w:val="3"/>
                <w:position w:val="2"/>
              </w:rPr>
              <w:t>三氯丙烷</w:t>
            </w:r>
          </w:p>
        </w:tc>
        <w:tc>
          <w:tcPr>
            <w:tcW w:w="2187" w:type="dxa"/>
            <w:vAlign w:val="top"/>
          </w:tcPr>
          <w:p w14:paraId="5ED36CCA">
            <w:pPr>
              <w:spacing w:before="6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2157" w:type="dxa"/>
            <w:vAlign w:val="top"/>
          </w:tcPr>
          <w:p w14:paraId="64FB1C54">
            <w:pPr>
              <w:spacing w:before="67"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w:t>
            </w:r>
          </w:p>
        </w:tc>
        <w:tc>
          <w:tcPr>
            <w:tcW w:w="2154" w:type="dxa"/>
            <w:vAlign w:val="top"/>
          </w:tcPr>
          <w:p w14:paraId="210003E2">
            <w:pPr>
              <w:spacing w:before="67"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r>
      <w:tr w14:paraId="7FCD4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6C2CD34">
            <w:pPr>
              <w:pStyle w:val="6"/>
              <w:spacing w:before="63" w:line="228" w:lineRule="auto"/>
              <w:ind w:left="868"/>
            </w:pPr>
            <w:r>
              <w:rPr>
                <w:spacing w:val="5"/>
              </w:rPr>
              <w:t>氯乙烯</w:t>
            </w:r>
          </w:p>
        </w:tc>
        <w:tc>
          <w:tcPr>
            <w:tcW w:w="2187" w:type="dxa"/>
            <w:vAlign w:val="top"/>
          </w:tcPr>
          <w:p w14:paraId="63B79FA6">
            <w:pPr>
              <w:spacing w:before="66"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c>
          <w:tcPr>
            <w:tcW w:w="2157" w:type="dxa"/>
            <w:vAlign w:val="top"/>
          </w:tcPr>
          <w:p w14:paraId="1B4E23F4">
            <w:pPr>
              <w:spacing w:before="66"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c>
          <w:tcPr>
            <w:tcW w:w="2154" w:type="dxa"/>
            <w:vAlign w:val="top"/>
          </w:tcPr>
          <w:p w14:paraId="0A38871A">
            <w:pPr>
              <w:spacing w:before="66"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r>
      <w:tr w14:paraId="2946F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D03D9A7">
            <w:pPr>
              <w:pStyle w:val="6"/>
              <w:spacing w:before="61" w:line="228" w:lineRule="auto"/>
              <w:ind w:left="1078"/>
            </w:pPr>
            <w:r>
              <w:t>苯</w:t>
            </w:r>
          </w:p>
        </w:tc>
        <w:tc>
          <w:tcPr>
            <w:tcW w:w="2187" w:type="dxa"/>
            <w:vAlign w:val="top"/>
          </w:tcPr>
          <w:p w14:paraId="6BC855C4">
            <w:pPr>
              <w:spacing w:before="67"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7" w:type="dxa"/>
            <w:vAlign w:val="top"/>
          </w:tcPr>
          <w:p w14:paraId="6867908A">
            <w:pPr>
              <w:spacing w:before="67"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4" w:type="dxa"/>
            <w:vAlign w:val="top"/>
          </w:tcPr>
          <w:p w14:paraId="4FC91D3E">
            <w:pPr>
              <w:spacing w:before="67"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r>
      <w:tr w14:paraId="256FB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1FBB048">
            <w:pPr>
              <w:pStyle w:val="6"/>
              <w:spacing w:before="62" w:line="228" w:lineRule="auto"/>
              <w:ind w:left="973"/>
            </w:pPr>
            <w:r>
              <w:rPr>
                <w:spacing w:val="3"/>
              </w:rPr>
              <w:t>氯苯</w:t>
            </w:r>
          </w:p>
        </w:tc>
        <w:tc>
          <w:tcPr>
            <w:tcW w:w="2187" w:type="dxa"/>
            <w:vAlign w:val="top"/>
          </w:tcPr>
          <w:p w14:paraId="2CA5AED5">
            <w:pPr>
              <w:spacing w:before="65"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7" w:type="dxa"/>
            <w:vAlign w:val="top"/>
          </w:tcPr>
          <w:p w14:paraId="65F42BA8">
            <w:pPr>
              <w:spacing w:before="65"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4" w:type="dxa"/>
            <w:vAlign w:val="top"/>
          </w:tcPr>
          <w:p w14:paraId="7EC033A1">
            <w:pPr>
              <w:spacing w:before="65" w:line="275"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r>
      <w:tr w14:paraId="6430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4BA1265">
            <w:pPr>
              <w:pStyle w:val="6"/>
              <w:spacing w:before="30" w:line="275" w:lineRule="exact"/>
              <w:ind w:left="718"/>
            </w:pPr>
            <w:r>
              <w:rPr>
                <w:rFonts w:ascii="Times New Roman" w:hAnsi="Times New Roman" w:eastAsia="Times New Roman" w:cs="Times New Roman"/>
                <w:spacing w:val="2"/>
                <w:position w:val="2"/>
              </w:rPr>
              <w:t>1,2-</w:t>
            </w:r>
            <w:r>
              <w:rPr>
                <w:spacing w:val="2"/>
                <w:position w:val="2"/>
              </w:rPr>
              <w:t>二氯苯</w:t>
            </w:r>
          </w:p>
        </w:tc>
        <w:tc>
          <w:tcPr>
            <w:tcW w:w="2187" w:type="dxa"/>
            <w:vAlign w:val="top"/>
          </w:tcPr>
          <w:p w14:paraId="4037329B">
            <w:pPr>
              <w:spacing w:before="66"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1D727D7C">
            <w:pPr>
              <w:spacing w:before="66"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2C52E6B">
            <w:pPr>
              <w:spacing w:before="66" w:line="275"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4D9D2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6EA21AB0">
            <w:pPr>
              <w:pStyle w:val="6"/>
              <w:spacing w:before="31" w:line="275" w:lineRule="exact"/>
              <w:ind w:left="718"/>
            </w:pPr>
            <w:r>
              <w:rPr>
                <w:rFonts w:ascii="Times New Roman" w:hAnsi="Times New Roman" w:eastAsia="Times New Roman" w:cs="Times New Roman"/>
                <w:spacing w:val="2"/>
                <w:position w:val="2"/>
              </w:rPr>
              <w:t>1,4-</w:t>
            </w:r>
            <w:r>
              <w:rPr>
                <w:spacing w:val="2"/>
                <w:position w:val="2"/>
              </w:rPr>
              <w:t>二氯苯</w:t>
            </w:r>
          </w:p>
        </w:tc>
        <w:tc>
          <w:tcPr>
            <w:tcW w:w="2187" w:type="dxa"/>
            <w:vAlign w:val="top"/>
          </w:tcPr>
          <w:p w14:paraId="0D092E0B">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c>
          <w:tcPr>
            <w:tcW w:w="2157" w:type="dxa"/>
            <w:vAlign w:val="top"/>
          </w:tcPr>
          <w:p w14:paraId="437D9DE7">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c>
          <w:tcPr>
            <w:tcW w:w="2154" w:type="dxa"/>
            <w:vAlign w:val="top"/>
          </w:tcPr>
          <w:p w14:paraId="5F28A190">
            <w:pPr>
              <w:spacing w:before="65"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r>
      <w:tr w14:paraId="66DE5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ADA63AC">
            <w:pPr>
              <w:pStyle w:val="6"/>
              <w:spacing w:before="60" w:line="228" w:lineRule="auto"/>
              <w:ind w:left="987"/>
            </w:pPr>
            <w:r>
              <w:rPr>
                <w:spacing w:val="-4"/>
              </w:rPr>
              <w:t>乙苯</w:t>
            </w:r>
          </w:p>
        </w:tc>
        <w:tc>
          <w:tcPr>
            <w:tcW w:w="2187" w:type="dxa"/>
            <w:vAlign w:val="top"/>
          </w:tcPr>
          <w:p w14:paraId="3EA5EC0C">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7" w:type="dxa"/>
            <w:vAlign w:val="top"/>
          </w:tcPr>
          <w:p w14:paraId="50A57703">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4" w:type="dxa"/>
            <w:vAlign w:val="top"/>
          </w:tcPr>
          <w:p w14:paraId="4D1351C2">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r>
      <w:tr w14:paraId="36900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AC7D4A1">
            <w:pPr>
              <w:pStyle w:val="6"/>
              <w:spacing w:before="61" w:line="228" w:lineRule="auto"/>
              <w:ind w:left="867"/>
            </w:pPr>
            <w:r>
              <w:rPr>
                <w:spacing w:val="6"/>
              </w:rPr>
              <w:t>苯乙烯</w:t>
            </w:r>
          </w:p>
        </w:tc>
        <w:tc>
          <w:tcPr>
            <w:tcW w:w="2187" w:type="dxa"/>
            <w:vAlign w:val="top"/>
          </w:tcPr>
          <w:p w14:paraId="0A1E8A2E">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0D06F868">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2D7596C1">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70643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BE217A0">
            <w:pPr>
              <w:pStyle w:val="6"/>
              <w:spacing w:before="62" w:line="228" w:lineRule="auto"/>
              <w:ind w:left="997"/>
            </w:pPr>
            <w:r>
              <w:rPr>
                <w:spacing w:val="-9"/>
              </w:rPr>
              <w:t>甲苯</w:t>
            </w:r>
          </w:p>
        </w:tc>
        <w:tc>
          <w:tcPr>
            <w:tcW w:w="2187" w:type="dxa"/>
            <w:vAlign w:val="top"/>
          </w:tcPr>
          <w:p w14:paraId="2359E8A5">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119B048D">
            <w:pPr>
              <w:spacing w:before="66"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E540660">
            <w:pPr>
              <w:spacing w:before="66"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40E23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2E6E9D1">
            <w:pPr>
              <w:pStyle w:val="6"/>
              <w:spacing w:before="61" w:line="228" w:lineRule="auto"/>
              <w:ind w:left="298"/>
            </w:pPr>
            <w:r>
              <w:rPr>
                <w:spacing w:val="6"/>
              </w:rPr>
              <w:t>间二甲苯</w:t>
            </w:r>
            <w:r>
              <w:rPr>
                <w:rFonts w:ascii="Times New Roman" w:hAnsi="Times New Roman" w:eastAsia="Times New Roman" w:cs="Times New Roman"/>
                <w:spacing w:val="6"/>
              </w:rPr>
              <w:t>+</w:t>
            </w:r>
            <w:r>
              <w:rPr>
                <w:spacing w:val="6"/>
              </w:rPr>
              <w:t>对二甲苯</w:t>
            </w:r>
          </w:p>
        </w:tc>
        <w:tc>
          <w:tcPr>
            <w:tcW w:w="2187" w:type="dxa"/>
            <w:vAlign w:val="top"/>
          </w:tcPr>
          <w:p w14:paraId="27B5BA0F">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0.000003</w:t>
            </w:r>
          </w:p>
        </w:tc>
        <w:tc>
          <w:tcPr>
            <w:tcW w:w="2157" w:type="dxa"/>
            <w:vAlign w:val="top"/>
          </w:tcPr>
          <w:p w14:paraId="44C22742">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0.000003</w:t>
            </w:r>
          </w:p>
        </w:tc>
        <w:tc>
          <w:tcPr>
            <w:tcW w:w="2154" w:type="dxa"/>
            <w:vAlign w:val="top"/>
          </w:tcPr>
          <w:p w14:paraId="36A8443F">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0.000003</w:t>
            </w:r>
          </w:p>
        </w:tc>
      </w:tr>
      <w:tr w14:paraId="5F2E7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B03C0F3">
            <w:pPr>
              <w:pStyle w:val="6"/>
              <w:spacing w:before="62" w:line="228" w:lineRule="auto"/>
              <w:ind w:left="760"/>
            </w:pPr>
            <w:r>
              <w:rPr>
                <w:spacing w:val="7"/>
              </w:rPr>
              <w:t>邻二甲苯</w:t>
            </w:r>
          </w:p>
        </w:tc>
        <w:tc>
          <w:tcPr>
            <w:tcW w:w="2187" w:type="dxa"/>
            <w:vAlign w:val="top"/>
          </w:tcPr>
          <w:p w14:paraId="448AF8E7">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5593C932">
            <w:pPr>
              <w:spacing w:before="65"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6D6E041">
            <w:pPr>
              <w:spacing w:before="65"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6154D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BEDBBE1">
            <w:pPr>
              <w:pStyle w:val="6"/>
              <w:spacing w:before="61" w:line="228" w:lineRule="auto"/>
              <w:ind w:left="866"/>
            </w:pPr>
            <w:r>
              <w:rPr>
                <w:spacing w:val="6"/>
              </w:rPr>
              <w:t>硝基苯</w:t>
            </w:r>
          </w:p>
        </w:tc>
        <w:tc>
          <w:tcPr>
            <w:tcW w:w="2187" w:type="dxa"/>
            <w:vAlign w:val="top"/>
          </w:tcPr>
          <w:p w14:paraId="628DB668">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0.00059</w:t>
            </w:r>
          </w:p>
        </w:tc>
        <w:tc>
          <w:tcPr>
            <w:tcW w:w="2157" w:type="dxa"/>
            <w:vAlign w:val="top"/>
          </w:tcPr>
          <w:p w14:paraId="696A1B70">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0.00059</w:t>
            </w:r>
          </w:p>
        </w:tc>
        <w:tc>
          <w:tcPr>
            <w:tcW w:w="2154" w:type="dxa"/>
            <w:vAlign w:val="top"/>
          </w:tcPr>
          <w:p w14:paraId="4A4B2850">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0.00059</w:t>
            </w:r>
          </w:p>
        </w:tc>
      </w:tr>
      <w:tr w14:paraId="3206C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8A4C969">
            <w:pPr>
              <w:pStyle w:val="6"/>
              <w:spacing w:before="62" w:line="228" w:lineRule="auto"/>
              <w:ind w:left="973"/>
            </w:pPr>
            <w:r>
              <w:rPr>
                <w:spacing w:val="3"/>
              </w:rPr>
              <w:t>苯胺</w:t>
            </w:r>
          </w:p>
        </w:tc>
        <w:tc>
          <w:tcPr>
            <w:tcW w:w="2187" w:type="dxa"/>
            <w:vAlign w:val="top"/>
          </w:tcPr>
          <w:p w14:paraId="1F662AAC">
            <w:pPr>
              <w:spacing w:before="67"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7" w:type="dxa"/>
            <w:vAlign w:val="top"/>
          </w:tcPr>
          <w:p w14:paraId="02F157C9">
            <w:pPr>
              <w:spacing w:before="67"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4" w:type="dxa"/>
            <w:vAlign w:val="top"/>
          </w:tcPr>
          <w:p w14:paraId="5062C4AB">
            <w:pPr>
              <w:spacing w:before="67"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r>
      <w:tr w14:paraId="29B9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89849F9">
            <w:pPr>
              <w:pStyle w:val="6"/>
              <w:spacing w:before="32" w:line="274" w:lineRule="exact"/>
              <w:ind w:left="880"/>
            </w:pPr>
            <w:r>
              <w:rPr>
                <w:rFonts w:ascii="Times New Roman" w:hAnsi="Times New Roman" w:eastAsia="Times New Roman" w:cs="Times New Roman"/>
                <w:spacing w:val="4"/>
                <w:position w:val="1"/>
              </w:rPr>
              <w:t>2-</w:t>
            </w:r>
            <w:r>
              <w:rPr>
                <w:spacing w:val="4"/>
                <w:position w:val="1"/>
              </w:rPr>
              <w:t>氯酚</w:t>
            </w:r>
          </w:p>
        </w:tc>
        <w:tc>
          <w:tcPr>
            <w:tcW w:w="2187" w:type="dxa"/>
            <w:vAlign w:val="top"/>
          </w:tcPr>
          <w:p w14:paraId="350F21E6">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2A7A9D41">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6FB8D068">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0033A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940D07C">
            <w:pPr>
              <w:pStyle w:val="6"/>
              <w:spacing w:before="31" w:line="274" w:lineRule="exact"/>
              <w:ind w:left="752"/>
            </w:pPr>
            <w:r>
              <w:rPr>
                <w:spacing w:val="5"/>
                <w:position w:val="2"/>
              </w:rPr>
              <w:t>苯并</w:t>
            </w:r>
            <w:r>
              <w:rPr>
                <w:rFonts w:ascii="Times New Roman" w:hAnsi="Times New Roman" w:eastAsia="Times New Roman" w:cs="Times New Roman"/>
                <w:spacing w:val="5"/>
                <w:position w:val="2"/>
              </w:rPr>
              <w:t>(a)</w:t>
            </w:r>
            <w:r>
              <w:rPr>
                <w:spacing w:val="5"/>
                <w:position w:val="2"/>
              </w:rPr>
              <w:t>蒽</w:t>
            </w:r>
          </w:p>
        </w:tc>
        <w:tc>
          <w:tcPr>
            <w:tcW w:w="2187" w:type="dxa"/>
            <w:vAlign w:val="top"/>
          </w:tcPr>
          <w:p w14:paraId="0B9053BD">
            <w:pPr>
              <w:spacing w:before="6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c>
          <w:tcPr>
            <w:tcW w:w="2157" w:type="dxa"/>
            <w:vAlign w:val="top"/>
          </w:tcPr>
          <w:p w14:paraId="173588DF">
            <w:pPr>
              <w:spacing w:before="67"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2154" w:type="dxa"/>
            <w:vAlign w:val="top"/>
          </w:tcPr>
          <w:p w14:paraId="33196D5F">
            <w:pPr>
              <w:spacing w:before="67"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r>
      <w:tr w14:paraId="3F9BC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085CCCF">
            <w:pPr>
              <w:pStyle w:val="6"/>
              <w:spacing w:before="32" w:line="274" w:lineRule="exact"/>
              <w:ind w:left="752"/>
            </w:pPr>
            <w:r>
              <w:rPr>
                <w:spacing w:val="5"/>
                <w:position w:val="2"/>
              </w:rPr>
              <w:t>苯并</w:t>
            </w:r>
            <w:r>
              <w:rPr>
                <w:rFonts w:ascii="Times New Roman" w:hAnsi="Times New Roman" w:eastAsia="Times New Roman" w:cs="Times New Roman"/>
                <w:spacing w:val="5"/>
                <w:position w:val="2"/>
              </w:rPr>
              <w:t>(a)</w:t>
            </w:r>
            <w:r>
              <w:rPr>
                <w:spacing w:val="5"/>
                <w:position w:val="2"/>
              </w:rPr>
              <w:t>芘</w:t>
            </w:r>
          </w:p>
        </w:tc>
        <w:tc>
          <w:tcPr>
            <w:tcW w:w="2187" w:type="dxa"/>
            <w:vAlign w:val="top"/>
          </w:tcPr>
          <w:p w14:paraId="0D4760FF">
            <w:pPr>
              <w:spacing w:before="65" w:line="275" w:lineRule="exact"/>
              <w:ind w:left="9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2157" w:type="dxa"/>
            <w:vAlign w:val="top"/>
          </w:tcPr>
          <w:p w14:paraId="3D10D570">
            <w:pPr>
              <w:spacing w:before="65" w:line="275" w:lineRule="exact"/>
              <w:ind w:left="8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2154" w:type="dxa"/>
            <w:vAlign w:val="top"/>
          </w:tcPr>
          <w:p w14:paraId="2097C0FA">
            <w:pPr>
              <w:spacing w:before="65" w:line="275" w:lineRule="exact"/>
              <w:ind w:left="8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r>
      <w:tr w14:paraId="014A8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6738CC0">
            <w:pPr>
              <w:pStyle w:val="6"/>
              <w:spacing w:before="30" w:line="275" w:lineRule="exact"/>
              <w:ind w:left="641"/>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2187" w:type="dxa"/>
            <w:vAlign w:val="top"/>
          </w:tcPr>
          <w:p w14:paraId="061D815C">
            <w:pPr>
              <w:spacing w:before="66" w:line="275"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w:t>
            </w:r>
          </w:p>
        </w:tc>
        <w:tc>
          <w:tcPr>
            <w:tcW w:w="2157" w:type="dxa"/>
            <w:vAlign w:val="top"/>
          </w:tcPr>
          <w:p w14:paraId="0B934E8D">
            <w:pPr>
              <w:spacing w:before="66" w:line="275"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0.006</w:t>
            </w:r>
          </w:p>
        </w:tc>
        <w:tc>
          <w:tcPr>
            <w:tcW w:w="2154" w:type="dxa"/>
            <w:vAlign w:val="top"/>
          </w:tcPr>
          <w:p w14:paraId="66A9262E">
            <w:pPr>
              <w:spacing w:before="66" w:line="275"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w:t>
            </w:r>
          </w:p>
        </w:tc>
      </w:tr>
      <w:tr w14:paraId="3C68B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C64F442">
            <w:pPr>
              <w:pStyle w:val="6"/>
              <w:spacing w:before="31" w:line="275" w:lineRule="exact"/>
              <w:ind w:left="641"/>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2187" w:type="dxa"/>
            <w:vAlign w:val="top"/>
          </w:tcPr>
          <w:p w14:paraId="1A251262">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7" w:type="dxa"/>
            <w:vAlign w:val="top"/>
          </w:tcPr>
          <w:p w14:paraId="7BC93FB8">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4" w:type="dxa"/>
            <w:vAlign w:val="top"/>
          </w:tcPr>
          <w:p w14:paraId="4512214C">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r>
      <w:tr w14:paraId="74884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F998636">
            <w:pPr>
              <w:pStyle w:val="6"/>
              <w:spacing w:before="61" w:line="230" w:lineRule="auto"/>
              <w:ind w:left="1074"/>
            </w:pPr>
            <w:r>
              <w:rPr>
                <w:spacing w:val="2"/>
              </w:rPr>
              <w:t>䓛</w:t>
            </w:r>
          </w:p>
        </w:tc>
        <w:tc>
          <w:tcPr>
            <w:tcW w:w="2187" w:type="dxa"/>
            <w:vAlign w:val="top"/>
          </w:tcPr>
          <w:p w14:paraId="7C1BEB90">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7" w:type="dxa"/>
            <w:vAlign w:val="top"/>
          </w:tcPr>
          <w:p w14:paraId="04A24EDF">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4" w:type="dxa"/>
            <w:vAlign w:val="top"/>
          </w:tcPr>
          <w:p w14:paraId="25E9150C">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r>
      <w:tr w14:paraId="650DB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BC5BF85">
            <w:pPr>
              <w:pStyle w:val="6"/>
              <w:spacing w:before="31" w:line="274" w:lineRule="exact"/>
              <w:ind w:left="570"/>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2187" w:type="dxa"/>
            <w:vAlign w:val="top"/>
          </w:tcPr>
          <w:p w14:paraId="17ACD9F4">
            <w:pPr>
              <w:spacing w:before="67" w:line="274" w:lineRule="exact"/>
              <w:ind w:left="9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2157" w:type="dxa"/>
            <w:vAlign w:val="top"/>
          </w:tcPr>
          <w:p w14:paraId="470C316E">
            <w:pPr>
              <w:spacing w:before="67" w:line="274" w:lineRule="exact"/>
              <w:ind w:left="8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2154" w:type="dxa"/>
            <w:vAlign w:val="top"/>
          </w:tcPr>
          <w:p w14:paraId="76F2AD75">
            <w:pPr>
              <w:spacing w:before="67" w:line="274" w:lineRule="exact"/>
              <w:ind w:left="8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5AB7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256DBAB0">
            <w:pPr>
              <w:pStyle w:val="6"/>
              <w:spacing w:before="32" w:line="274" w:lineRule="exact"/>
              <w:ind w:left="458"/>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2187" w:type="dxa"/>
            <w:vAlign w:val="top"/>
          </w:tcPr>
          <w:p w14:paraId="50C082FF">
            <w:pPr>
              <w:spacing w:before="66"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c>
          <w:tcPr>
            <w:tcW w:w="2157" w:type="dxa"/>
            <w:vAlign w:val="top"/>
          </w:tcPr>
          <w:p w14:paraId="0B8E77FE">
            <w:pPr>
              <w:spacing w:before="66"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2154" w:type="dxa"/>
            <w:vAlign w:val="top"/>
          </w:tcPr>
          <w:p w14:paraId="4BCD87F8">
            <w:pPr>
              <w:spacing w:before="66"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r>
      <w:tr w14:paraId="040AB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350" w:type="dxa"/>
            <w:vAlign w:val="top"/>
          </w:tcPr>
          <w:p w14:paraId="0E491DCA">
            <w:pPr>
              <w:pStyle w:val="6"/>
              <w:spacing w:before="62" w:line="229" w:lineRule="auto"/>
              <w:ind w:left="1076"/>
            </w:pPr>
            <w:r>
              <w:t>萘</w:t>
            </w:r>
          </w:p>
        </w:tc>
        <w:tc>
          <w:tcPr>
            <w:tcW w:w="2187" w:type="dxa"/>
            <w:vAlign w:val="top"/>
          </w:tcPr>
          <w:p w14:paraId="70E8532E">
            <w:pPr>
              <w:spacing w:before="68"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0.00064</w:t>
            </w:r>
          </w:p>
        </w:tc>
        <w:tc>
          <w:tcPr>
            <w:tcW w:w="2157" w:type="dxa"/>
            <w:vAlign w:val="top"/>
          </w:tcPr>
          <w:p w14:paraId="18E4DCF1">
            <w:pPr>
              <w:spacing w:before="68"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0.00064</w:t>
            </w:r>
          </w:p>
        </w:tc>
        <w:tc>
          <w:tcPr>
            <w:tcW w:w="2154" w:type="dxa"/>
            <w:vAlign w:val="top"/>
          </w:tcPr>
          <w:p w14:paraId="6C2B1D0F">
            <w:pPr>
              <w:spacing w:before="68"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0.00064</w:t>
            </w:r>
          </w:p>
        </w:tc>
      </w:tr>
    </w:tbl>
    <w:p w14:paraId="6E57EDED">
      <w:pPr>
        <w:pStyle w:val="2"/>
      </w:pPr>
    </w:p>
    <w:p w14:paraId="3C197A86">
      <w:pPr>
        <w:sectPr>
          <w:footerReference r:id="rId113" w:type="default"/>
          <w:pgSz w:w="11906" w:h="16839"/>
          <w:pgMar w:top="400" w:right="1526" w:bottom="1485" w:left="1526" w:header="0" w:footer="1249" w:gutter="0"/>
          <w:cols w:space="720" w:num="1"/>
        </w:sectPr>
      </w:pPr>
    </w:p>
    <w:p w14:paraId="057BCB3B">
      <w:pPr>
        <w:pStyle w:val="2"/>
        <w:spacing w:line="258" w:lineRule="auto"/>
      </w:pPr>
    </w:p>
    <w:p w14:paraId="5E58BFEE">
      <w:pPr>
        <w:pStyle w:val="2"/>
        <w:spacing w:line="258" w:lineRule="auto"/>
      </w:pPr>
    </w:p>
    <w:p w14:paraId="48BE682A">
      <w:pPr>
        <w:pStyle w:val="2"/>
        <w:spacing w:line="258" w:lineRule="auto"/>
      </w:pPr>
    </w:p>
    <w:p w14:paraId="53DE8215">
      <w:pPr>
        <w:pStyle w:val="2"/>
        <w:spacing w:line="258" w:lineRule="auto"/>
      </w:pPr>
    </w:p>
    <w:p w14:paraId="7A57D865">
      <w:pPr>
        <w:pStyle w:val="2"/>
        <w:spacing w:line="259" w:lineRule="auto"/>
      </w:pPr>
    </w:p>
    <w:p w14:paraId="7B3AE824">
      <w:pPr>
        <w:pStyle w:val="2"/>
        <w:spacing w:line="259" w:lineRule="auto"/>
      </w:pPr>
    </w:p>
    <w:p w14:paraId="11BF5B77">
      <w:pPr>
        <w:pStyle w:val="2"/>
        <w:spacing w:line="259" w:lineRule="auto"/>
      </w:pPr>
    </w:p>
    <w:p w14:paraId="22354B35">
      <w:pPr>
        <w:pStyle w:val="2"/>
        <w:spacing w:line="259" w:lineRule="auto"/>
      </w:pPr>
    </w:p>
    <w:p w14:paraId="77A6D819">
      <w:pPr>
        <w:spacing w:before="65" w:line="228" w:lineRule="auto"/>
        <w:ind w:left="274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6"/>
          <w:sz w:val="20"/>
          <w:szCs w:val="20"/>
        </w:rPr>
        <w:t xml:space="preserve">4.5-6 </w:t>
      </w:r>
      <w:r>
        <w:rPr>
          <w:rFonts w:ascii="宋体" w:hAnsi="宋体" w:eastAsia="宋体" w:cs="宋体"/>
          <w:b/>
          <w:bCs/>
          <w:spacing w:val="6"/>
          <w:sz w:val="20"/>
          <w:szCs w:val="20"/>
        </w:rPr>
        <w:t>项目土壤环境质量现状统计分析</w:t>
      </w:r>
    </w:p>
    <w:p w14:paraId="5DF01E51">
      <w:pPr>
        <w:spacing w:line="102" w:lineRule="exact"/>
      </w:pPr>
    </w:p>
    <w:tbl>
      <w:tblPr>
        <w:tblStyle w:val="5"/>
        <w:tblW w:w="87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4"/>
        <w:gridCol w:w="699"/>
        <w:gridCol w:w="1075"/>
        <w:gridCol w:w="945"/>
        <w:gridCol w:w="1011"/>
        <w:gridCol w:w="1010"/>
        <w:gridCol w:w="1008"/>
        <w:gridCol w:w="1021"/>
      </w:tblGrid>
      <w:tr w14:paraId="0A2D8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964" w:type="dxa"/>
            <w:vAlign w:val="top"/>
          </w:tcPr>
          <w:p w14:paraId="0AC5715D">
            <w:pPr>
              <w:pStyle w:val="6"/>
              <w:spacing w:before="226" w:line="229" w:lineRule="auto"/>
              <w:ind w:left="568"/>
            </w:pPr>
            <w:r>
              <w:rPr>
                <w:b/>
                <w:bCs/>
                <w:spacing w:val="6"/>
              </w:rPr>
              <w:t>监测指标</w:t>
            </w:r>
          </w:p>
        </w:tc>
        <w:tc>
          <w:tcPr>
            <w:tcW w:w="699" w:type="dxa"/>
            <w:vAlign w:val="top"/>
          </w:tcPr>
          <w:p w14:paraId="039DABF3">
            <w:pPr>
              <w:pStyle w:val="6"/>
              <w:spacing w:before="63" w:line="271" w:lineRule="auto"/>
              <w:ind w:left="248" w:right="140" w:hanging="108"/>
            </w:pPr>
            <w:r>
              <w:rPr>
                <w:b/>
                <w:bCs/>
                <w:spacing w:val="4"/>
              </w:rPr>
              <w:t>样本</w:t>
            </w:r>
            <w:r>
              <w:t xml:space="preserve"> </w:t>
            </w:r>
            <w:r>
              <w:rPr>
                <w:b/>
                <w:bCs/>
                <w:spacing w:val="-3"/>
              </w:rPr>
              <w:t>数</w:t>
            </w:r>
          </w:p>
        </w:tc>
        <w:tc>
          <w:tcPr>
            <w:tcW w:w="1075" w:type="dxa"/>
            <w:vAlign w:val="top"/>
          </w:tcPr>
          <w:p w14:paraId="65EC2B25">
            <w:pPr>
              <w:pStyle w:val="6"/>
              <w:spacing w:before="63" w:line="288" w:lineRule="auto"/>
              <w:ind w:left="263" w:right="221" w:hanging="33"/>
              <w:rPr>
                <w:rFonts w:ascii="Times New Roman" w:hAnsi="Times New Roman" w:eastAsia="Times New Roman" w:cs="Times New Roman"/>
              </w:rPr>
            </w:pPr>
            <w:r>
              <w:rPr>
                <w:b/>
                <w:bCs/>
                <w:spacing w:val="4"/>
              </w:rPr>
              <w:t>最大值</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14"/>
              </w:rPr>
              <w:t>/</w:t>
            </w:r>
            <w:r>
              <w:rPr>
                <w:rFonts w:ascii="Times New Roman" w:hAnsi="Times New Roman" w:eastAsia="Times New Roman" w:cs="Times New Roman"/>
                <w:b/>
                <w:bCs/>
              </w:rPr>
              <w:t>kg</w:t>
            </w:r>
          </w:p>
        </w:tc>
        <w:tc>
          <w:tcPr>
            <w:tcW w:w="945" w:type="dxa"/>
            <w:vAlign w:val="top"/>
          </w:tcPr>
          <w:p w14:paraId="00EE8991">
            <w:pPr>
              <w:pStyle w:val="6"/>
              <w:spacing w:before="63" w:line="288" w:lineRule="auto"/>
              <w:ind w:left="198" w:right="156" w:hanging="33"/>
              <w:rPr>
                <w:rFonts w:ascii="Times New Roman" w:hAnsi="Times New Roman" w:eastAsia="Times New Roman" w:cs="Times New Roman"/>
              </w:rPr>
            </w:pPr>
            <w:r>
              <w:rPr>
                <w:b/>
                <w:bCs/>
                <w:spacing w:val="4"/>
              </w:rPr>
              <w:t>最小值</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14"/>
              </w:rPr>
              <w:t>/</w:t>
            </w:r>
            <w:r>
              <w:rPr>
                <w:rFonts w:ascii="Times New Roman" w:hAnsi="Times New Roman" w:eastAsia="Times New Roman" w:cs="Times New Roman"/>
                <w:b/>
                <w:bCs/>
              </w:rPr>
              <w:t>kg</w:t>
            </w:r>
          </w:p>
        </w:tc>
        <w:tc>
          <w:tcPr>
            <w:tcW w:w="1011" w:type="dxa"/>
            <w:vAlign w:val="top"/>
          </w:tcPr>
          <w:p w14:paraId="75B75F57">
            <w:pPr>
              <w:pStyle w:val="6"/>
              <w:spacing w:before="63" w:line="288" w:lineRule="auto"/>
              <w:ind w:left="230" w:right="227" w:firstLine="70"/>
              <w:rPr>
                <w:rFonts w:ascii="Times New Roman" w:hAnsi="Times New Roman" w:eastAsia="Times New Roman" w:cs="Times New Roman"/>
              </w:rPr>
            </w:pPr>
            <w:r>
              <w:rPr>
                <w:b/>
                <w:bCs/>
                <w:spacing w:val="3"/>
              </w:rPr>
              <w:t>均值</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14"/>
              </w:rPr>
              <w:t>/</w:t>
            </w:r>
            <w:r>
              <w:rPr>
                <w:rFonts w:ascii="Times New Roman" w:hAnsi="Times New Roman" w:eastAsia="Times New Roman" w:cs="Times New Roman"/>
                <w:b/>
                <w:bCs/>
              </w:rPr>
              <w:t>kg</w:t>
            </w:r>
          </w:p>
        </w:tc>
        <w:tc>
          <w:tcPr>
            <w:tcW w:w="1010" w:type="dxa"/>
            <w:vAlign w:val="top"/>
          </w:tcPr>
          <w:p w14:paraId="61FC5D67">
            <w:pPr>
              <w:pStyle w:val="6"/>
              <w:spacing w:before="226" w:line="229" w:lineRule="auto"/>
              <w:ind w:left="197"/>
            </w:pPr>
            <w:r>
              <w:rPr>
                <w:b/>
                <w:bCs/>
                <w:spacing w:val="5"/>
              </w:rPr>
              <w:t>标准差</w:t>
            </w:r>
          </w:p>
        </w:tc>
        <w:tc>
          <w:tcPr>
            <w:tcW w:w="1008" w:type="dxa"/>
            <w:vAlign w:val="top"/>
          </w:tcPr>
          <w:p w14:paraId="28324E5F">
            <w:pPr>
              <w:pStyle w:val="6"/>
              <w:spacing w:before="226" w:line="228" w:lineRule="auto"/>
              <w:ind w:left="196"/>
            </w:pPr>
            <w:r>
              <w:rPr>
                <w:b/>
                <w:bCs/>
                <w:spacing w:val="5"/>
              </w:rPr>
              <w:t>检出率</w:t>
            </w:r>
          </w:p>
        </w:tc>
        <w:tc>
          <w:tcPr>
            <w:tcW w:w="1021" w:type="dxa"/>
            <w:vAlign w:val="top"/>
          </w:tcPr>
          <w:p w14:paraId="6F326BDD">
            <w:pPr>
              <w:pStyle w:val="6"/>
              <w:spacing w:before="63" w:line="271" w:lineRule="auto"/>
              <w:ind w:left="304" w:right="85" w:hanging="206"/>
            </w:pPr>
            <w:r>
              <w:rPr>
                <w:b/>
                <w:bCs/>
                <w:spacing w:val="5"/>
              </w:rPr>
              <w:t>最大超标</w:t>
            </w:r>
            <w:r>
              <w:rPr>
                <w:spacing w:val="2"/>
              </w:rPr>
              <w:t xml:space="preserve"> </w:t>
            </w:r>
            <w:r>
              <w:rPr>
                <w:b/>
                <w:bCs/>
                <w:spacing w:val="3"/>
              </w:rPr>
              <w:t>倍数</w:t>
            </w:r>
          </w:p>
        </w:tc>
      </w:tr>
      <w:tr w14:paraId="44E06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6AD053AC">
            <w:pPr>
              <w:pStyle w:val="6"/>
              <w:spacing w:before="95" w:line="229" w:lineRule="auto"/>
              <w:ind w:left="880"/>
            </w:pPr>
            <w:r>
              <w:rPr>
                <w:spacing w:val="1"/>
              </w:rPr>
              <w:t>砷</w:t>
            </w:r>
          </w:p>
        </w:tc>
        <w:tc>
          <w:tcPr>
            <w:tcW w:w="699" w:type="dxa"/>
            <w:vAlign w:val="top"/>
          </w:tcPr>
          <w:p w14:paraId="5ED4A41E">
            <w:pPr>
              <w:spacing w:before="64"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FF0EC74">
            <w:pPr>
              <w:spacing w:before="28"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26.8</w:t>
            </w:r>
          </w:p>
        </w:tc>
        <w:tc>
          <w:tcPr>
            <w:tcW w:w="945" w:type="dxa"/>
            <w:vAlign w:val="top"/>
          </w:tcPr>
          <w:p w14:paraId="7742C1A1">
            <w:pPr>
              <w:spacing w:before="2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14.8</w:t>
            </w:r>
          </w:p>
        </w:tc>
        <w:tc>
          <w:tcPr>
            <w:tcW w:w="1011" w:type="dxa"/>
            <w:vAlign w:val="top"/>
          </w:tcPr>
          <w:p w14:paraId="5C4BC810">
            <w:pPr>
              <w:spacing w:before="28"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16.34</w:t>
            </w:r>
          </w:p>
        </w:tc>
        <w:tc>
          <w:tcPr>
            <w:tcW w:w="1010" w:type="dxa"/>
            <w:vAlign w:val="top"/>
          </w:tcPr>
          <w:p w14:paraId="4CD85380">
            <w:pPr>
              <w:spacing w:before="28"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7.99</w:t>
            </w:r>
          </w:p>
        </w:tc>
        <w:tc>
          <w:tcPr>
            <w:tcW w:w="1008" w:type="dxa"/>
            <w:vAlign w:val="top"/>
          </w:tcPr>
          <w:p w14:paraId="4376AD89">
            <w:pPr>
              <w:spacing w:before="28"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406B0800">
            <w:pPr>
              <w:spacing w:before="28"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D873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0D7A294">
            <w:pPr>
              <w:pStyle w:val="6"/>
              <w:spacing w:before="95" w:line="231" w:lineRule="auto"/>
              <w:ind w:left="880"/>
            </w:pPr>
            <w:r>
              <w:rPr>
                <w:spacing w:val="2"/>
              </w:rPr>
              <w:t>镉</w:t>
            </w:r>
          </w:p>
        </w:tc>
        <w:tc>
          <w:tcPr>
            <w:tcW w:w="699" w:type="dxa"/>
            <w:vAlign w:val="top"/>
          </w:tcPr>
          <w:p w14:paraId="72D17122">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E1C12C7">
            <w:pPr>
              <w:spacing w:before="30"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45" w:type="dxa"/>
            <w:vAlign w:val="top"/>
          </w:tcPr>
          <w:p w14:paraId="031DF703">
            <w:pPr>
              <w:spacing w:before="30"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011" w:type="dxa"/>
            <w:vAlign w:val="top"/>
          </w:tcPr>
          <w:p w14:paraId="39F108EF">
            <w:pPr>
              <w:spacing w:before="30"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010" w:type="dxa"/>
            <w:vAlign w:val="top"/>
          </w:tcPr>
          <w:p w14:paraId="39459D2C">
            <w:pPr>
              <w:spacing w:before="30"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A6650B4">
            <w:pPr>
              <w:spacing w:before="30" w:line="274" w:lineRule="exact"/>
              <w:ind w:left="4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1021" w:type="dxa"/>
            <w:vAlign w:val="top"/>
          </w:tcPr>
          <w:p w14:paraId="65B2A3AC">
            <w:pPr>
              <w:spacing w:before="30"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80E5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6F9DB6C1">
            <w:pPr>
              <w:pStyle w:val="6"/>
              <w:spacing w:before="96" w:line="227" w:lineRule="auto"/>
              <w:ind w:left="460"/>
            </w:pPr>
            <w:r>
              <w:rPr>
                <w:spacing w:val="6"/>
              </w:rPr>
              <w:t>铬（六价）</w:t>
            </w:r>
          </w:p>
        </w:tc>
        <w:tc>
          <w:tcPr>
            <w:tcW w:w="699" w:type="dxa"/>
            <w:vAlign w:val="top"/>
          </w:tcPr>
          <w:p w14:paraId="4BB3BB30">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E17C56D">
            <w:pPr>
              <w:spacing w:before="29"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945" w:type="dxa"/>
            <w:vAlign w:val="top"/>
          </w:tcPr>
          <w:p w14:paraId="1DAD795D">
            <w:pPr>
              <w:spacing w:before="29"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011" w:type="dxa"/>
            <w:vAlign w:val="top"/>
          </w:tcPr>
          <w:p w14:paraId="083B2613">
            <w:pPr>
              <w:spacing w:before="29"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010" w:type="dxa"/>
            <w:vAlign w:val="top"/>
          </w:tcPr>
          <w:p w14:paraId="2E79C5F3">
            <w:pPr>
              <w:spacing w:before="29"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42C0B59">
            <w:pPr>
              <w:spacing w:before="29"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5664B62">
            <w:pPr>
              <w:spacing w:before="29"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BCEF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936D9E0">
            <w:pPr>
              <w:pStyle w:val="6"/>
              <w:spacing w:before="94" w:line="230" w:lineRule="auto"/>
              <w:ind w:left="881"/>
            </w:pPr>
            <w:r>
              <w:t>铜</w:t>
            </w:r>
          </w:p>
        </w:tc>
        <w:tc>
          <w:tcPr>
            <w:tcW w:w="699" w:type="dxa"/>
            <w:vAlign w:val="top"/>
          </w:tcPr>
          <w:p w14:paraId="2112E495">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782AA9E">
            <w:pPr>
              <w:spacing w:before="30" w:line="274"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19.1</w:t>
            </w:r>
          </w:p>
        </w:tc>
        <w:tc>
          <w:tcPr>
            <w:tcW w:w="945" w:type="dxa"/>
            <w:vAlign w:val="top"/>
          </w:tcPr>
          <w:p w14:paraId="13E73971">
            <w:pPr>
              <w:spacing w:before="30"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10.4</w:t>
            </w:r>
          </w:p>
        </w:tc>
        <w:tc>
          <w:tcPr>
            <w:tcW w:w="1011" w:type="dxa"/>
            <w:vAlign w:val="top"/>
          </w:tcPr>
          <w:p w14:paraId="40C58604">
            <w:pPr>
              <w:spacing w:before="30"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16.0</w:t>
            </w:r>
          </w:p>
        </w:tc>
        <w:tc>
          <w:tcPr>
            <w:tcW w:w="1010" w:type="dxa"/>
            <w:vAlign w:val="top"/>
          </w:tcPr>
          <w:p w14:paraId="6ABA0072">
            <w:pPr>
              <w:spacing w:before="30"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3.97</w:t>
            </w:r>
          </w:p>
        </w:tc>
        <w:tc>
          <w:tcPr>
            <w:tcW w:w="1008" w:type="dxa"/>
            <w:vAlign w:val="top"/>
          </w:tcPr>
          <w:p w14:paraId="1961C686">
            <w:pPr>
              <w:spacing w:before="30"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1BBB5EE7">
            <w:pPr>
              <w:spacing w:before="30"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1E9C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E3A18B9">
            <w:pPr>
              <w:pStyle w:val="6"/>
              <w:spacing w:before="95" w:line="233" w:lineRule="auto"/>
              <w:ind w:left="881"/>
            </w:pPr>
            <w:r>
              <w:t>铅</w:t>
            </w:r>
          </w:p>
        </w:tc>
        <w:tc>
          <w:tcPr>
            <w:tcW w:w="699" w:type="dxa"/>
            <w:vAlign w:val="top"/>
          </w:tcPr>
          <w:p w14:paraId="587DD9E1">
            <w:pPr>
              <w:spacing w:before="28"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D7B8C7C">
            <w:pPr>
              <w:spacing w:before="28" w:line="275" w:lineRule="exact"/>
              <w:ind w:left="45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945" w:type="dxa"/>
            <w:vAlign w:val="top"/>
          </w:tcPr>
          <w:p w14:paraId="15C06A2B">
            <w:pPr>
              <w:spacing w:before="28" w:line="275" w:lineRule="exact"/>
              <w:ind w:left="38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011" w:type="dxa"/>
            <w:vAlign w:val="top"/>
          </w:tcPr>
          <w:p w14:paraId="70866EF0">
            <w:pPr>
              <w:spacing w:before="28" w:line="275"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14.33</w:t>
            </w:r>
          </w:p>
        </w:tc>
        <w:tc>
          <w:tcPr>
            <w:tcW w:w="1010" w:type="dxa"/>
            <w:vAlign w:val="top"/>
          </w:tcPr>
          <w:p w14:paraId="1304A4F0">
            <w:pPr>
              <w:spacing w:before="28" w:line="275"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3.09</w:t>
            </w:r>
          </w:p>
        </w:tc>
        <w:tc>
          <w:tcPr>
            <w:tcW w:w="1008" w:type="dxa"/>
            <w:vAlign w:val="top"/>
          </w:tcPr>
          <w:p w14:paraId="5C503B28">
            <w:pPr>
              <w:spacing w:before="28" w:line="275"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1202D3D0">
            <w:pPr>
              <w:spacing w:before="28"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F811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E65FA2E">
            <w:pPr>
              <w:pStyle w:val="6"/>
              <w:spacing w:before="94" w:line="229" w:lineRule="auto"/>
              <w:ind w:left="882"/>
            </w:pPr>
            <w:r>
              <w:t>汞</w:t>
            </w:r>
          </w:p>
        </w:tc>
        <w:tc>
          <w:tcPr>
            <w:tcW w:w="699" w:type="dxa"/>
            <w:vAlign w:val="top"/>
          </w:tcPr>
          <w:p w14:paraId="193C2ADE">
            <w:pPr>
              <w:spacing w:before="29"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A4899F6">
            <w:pPr>
              <w:spacing w:before="29"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0.192</w:t>
            </w:r>
          </w:p>
        </w:tc>
        <w:tc>
          <w:tcPr>
            <w:tcW w:w="945" w:type="dxa"/>
            <w:vAlign w:val="top"/>
          </w:tcPr>
          <w:p w14:paraId="377AFCA9">
            <w:pPr>
              <w:spacing w:before="29" w:line="275"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0.151</w:t>
            </w:r>
          </w:p>
        </w:tc>
        <w:tc>
          <w:tcPr>
            <w:tcW w:w="1011" w:type="dxa"/>
            <w:vAlign w:val="top"/>
          </w:tcPr>
          <w:p w14:paraId="0D9E7AD1">
            <w:pPr>
              <w:spacing w:before="29"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0.170</w:t>
            </w:r>
          </w:p>
        </w:tc>
        <w:tc>
          <w:tcPr>
            <w:tcW w:w="1010" w:type="dxa"/>
            <w:vAlign w:val="top"/>
          </w:tcPr>
          <w:p w14:paraId="5AB4B569">
            <w:pPr>
              <w:spacing w:before="29" w:line="275"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008" w:type="dxa"/>
            <w:vAlign w:val="top"/>
          </w:tcPr>
          <w:p w14:paraId="0BBD2877">
            <w:pPr>
              <w:spacing w:before="29" w:line="275"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59994B7F">
            <w:pPr>
              <w:spacing w:before="29"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FC81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3C5DA58">
            <w:pPr>
              <w:pStyle w:val="6"/>
              <w:spacing w:before="95" w:line="229" w:lineRule="auto"/>
              <w:ind w:left="880"/>
            </w:pPr>
            <w:r>
              <w:rPr>
                <w:spacing w:val="1"/>
              </w:rPr>
              <w:t>镍</w:t>
            </w:r>
          </w:p>
        </w:tc>
        <w:tc>
          <w:tcPr>
            <w:tcW w:w="699" w:type="dxa"/>
            <w:vAlign w:val="top"/>
          </w:tcPr>
          <w:p w14:paraId="6E30F31B">
            <w:pPr>
              <w:spacing w:before="2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D618159">
            <w:pPr>
              <w:spacing w:before="28" w:line="274" w:lineRule="exact"/>
              <w:ind w:left="45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945" w:type="dxa"/>
            <w:vAlign w:val="top"/>
          </w:tcPr>
          <w:p w14:paraId="36407FB9">
            <w:pPr>
              <w:spacing w:before="28" w:line="274" w:lineRule="exact"/>
              <w:ind w:left="4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11" w:type="dxa"/>
            <w:vAlign w:val="top"/>
          </w:tcPr>
          <w:p w14:paraId="15F8A42B">
            <w:pPr>
              <w:spacing w:before="28" w:line="274"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c>
          <w:tcPr>
            <w:tcW w:w="1010" w:type="dxa"/>
            <w:vAlign w:val="top"/>
          </w:tcPr>
          <w:p w14:paraId="26D79BCE">
            <w:pPr>
              <w:spacing w:before="28" w:line="274"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1008" w:type="dxa"/>
            <w:vAlign w:val="top"/>
          </w:tcPr>
          <w:p w14:paraId="55D4C57D">
            <w:pPr>
              <w:spacing w:before="28"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46025D5C">
            <w:pPr>
              <w:spacing w:before="28"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3278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45593168">
            <w:pPr>
              <w:pStyle w:val="6"/>
              <w:spacing w:before="96" w:line="229" w:lineRule="auto"/>
              <w:ind w:left="586"/>
            </w:pPr>
            <w:r>
              <w:rPr>
                <w:spacing w:val="2"/>
              </w:rPr>
              <w:t>四氯化碳</w:t>
            </w:r>
          </w:p>
        </w:tc>
        <w:tc>
          <w:tcPr>
            <w:tcW w:w="699" w:type="dxa"/>
            <w:vAlign w:val="top"/>
          </w:tcPr>
          <w:p w14:paraId="38E7F197">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EEDB76D">
            <w:pPr>
              <w:spacing w:before="65"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945" w:type="dxa"/>
            <w:vAlign w:val="top"/>
          </w:tcPr>
          <w:p w14:paraId="77E5C38E">
            <w:pPr>
              <w:spacing w:before="65"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1011" w:type="dxa"/>
            <w:vAlign w:val="top"/>
          </w:tcPr>
          <w:p w14:paraId="7332E1C8">
            <w:pPr>
              <w:spacing w:before="65"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1010" w:type="dxa"/>
            <w:vAlign w:val="top"/>
          </w:tcPr>
          <w:p w14:paraId="6C67C02A">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E7DB40B">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2B27FBB">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6702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9B1545E">
            <w:pPr>
              <w:pStyle w:val="6"/>
              <w:spacing w:before="62" w:line="229" w:lineRule="auto"/>
              <w:ind w:left="781"/>
            </w:pPr>
            <w:r>
              <w:rPr>
                <w:spacing w:val="3"/>
              </w:rPr>
              <w:t>氯仿</w:t>
            </w:r>
          </w:p>
        </w:tc>
        <w:tc>
          <w:tcPr>
            <w:tcW w:w="699" w:type="dxa"/>
            <w:vAlign w:val="top"/>
          </w:tcPr>
          <w:p w14:paraId="1214146D">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249B5ED">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274D4B93">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0BC090F6">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0A869B6C">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46BD21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61040FB">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3934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EF914C1">
            <w:pPr>
              <w:pStyle w:val="6"/>
              <w:spacing w:before="61" w:line="229" w:lineRule="auto"/>
              <w:ind w:left="676"/>
            </w:pPr>
            <w:r>
              <w:rPr>
                <w:spacing w:val="5"/>
              </w:rPr>
              <w:t>氯甲烷</w:t>
            </w:r>
          </w:p>
        </w:tc>
        <w:tc>
          <w:tcPr>
            <w:tcW w:w="699" w:type="dxa"/>
            <w:vAlign w:val="top"/>
          </w:tcPr>
          <w:p w14:paraId="5D30FFBB">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145321A">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42472A47">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1A4E475A">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1F5B8A97">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B62C5DE">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B1ECF34">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479F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155F4D0">
            <w:pPr>
              <w:pStyle w:val="6"/>
              <w:spacing w:before="31" w:line="274" w:lineRule="exact"/>
              <w:ind w:left="41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699" w:type="dxa"/>
            <w:vAlign w:val="top"/>
          </w:tcPr>
          <w:p w14:paraId="082983FC">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69E638B">
            <w:pPr>
              <w:spacing w:before="64"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33774DD9">
            <w:pPr>
              <w:spacing w:before="64"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655BBB5C">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3212E4B0">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946F3D2">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DBBC156">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A033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CD5015A">
            <w:pPr>
              <w:pStyle w:val="6"/>
              <w:spacing w:before="29" w:line="274" w:lineRule="exact"/>
              <w:ind w:left="418"/>
            </w:pPr>
            <w:r>
              <w:rPr>
                <w:rFonts w:ascii="Times New Roman" w:hAnsi="Times New Roman" w:eastAsia="Times New Roman" w:cs="Times New Roman"/>
                <w:spacing w:val="3"/>
                <w:position w:val="2"/>
              </w:rPr>
              <w:t>1,2-</w:t>
            </w:r>
            <w:r>
              <w:rPr>
                <w:spacing w:val="3"/>
                <w:position w:val="2"/>
              </w:rPr>
              <w:t>二氯乙烷</w:t>
            </w:r>
          </w:p>
        </w:tc>
        <w:tc>
          <w:tcPr>
            <w:tcW w:w="699" w:type="dxa"/>
            <w:vAlign w:val="top"/>
          </w:tcPr>
          <w:p w14:paraId="6D93A8D3">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E9F67DC">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945" w:type="dxa"/>
            <w:vAlign w:val="top"/>
          </w:tcPr>
          <w:p w14:paraId="2FF85C22">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1" w:type="dxa"/>
            <w:vAlign w:val="top"/>
          </w:tcPr>
          <w:p w14:paraId="12F1B012">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0" w:type="dxa"/>
            <w:vAlign w:val="top"/>
          </w:tcPr>
          <w:p w14:paraId="2D8876AE">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CFC0AC1">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B4B0243">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05C40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8578735">
            <w:pPr>
              <w:pStyle w:val="6"/>
              <w:spacing w:before="30" w:line="274" w:lineRule="exact"/>
              <w:ind w:left="41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699" w:type="dxa"/>
            <w:vAlign w:val="top"/>
          </w:tcPr>
          <w:p w14:paraId="661C0583">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44460DA">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945" w:type="dxa"/>
            <w:vAlign w:val="top"/>
          </w:tcPr>
          <w:p w14:paraId="03B4ECAA">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1011" w:type="dxa"/>
            <w:vAlign w:val="top"/>
          </w:tcPr>
          <w:p w14:paraId="6A7FCFE2">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1010" w:type="dxa"/>
            <w:vAlign w:val="top"/>
          </w:tcPr>
          <w:p w14:paraId="41FF6739">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6F06F46">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0C363423">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8566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AA29BDE">
            <w:pPr>
              <w:pStyle w:val="6"/>
              <w:spacing w:before="65" w:line="274" w:lineRule="exact"/>
              <w:ind w:left="157"/>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699" w:type="dxa"/>
            <w:vAlign w:val="top"/>
          </w:tcPr>
          <w:p w14:paraId="1D2DF6D4">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9302108">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2059F96C">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3F41043E">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1B0037A4">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30845A7">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3DDF723">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EE29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5831703">
            <w:pPr>
              <w:pStyle w:val="6"/>
              <w:spacing w:before="30" w:line="274" w:lineRule="exact"/>
              <w:ind w:left="157"/>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699" w:type="dxa"/>
            <w:vAlign w:val="top"/>
          </w:tcPr>
          <w:p w14:paraId="0F402150">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BF684DB">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1E3EDC10">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54ACE3F5">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44011E1F">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34D6A7EB">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9DC3D45">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55F9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C3014A0">
            <w:pPr>
              <w:pStyle w:val="6"/>
              <w:spacing w:before="62" w:line="229" w:lineRule="auto"/>
              <w:ind w:left="570"/>
            </w:pPr>
            <w:r>
              <w:rPr>
                <w:spacing w:val="6"/>
              </w:rPr>
              <w:t>二氯甲烷</w:t>
            </w:r>
          </w:p>
        </w:tc>
        <w:tc>
          <w:tcPr>
            <w:tcW w:w="699" w:type="dxa"/>
            <w:vAlign w:val="top"/>
          </w:tcPr>
          <w:p w14:paraId="4BA74349">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2C8BA10">
            <w:pPr>
              <w:spacing w:before="64"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w:t>
            </w:r>
          </w:p>
        </w:tc>
        <w:tc>
          <w:tcPr>
            <w:tcW w:w="945" w:type="dxa"/>
            <w:vAlign w:val="top"/>
          </w:tcPr>
          <w:p w14:paraId="3160D9C7">
            <w:pPr>
              <w:spacing w:before="64"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w:t>
            </w:r>
          </w:p>
        </w:tc>
        <w:tc>
          <w:tcPr>
            <w:tcW w:w="1011" w:type="dxa"/>
            <w:vAlign w:val="top"/>
          </w:tcPr>
          <w:p w14:paraId="6E33397D">
            <w:pPr>
              <w:spacing w:before="64"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w:t>
            </w:r>
          </w:p>
        </w:tc>
        <w:tc>
          <w:tcPr>
            <w:tcW w:w="1010" w:type="dxa"/>
            <w:vAlign w:val="top"/>
          </w:tcPr>
          <w:p w14:paraId="1C5EDC4A">
            <w:pPr>
              <w:spacing w:before="64"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A51A9FF">
            <w:pPr>
              <w:spacing w:before="64"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4C2CC9C">
            <w:pPr>
              <w:spacing w:before="64"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00C4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03248C7">
            <w:pPr>
              <w:pStyle w:val="6"/>
              <w:spacing w:before="29" w:line="275" w:lineRule="exact"/>
              <w:ind w:left="418"/>
            </w:pPr>
            <w:r>
              <w:rPr>
                <w:rFonts w:ascii="Times New Roman" w:hAnsi="Times New Roman" w:eastAsia="Times New Roman" w:cs="Times New Roman"/>
                <w:spacing w:val="3"/>
                <w:position w:val="2"/>
              </w:rPr>
              <w:t>1,2-</w:t>
            </w:r>
            <w:r>
              <w:rPr>
                <w:spacing w:val="3"/>
                <w:position w:val="2"/>
              </w:rPr>
              <w:t>二氯丙烷</w:t>
            </w:r>
          </w:p>
        </w:tc>
        <w:tc>
          <w:tcPr>
            <w:tcW w:w="699" w:type="dxa"/>
            <w:vAlign w:val="top"/>
          </w:tcPr>
          <w:p w14:paraId="4B50AE71">
            <w:pPr>
              <w:spacing w:before="29"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E868C3C">
            <w:pPr>
              <w:spacing w:before="65"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w:t>
            </w:r>
          </w:p>
        </w:tc>
        <w:tc>
          <w:tcPr>
            <w:tcW w:w="945" w:type="dxa"/>
            <w:vAlign w:val="top"/>
          </w:tcPr>
          <w:p w14:paraId="44EF7B31">
            <w:pPr>
              <w:spacing w:before="65" w:line="275"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1" w:type="dxa"/>
            <w:vAlign w:val="top"/>
          </w:tcPr>
          <w:p w14:paraId="58D2B909">
            <w:pPr>
              <w:spacing w:before="65"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0" w:type="dxa"/>
            <w:vAlign w:val="top"/>
          </w:tcPr>
          <w:p w14:paraId="1291D22F">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9E980DE">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0A65F18">
            <w:pPr>
              <w:spacing w:before="65"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0112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107BA764">
            <w:pPr>
              <w:pStyle w:val="6"/>
              <w:spacing w:before="30" w:line="275" w:lineRule="exact"/>
              <w:ind w:left="262"/>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7"/>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699" w:type="dxa"/>
            <w:vAlign w:val="top"/>
          </w:tcPr>
          <w:p w14:paraId="3D6958D4">
            <w:pPr>
              <w:spacing w:before="30"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8AC7693">
            <w:pPr>
              <w:spacing w:before="64"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2EBFC003">
            <w:pPr>
              <w:spacing w:before="64"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38144EBA">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2C1389B8">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33648B7">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BF171B1">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7FB6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91D741C">
            <w:pPr>
              <w:pStyle w:val="6"/>
              <w:spacing w:before="29" w:line="274" w:lineRule="exact"/>
              <w:ind w:left="262"/>
            </w:pPr>
            <w:r>
              <w:rPr>
                <w:rFonts w:ascii="Times New Roman" w:hAnsi="Times New Roman" w:eastAsia="Times New Roman" w:cs="Times New Roman"/>
                <w:spacing w:val="1"/>
                <w:position w:val="2"/>
              </w:rPr>
              <w:t>1,</w:t>
            </w:r>
            <w:r>
              <w:rPr>
                <w:rFonts w:ascii="Times New Roman" w:hAnsi="Times New Roman" w:eastAsia="Times New Roman" w:cs="Times New Roman"/>
                <w:spacing w:val="-21"/>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699" w:type="dxa"/>
            <w:vAlign w:val="top"/>
          </w:tcPr>
          <w:p w14:paraId="27D4E352">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4C82505">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40A96606">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6299A902">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669ABEF2">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2850E00">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2907F388">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7252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1EFE3290">
            <w:pPr>
              <w:pStyle w:val="6"/>
              <w:spacing w:before="61" w:line="228" w:lineRule="auto"/>
              <w:ind w:left="586"/>
            </w:pPr>
            <w:r>
              <w:rPr>
                <w:spacing w:val="2"/>
              </w:rPr>
              <w:t>四氯乙烯</w:t>
            </w:r>
          </w:p>
        </w:tc>
        <w:tc>
          <w:tcPr>
            <w:tcW w:w="699" w:type="dxa"/>
            <w:vAlign w:val="top"/>
          </w:tcPr>
          <w:p w14:paraId="79520DFC">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0BD91D9">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0.0027</w:t>
            </w:r>
          </w:p>
        </w:tc>
        <w:tc>
          <w:tcPr>
            <w:tcW w:w="945" w:type="dxa"/>
            <w:vAlign w:val="top"/>
          </w:tcPr>
          <w:p w14:paraId="12291DF0">
            <w:pPr>
              <w:spacing w:before="30"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w:t>
            </w:r>
          </w:p>
        </w:tc>
        <w:tc>
          <w:tcPr>
            <w:tcW w:w="1011" w:type="dxa"/>
            <w:vAlign w:val="top"/>
          </w:tcPr>
          <w:p w14:paraId="72FDE758">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0.0022</w:t>
            </w:r>
          </w:p>
        </w:tc>
        <w:tc>
          <w:tcPr>
            <w:tcW w:w="1010" w:type="dxa"/>
            <w:vAlign w:val="top"/>
          </w:tcPr>
          <w:p w14:paraId="5E598D6B">
            <w:pPr>
              <w:spacing w:before="30"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0.00038</w:t>
            </w:r>
          </w:p>
        </w:tc>
        <w:tc>
          <w:tcPr>
            <w:tcW w:w="1008" w:type="dxa"/>
            <w:vAlign w:val="top"/>
          </w:tcPr>
          <w:p w14:paraId="63C8026A">
            <w:pPr>
              <w:spacing w:before="30"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4BA58088">
            <w:pPr>
              <w:spacing w:before="30"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C6CD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505091E">
            <w:pPr>
              <w:pStyle w:val="6"/>
              <w:spacing w:before="65" w:line="274" w:lineRule="exact"/>
              <w:ind w:left="341"/>
            </w:pPr>
            <w:r>
              <w:rPr>
                <w:rFonts w:ascii="Times New Roman" w:hAnsi="Times New Roman" w:eastAsia="Times New Roman" w:cs="Times New Roman"/>
                <w:spacing w:val="-2"/>
                <w:position w:val="2"/>
              </w:rPr>
              <w:t>1,</w:t>
            </w:r>
            <w:r>
              <w:rPr>
                <w:rFonts w:ascii="Times New Roman" w:hAnsi="Times New Roman" w:eastAsia="Times New Roman" w:cs="Times New Roman"/>
                <w:spacing w:val="-23"/>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699" w:type="dxa"/>
            <w:vAlign w:val="top"/>
          </w:tcPr>
          <w:p w14:paraId="091C9DB3">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CAB47E6">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5FFE5D67">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618C4BD3">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3FCD2CE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6F48C0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378DD5F">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621B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781CC75">
            <w:pPr>
              <w:pStyle w:val="6"/>
              <w:spacing w:before="30" w:line="274" w:lineRule="exact"/>
              <w:ind w:left="341"/>
            </w:pPr>
            <w:r>
              <w:rPr>
                <w:rFonts w:ascii="Times New Roman" w:hAnsi="Times New Roman" w:eastAsia="Times New Roman" w:cs="Times New Roman"/>
                <w:position w:val="2"/>
              </w:rPr>
              <w:t>1,</w:t>
            </w:r>
            <w:r>
              <w:rPr>
                <w:rFonts w:ascii="Times New Roman" w:hAnsi="Times New Roman" w:eastAsia="Times New Roman" w:cs="Times New Roman"/>
                <w:spacing w:val="-18"/>
                <w:position w:val="2"/>
              </w:rPr>
              <w:t xml:space="preserve"> </w:t>
            </w:r>
            <w:r>
              <w:rPr>
                <w:rFonts w:ascii="Times New Roman" w:hAnsi="Times New Roman" w:eastAsia="Times New Roman" w:cs="Times New Roman"/>
                <w:position w:val="2"/>
              </w:rPr>
              <w:t>1,2-</w:t>
            </w:r>
            <w:r>
              <w:rPr>
                <w:position w:val="2"/>
              </w:rPr>
              <w:t>三氯乙烷</w:t>
            </w:r>
          </w:p>
        </w:tc>
        <w:tc>
          <w:tcPr>
            <w:tcW w:w="699" w:type="dxa"/>
            <w:vAlign w:val="top"/>
          </w:tcPr>
          <w:p w14:paraId="47ABD730">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1C4E208">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945" w:type="dxa"/>
            <w:vAlign w:val="top"/>
          </w:tcPr>
          <w:p w14:paraId="7FBE8DD0">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1" w:type="dxa"/>
            <w:vAlign w:val="top"/>
          </w:tcPr>
          <w:p w14:paraId="4861392F">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0" w:type="dxa"/>
            <w:vAlign w:val="top"/>
          </w:tcPr>
          <w:p w14:paraId="1EBF6C96">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0304E4E">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E4387B3">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1C67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26ED7947">
            <w:pPr>
              <w:pStyle w:val="6"/>
              <w:spacing w:before="62" w:line="228" w:lineRule="auto"/>
              <w:ind w:left="567"/>
            </w:pPr>
            <w:r>
              <w:rPr>
                <w:spacing w:val="7"/>
              </w:rPr>
              <w:t>三氯乙烯</w:t>
            </w:r>
          </w:p>
        </w:tc>
        <w:tc>
          <w:tcPr>
            <w:tcW w:w="699" w:type="dxa"/>
            <w:vAlign w:val="top"/>
          </w:tcPr>
          <w:p w14:paraId="14B1B3C6">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9B999E6">
            <w:pPr>
              <w:spacing w:before="64"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0901B727">
            <w:pPr>
              <w:spacing w:before="64"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57A7FDE5">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7EDACB1E">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DEAFEEE">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F1466A6">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D423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EF004D4">
            <w:pPr>
              <w:pStyle w:val="6"/>
              <w:spacing w:before="30" w:line="274" w:lineRule="exact"/>
              <w:ind w:left="341"/>
            </w:pPr>
            <w:r>
              <w:rPr>
                <w:rFonts w:ascii="Times New Roman" w:hAnsi="Times New Roman" w:eastAsia="Times New Roman" w:cs="Times New Roman"/>
                <w:spacing w:val="3"/>
                <w:position w:val="2"/>
              </w:rPr>
              <w:t>1,2,3-</w:t>
            </w:r>
            <w:r>
              <w:rPr>
                <w:spacing w:val="3"/>
                <w:position w:val="2"/>
              </w:rPr>
              <w:t>三氯丙烷</w:t>
            </w:r>
          </w:p>
        </w:tc>
        <w:tc>
          <w:tcPr>
            <w:tcW w:w="699" w:type="dxa"/>
            <w:vAlign w:val="top"/>
          </w:tcPr>
          <w:p w14:paraId="7FA73554">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077ED62">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59635D1B">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68CD316F">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44C5C5AC">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FF34EFF">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251BC738">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BFD8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4DA5F6AD">
            <w:pPr>
              <w:pStyle w:val="6"/>
              <w:spacing w:before="62" w:line="228" w:lineRule="auto"/>
              <w:ind w:left="676"/>
            </w:pPr>
            <w:r>
              <w:rPr>
                <w:spacing w:val="5"/>
              </w:rPr>
              <w:t>氯乙烯</w:t>
            </w:r>
          </w:p>
        </w:tc>
        <w:tc>
          <w:tcPr>
            <w:tcW w:w="699" w:type="dxa"/>
            <w:vAlign w:val="top"/>
          </w:tcPr>
          <w:p w14:paraId="12FB52F5">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B502E53">
            <w:pPr>
              <w:spacing w:before="67"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474FDD35">
            <w:pPr>
              <w:spacing w:before="67"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57F0BE82">
            <w:pPr>
              <w:spacing w:before="67"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266C9C93">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747F683">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47B0AFC2">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C2D8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2BB4371">
            <w:pPr>
              <w:pStyle w:val="6"/>
              <w:spacing w:before="64" w:line="228" w:lineRule="auto"/>
              <w:ind w:left="884"/>
            </w:pPr>
            <w:r>
              <w:t>苯</w:t>
            </w:r>
          </w:p>
        </w:tc>
        <w:tc>
          <w:tcPr>
            <w:tcW w:w="699" w:type="dxa"/>
            <w:vAlign w:val="top"/>
          </w:tcPr>
          <w:p w14:paraId="1D59D086">
            <w:pPr>
              <w:spacing w:before="33"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437D387">
            <w:pPr>
              <w:spacing w:before="67"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03437ECA">
            <w:pPr>
              <w:spacing w:before="67"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04B4FCED">
            <w:pPr>
              <w:spacing w:before="67"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4414C674">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F27A247">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DAC5B66">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E7E3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4C99FFBD">
            <w:pPr>
              <w:pStyle w:val="6"/>
              <w:spacing w:before="62" w:line="228" w:lineRule="auto"/>
              <w:ind w:left="781"/>
            </w:pPr>
            <w:r>
              <w:rPr>
                <w:spacing w:val="3"/>
              </w:rPr>
              <w:t>氯苯</w:t>
            </w:r>
          </w:p>
        </w:tc>
        <w:tc>
          <w:tcPr>
            <w:tcW w:w="699" w:type="dxa"/>
            <w:vAlign w:val="top"/>
          </w:tcPr>
          <w:p w14:paraId="1BD8B116">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40C2643F">
            <w:pPr>
              <w:spacing w:before="68"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050FE2A3">
            <w:pPr>
              <w:spacing w:before="68"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18DD23A3">
            <w:pPr>
              <w:spacing w:before="68"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76CDC64F">
            <w:pPr>
              <w:spacing w:before="68"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BA2F945">
            <w:pPr>
              <w:spacing w:before="68"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2C37C8DE">
            <w:pPr>
              <w:spacing w:before="68"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7EEF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964" w:type="dxa"/>
            <w:vAlign w:val="top"/>
          </w:tcPr>
          <w:p w14:paraId="661B3BA5">
            <w:pPr>
              <w:pStyle w:val="6"/>
              <w:spacing w:before="33" w:line="274" w:lineRule="exact"/>
              <w:ind w:left="523"/>
            </w:pPr>
            <w:r>
              <w:rPr>
                <w:rFonts w:ascii="Times New Roman" w:hAnsi="Times New Roman" w:eastAsia="Times New Roman" w:cs="Times New Roman"/>
                <w:spacing w:val="2"/>
                <w:position w:val="2"/>
              </w:rPr>
              <w:t>1,2-</w:t>
            </w:r>
            <w:r>
              <w:rPr>
                <w:spacing w:val="2"/>
                <w:position w:val="2"/>
              </w:rPr>
              <w:t>二氯苯</w:t>
            </w:r>
          </w:p>
        </w:tc>
        <w:tc>
          <w:tcPr>
            <w:tcW w:w="699" w:type="dxa"/>
            <w:vAlign w:val="top"/>
          </w:tcPr>
          <w:p w14:paraId="137ABC6E">
            <w:pPr>
              <w:spacing w:before="33"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856E417">
            <w:pPr>
              <w:spacing w:before="66"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6AE7661F">
            <w:pPr>
              <w:spacing w:before="66"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0204601C">
            <w:pPr>
              <w:spacing w:before="66"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05EDF248">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32FAD72">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438A139">
            <w:pPr>
              <w:spacing w:before="66"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bl>
    <w:p w14:paraId="74389919">
      <w:pPr>
        <w:pStyle w:val="2"/>
      </w:pPr>
    </w:p>
    <w:p w14:paraId="7137FF55">
      <w:pPr>
        <w:sectPr>
          <w:footerReference r:id="rId114" w:type="default"/>
          <w:pgSz w:w="11906" w:h="16839"/>
          <w:pgMar w:top="400" w:right="1641" w:bottom="1485" w:left="1526" w:header="0" w:footer="1249" w:gutter="0"/>
          <w:cols w:space="720" w:num="1"/>
        </w:sectPr>
      </w:pPr>
    </w:p>
    <w:p w14:paraId="3E838CC1">
      <w:pPr>
        <w:spacing w:before="13"/>
      </w:pPr>
    </w:p>
    <w:p w14:paraId="6E743AF0">
      <w:pPr>
        <w:spacing w:before="13"/>
      </w:pPr>
    </w:p>
    <w:p w14:paraId="09CE5676">
      <w:pPr>
        <w:spacing w:before="13"/>
      </w:pPr>
    </w:p>
    <w:p w14:paraId="04797AF5">
      <w:pPr>
        <w:spacing w:before="13"/>
      </w:pPr>
    </w:p>
    <w:tbl>
      <w:tblPr>
        <w:tblStyle w:val="5"/>
        <w:tblW w:w="87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4"/>
        <w:gridCol w:w="699"/>
        <w:gridCol w:w="1075"/>
        <w:gridCol w:w="945"/>
        <w:gridCol w:w="1011"/>
        <w:gridCol w:w="1010"/>
        <w:gridCol w:w="1008"/>
        <w:gridCol w:w="1021"/>
      </w:tblGrid>
      <w:tr w14:paraId="4DDE3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64" w:type="dxa"/>
            <w:vAlign w:val="top"/>
          </w:tcPr>
          <w:p w14:paraId="4DEE5855">
            <w:pPr>
              <w:pStyle w:val="6"/>
              <w:spacing w:before="33" w:line="274" w:lineRule="exact"/>
              <w:ind w:left="523"/>
            </w:pPr>
            <w:r>
              <w:rPr>
                <w:rFonts w:ascii="Times New Roman" w:hAnsi="Times New Roman" w:eastAsia="Times New Roman" w:cs="Times New Roman"/>
                <w:spacing w:val="2"/>
                <w:position w:val="2"/>
              </w:rPr>
              <w:t>1,4-</w:t>
            </w:r>
            <w:r>
              <w:rPr>
                <w:spacing w:val="2"/>
                <w:position w:val="2"/>
              </w:rPr>
              <w:t>二氯苯</w:t>
            </w:r>
          </w:p>
        </w:tc>
        <w:tc>
          <w:tcPr>
            <w:tcW w:w="699" w:type="dxa"/>
            <w:vAlign w:val="top"/>
          </w:tcPr>
          <w:p w14:paraId="123CD4F9">
            <w:pPr>
              <w:spacing w:before="33"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C9958A1">
            <w:pPr>
              <w:spacing w:before="66"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5A49047F">
            <w:pPr>
              <w:spacing w:before="66"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05133FE6">
            <w:pPr>
              <w:spacing w:before="66"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32320359">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88A710A">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413AF1D">
            <w:pPr>
              <w:spacing w:before="66"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999C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5DE3A7AF">
            <w:pPr>
              <w:pStyle w:val="6"/>
              <w:spacing w:before="58" w:line="228" w:lineRule="auto"/>
              <w:ind w:left="795"/>
            </w:pPr>
            <w:r>
              <w:rPr>
                <w:spacing w:val="-4"/>
              </w:rPr>
              <w:t>乙苯</w:t>
            </w:r>
          </w:p>
        </w:tc>
        <w:tc>
          <w:tcPr>
            <w:tcW w:w="699" w:type="dxa"/>
            <w:vAlign w:val="top"/>
          </w:tcPr>
          <w:p w14:paraId="61379F36">
            <w:pPr>
              <w:spacing w:before="27"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CA77D11">
            <w:pPr>
              <w:spacing w:before="63"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01082BD9">
            <w:pPr>
              <w:spacing w:before="63"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2F68DA0D">
            <w:pPr>
              <w:spacing w:before="63"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61FBE538">
            <w:pPr>
              <w:spacing w:before="63"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5C482DCB">
            <w:pPr>
              <w:spacing w:before="63"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A70F21E">
            <w:pPr>
              <w:spacing w:before="63"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21CD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EC1A426">
            <w:pPr>
              <w:pStyle w:val="6"/>
              <w:spacing w:before="60" w:line="228" w:lineRule="auto"/>
              <w:ind w:left="675"/>
            </w:pPr>
            <w:r>
              <w:rPr>
                <w:spacing w:val="6"/>
              </w:rPr>
              <w:t>苯乙烯</w:t>
            </w:r>
          </w:p>
        </w:tc>
        <w:tc>
          <w:tcPr>
            <w:tcW w:w="699" w:type="dxa"/>
            <w:vAlign w:val="top"/>
          </w:tcPr>
          <w:p w14:paraId="5B63D2F0">
            <w:pPr>
              <w:spacing w:before="29"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8853680">
            <w:pPr>
              <w:spacing w:before="6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67752114">
            <w:pPr>
              <w:spacing w:before="63"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4156C2A1">
            <w:pPr>
              <w:spacing w:before="63"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1B3845C4">
            <w:pPr>
              <w:spacing w:before="6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8516F75">
            <w:pPr>
              <w:spacing w:before="6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76AC1F2">
            <w:pPr>
              <w:spacing w:before="63"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2585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E028AE9">
            <w:pPr>
              <w:pStyle w:val="6"/>
              <w:spacing w:before="58" w:line="228" w:lineRule="auto"/>
              <w:ind w:left="805"/>
            </w:pPr>
            <w:r>
              <w:rPr>
                <w:spacing w:val="-9"/>
              </w:rPr>
              <w:t>甲苯</w:t>
            </w:r>
          </w:p>
        </w:tc>
        <w:tc>
          <w:tcPr>
            <w:tcW w:w="699" w:type="dxa"/>
            <w:vAlign w:val="top"/>
          </w:tcPr>
          <w:p w14:paraId="76367B5B">
            <w:pPr>
              <w:spacing w:before="2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5E302DA">
            <w:pPr>
              <w:spacing w:before="64"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w:t>
            </w:r>
          </w:p>
        </w:tc>
        <w:tc>
          <w:tcPr>
            <w:tcW w:w="945" w:type="dxa"/>
            <w:vAlign w:val="top"/>
          </w:tcPr>
          <w:p w14:paraId="6F96C26E">
            <w:pPr>
              <w:spacing w:before="64"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1" w:type="dxa"/>
            <w:vAlign w:val="top"/>
          </w:tcPr>
          <w:p w14:paraId="6628091E">
            <w:pPr>
              <w:spacing w:before="64"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0" w:type="dxa"/>
            <w:vAlign w:val="top"/>
          </w:tcPr>
          <w:p w14:paraId="08974CC0">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5CF41AF4">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999FAA5">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D80F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43FFD930">
            <w:pPr>
              <w:pStyle w:val="6"/>
              <w:spacing w:before="59" w:line="228" w:lineRule="auto"/>
              <w:ind w:left="106"/>
            </w:pPr>
            <w:r>
              <w:rPr>
                <w:spacing w:val="6"/>
              </w:rPr>
              <w:t>间二甲苯</w:t>
            </w:r>
            <w:r>
              <w:rPr>
                <w:rFonts w:ascii="Times New Roman" w:hAnsi="Times New Roman" w:eastAsia="Times New Roman" w:cs="Times New Roman"/>
                <w:spacing w:val="6"/>
              </w:rPr>
              <w:t>+</w:t>
            </w:r>
            <w:r>
              <w:rPr>
                <w:spacing w:val="6"/>
              </w:rPr>
              <w:t>对二甲苯</w:t>
            </w:r>
          </w:p>
        </w:tc>
        <w:tc>
          <w:tcPr>
            <w:tcW w:w="699" w:type="dxa"/>
            <w:vAlign w:val="top"/>
          </w:tcPr>
          <w:p w14:paraId="1DC51FB4">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949A8D2">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945" w:type="dxa"/>
            <w:vAlign w:val="top"/>
          </w:tcPr>
          <w:p w14:paraId="70519BF0">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1011" w:type="dxa"/>
            <w:vAlign w:val="top"/>
          </w:tcPr>
          <w:p w14:paraId="4EBB6BBC">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1010" w:type="dxa"/>
            <w:vAlign w:val="top"/>
          </w:tcPr>
          <w:p w14:paraId="5301DF45">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BD9F55A">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DD0C78C">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052EF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63361FB0">
            <w:pPr>
              <w:pStyle w:val="6"/>
              <w:spacing w:before="61" w:line="228" w:lineRule="auto"/>
              <w:ind w:left="566"/>
            </w:pPr>
            <w:r>
              <w:rPr>
                <w:spacing w:val="7"/>
              </w:rPr>
              <w:t>邻二甲苯</w:t>
            </w:r>
          </w:p>
        </w:tc>
        <w:tc>
          <w:tcPr>
            <w:tcW w:w="699" w:type="dxa"/>
            <w:vAlign w:val="top"/>
          </w:tcPr>
          <w:p w14:paraId="64538174">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53742FB">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945" w:type="dxa"/>
            <w:vAlign w:val="top"/>
          </w:tcPr>
          <w:p w14:paraId="020486A3">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1" w:type="dxa"/>
            <w:vAlign w:val="top"/>
          </w:tcPr>
          <w:p w14:paraId="736DB03E">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0" w:type="dxa"/>
            <w:vAlign w:val="top"/>
          </w:tcPr>
          <w:p w14:paraId="277E2313">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B0C9E20">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934D90C">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6C37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B02EA18">
            <w:pPr>
              <w:pStyle w:val="6"/>
              <w:spacing w:before="61" w:line="228" w:lineRule="auto"/>
              <w:ind w:left="674"/>
            </w:pPr>
            <w:r>
              <w:rPr>
                <w:spacing w:val="6"/>
              </w:rPr>
              <w:t>硝基苯</w:t>
            </w:r>
          </w:p>
        </w:tc>
        <w:tc>
          <w:tcPr>
            <w:tcW w:w="699" w:type="dxa"/>
            <w:vAlign w:val="top"/>
          </w:tcPr>
          <w:p w14:paraId="47E023A6">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DC1EEE7">
            <w:pPr>
              <w:spacing w:before="67"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945" w:type="dxa"/>
            <w:vAlign w:val="top"/>
          </w:tcPr>
          <w:p w14:paraId="337E2A63">
            <w:pPr>
              <w:spacing w:before="67"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1" w:type="dxa"/>
            <w:vAlign w:val="top"/>
          </w:tcPr>
          <w:p w14:paraId="6FCF1C21">
            <w:pPr>
              <w:spacing w:before="6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0" w:type="dxa"/>
            <w:vAlign w:val="top"/>
          </w:tcPr>
          <w:p w14:paraId="557B8C9B">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3A138342">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9E18E07">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9AD2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819D3B2">
            <w:pPr>
              <w:pStyle w:val="6"/>
              <w:spacing w:before="62" w:line="228" w:lineRule="auto"/>
              <w:ind w:left="781"/>
            </w:pPr>
            <w:r>
              <w:rPr>
                <w:spacing w:val="3"/>
              </w:rPr>
              <w:t>苯胺</w:t>
            </w:r>
          </w:p>
        </w:tc>
        <w:tc>
          <w:tcPr>
            <w:tcW w:w="699" w:type="dxa"/>
            <w:vAlign w:val="top"/>
          </w:tcPr>
          <w:p w14:paraId="13D59AD2">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49BF4433">
            <w:pPr>
              <w:spacing w:before="65"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945" w:type="dxa"/>
            <w:vAlign w:val="top"/>
          </w:tcPr>
          <w:p w14:paraId="11213035">
            <w:pPr>
              <w:spacing w:before="65"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011" w:type="dxa"/>
            <w:vAlign w:val="top"/>
          </w:tcPr>
          <w:p w14:paraId="217FD990">
            <w:pPr>
              <w:spacing w:before="65"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010" w:type="dxa"/>
            <w:vAlign w:val="top"/>
          </w:tcPr>
          <w:p w14:paraId="7A7C1736">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803B64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4338811">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C801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181A65A">
            <w:pPr>
              <w:pStyle w:val="6"/>
              <w:spacing w:before="30" w:line="274" w:lineRule="exact"/>
              <w:ind w:left="685"/>
            </w:pPr>
            <w:r>
              <w:rPr>
                <w:rFonts w:ascii="Times New Roman" w:hAnsi="Times New Roman" w:eastAsia="Times New Roman" w:cs="Times New Roman"/>
                <w:spacing w:val="5"/>
                <w:position w:val="1"/>
              </w:rPr>
              <w:t>2-</w:t>
            </w:r>
            <w:r>
              <w:rPr>
                <w:spacing w:val="5"/>
                <w:position w:val="1"/>
              </w:rPr>
              <w:t>氯酚</w:t>
            </w:r>
          </w:p>
        </w:tc>
        <w:tc>
          <w:tcPr>
            <w:tcW w:w="699" w:type="dxa"/>
            <w:vAlign w:val="top"/>
          </w:tcPr>
          <w:p w14:paraId="44756D57">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472E4D20">
            <w:pPr>
              <w:spacing w:before="66"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945" w:type="dxa"/>
            <w:vAlign w:val="top"/>
          </w:tcPr>
          <w:p w14:paraId="706E9F38">
            <w:pPr>
              <w:spacing w:before="66"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011" w:type="dxa"/>
            <w:vAlign w:val="top"/>
          </w:tcPr>
          <w:p w14:paraId="05F2CB7A">
            <w:pPr>
              <w:spacing w:before="66"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010" w:type="dxa"/>
            <w:vAlign w:val="top"/>
          </w:tcPr>
          <w:p w14:paraId="427CB248">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83D8849">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8F3F9AE">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0C81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C91651B">
            <w:pPr>
              <w:pStyle w:val="6"/>
              <w:spacing w:before="31" w:line="274" w:lineRule="exact"/>
              <w:ind w:left="560"/>
            </w:pPr>
            <w:r>
              <w:rPr>
                <w:spacing w:val="4"/>
                <w:position w:val="2"/>
              </w:rPr>
              <w:t>苯并</w:t>
            </w:r>
            <w:r>
              <w:rPr>
                <w:rFonts w:ascii="Times New Roman" w:hAnsi="Times New Roman" w:eastAsia="Times New Roman" w:cs="Times New Roman"/>
                <w:spacing w:val="4"/>
                <w:position w:val="2"/>
              </w:rPr>
              <w:t>(a)</w:t>
            </w:r>
            <w:r>
              <w:rPr>
                <w:spacing w:val="4"/>
                <w:position w:val="2"/>
              </w:rPr>
              <w:t>蒽</w:t>
            </w:r>
          </w:p>
        </w:tc>
        <w:tc>
          <w:tcPr>
            <w:tcW w:w="699" w:type="dxa"/>
            <w:vAlign w:val="top"/>
          </w:tcPr>
          <w:p w14:paraId="0399DF7E">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91800E6">
            <w:pPr>
              <w:spacing w:before="67"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945" w:type="dxa"/>
            <w:vAlign w:val="top"/>
          </w:tcPr>
          <w:p w14:paraId="356F3AB7">
            <w:pPr>
              <w:spacing w:before="67"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011" w:type="dxa"/>
            <w:vAlign w:val="top"/>
          </w:tcPr>
          <w:p w14:paraId="34BA4886">
            <w:pPr>
              <w:spacing w:before="67"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010" w:type="dxa"/>
            <w:vAlign w:val="top"/>
          </w:tcPr>
          <w:p w14:paraId="12A1DAB8">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547529B">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1E76F66">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ED73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1BE13947">
            <w:pPr>
              <w:pStyle w:val="6"/>
              <w:spacing w:before="32" w:line="274" w:lineRule="exact"/>
              <w:ind w:left="560"/>
            </w:pPr>
            <w:r>
              <w:rPr>
                <w:spacing w:val="4"/>
                <w:position w:val="2"/>
              </w:rPr>
              <w:t>苯并</w:t>
            </w:r>
            <w:r>
              <w:rPr>
                <w:rFonts w:ascii="Times New Roman" w:hAnsi="Times New Roman" w:eastAsia="Times New Roman" w:cs="Times New Roman"/>
                <w:spacing w:val="4"/>
                <w:position w:val="2"/>
              </w:rPr>
              <w:t>(a)</w:t>
            </w:r>
            <w:r>
              <w:rPr>
                <w:spacing w:val="4"/>
                <w:position w:val="2"/>
              </w:rPr>
              <w:t>芘</w:t>
            </w:r>
          </w:p>
        </w:tc>
        <w:tc>
          <w:tcPr>
            <w:tcW w:w="699" w:type="dxa"/>
            <w:vAlign w:val="top"/>
          </w:tcPr>
          <w:p w14:paraId="2BEF2676">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0DD33A2">
            <w:pPr>
              <w:spacing w:before="66"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0.085</w:t>
            </w:r>
          </w:p>
        </w:tc>
        <w:tc>
          <w:tcPr>
            <w:tcW w:w="945" w:type="dxa"/>
            <w:vAlign w:val="top"/>
          </w:tcPr>
          <w:p w14:paraId="70FA6700">
            <w:pPr>
              <w:spacing w:before="66"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1" w:type="dxa"/>
            <w:vAlign w:val="top"/>
          </w:tcPr>
          <w:p w14:paraId="3E665B06">
            <w:pPr>
              <w:spacing w:before="66"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0" w:type="dxa"/>
            <w:vAlign w:val="top"/>
          </w:tcPr>
          <w:p w14:paraId="1C673287">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D9377CE">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084A5E73">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0C57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69E6E3F8">
            <w:pPr>
              <w:pStyle w:val="6"/>
              <w:spacing w:before="31" w:line="274" w:lineRule="exact"/>
              <w:ind w:left="447"/>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699" w:type="dxa"/>
            <w:vAlign w:val="top"/>
          </w:tcPr>
          <w:p w14:paraId="4B6BCA4A">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3F1C107">
            <w:pPr>
              <w:spacing w:before="67"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0.085</w:t>
            </w:r>
          </w:p>
        </w:tc>
        <w:tc>
          <w:tcPr>
            <w:tcW w:w="945" w:type="dxa"/>
            <w:vAlign w:val="top"/>
          </w:tcPr>
          <w:p w14:paraId="77CC01BC">
            <w:pPr>
              <w:spacing w:before="67"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1" w:type="dxa"/>
            <w:vAlign w:val="top"/>
          </w:tcPr>
          <w:p w14:paraId="6C17576B">
            <w:pPr>
              <w:spacing w:before="6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0" w:type="dxa"/>
            <w:vAlign w:val="top"/>
          </w:tcPr>
          <w:p w14:paraId="6F5C88FD">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A9F7AA0">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D9019D3">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653B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1AE49E3">
            <w:pPr>
              <w:pStyle w:val="6"/>
              <w:spacing w:before="32" w:line="274" w:lineRule="exact"/>
              <w:ind w:left="447"/>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699" w:type="dxa"/>
            <w:vAlign w:val="top"/>
          </w:tcPr>
          <w:p w14:paraId="2E1DF17A">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A72B403">
            <w:pPr>
              <w:spacing w:before="65"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0.055</w:t>
            </w:r>
          </w:p>
        </w:tc>
        <w:tc>
          <w:tcPr>
            <w:tcW w:w="945" w:type="dxa"/>
            <w:vAlign w:val="top"/>
          </w:tcPr>
          <w:p w14:paraId="42668042">
            <w:pPr>
              <w:spacing w:before="65" w:line="275"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w:t>
            </w:r>
          </w:p>
        </w:tc>
        <w:tc>
          <w:tcPr>
            <w:tcW w:w="1011" w:type="dxa"/>
            <w:vAlign w:val="top"/>
          </w:tcPr>
          <w:p w14:paraId="56E5161F">
            <w:pPr>
              <w:spacing w:before="65"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w:t>
            </w:r>
          </w:p>
        </w:tc>
        <w:tc>
          <w:tcPr>
            <w:tcW w:w="1010" w:type="dxa"/>
            <w:vAlign w:val="top"/>
          </w:tcPr>
          <w:p w14:paraId="46D9E4FD">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B1A7CA6">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10BC85C">
            <w:pPr>
              <w:spacing w:before="65"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543F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DBD8E00">
            <w:pPr>
              <w:pStyle w:val="6"/>
              <w:spacing w:before="61" w:line="230" w:lineRule="auto"/>
              <w:ind w:left="880"/>
            </w:pPr>
            <w:r>
              <w:rPr>
                <w:spacing w:val="2"/>
              </w:rPr>
              <w:t>䓛</w:t>
            </w:r>
          </w:p>
        </w:tc>
        <w:tc>
          <w:tcPr>
            <w:tcW w:w="699" w:type="dxa"/>
            <w:vAlign w:val="top"/>
          </w:tcPr>
          <w:p w14:paraId="154BE75E">
            <w:pPr>
              <w:spacing w:before="30"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6175FAD">
            <w:pPr>
              <w:spacing w:before="66" w:line="275"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945" w:type="dxa"/>
            <w:vAlign w:val="top"/>
          </w:tcPr>
          <w:p w14:paraId="36764DC0">
            <w:pPr>
              <w:spacing w:before="66"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011" w:type="dxa"/>
            <w:vAlign w:val="top"/>
          </w:tcPr>
          <w:p w14:paraId="177994AE">
            <w:pPr>
              <w:spacing w:before="66" w:line="275"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010" w:type="dxa"/>
            <w:vAlign w:val="top"/>
          </w:tcPr>
          <w:p w14:paraId="55F690E7">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D72FB3F">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3DE846E">
            <w:pPr>
              <w:spacing w:before="66"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F52C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683FFDFD">
            <w:pPr>
              <w:pStyle w:val="6"/>
              <w:spacing w:before="31" w:line="275" w:lineRule="exact"/>
              <w:ind w:left="376"/>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699" w:type="dxa"/>
            <w:vAlign w:val="top"/>
          </w:tcPr>
          <w:p w14:paraId="408EBB62">
            <w:pPr>
              <w:spacing w:before="31"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53386D1">
            <w:pPr>
              <w:spacing w:before="65"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0.065</w:t>
            </w:r>
          </w:p>
        </w:tc>
        <w:tc>
          <w:tcPr>
            <w:tcW w:w="945" w:type="dxa"/>
            <w:vAlign w:val="top"/>
          </w:tcPr>
          <w:p w14:paraId="225B6D61">
            <w:pPr>
              <w:spacing w:before="65"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1" w:type="dxa"/>
            <w:vAlign w:val="top"/>
          </w:tcPr>
          <w:p w14:paraId="20519E1B">
            <w:pPr>
              <w:spacing w:before="65"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0" w:type="dxa"/>
            <w:vAlign w:val="top"/>
          </w:tcPr>
          <w:p w14:paraId="37EF4F28">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4614916">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A1A7DF8">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4AE5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964" w:type="dxa"/>
            <w:vAlign w:val="top"/>
          </w:tcPr>
          <w:p w14:paraId="7CD8C7D1">
            <w:pPr>
              <w:pStyle w:val="6"/>
              <w:spacing w:before="30" w:line="274" w:lineRule="exact"/>
              <w:ind w:left="264"/>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699" w:type="dxa"/>
            <w:vAlign w:val="top"/>
          </w:tcPr>
          <w:p w14:paraId="719B3CFF">
            <w:pPr>
              <w:spacing w:before="112" w:line="274" w:lineRule="exact"/>
              <w:ind w:left="4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50FBF20">
            <w:pPr>
              <w:spacing w:before="112"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0.065</w:t>
            </w:r>
          </w:p>
        </w:tc>
        <w:tc>
          <w:tcPr>
            <w:tcW w:w="945" w:type="dxa"/>
            <w:vAlign w:val="top"/>
          </w:tcPr>
          <w:p w14:paraId="77069D4E">
            <w:pPr>
              <w:spacing w:before="112"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1" w:type="dxa"/>
            <w:vAlign w:val="top"/>
          </w:tcPr>
          <w:p w14:paraId="1BA6DE72">
            <w:pPr>
              <w:spacing w:before="112"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0" w:type="dxa"/>
            <w:vAlign w:val="top"/>
          </w:tcPr>
          <w:p w14:paraId="0FF1EE06">
            <w:pPr>
              <w:spacing w:before="112"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0EE9C92">
            <w:pPr>
              <w:spacing w:before="112"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456CD230">
            <w:pPr>
              <w:spacing w:before="112"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F56F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964" w:type="dxa"/>
            <w:vAlign w:val="top"/>
          </w:tcPr>
          <w:p w14:paraId="66ABC04C">
            <w:pPr>
              <w:pStyle w:val="6"/>
              <w:spacing w:before="62" w:line="229" w:lineRule="auto"/>
              <w:ind w:left="882"/>
            </w:pPr>
            <w:r>
              <w:t>萘</w:t>
            </w:r>
          </w:p>
        </w:tc>
        <w:tc>
          <w:tcPr>
            <w:tcW w:w="699" w:type="dxa"/>
            <w:vAlign w:val="top"/>
          </w:tcPr>
          <w:p w14:paraId="6B7131F8">
            <w:pPr>
              <w:spacing w:before="113" w:line="274" w:lineRule="exact"/>
              <w:ind w:left="4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6BDA497">
            <w:pPr>
              <w:spacing w:before="113"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945" w:type="dxa"/>
            <w:vAlign w:val="top"/>
          </w:tcPr>
          <w:p w14:paraId="0E6810D5">
            <w:pPr>
              <w:spacing w:before="113"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1" w:type="dxa"/>
            <w:vAlign w:val="top"/>
          </w:tcPr>
          <w:p w14:paraId="4A366B9E">
            <w:pPr>
              <w:spacing w:before="113"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0" w:type="dxa"/>
            <w:vAlign w:val="top"/>
          </w:tcPr>
          <w:p w14:paraId="1B5A449D">
            <w:pPr>
              <w:spacing w:before="11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077997B">
            <w:pPr>
              <w:spacing w:before="11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477C8C69">
            <w:pPr>
              <w:spacing w:before="113"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bl>
    <w:p w14:paraId="29E2A803">
      <w:pPr>
        <w:spacing w:before="89" w:line="374" w:lineRule="auto"/>
        <w:ind w:left="83" w:firstLine="497"/>
        <w:jc w:val="both"/>
        <w:rPr>
          <w:rFonts w:ascii="宋体" w:hAnsi="宋体" w:eastAsia="宋体" w:cs="宋体"/>
          <w:sz w:val="24"/>
          <w:szCs w:val="24"/>
        </w:rPr>
      </w:pPr>
      <w:r>
        <w:rPr>
          <w:rFonts w:ascii="宋体" w:hAnsi="宋体" w:eastAsia="宋体" w:cs="宋体"/>
          <w:spacing w:val="-1"/>
          <w:sz w:val="24"/>
          <w:szCs w:val="24"/>
        </w:rPr>
        <w:t>由上述统计分析可见，</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养殖区域、</w:t>
      </w:r>
      <w:r>
        <w:rPr>
          <w:rFonts w:ascii="Times New Roman" w:hAnsi="Times New Roman" w:eastAsia="Times New Roman" w:cs="Times New Roman"/>
          <w:spacing w:val="-1"/>
          <w:sz w:val="24"/>
          <w:szCs w:val="24"/>
        </w:rPr>
        <w:t>T2</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有机肥发酵车间、</w:t>
      </w:r>
      <w:r>
        <w:rPr>
          <w:rFonts w:ascii="Times New Roman" w:hAnsi="Times New Roman" w:eastAsia="Times New Roman" w:cs="Times New Roman"/>
          <w:spacing w:val="-1"/>
          <w:sz w:val="24"/>
          <w:szCs w:val="24"/>
        </w:rPr>
        <w:t>T3</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项目区域西南面</w:t>
      </w:r>
      <w:r>
        <w:rPr>
          <w:rFonts w:ascii="宋体" w:hAnsi="宋体" w:eastAsia="宋体" w:cs="宋体"/>
          <w:sz w:val="24"/>
          <w:szCs w:val="24"/>
        </w:rPr>
        <w:t xml:space="preserve">  </w:t>
      </w:r>
      <w:r>
        <w:rPr>
          <w:rFonts w:ascii="宋体" w:hAnsi="宋体" w:eastAsia="宋体" w:cs="宋体"/>
          <w:spacing w:val="-4"/>
          <w:sz w:val="24"/>
          <w:szCs w:val="24"/>
        </w:rPr>
        <w:t>的</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45 </w:t>
      </w:r>
      <w:r>
        <w:rPr>
          <w:rFonts w:ascii="宋体" w:hAnsi="宋体" w:eastAsia="宋体" w:cs="宋体"/>
          <w:spacing w:val="-4"/>
          <w:sz w:val="24"/>
          <w:szCs w:val="24"/>
        </w:rPr>
        <w:t>项目基本指标均满足《土壤环境质量建设用地土壤污染风险管控标准</w:t>
      </w:r>
      <w:r>
        <w:rPr>
          <w:rFonts w:ascii="宋体" w:hAnsi="宋体" w:eastAsia="宋体" w:cs="宋体"/>
          <w:spacing w:val="-5"/>
          <w:sz w:val="24"/>
          <w:szCs w:val="24"/>
        </w:rPr>
        <w:t>（试行）》</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GB36600-2018</w:t>
      </w:r>
      <w:r>
        <w:rPr>
          <w:rFonts w:ascii="宋体" w:hAnsi="宋体" w:eastAsia="宋体" w:cs="宋体"/>
          <w:spacing w:val="-1"/>
          <w:sz w:val="24"/>
          <w:szCs w:val="24"/>
        </w:rPr>
        <w:t>）第二类用地筛选值。项目周边土壤环境质量良好。</w:t>
      </w:r>
    </w:p>
    <w:p w14:paraId="6BDBFDB9">
      <w:pPr>
        <w:pStyle w:val="2"/>
        <w:spacing w:line="246" w:lineRule="auto"/>
      </w:pPr>
    </w:p>
    <w:p w14:paraId="71A3D664">
      <w:pPr>
        <w:spacing w:before="100" w:line="225" w:lineRule="auto"/>
        <w:ind w:left="70"/>
        <w:outlineLvl w:val="1"/>
        <w:rPr>
          <w:rFonts w:ascii="宋体" w:hAnsi="宋体" w:eastAsia="宋体" w:cs="宋体"/>
          <w:sz w:val="31"/>
          <w:szCs w:val="31"/>
        </w:rPr>
      </w:pPr>
      <w:bookmarkStart w:id="32" w:name="bookmark29"/>
      <w:bookmarkEnd w:id="32"/>
      <w:r>
        <w:rPr>
          <w:rFonts w:ascii="Times New Roman" w:hAnsi="Times New Roman" w:eastAsia="Times New Roman" w:cs="Times New Roman"/>
          <w:b/>
          <w:bCs/>
          <w:spacing w:val="5"/>
          <w:sz w:val="31"/>
          <w:szCs w:val="31"/>
        </w:rPr>
        <w:t>4.6</w:t>
      </w:r>
      <w:r>
        <w:rPr>
          <w:rFonts w:ascii="宋体" w:hAnsi="宋体" w:eastAsia="宋体" w:cs="宋体"/>
          <w:b/>
          <w:bCs/>
          <w:spacing w:val="5"/>
          <w:sz w:val="31"/>
          <w:szCs w:val="31"/>
        </w:rPr>
        <w:t>生态环境现状调查</w:t>
      </w:r>
    </w:p>
    <w:p w14:paraId="1497C656">
      <w:pPr>
        <w:pStyle w:val="2"/>
        <w:spacing w:line="446" w:lineRule="auto"/>
      </w:pPr>
    </w:p>
    <w:p w14:paraId="7AC13312">
      <w:pPr>
        <w:spacing w:before="78" w:line="220" w:lineRule="auto"/>
        <w:ind w:left="68"/>
        <w:outlineLvl w:val="2"/>
        <w:rPr>
          <w:rFonts w:ascii="宋体" w:hAnsi="宋体" w:eastAsia="宋体" w:cs="宋体"/>
          <w:sz w:val="24"/>
          <w:szCs w:val="24"/>
        </w:rPr>
      </w:pPr>
      <w:r>
        <w:rPr>
          <w:rFonts w:ascii="Times New Roman" w:hAnsi="Times New Roman" w:eastAsia="Times New Roman" w:cs="Times New Roman"/>
          <w:b/>
          <w:bCs/>
          <w:spacing w:val="-2"/>
          <w:sz w:val="24"/>
          <w:szCs w:val="24"/>
        </w:rPr>
        <w:t>4.6.1</w:t>
      </w:r>
      <w:r>
        <w:rPr>
          <w:rFonts w:ascii="宋体" w:hAnsi="宋体" w:eastAsia="宋体" w:cs="宋体"/>
          <w:b/>
          <w:bCs/>
          <w:spacing w:val="-2"/>
          <w:sz w:val="24"/>
          <w:szCs w:val="24"/>
        </w:rPr>
        <w:t>土地利用类型</w:t>
      </w:r>
    </w:p>
    <w:p w14:paraId="096E36F2">
      <w:pPr>
        <w:pStyle w:val="2"/>
        <w:spacing w:line="278" w:lineRule="auto"/>
      </w:pPr>
    </w:p>
    <w:p w14:paraId="5FB10B32">
      <w:pPr>
        <w:spacing w:before="78" w:line="379" w:lineRule="auto"/>
        <w:ind w:left="72" w:right="176" w:firstLine="480"/>
        <w:rPr>
          <w:rFonts w:ascii="宋体" w:hAnsi="宋体" w:eastAsia="宋体" w:cs="宋体"/>
          <w:sz w:val="24"/>
          <w:szCs w:val="24"/>
        </w:rPr>
      </w:pPr>
      <w:r>
        <w:rPr>
          <w:rFonts w:ascii="宋体" w:hAnsi="宋体" w:eastAsia="宋体" w:cs="宋体"/>
          <w:spacing w:val="1"/>
          <w:sz w:val="24"/>
          <w:szCs w:val="24"/>
        </w:rPr>
        <w:t>本项目评价范围内主要是林地、草地及少量荒地。项目周边没有自然保护区、</w:t>
      </w:r>
      <w:r>
        <w:rPr>
          <w:rFonts w:ascii="宋体" w:hAnsi="宋体" w:eastAsia="宋体" w:cs="宋体"/>
          <w:spacing w:val="3"/>
          <w:sz w:val="24"/>
          <w:szCs w:val="24"/>
        </w:rPr>
        <w:t xml:space="preserve"> </w:t>
      </w:r>
      <w:r>
        <w:rPr>
          <w:rFonts w:ascii="宋体" w:hAnsi="宋体" w:eastAsia="宋体" w:cs="宋体"/>
          <w:spacing w:val="-2"/>
          <w:sz w:val="24"/>
          <w:szCs w:val="24"/>
        </w:rPr>
        <w:t>风景名胜区等。</w:t>
      </w:r>
    </w:p>
    <w:p w14:paraId="272CE44B">
      <w:pPr>
        <w:spacing w:before="292" w:line="219" w:lineRule="auto"/>
        <w:ind w:left="68"/>
        <w:outlineLvl w:val="2"/>
        <w:rPr>
          <w:rFonts w:ascii="宋体" w:hAnsi="宋体" w:eastAsia="宋体" w:cs="宋体"/>
          <w:sz w:val="24"/>
          <w:szCs w:val="24"/>
        </w:rPr>
      </w:pPr>
      <w:r>
        <w:rPr>
          <w:rFonts w:ascii="Times New Roman" w:hAnsi="Times New Roman" w:eastAsia="Times New Roman" w:cs="Times New Roman"/>
          <w:b/>
          <w:bCs/>
          <w:spacing w:val="-2"/>
          <w:sz w:val="24"/>
          <w:szCs w:val="24"/>
        </w:rPr>
        <w:t>4.6.2</w:t>
      </w:r>
      <w:r>
        <w:rPr>
          <w:rFonts w:ascii="宋体" w:hAnsi="宋体" w:eastAsia="宋体" w:cs="宋体"/>
          <w:b/>
          <w:bCs/>
          <w:spacing w:val="-2"/>
          <w:sz w:val="24"/>
          <w:szCs w:val="24"/>
        </w:rPr>
        <w:t>植被生态环境现状调查与评价</w:t>
      </w:r>
    </w:p>
    <w:p w14:paraId="1BB359CB">
      <w:pPr>
        <w:pStyle w:val="2"/>
        <w:spacing w:line="280" w:lineRule="auto"/>
      </w:pPr>
    </w:p>
    <w:p w14:paraId="0BEE7C13">
      <w:pPr>
        <w:spacing w:before="78" w:line="377" w:lineRule="auto"/>
        <w:ind w:left="74" w:right="136" w:firstLine="478"/>
        <w:rPr>
          <w:rFonts w:ascii="宋体" w:hAnsi="宋体" w:eastAsia="宋体" w:cs="宋体"/>
          <w:sz w:val="24"/>
          <w:szCs w:val="24"/>
        </w:rPr>
      </w:pPr>
      <w:r>
        <w:rPr>
          <w:rFonts w:ascii="宋体" w:hAnsi="宋体" w:eastAsia="宋体" w:cs="宋体"/>
          <w:spacing w:val="2"/>
          <w:sz w:val="24"/>
          <w:szCs w:val="24"/>
        </w:rPr>
        <w:t>本项目位于汕尾市天磊联信种养有限公司，根据现场勘查，项目周边环境主要</w:t>
      </w:r>
      <w:r>
        <w:rPr>
          <w:rFonts w:ascii="宋体" w:hAnsi="宋体" w:eastAsia="宋体" w:cs="宋体"/>
          <w:spacing w:val="9"/>
          <w:sz w:val="24"/>
          <w:szCs w:val="24"/>
        </w:rPr>
        <w:t xml:space="preserve"> </w:t>
      </w:r>
      <w:r>
        <w:rPr>
          <w:rFonts w:ascii="宋体" w:hAnsi="宋体" w:eastAsia="宋体" w:cs="宋体"/>
          <w:spacing w:val="-1"/>
          <w:sz w:val="24"/>
          <w:szCs w:val="24"/>
        </w:rPr>
        <w:t>为农田、山地、鱼塘</w:t>
      </w:r>
      <w:bookmarkStart w:id="63" w:name="_GoBack"/>
      <w:bookmarkEnd w:id="63"/>
      <w:r>
        <w:rPr>
          <w:rFonts w:ascii="宋体" w:hAnsi="宋体" w:eastAsia="宋体" w:cs="宋体"/>
          <w:spacing w:val="-1"/>
          <w:sz w:val="24"/>
          <w:szCs w:val="24"/>
        </w:rPr>
        <w:t>及村庄等。</w:t>
      </w:r>
    </w:p>
    <w:p w14:paraId="6209C110">
      <w:pPr>
        <w:spacing w:line="220" w:lineRule="auto"/>
        <w:ind w:left="550"/>
        <w:rPr>
          <w:rFonts w:ascii="宋体" w:hAnsi="宋体" w:eastAsia="宋体" w:cs="宋体"/>
          <w:sz w:val="24"/>
          <w:szCs w:val="24"/>
        </w:rPr>
      </w:pPr>
      <w:r>
        <w:rPr>
          <w:rFonts w:ascii="宋体" w:hAnsi="宋体" w:eastAsia="宋体" w:cs="宋体"/>
          <w:spacing w:val="2"/>
          <w:sz w:val="24"/>
          <w:szCs w:val="24"/>
        </w:rPr>
        <w:t>海丰县公平镇县地处亚热带南缘季风过渡地带，地带性植被类型仍为热带季雨</w:t>
      </w:r>
    </w:p>
    <w:p w14:paraId="6D238130">
      <w:pPr>
        <w:spacing w:line="220" w:lineRule="auto"/>
        <w:rPr>
          <w:rFonts w:ascii="宋体" w:hAnsi="宋体" w:eastAsia="宋体" w:cs="宋体"/>
          <w:sz w:val="24"/>
          <w:szCs w:val="24"/>
        </w:rPr>
        <w:sectPr>
          <w:footerReference r:id="rId115" w:type="default"/>
          <w:pgSz w:w="11906" w:h="16839"/>
          <w:pgMar w:top="400" w:right="1451" w:bottom="1485" w:left="1526" w:header="0" w:footer="1249" w:gutter="0"/>
          <w:cols w:space="720" w:num="1"/>
        </w:sectPr>
      </w:pPr>
    </w:p>
    <w:p w14:paraId="2F4CD416">
      <w:pPr>
        <w:pStyle w:val="2"/>
        <w:spacing w:line="255" w:lineRule="auto"/>
      </w:pPr>
    </w:p>
    <w:p w14:paraId="12D826AB">
      <w:pPr>
        <w:pStyle w:val="2"/>
        <w:spacing w:line="256" w:lineRule="auto"/>
      </w:pPr>
    </w:p>
    <w:p w14:paraId="249A74FE">
      <w:pPr>
        <w:pStyle w:val="2"/>
        <w:spacing w:line="256" w:lineRule="auto"/>
      </w:pPr>
    </w:p>
    <w:p w14:paraId="0000DA83">
      <w:pPr>
        <w:pStyle w:val="2"/>
        <w:spacing w:line="256" w:lineRule="auto"/>
      </w:pPr>
    </w:p>
    <w:p w14:paraId="072FCC5C">
      <w:pPr>
        <w:spacing w:before="78" w:line="363" w:lineRule="auto"/>
        <w:ind w:left="5" w:hanging="1"/>
        <w:rPr>
          <w:rFonts w:ascii="宋体" w:hAnsi="宋体" w:eastAsia="宋体" w:cs="宋体"/>
          <w:sz w:val="24"/>
          <w:szCs w:val="24"/>
        </w:rPr>
      </w:pPr>
      <w:r>
        <w:rPr>
          <w:rFonts w:ascii="宋体" w:hAnsi="宋体" w:eastAsia="宋体" w:cs="宋体"/>
          <w:spacing w:val="3"/>
          <w:sz w:val="24"/>
          <w:szCs w:val="24"/>
        </w:rPr>
        <w:t>林型的常绿季雨林，组成种类丰富，主要由樟科、大戟科（</w:t>
      </w:r>
      <w:r>
        <w:rPr>
          <w:rFonts w:ascii="Times New Roman" w:hAnsi="Times New Roman" w:eastAsia="Times New Roman" w:cs="Times New Roman"/>
          <w:sz w:val="24"/>
          <w:szCs w:val="24"/>
        </w:rPr>
        <w:t>Euphorbiaceae</w:t>
      </w:r>
      <w:r>
        <w:rPr>
          <w:rFonts w:ascii="宋体" w:hAnsi="宋体" w:eastAsia="宋体" w:cs="宋体"/>
          <w:spacing w:val="3"/>
          <w:sz w:val="24"/>
          <w:szCs w:val="24"/>
        </w:rPr>
        <w:t>）、桃金</w:t>
      </w:r>
      <w:r>
        <w:rPr>
          <w:rFonts w:ascii="宋体" w:hAnsi="宋体" w:eastAsia="宋体" w:cs="宋体"/>
          <w:spacing w:val="6"/>
          <w:sz w:val="24"/>
          <w:szCs w:val="24"/>
        </w:rPr>
        <w:t xml:space="preserve"> </w:t>
      </w:r>
      <w:r>
        <w:rPr>
          <w:rFonts w:ascii="宋体" w:hAnsi="宋体" w:eastAsia="宋体" w:cs="宋体"/>
          <w:spacing w:val="-5"/>
          <w:sz w:val="24"/>
          <w:szCs w:val="24"/>
        </w:rPr>
        <w:t>娘科（</w:t>
      </w:r>
      <w:r>
        <w:rPr>
          <w:rFonts w:ascii="Times New Roman" w:hAnsi="Times New Roman" w:eastAsia="Times New Roman" w:cs="Times New Roman"/>
          <w:spacing w:val="-5"/>
          <w:sz w:val="24"/>
          <w:szCs w:val="24"/>
        </w:rPr>
        <w:t>Myrtaceae</w:t>
      </w:r>
      <w:r>
        <w:rPr>
          <w:rFonts w:ascii="宋体" w:hAnsi="宋体" w:eastAsia="宋体" w:cs="宋体"/>
          <w:spacing w:val="-5"/>
          <w:sz w:val="24"/>
          <w:szCs w:val="24"/>
        </w:rPr>
        <w:t>）、山龙眼科（</w:t>
      </w:r>
      <w:r>
        <w:rPr>
          <w:rFonts w:ascii="Times New Roman" w:hAnsi="Times New Roman" w:eastAsia="Times New Roman" w:cs="Times New Roman"/>
          <w:spacing w:val="-5"/>
          <w:sz w:val="24"/>
          <w:szCs w:val="24"/>
        </w:rPr>
        <w:t>Proteaceae</w:t>
      </w:r>
      <w:r>
        <w:rPr>
          <w:rFonts w:ascii="宋体" w:hAnsi="宋体" w:eastAsia="宋体" w:cs="宋体"/>
          <w:spacing w:val="-5"/>
          <w:sz w:val="24"/>
          <w:szCs w:val="24"/>
        </w:rPr>
        <w:t>）、杜英科（</w:t>
      </w:r>
      <w:r>
        <w:rPr>
          <w:rFonts w:ascii="Times New Roman" w:hAnsi="Times New Roman" w:eastAsia="Times New Roman" w:cs="Times New Roman"/>
          <w:spacing w:val="-5"/>
          <w:sz w:val="24"/>
          <w:szCs w:val="24"/>
        </w:rPr>
        <w:t>Elaeocarpaceae</w:t>
      </w:r>
      <w:r>
        <w:rPr>
          <w:rFonts w:ascii="宋体" w:hAnsi="宋体" w:eastAsia="宋体" w:cs="宋体"/>
          <w:spacing w:val="-5"/>
          <w:sz w:val="24"/>
          <w:szCs w:val="24"/>
        </w:rPr>
        <w:t>）的树种组成。</w:t>
      </w:r>
    </w:p>
    <w:p w14:paraId="5B395A7B">
      <w:pPr>
        <w:spacing w:before="69" w:line="377" w:lineRule="auto"/>
        <w:ind w:left="3" w:right="81" w:firstLine="483"/>
        <w:jc w:val="both"/>
        <w:rPr>
          <w:rFonts w:ascii="宋体" w:hAnsi="宋体" w:eastAsia="宋体" w:cs="宋体"/>
          <w:sz w:val="24"/>
          <w:szCs w:val="24"/>
        </w:rPr>
      </w:pPr>
      <w:r>
        <w:rPr>
          <w:rFonts w:ascii="宋体" w:hAnsi="宋体" w:eastAsia="宋体" w:cs="宋体"/>
          <w:spacing w:val="2"/>
          <w:sz w:val="24"/>
          <w:szCs w:val="24"/>
        </w:rPr>
        <w:t>项目所在区域处于北回归线以南，雨热同期，夏长冬暖，具有南亚热带季风雨</w:t>
      </w:r>
      <w:r>
        <w:rPr>
          <w:rFonts w:ascii="宋体" w:hAnsi="宋体" w:eastAsia="宋体" w:cs="宋体"/>
          <w:spacing w:val="6"/>
          <w:sz w:val="24"/>
          <w:szCs w:val="24"/>
        </w:rPr>
        <w:t xml:space="preserve"> </w:t>
      </w:r>
      <w:r>
        <w:rPr>
          <w:rFonts w:ascii="宋体" w:hAnsi="宋体" w:eastAsia="宋体" w:cs="宋体"/>
          <w:spacing w:val="1"/>
          <w:sz w:val="24"/>
          <w:szCs w:val="24"/>
        </w:rPr>
        <w:t>林区植被的特点，除个别高山地带外，</w:t>
      </w:r>
      <w:r>
        <w:rPr>
          <w:rFonts w:ascii="宋体" w:hAnsi="宋体" w:eastAsia="宋体" w:cs="宋体"/>
          <w:spacing w:val="-64"/>
          <w:sz w:val="24"/>
          <w:szCs w:val="24"/>
        </w:rPr>
        <w:t xml:space="preserve"> </w:t>
      </w:r>
      <w:r>
        <w:rPr>
          <w:rFonts w:ascii="宋体" w:hAnsi="宋体" w:eastAsia="宋体" w:cs="宋体"/>
          <w:spacing w:val="1"/>
          <w:sz w:val="24"/>
          <w:szCs w:val="24"/>
        </w:rPr>
        <w:t>目前自然原</w:t>
      </w:r>
      <w:r>
        <w:rPr>
          <w:rFonts w:ascii="宋体" w:hAnsi="宋体" w:eastAsia="宋体" w:cs="宋体"/>
          <w:sz w:val="24"/>
          <w:szCs w:val="24"/>
        </w:rPr>
        <w:t>生植物群已不存在，人工营造的 针、阔叶混交林及经济林成为植被的主体，大部分丘陵山</w:t>
      </w:r>
      <w:r>
        <w:rPr>
          <w:rFonts w:ascii="宋体" w:hAnsi="宋体" w:eastAsia="宋体" w:cs="宋体"/>
          <w:spacing w:val="-1"/>
          <w:sz w:val="24"/>
          <w:szCs w:val="24"/>
        </w:rPr>
        <w:t>地为人工林和灌丛草被。</w:t>
      </w:r>
    </w:p>
    <w:p w14:paraId="430D5C89">
      <w:pPr>
        <w:spacing w:before="293"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4.6.3</w:t>
      </w:r>
      <w:r>
        <w:rPr>
          <w:rFonts w:ascii="宋体" w:hAnsi="宋体" w:eastAsia="宋体" w:cs="宋体"/>
          <w:b/>
          <w:bCs/>
          <w:spacing w:val="-2"/>
          <w:sz w:val="24"/>
          <w:szCs w:val="24"/>
        </w:rPr>
        <w:t>主要的植被群落类型</w:t>
      </w:r>
    </w:p>
    <w:p w14:paraId="0C423335">
      <w:pPr>
        <w:pStyle w:val="2"/>
        <w:spacing w:line="281" w:lineRule="auto"/>
      </w:pPr>
    </w:p>
    <w:p w14:paraId="58334F03">
      <w:pPr>
        <w:spacing w:before="78" w:line="369" w:lineRule="auto"/>
        <w:ind w:left="2" w:right="81" w:firstLine="480"/>
        <w:jc w:val="both"/>
        <w:rPr>
          <w:rFonts w:ascii="宋体" w:hAnsi="宋体" w:eastAsia="宋体" w:cs="宋体"/>
          <w:sz w:val="24"/>
          <w:szCs w:val="24"/>
        </w:rPr>
      </w:pPr>
      <w:r>
        <w:rPr>
          <w:rFonts w:ascii="宋体" w:hAnsi="宋体" w:eastAsia="宋体" w:cs="宋体"/>
          <w:spacing w:val="2"/>
          <w:sz w:val="24"/>
          <w:szCs w:val="24"/>
        </w:rPr>
        <w:t>根据现场踏查，评价范围内植被受人为活动干扰现象严重，地带性南亚热带常</w:t>
      </w:r>
      <w:r>
        <w:rPr>
          <w:rFonts w:ascii="宋体" w:hAnsi="宋体" w:eastAsia="宋体" w:cs="宋体"/>
          <w:spacing w:val="10"/>
          <w:sz w:val="24"/>
          <w:szCs w:val="24"/>
        </w:rPr>
        <w:t xml:space="preserve"> </w:t>
      </w:r>
      <w:r>
        <w:rPr>
          <w:rFonts w:ascii="宋体" w:hAnsi="宋体" w:eastAsia="宋体" w:cs="宋体"/>
          <w:spacing w:val="2"/>
          <w:sz w:val="24"/>
          <w:szCs w:val="24"/>
        </w:rPr>
        <w:t>绿阔叶林存量较少，大部分为以松、杉、桉树为优势种的人工林，群落结构较为简</w:t>
      </w:r>
      <w:r>
        <w:rPr>
          <w:rFonts w:ascii="宋体" w:hAnsi="宋体" w:eastAsia="宋体" w:cs="宋体"/>
          <w:spacing w:val="7"/>
          <w:sz w:val="24"/>
          <w:szCs w:val="24"/>
        </w:rPr>
        <w:t xml:space="preserve"> </w:t>
      </w:r>
      <w:r>
        <w:rPr>
          <w:rFonts w:ascii="宋体" w:hAnsi="宋体" w:eastAsia="宋体" w:cs="宋体"/>
          <w:spacing w:val="2"/>
          <w:sz w:val="24"/>
          <w:szCs w:val="24"/>
        </w:rPr>
        <w:t>单。此外是农田、果树和瓜菜农作物。根据植物群落外貌、组成结构生境的原则，</w:t>
      </w:r>
      <w:r>
        <w:rPr>
          <w:rFonts w:ascii="宋体" w:hAnsi="宋体" w:eastAsia="宋体" w:cs="宋体"/>
          <w:spacing w:val="7"/>
          <w:sz w:val="24"/>
          <w:szCs w:val="24"/>
        </w:rPr>
        <w:t xml:space="preserve"> </w:t>
      </w:r>
      <w:r>
        <w:rPr>
          <w:rFonts w:ascii="宋体" w:hAnsi="宋体" w:eastAsia="宋体" w:cs="宋体"/>
          <w:spacing w:val="-1"/>
          <w:sz w:val="24"/>
          <w:szCs w:val="24"/>
        </w:rPr>
        <w:t>评价范围内植被划分下列若干群落：</w:t>
      </w:r>
    </w:p>
    <w:p w14:paraId="32F4129C">
      <w:pPr>
        <w:spacing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）农田菜地群落</w:t>
      </w:r>
    </w:p>
    <w:p w14:paraId="74AABA81">
      <w:pPr>
        <w:spacing w:before="165" w:line="369" w:lineRule="auto"/>
        <w:ind w:left="4" w:firstLine="479"/>
        <w:rPr>
          <w:rFonts w:ascii="宋体" w:hAnsi="宋体" w:eastAsia="宋体" w:cs="宋体"/>
          <w:sz w:val="24"/>
          <w:szCs w:val="24"/>
        </w:rPr>
      </w:pPr>
      <w:r>
        <w:rPr>
          <w:rFonts w:ascii="宋体" w:hAnsi="宋体" w:eastAsia="宋体" w:cs="宋体"/>
          <w:spacing w:val="-2"/>
          <w:sz w:val="24"/>
          <w:szCs w:val="24"/>
        </w:rPr>
        <w:t>农田菜地群落的植物种类主要由十字花科和葫芦科组</w:t>
      </w:r>
      <w:r>
        <w:rPr>
          <w:rFonts w:ascii="宋体" w:hAnsi="宋体" w:eastAsia="宋体" w:cs="宋体"/>
          <w:spacing w:val="-3"/>
          <w:sz w:val="24"/>
          <w:szCs w:val="24"/>
        </w:rPr>
        <w:t>成，有水稻、白菜、青菜、</w:t>
      </w:r>
      <w:r>
        <w:rPr>
          <w:rFonts w:ascii="宋体" w:hAnsi="宋体" w:eastAsia="宋体" w:cs="宋体"/>
          <w:sz w:val="24"/>
          <w:szCs w:val="24"/>
        </w:rPr>
        <w:t xml:space="preserve"> 芥菜、花椰菜、椰菜、菜心、黄芽白、西洋菜</w:t>
      </w:r>
      <w:r>
        <w:rPr>
          <w:rFonts w:ascii="宋体" w:hAnsi="宋体" w:eastAsia="宋体" w:cs="宋体"/>
          <w:spacing w:val="-1"/>
          <w:sz w:val="24"/>
          <w:szCs w:val="24"/>
        </w:rPr>
        <w:t>、萝 卜、冬瓜、节瓜、黄瓜、丝瓜、</w:t>
      </w:r>
      <w:r>
        <w:rPr>
          <w:rFonts w:ascii="宋体" w:hAnsi="宋体" w:eastAsia="宋体" w:cs="宋体"/>
          <w:sz w:val="24"/>
          <w:szCs w:val="24"/>
        </w:rPr>
        <w:t xml:space="preserve"> </w:t>
      </w:r>
      <w:r>
        <w:rPr>
          <w:rFonts w:ascii="宋体" w:hAnsi="宋体" w:eastAsia="宋体" w:cs="宋体"/>
          <w:spacing w:val="-2"/>
          <w:sz w:val="24"/>
          <w:szCs w:val="24"/>
        </w:rPr>
        <w:t>苦瓜等。该群落是典型的人工影响群落，生物多样性指数较低，</w:t>
      </w:r>
      <w:r>
        <w:rPr>
          <w:rFonts w:ascii="宋体" w:hAnsi="宋体" w:eastAsia="宋体" w:cs="宋体"/>
          <w:spacing w:val="-3"/>
          <w:sz w:val="24"/>
          <w:szCs w:val="24"/>
        </w:rPr>
        <w:t>群落结构极不完整，</w:t>
      </w:r>
      <w:r>
        <w:rPr>
          <w:rFonts w:ascii="宋体" w:hAnsi="宋体" w:eastAsia="宋体" w:cs="宋体"/>
          <w:sz w:val="24"/>
          <w:szCs w:val="24"/>
        </w:rPr>
        <w:t xml:space="preserve"> </w:t>
      </w:r>
      <w:r>
        <w:rPr>
          <w:rFonts w:ascii="宋体" w:hAnsi="宋体" w:eastAsia="宋体" w:cs="宋体"/>
          <w:spacing w:val="-2"/>
          <w:sz w:val="24"/>
          <w:szCs w:val="24"/>
        </w:rPr>
        <w:t>发育不平衡。</w:t>
      </w:r>
    </w:p>
    <w:p w14:paraId="40E04198">
      <w:pPr>
        <w:spacing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）乔木群落</w:t>
      </w:r>
    </w:p>
    <w:p w14:paraId="4215F355">
      <w:pPr>
        <w:spacing w:before="165" w:line="363" w:lineRule="auto"/>
        <w:ind w:left="4" w:right="81" w:firstLine="480"/>
        <w:rPr>
          <w:rFonts w:ascii="宋体" w:hAnsi="宋体" w:eastAsia="宋体" w:cs="宋体"/>
          <w:sz w:val="24"/>
          <w:szCs w:val="24"/>
        </w:rPr>
      </w:pPr>
      <w:r>
        <w:rPr>
          <w:rFonts w:ascii="宋体" w:hAnsi="宋体" w:eastAsia="宋体" w:cs="宋体"/>
          <w:spacing w:val="2"/>
          <w:sz w:val="24"/>
          <w:szCs w:val="24"/>
        </w:rPr>
        <w:t>本项目区周边林地覆盖有小片的桉树林、马尾松、杉木等。桉树、马尾松和杉</w:t>
      </w:r>
      <w:r>
        <w:rPr>
          <w:rFonts w:ascii="宋体" w:hAnsi="宋体" w:eastAsia="宋体" w:cs="宋体"/>
          <w:spacing w:val="9"/>
          <w:sz w:val="24"/>
          <w:szCs w:val="24"/>
        </w:rPr>
        <w:t xml:space="preserve"> </w:t>
      </w:r>
      <w:r>
        <w:rPr>
          <w:rFonts w:ascii="宋体" w:hAnsi="宋体" w:eastAsia="宋体" w:cs="宋体"/>
          <w:spacing w:val="-1"/>
          <w:sz w:val="24"/>
          <w:szCs w:val="24"/>
        </w:rPr>
        <w:t>木均为优势种，常伴生有湿地松、鸭脚木、野漆、锥栗，山油柑等。</w:t>
      </w:r>
    </w:p>
    <w:p w14:paraId="681858E4">
      <w:pPr>
        <w:spacing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）灌草群落</w:t>
      </w:r>
    </w:p>
    <w:p w14:paraId="0BD5FC51">
      <w:pPr>
        <w:spacing w:before="126" w:line="374" w:lineRule="auto"/>
        <w:ind w:left="30" w:firstLine="456"/>
        <w:rPr>
          <w:rFonts w:ascii="宋体" w:hAnsi="宋体" w:eastAsia="宋体" w:cs="宋体"/>
          <w:sz w:val="24"/>
          <w:szCs w:val="24"/>
        </w:rPr>
      </w:pPr>
      <w:r>
        <w:rPr>
          <w:rFonts w:ascii="宋体" w:hAnsi="宋体" w:eastAsia="宋体" w:cs="宋体"/>
          <w:spacing w:val="-10"/>
          <w:sz w:val="24"/>
          <w:szCs w:val="24"/>
        </w:rPr>
        <w:t xml:space="preserve">项目周边灌木主要为芒箕草、海金沙、桃金娘等。群落覆盖度 </w:t>
      </w:r>
      <w:r>
        <w:rPr>
          <w:rFonts w:ascii="Times New Roman" w:hAnsi="Times New Roman" w:eastAsia="Times New Roman" w:cs="Times New Roman"/>
          <w:spacing w:val="-10"/>
          <w:sz w:val="24"/>
          <w:szCs w:val="24"/>
        </w:rPr>
        <w:t>85%</w:t>
      </w:r>
      <w:r>
        <w:rPr>
          <w:rFonts w:ascii="宋体" w:hAnsi="宋体" w:eastAsia="宋体" w:cs="宋体"/>
          <w:spacing w:val="-10"/>
          <w:sz w:val="24"/>
          <w:szCs w:val="24"/>
        </w:rPr>
        <w:t xml:space="preserve">，高 </w:t>
      </w:r>
      <w:r>
        <w:rPr>
          <w:rFonts w:ascii="Times New Roman" w:hAnsi="Times New Roman" w:eastAsia="Times New Roman" w:cs="Times New Roman"/>
          <w:spacing w:val="-10"/>
          <w:sz w:val="24"/>
          <w:szCs w:val="24"/>
        </w:rPr>
        <w:t>0.6-0.8m</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2"/>
          <w:sz w:val="24"/>
          <w:szCs w:val="24"/>
        </w:rPr>
        <w:t xml:space="preserve">以桃金娘、岗松为优势种。草本层覆盖度 </w:t>
      </w:r>
      <w:r>
        <w:rPr>
          <w:rFonts w:ascii="Times New Roman" w:hAnsi="Times New Roman" w:eastAsia="Times New Roman" w:cs="Times New Roman"/>
          <w:spacing w:val="-2"/>
          <w:sz w:val="24"/>
          <w:szCs w:val="24"/>
        </w:rPr>
        <w:t>70%</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，以芒箕为草本层优势种。</w:t>
      </w:r>
    </w:p>
    <w:p w14:paraId="2F3F53DD">
      <w:pPr>
        <w:spacing w:before="8"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）荒草群落</w:t>
      </w:r>
    </w:p>
    <w:p w14:paraId="1EDBAF38">
      <w:pPr>
        <w:spacing w:before="165" w:line="362" w:lineRule="auto"/>
        <w:ind w:left="3" w:right="81" w:firstLine="479"/>
        <w:rPr>
          <w:rFonts w:ascii="宋体" w:hAnsi="宋体" w:eastAsia="宋体" w:cs="宋体"/>
          <w:sz w:val="24"/>
          <w:szCs w:val="24"/>
        </w:rPr>
      </w:pPr>
      <w:r>
        <w:rPr>
          <w:rFonts w:ascii="宋体" w:hAnsi="宋体" w:eastAsia="宋体" w:cs="宋体"/>
          <w:spacing w:val="2"/>
          <w:sz w:val="24"/>
          <w:szCs w:val="24"/>
        </w:rPr>
        <w:t>评价范围内有零星分布的小块闲置地，仅生长芳草植物，分布类芦、芒草、铺</w:t>
      </w:r>
      <w:r>
        <w:rPr>
          <w:rFonts w:ascii="宋体" w:hAnsi="宋体" w:eastAsia="宋体" w:cs="宋体"/>
          <w:spacing w:val="11"/>
          <w:sz w:val="24"/>
          <w:szCs w:val="24"/>
        </w:rPr>
        <w:t xml:space="preserve"> </w:t>
      </w:r>
      <w:r>
        <w:rPr>
          <w:rFonts w:ascii="宋体" w:hAnsi="宋体" w:eastAsia="宋体" w:cs="宋体"/>
          <w:spacing w:val="-1"/>
          <w:sz w:val="24"/>
          <w:szCs w:val="24"/>
        </w:rPr>
        <w:t>地黍、野香茅等多种荒草植物。</w:t>
      </w:r>
    </w:p>
    <w:p w14:paraId="2184BF24">
      <w:pPr>
        <w:spacing w:line="360" w:lineRule="exact"/>
        <w:ind w:left="487"/>
        <w:rPr>
          <w:rFonts w:ascii="宋体" w:hAnsi="宋体" w:eastAsia="宋体" w:cs="宋体"/>
          <w:sz w:val="24"/>
          <w:szCs w:val="24"/>
        </w:rPr>
      </w:pPr>
      <w:r>
        <w:rPr>
          <w:rFonts w:ascii="宋体" w:hAnsi="宋体" w:eastAsia="宋体" w:cs="宋体"/>
          <w:spacing w:val="-1"/>
          <w:position w:val="2"/>
          <w:sz w:val="24"/>
          <w:szCs w:val="24"/>
        </w:rPr>
        <w:t xml:space="preserve">项目区及周边各植物群落的现状图片见图 </w:t>
      </w:r>
      <w:r>
        <w:rPr>
          <w:rFonts w:ascii="Times New Roman" w:hAnsi="Times New Roman" w:eastAsia="Times New Roman" w:cs="Times New Roman"/>
          <w:spacing w:val="-1"/>
          <w:position w:val="2"/>
          <w:sz w:val="24"/>
          <w:szCs w:val="24"/>
        </w:rPr>
        <w:t>4.7-1</w:t>
      </w:r>
      <w:r>
        <w:rPr>
          <w:rFonts w:ascii="宋体" w:hAnsi="宋体" w:eastAsia="宋体" w:cs="宋体"/>
          <w:spacing w:val="-1"/>
          <w:position w:val="2"/>
          <w:sz w:val="24"/>
          <w:szCs w:val="24"/>
        </w:rPr>
        <w:t>。</w:t>
      </w:r>
    </w:p>
    <w:p w14:paraId="27CAF03B">
      <w:pPr>
        <w:spacing w:line="360" w:lineRule="exact"/>
        <w:rPr>
          <w:rFonts w:ascii="宋体" w:hAnsi="宋体" w:eastAsia="宋体" w:cs="宋体"/>
          <w:sz w:val="24"/>
          <w:szCs w:val="24"/>
        </w:rPr>
        <w:sectPr>
          <w:footerReference r:id="rId116" w:type="default"/>
          <w:pgSz w:w="11906" w:h="16839"/>
          <w:pgMar w:top="400" w:right="1507" w:bottom="1485" w:left="1594" w:header="0" w:footer="1249" w:gutter="0"/>
          <w:cols w:space="720" w:num="1"/>
        </w:sectPr>
      </w:pPr>
    </w:p>
    <w:p w14:paraId="035BC1A9">
      <w:pPr>
        <w:pStyle w:val="2"/>
        <w:spacing w:line="273" w:lineRule="auto"/>
      </w:pPr>
    </w:p>
    <w:p w14:paraId="310DF962">
      <w:pPr>
        <w:pStyle w:val="2"/>
        <w:spacing w:line="274" w:lineRule="auto"/>
      </w:pPr>
    </w:p>
    <w:p w14:paraId="15FE4C5D">
      <w:pPr>
        <w:pStyle w:val="2"/>
        <w:spacing w:line="274" w:lineRule="auto"/>
      </w:pPr>
    </w:p>
    <w:p w14:paraId="1B57C78E">
      <w:pPr>
        <w:pStyle w:val="2"/>
        <w:spacing w:line="274" w:lineRule="auto"/>
      </w:pPr>
    </w:p>
    <w:p w14:paraId="618BEDB7">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4.6.4</w:t>
      </w:r>
      <w:r>
        <w:rPr>
          <w:rFonts w:ascii="宋体" w:hAnsi="宋体" w:eastAsia="宋体" w:cs="宋体"/>
          <w:b/>
          <w:bCs/>
          <w:spacing w:val="-2"/>
          <w:sz w:val="24"/>
          <w:szCs w:val="24"/>
        </w:rPr>
        <w:t>植被生态现状评价</w:t>
      </w:r>
    </w:p>
    <w:p w14:paraId="1989C042">
      <w:pPr>
        <w:pStyle w:val="2"/>
        <w:spacing w:line="281" w:lineRule="auto"/>
      </w:pPr>
    </w:p>
    <w:p w14:paraId="3E7BDB02">
      <w:pPr>
        <w:spacing w:before="78" w:line="377" w:lineRule="auto"/>
        <w:ind w:left="124" w:right="113" w:firstLine="479"/>
        <w:jc w:val="both"/>
        <w:rPr>
          <w:rFonts w:ascii="宋体" w:hAnsi="宋体" w:eastAsia="宋体" w:cs="宋体"/>
          <w:sz w:val="24"/>
          <w:szCs w:val="24"/>
        </w:rPr>
      </w:pPr>
      <w:r>
        <w:rPr>
          <w:rFonts w:ascii="宋体" w:hAnsi="宋体" w:eastAsia="宋体" w:cs="宋体"/>
          <w:spacing w:val="2"/>
          <w:sz w:val="24"/>
          <w:szCs w:val="24"/>
        </w:rPr>
        <w:t>本项目评价范围内的植物以蔬菜作物、果树为主，附近林地田边分布有小片的</w:t>
      </w:r>
      <w:r>
        <w:rPr>
          <w:rFonts w:ascii="宋体" w:hAnsi="宋体" w:eastAsia="宋体" w:cs="宋体"/>
          <w:spacing w:val="9"/>
          <w:sz w:val="24"/>
          <w:szCs w:val="24"/>
        </w:rPr>
        <w:t xml:space="preserve"> </w:t>
      </w:r>
      <w:r>
        <w:rPr>
          <w:rFonts w:ascii="宋体" w:hAnsi="宋体" w:eastAsia="宋体" w:cs="宋体"/>
          <w:spacing w:val="2"/>
          <w:sz w:val="24"/>
          <w:szCs w:val="24"/>
        </w:rPr>
        <w:t>荒草群落和乔、灌木群落。植被结构一般，且大部分为人工种植的，其结构和群落</w:t>
      </w:r>
      <w:r>
        <w:rPr>
          <w:rFonts w:ascii="宋体" w:hAnsi="宋体" w:eastAsia="宋体" w:cs="宋体"/>
          <w:spacing w:val="4"/>
          <w:sz w:val="24"/>
          <w:szCs w:val="24"/>
        </w:rPr>
        <w:t xml:space="preserve"> </w:t>
      </w:r>
      <w:r>
        <w:rPr>
          <w:rFonts w:ascii="宋体" w:hAnsi="宋体" w:eastAsia="宋体" w:cs="宋体"/>
          <w:spacing w:val="2"/>
          <w:sz w:val="24"/>
          <w:szCs w:val="24"/>
        </w:rPr>
        <w:t>内的物种量的生态效应较低。整体而言，评价区内总体上群落的生长量不大，植被</w:t>
      </w:r>
      <w:r>
        <w:rPr>
          <w:rFonts w:ascii="宋体" w:hAnsi="宋体" w:eastAsia="宋体" w:cs="宋体"/>
          <w:spacing w:val="4"/>
          <w:sz w:val="24"/>
          <w:szCs w:val="24"/>
        </w:rPr>
        <w:t xml:space="preserve"> </w:t>
      </w:r>
      <w:r>
        <w:rPr>
          <w:rFonts w:ascii="宋体" w:hAnsi="宋体" w:eastAsia="宋体" w:cs="宋体"/>
          <w:sz w:val="24"/>
          <w:szCs w:val="24"/>
        </w:rPr>
        <w:t>主要半自然人工林为主，大量的芒草及灌草</w:t>
      </w:r>
      <w:r>
        <w:rPr>
          <w:rFonts w:ascii="宋体" w:hAnsi="宋体" w:eastAsia="宋体" w:cs="宋体"/>
          <w:spacing w:val="-1"/>
          <w:sz w:val="24"/>
          <w:szCs w:val="24"/>
        </w:rPr>
        <w:t>丛，植被生态环境质量一般。</w:t>
      </w:r>
    </w:p>
    <w:p w14:paraId="00217FC5">
      <w:pPr>
        <w:spacing w:before="293"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4.6.5</w:t>
      </w:r>
      <w:r>
        <w:rPr>
          <w:rFonts w:ascii="宋体" w:hAnsi="宋体" w:eastAsia="宋体" w:cs="宋体"/>
          <w:b/>
          <w:bCs/>
          <w:spacing w:val="-2"/>
          <w:sz w:val="24"/>
          <w:szCs w:val="24"/>
        </w:rPr>
        <w:t>陆生动物现状调查与分析</w:t>
      </w:r>
    </w:p>
    <w:p w14:paraId="3091CFA6">
      <w:pPr>
        <w:pStyle w:val="2"/>
        <w:spacing w:line="278" w:lineRule="auto"/>
      </w:pPr>
    </w:p>
    <w:p w14:paraId="6F08B332">
      <w:pPr>
        <w:spacing w:before="78" w:line="377" w:lineRule="auto"/>
        <w:ind w:left="124" w:right="170" w:firstLine="480"/>
        <w:rPr>
          <w:rFonts w:ascii="宋体" w:hAnsi="宋体" w:eastAsia="宋体" w:cs="宋体"/>
          <w:sz w:val="24"/>
          <w:szCs w:val="24"/>
        </w:rPr>
      </w:pPr>
      <w:r>
        <w:rPr>
          <w:rFonts w:ascii="宋体" w:hAnsi="宋体" w:eastAsia="宋体" w:cs="宋体"/>
          <w:spacing w:val="1"/>
          <w:sz w:val="24"/>
          <w:szCs w:val="24"/>
        </w:rPr>
        <w:t>经过现场调查，在生态现状评价范围内未发</w:t>
      </w:r>
      <w:r>
        <w:rPr>
          <w:rFonts w:ascii="宋体" w:hAnsi="宋体" w:eastAsia="宋体" w:cs="宋体"/>
          <w:sz w:val="24"/>
          <w:szCs w:val="24"/>
        </w:rPr>
        <w:t xml:space="preserve">现有国家保护的珍稀、濒危动物， </w:t>
      </w:r>
      <w:r>
        <w:rPr>
          <w:rFonts w:ascii="宋体" w:hAnsi="宋体" w:eastAsia="宋体" w:cs="宋体"/>
          <w:spacing w:val="-2"/>
          <w:sz w:val="24"/>
          <w:szCs w:val="24"/>
        </w:rPr>
        <w:t>现有动物均为常见动物。</w:t>
      </w:r>
    </w:p>
    <w:p w14:paraId="3824065D">
      <w:pPr>
        <w:spacing w:before="6" w:line="376" w:lineRule="auto"/>
        <w:ind w:left="122" w:right="28" w:firstLine="479"/>
        <w:jc w:val="both"/>
        <w:rPr>
          <w:rFonts w:ascii="宋体" w:hAnsi="宋体" w:eastAsia="宋体" w:cs="宋体"/>
          <w:sz w:val="24"/>
          <w:szCs w:val="24"/>
        </w:rPr>
      </w:pPr>
      <w:r>
        <w:rPr>
          <w:rFonts w:ascii="宋体" w:hAnsi="宋体" w:eastAsia="宋体" w:cs="宋体"/>
          <w:spacing w:val="2"/>
          <w:sz w:val="24"/>
          <w:szCs w:val="24"/>
        </w:rPr>
        <w:t>评价区域范围内主要为低山、丘陵，动物以稀疏林地、灌草丛活动的类群为主</w:t>
      </w:r>
      <w:r>
        <w:rPr>
          <w:rFonts w:ascii="宋体" w:hAnsi="宋体" w:eastAsia="宋体" w:cs="宋体"/>
          <w:spacing w:val="11"/>
          <w:sz w:val="24"/>
          <w:szCs w:val="24"/>
        </w:rPr>
        <w:t xml:space="preserve"> </w:t>
      </w:r>
      <w:r>
        <w:rPr>
          <w:rFonts w:ascii="宋体" w:hAnsi="宋体" w:eastAsia="宋体" w:cs="宋体"/>
          <w:spacing w:val="1"/>
          <w:sz w:val="24"/>
          <w:szCs w:val="24"/>
        </w:rPr>
        <w:t>体，</w:t>
      </w:r>
      <w:r>
        <w:rPr>
          <w:rFonts w:ascii="宋体" w:hAnsi="宋体" w:eastAsia="宋体" w:cs="宋体"/>
          <w:spacing w:val="-64"/>
          <w:sz w:val="24"/>
          <w:szCs w:val="24"/>
        </w:rPr>
        <w:t xml:space="preserve"> </w:t>
      </w:r>
      <w:r>
        <w:rPr>
          <w:rFonts w:ascii="宋体" w:hAnsi="宋体" w:eastAsia="宋体" w:cs="宋体"/>
          <w:spacing w:val="1"/>
          <w:sz w:val="24"/>
          <w:szCs w:val="24"/>
        </w:rPr>
        <w:t>目前该地区常见的野生动物主要有哺乳类动物</w:t>
      </w:r>
      <w:r>
        <w:rPr>
          <w:rFonts w:ascii="宋体" w:hAnsi="宋体" w:eastAsia="宋体" w:cs="宋体"/>
          <w:sz w:val="24"/>
          <w:szCs w:val="24"/>
        </w:rPr>
        <w:t xml:space="preserve">如褐家鼠、猪灌、蝙蝠；鸟类池 </w:t>
      </w:r>
      <w:r>
        <w:rPr>
          <w:rFonts w:ascii="宋体" w:hAnsi="宋体" w:eastAsia="宋体" w:cs="宋体"/>
          <w:spacing w:val="-2"/>
          <w:sz w:val="24"/>
          <w:szCs w:val="24"/>
        </w:rPr>
        <w:t>鹭、鹧鸪、燕子、杜鹃、林鹰、翠鸟、喜鹊、画眉、山树莺；爬行类石龙子、</w:t>
      </w:r>
      <w:r>
        <w:rPr>
          <w:rFonts w:ascii="宋体" w:hAnsi="宋体" w:eastAsia="宋体" w:cs="宋体"/>
          <w:spacing w:val="-3"/>
          <w:sz w:val="24"/>
          <w:szCs w:val="24"/>
        </w:rPr>
        <w:t>草晰、</w:t>
      </w:r>
      <w:r>
        <w:rPr>
          <w:rFonts w:ascii="宋体" w:hAnsi="宋体" w:eastAsia="宋体" w:cs="宋体"/>
          <w:sz w:val="24"/>
          <w:szCs w:val="24"/>
        </w:rPr>
        <w:t xml:space="preserve"> </w:t>
      </w:r>
      <w:r>
        <w:rPr>
          <w:rFonts w:ascii="宋体" w:hAnsi="宋体" w:eastAsia="宋体" w:cs="宋体"/>
          <w:spacing w:val="-2"/>
          <w:sz w:val="24"/>
          <w:szCs w:val="24"/>
        </w:rPr>
        <w:t>赤练蛇、红点锦蛇、乌梢蛇、三索蛇；两栖类蟾蜍、树蛙、姬蛙等。此外还有</w:t>
      </w:r>
      <w:r>
        <w:rPr>
          <w:rFonts w:ascii="宋体" w:hAnsi="宋体" w:eastAsia="宋体" w:cs="宋体"/>
          <w:spacing w:val="-3"/>
          <w:sz w:val="24"/>
          <w:szCs w:val="24"/>
        </w:rPr>
        <w:t>蚂蚁、</w:t>
      </w:r>
      <w:r>
        <w:rPr>
          <w:rFonts w:ascii="宋体" w:hAnsi="宋体" w:eastAsia="宋体" w:cs="宋体"/>
          <w:sz w:val="24"/>
          <w:szCs w:val="24"/>
        </w:rPr>
        <w:t xml:space="preserve"> </w:t>
      </w:r>
      <w:r>
        <w:rPr>
          <w:rFonts w:ascii="宋体" w:hAnsi="宋体" w:eastAsia="宋体" w:cs="宋体"/>
          <w:spacing w:val="-1"/>
          <w:sz w:val="24"/>
          <w:szCs w:val="24"/>
        </w:rPr>
        <w:t>蜂、蝴蝶、蜻蜓、蚱蜢、螳螂等昆虫。</w:t>
      </w:r>
    </w:p>
    <w:p w14:paraId="50161148">
      <w:pPr>
        <w:spacing w:before="292" w:line="222"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4.6.6</w:t>
      </w:r>
      <w:r>
        <w:rPr>
          <w:rFonts w:ascii="宋体" w:hAnsi="宋体" w:eastAsia="宋体" w:cs="宋体"/>
          <w:b/>
          <w:bCs/>
          <w:spacing w:val="-2"/>
          <w:sz w:val="24"/>
          <w:szCs w:val="24"/>
        </w:rPr>
        <w:t>小结</w:t>
      </w:r>
    </w:p>
    <w:p w14:paraId="66982736">
      <w:pPr>
        <w:pStyle w:val="2"/>
        <w:spacing w:line="278" w:lineRule="auto"/>
      </w:pPr>
    </w:p>
    <w:p w14:paraId="4350699F">
      <w:pPr>
        <w:spacing w:before="78" w:line="344" w:lineRule="auto"/>
        <w:ind w:left="122" w:right="113" w:firstLine="483"/>
        <w:jc w:val="both"/>
        <w:rPr>
          <w:rFonts w:ascii="宋体" w:hAnsi="宋体" w:eastAsia="宋体" w:cs="宋体"/>
          <w:sz w:val="24"/>
          <w:szCs w:val="24"/>
        </w:rPr>
      </w:pPr>
      <w:r>
        <w:rPr>
          <w:rFonts w:ascii="宋体" w:hAnsi="宋体" w:eastAsia="宋体" w:cs="宋体"/>
          <w:spacing w:val="2"/>
          <w:sz w:val="24"/>
          <w:szCs w:val="24"/>
        </w:rPr>
        <w:t>综上所述，项目所在区域地表植被以次生林地、果林、灌草地等为主。整体而</w:t>
      </w:r>
      <w:r>
        <w:rPr>
          <w:rFonts w:ascii="宋体" w:hAnsi="宋体" w:eastAsia="宋体" w:cs="宋体"/>
          <w:spacing w:val="7"/>
          <w:sz w:val="24"/>
          <w:szCs w:val="24"/>
        </w:rPr>
        <w:t xml:space="preserve"> </w:t>
      </w:r>
      <w:r>
        <w:rPr>
          <w:rFonts w:ascii="宋体" w:hAnsi="宋体" w:eastAsia="宋体" w:cs="宋体"/>
          <w:spacing w:val="2"/>
          <w:sz w:val="24"/>
          <w:szCs w:val="24"/>
        </w:rPr>
        <w:t>言，本区植被主要半自然人工林为主，大量的芒草及灌草丛，植被生态环境质量一</w:t>
      </w:r>
      <w:r>
        <w:rPr>
          <w:rFonts w:ascii="宋体" w:hAnsi="宋体" w:eastAsia="宋体" w:cs="宋体"/>
          <w:spacing w:val="7"/>
          <w:sz w:val="24"/>
          <w:szCs w:val="24"/>
        </w:rPr>
        <w:t xml:space="preserve"> </w:t>
      </w:r>
      <w:r>
        <w:rPr>
          <w:rFonts w:ascii="宋体" w:hAnsi="宋体" w:eastAsia="宋体" w:cs="宋体"/>
          <w:spacing w:val="-1"/>
          <w:sz w:val="24"/>
          <w:szCs w:val="24"/>
        </w:rPr>
        <w:t>般。评价区内没有发现国家保护动植物。</w:t>
      </w: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5"/>
        <w:gridCol w:w="4475"/>
      </w:tblGrid>
      <w:tr w14:paraId="1767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3" w:hRule="atLeast"/>
        </w:trPr>
        <w:tc>
          <w:tcPr>
            <w:tcW w:w="4475" w:type="dxa"/>
            <w:vAlign w:val="top"/>
          </w:tcPr>
          <w:p w14:paraId="634F2074">
            <w:pPr>
              <w:spacing w:before="96" w:line="3401" w:lineRule="exact"/>
              <w:ind w:firstLine="137"/>
            </w:pPr>
            <w:r>
              <w:rPr>
                <w:position w:val="-68"/>
              </w:rPr>
              <w:drawing>
                <wp:inline distT="0" distB="0" distL="0" distR="0">
                  <wp:extent cx="2750820" cy="21590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22"/>
                          <a:stretch>
                            <a:fillRect/>
                          </a:stretch>
                        </pic:blipFill>
                        <pic:spPr>
                          <a:xfrm>
                            <a:off x="0" y="0"/>
                            <a:ext cx="2751201" cy="2159507"/>
                          </a:xfrm>
                          <a:prstGeom prst="rect">
                            <a:avLst/>
                          </a:prstGeom>
                        </pic:spPr>
                      </pic:pic>
                    </a:graphicData>
                  </a:graphic>
                </wp:inline>
              </w:drawing>
            </w:r>
          </w:p>
        </w:tc>
        <w:tc>
          <w:tcPr>
            <w:tcW w:w="4475" w:type="dxa"/>
            <w:vAlign w:val="top"/>
          </w:tcPr>
          <w:p w14:paraId="1535C2DF">
            <w:pPr>
              <w:spacing w:before="96" w:line="3401" w:lineRule="exact"/>
              <w:ind w:firstLine="135"/>
            </w:pPr>
            <w:r>
              <w:rPr>
                <w:position w:val="-68"/>
              </w:rPr>
              <w:drawing>
                <wp:inline distT="0" distB="0" distL="0" distR="0">
                  <wp:extent cx="2752090" cy="21590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23"/>
                          <a:stretch>
                            <a:fillRect/>
                          </a:stretch>
                        </pic:blipFill>
                        <pic:spPr>
                          <a:xfrm>
                            <a:off x="0" y="0"/>
                            <a:ext cx="2752090" cy="2159507"/>
                          </a:xfrm>
                          <a:prstGeom prst="rect">
                            <a:avLst/>
                          </a:prstGeom>
                        </pic:spPr>
                      </pic:pic>
                    </a:graphicData>
                  </a:graphic>
                </wp:inline>
              </w:drawing>
            </w:r>
          </w:p>
        </w:tc>
      </w:tr>
    </w:tbl>
    <w:p w14:paraId="4F6C0939">
      <w:pPr>
        <w:pStyle w:val="2"/>
      </w:pPr>
    </w:p>
    <w:p w14:paraId="59A10208">
      <w:pPr>
        <w:sectPr>
          <w:footerReference r:id="rId117" w:type="default"/>
          <w:pgSz w:w="11906" w:h="16839"/>
          <w:pgMar w:top="400" w:right="1475" w:bottom="1485" w:left="1475" w:header="0" w:footer="1249" w:gutter="0"/>
          <w:cols w:space="720" w:num="1"/>
        </w:sectPr>
      </w:pPr>
    </w:p>
    <w:p w14:paraId="2BAA9A7F">
      <w:pPr>
        <w:spacing w:before="13"/>
      </w:pPr>
    </w:p>
    <w:p w14:paraId="661B36A6">
      <w:pPr>
        <w:spacing w:before="13"/>
      </w:pPr>
    </w:p>
    <w:p w14:paraId="7FC1DF2D">
      <w:pPr>
        <w:spacing w:before="13"/>
      </w:pPr>
    </w:p>
    <w:p w14:paraId="3637FD6C">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5"/>
        <w:gridCol w:w="4475"/>
      </w:tblGrid>
      <w:tr w14:paraId="551D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5" w:hRule="atLeast"/>
        </w:trPr>
        <w:tc>
          <w:tcPr>
            <w:tcW w:w="4475" w:type="dxa"/>
            <w:vAlign w:val="top"/>
          </w:tcPr>
          <w:p w14:paraId="02FDF817">
            <w:pPr>
              <w:spacing w:before="96" w:line="3400" w:lineRule="exact"/>
              <w:ind w:firstLine="137"/>
            </w:pPr>
            <w:r>
              <w:rPr>
                <w:position w:val="-68"/>
              </w:rPr>
              <w:drawing>
                <wp:inline distT="0" distB="0" distL="0" distR="0">
                  <wp:extent cx="2750820" cy="21590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24"/>
                          <a:stretch>
                            <a:fillRect/>
                          </a:stretch>
                        </pic:blipFill>
                        <pic:spPr>
                          <a:xfrm>
                            <a:off x="0" y="0"/>
                            <a:ext cx="2751201" cy="2159507"/>
                          </a:xfrm>
                          <a:prstGeom prst="rect">
                            <a:avLst/>
                          </a:prstGeom>
                        </pic:spPr>
                      </pic:pic>
                    </a:graphicData>
                  </a:graphic>
                </wp:inline>
              </w:drawing>
            </w:r>
          </w:p>
        </w:tc>
        <w:tc>
          <w:tcPr>
            <w:tcW w:w="4475" w:type="dxa"/>
            <w:vAlign w:val="top"/>
          </w:tcPr>
          <w:p w14:paraId="25554986">
            <w:pPr>
              <w:spacing w:before="96" w:line="3400" w:lineRule="exact"/>
              <w:ind w:firstLine="135"/>
            </w:pPr>
            <w:r>
              <w:rPr>
                <w:position w:val="-68"/>
              </w:rPr>
              <w:drawing>
                <wp:inline distT="0" distB="0" distL="0" distR="0">
                  <wp:extent cx="2752090" cy="21590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25"/>
                          <a:stretch>
                            <a:fillRect/>
                          </a:stretch>
                        </pic:blipFill>
                        <pic:spPr>
                          <a:xfrm>
                            <a:off x="0" y="0"/>
                            <a:ext cx="2752090" cy="2159507"/>
                          </a:xfrm>
                          <a:prstGeom prst="rect">
                            <a:avLst/>
                          </a:prstGeom>
                        </pic:spPr>
                      </pic:pic>
                    </a:graphicData>
                  </a:graphic>
                </wp:inline>
              </w:drawing>
            </w:r>
          </w:p>
        </w:tc>
      </w:tr>
    </w:tbl>
    <w:p w14:paraId="335D3F3B">
      <w:pPr>
        <w:spacing w:before="125" w:line="220" w:lineRule="auto"/>
        <w:ind w:left="2700"/>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
          <w:sz w:val="24"/>
          <w:szCs w:val="24"/>
        </w:rPr>
        <w:t xml:space="preserve"> </w:t>
      </w:r>
      <w:r>
        <w:rPr>
          <w:rFonts w:ascii="Times New Roman" w:hAnsi="Times New Roman" w:eastAsia="Times New Roman" w:cs="Times New Roman"/>
          <w:b/>
          <w:bCs/>
          <w:spacing w:val="-3"/>
          <w:sz w:val="24"/>
          <w:szCs w:val="24"/>
        </w:rPr>
        <w:t xml:space="preserve">4.7-1  </w:t>
      </w:r>
      <w:r>
        <w:rPr>
          <w:rFonts w:ascii="宋体" w:hAnsi="宋体" w:eastAsia="宋体" w:cs="宋体"/>
          <w:b/>
          <w:bCs/>
          <w:spacing w:val="-3"/>
          <w:sz w:val="24"/>
          <w:szCs w:val="24"/>
        </w:rPr>
        <w:t>项目周边各植物群落现状图片</w:t>
      </w:r>
    </w:p>
    <w:p w14:paraId="2D71BCC7">
      <w:pPr>
        <w:spacing w:line="220" w:lineRule="auto"/>
        <w:rPr>
          <w:rFonts w:ascii="宋体" w:hAnsi="宋体" w:eastAsia="宋体" w:cs="宋体"/>
          <w:sz w:val="24"/>
          <w:szCs w:val="24"/>
        </w:rPr>
        <w:sectPr>
          <w:footerReference r:id="rId118" w:type="default"/>
          <w:pgSz w:w="11906" w:h="16839"/>
          <w:pgMar w:top="400" w:right="1475" w:bottom="1485" w:left="1475" w:header="0" w:footer="1249" w:gutter="0"/>
          <w:cols w:space="720" w:num="1"/>
        </w:sectPr>
      </w:pPr>
    </w:p>
    <w:p w14:paraId="620D77AB">
      <w:pPr>
        <w:pStyle w:val="2"/>
        <w:spacing w:line="267" w:lineRule="auto"/>
      </w:pPr>
    </w:p>
    <w:p w14:paraId="2E3E1F77">
      <w:pPr>
        <w:pStyle w:val="2"/>
        <w:spacing w:line="268" w:lineRule="auto"/>
      </w:pPr>
    </w:p>
    <w:p w14:paraId="6E8137A7">
      <w:pPr>
        <w:pStyle w:val="2"/>
        <w:spacing w:line="268" w:lineRule="auto"/>
      </w:pPr>
    </w:p>
    <w:p w14:paraId="35001DB4">
      <w:pPr>
        <w:pStyle w:val="2"/>
        <w:spacing w:line="268" w:lineRule="auto"/>
      </w:pPr>
    </w:p>
    <w:p w14:paraId="06159FA0">
      <w:pPr>
        <w:pStyle w:val="2"/>
        <w:spacing w:line="268" w:lineRule="auto"/>
      </w:pPr>
    </w:p>
    <w:p w14:paraId="6D388D2C">
      <w:pPr>
        <w:spacing w:before="139" w:line="637" w:lineRule="exact"/>
        <w:ind w:left="2407"/>
        <w:outlineLvl w:val="0"/>
        <w:rPr>
          <w:rFonts w:ascii="黑体" w:hAnsi="黑体" w:eastAsia="黑体" w:cs="黑体"/>
          <w:sz w:val="43"/>
          <w:szCs w:val="43"/>
        </w:rPr>
      </w:pPr>
      <w:bookmarkStart w:id="33" w:name="bookmark30"/>
      <w:bookmarkEnd w:id="33"/>
      <w:bookmarkStart w:id="34" w:name="bookmark31"/>
      <w:bookmarkEnd w:id="34"/>
      <w:r>
        <w:rPr>
          <w:rFonts w:ascii="Calibri" w:hAnsi="Calibri" w:eastAsia="Calibri" w:cs="Calibri"/>
          <w:spacing w:val="7"/>
          <w:position w:val="4"/>
          <w:sz w:val="43"/>
          <w:szCs w:val="43"/>
        </w:rPr>
        <w:t>5</w:t>
      </w:r>
      <w:r>
        <w:rPr>
          <w:rFonts w:ascii="黑体" w:hAnsi="黑体" w:eastAsia="黑体" w:cs="黑体"/>
          <w:spacing w:val="7"/>
          <w:position w:val="4"/>
          <w:sz w:val="43"/>
          <w:szCs w:val="43"/>
        </w:rPr>
        <w:t>环境影响预测与评价</w:t>
      </w:r>
    </w:p>
    <w:p w14:paraId="72F847D1">
      <w:pPr>
        <w:pStyle w:val="2"/>
        <w:spacing w:line="414" w:lineRule="auto"/>
      </w:pPr>
    </w:p>
    <w:p w14:paraId="7F722058">
      <w:pPr>
        <w:spacing w:before="100" w:line="226" w:lineRule="auto"/>
        <w:ind w:left="124"/>
        <w:outlineLvl w:val="1"/>
        <w:rPr>
          <w:rFonts w:ascii="宋体" w:hAnsi="宋体" w:eastAsia="宋体" w:cs="宋体"/>
          <w:sz w:val="31"/>
          <w:szCs w:val="31"/>
        </w:rPr>
      </w:pPr>
      <w:bookmarkStart w:id="35" w:name="bookmark61"/>
      <w:bookmarkEnd w:id="35"/>
      <w:r>
        <w:rPr>
          <w:rFonts w:ascii="Times New Roman" w:hAnsi="Times New Roman" w:eastAsia="Times New Roman" w:cs="Times New Roman"/>
          <w:b/>
          <w:bCs/>
          <w:spacing w:val="5"/>
          <w:sz w:val="31"/>
          <w:szCs w:val="31"/>
        </w:rPr>
        <w:t>5.1</w:t>
      </w:r>
      <w:r>
        <w:rPr>
          <w:rFonts w:ascii="宋体" w:hAnsi="宋体" w:eastAsia="宋体" w:cs="宋体"/>
          <w:b/>
          <w:bCs/>
          <w:spacing w:val="5"/>
          <w:sz w:val="31"/>
          <w:szCs w:val="31"/>
        </w:rPr>
        <w:t>施工期环境影响分析</w:t>
      </w:r>
    </w:p>
    <w:p w14:paraId="62FC8AC0">
      <w:pPr>
        <w:pStyle w:val="2"/>
        <w:spacing w:line="409" w:lineRule="auto"/>
      </w:pPr>
    </w:p>
    <w:p w14:paraId="55C627F1">
      <w:pPr>
        <w:spacing w:before="78" w:line="377" w:lineRule="auto"/>
        <w:ind w:left="125" w:right="113" w:firstLine="478"/>
        <w:jc w:val="both"/>
        <w:rPr>
          <w:rFonts w:ascii="宋体" w:hAnsi="宋体" w:eastAsia="宋体" w:cs="宋体"/>
          <w:sz w:val="24"/>
          <w:szCs w:val="24"/>
        </w:rPr>
      </w:pPr>
      <w:r>
        <w:rPr>
          <w:rFonts w:ascii="宋体" w:hAnsi="宋体" w:eastAsia="宋体" w:cs="宋体"/>
          <w:spacing w:val="2"/>
          <w:sz w:val="24"/>
          <w:szCs w:val="24"/>
        </w:rPr>
        <w:t>本项目建设期为</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个月，项目在建设期间，各项施工活</w:t>
      </w:r>
      <w:r>
        <w:rPr>
          <w:rFonts w:ascii="宋体" w:hAnsi="宋体" w:eastAsia="宋体" w:cs="宋体"/>
          <w:spacing w:val="1"/>
          <w:sz w:val="24"/>
          <w:szCs w:val="24"/>
        </w:rPr>
        <w:t>动不可避免的将会对周</w:t>
      </w:r>
      <w:r>
        <w:rPr>
          <w:rFonts w:ascii="宋体" w:hAnsi="宋体" w:eastAsia="宋体" w:cs="宋体"/>
          <w:sz w:val="24"/>
          <w:szCs w:val="24"/>
        </w:rPr>
        <w:t xml:space="preserve"> </w:t>
      </w:r>
      <w:r>
        <w:rPr>
          <w:rFonts w:ascii="宋体" w:hAnsi="宋体" w:eastAsia="宋体" w:cs="宋体"/>
          <w:spacing w:val="2"/>
          <w:sz w:val="24"/>
          <w:szCs w:val="24"/>
        </w:rPr>
        <w:t>围环境造成一定的污染影响。施工期环境影响因素主要有生态破坏、施工扬尘、施</w:t>
      </w:r>
      <w:r>
        <w:rPr>
          <w:rFonts w:ascii="宋体" w:hAnsi="宋体" w:eastAsia="宋体" w:cs="宋体"/>
          <w:spacing w:val="3"/>
          <w:sz w:val="24"/>
          <w:szCs w:val="24"/>
        </w:rPr>
        <w:t xml:space="preserve"> </w:t>
      </w:r>
      <w:r>
        <w:rPr>
          <w:rFonts w:ascii="宋体" w:hAnsi="宋体" w:eastAsia="宋体" w:cs="宋体"/>
          <w:spacing w:val="-1"/>
          <w:sz w:val="24"/>
          <w:szCs w:val="24"/>
        </w:rPr>
        <w:t>工噪声、施工废水和施工固体废物。</w:t>
      </w:r>
    </w:p>
    <w:p w14:paraId="54FFA22D">
      <w:pPr>
        <w:spacing w:before="293" w:line="221"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5.1.1</w:t>
      </w:r>
      <w:r>
        <w:rPr>
          <w:rFonts w:ascii="宋体" w:hAnsi="宋体" w:eastAsia="宋体" w:cs="宋体"/>
          <w:b/>
          <w:bCs/>
          <w:spacing w:val="-2"/>
          <w:sz w:val="24"/>
          <w:szCs w:val="24"/>
        </w:rPr>
        <w:t>施工期大气环境影响分析</w:t>
      </w:r>
    </w:p>
    <w:p w14:paraId="256499CC">
      <w:pPr>
        <w:pStyle w:val="2"/>
        <w:spacing w:line="279" w:lineRule="auto"/>
      </w:pPr>
    </w:p>
    <w:p w14:paraId="0A649762">
      <w:pPr>
        <w:spacing w:before="78" w:line="362" w:lineRule="auto"/>
        <w:ind w:left="123" w:right="32" w:firstLine="479"/>
        <w:rPr>
          <w:rFonts w:ascii="宋体" w:hAnsi="宋体" w:eastAsia="宋体" w:cs="宋体"/>
          <w:sz w:val="24"/>
          <w:szCs w:val="24"/>
        </w:rPr>
      </w:pPr>
      <w:r>
        <w:rPr>
          <w:rFonts w:ascii="宋体" w:hAnsi="宋体" w:eastAsia="宋体" w:cs="宋体"/>
          <w:spacing w:val="-2"/>
          <w:sz w:val="24"/>
          <w:szCs w:val="24"/>
        </w:rPr>
        <w:t>本项目施工期主要大气污染物包括施工扬尘、施工机</w:t>
      </w:r>
      <w:r>
        <w:rPr>
          <w:rFonts w:ascii="宋体" w:hAnsi="宋体" w:eastAsia="宋体" w:cs="宋体"/>
          <w:spacing w:val="-3"/>
          <w:sz w:val="24"/>
          <w:szCs w:val="24"/>
        </w:rPr>
        <w:t>械和运输车辆产生的废气。</w:t>
      </w:r>
      <w:r>
        <w:rPr>
          <w:rFonts w:ascii="宋体" w:hAnsi="宋体" w:eastAsia="宋体" w:cs="宋体"/>
          <w:sz w:val="24"/>
          <w:szCs w:val="24"/>
        </w:rPr>
        <w:t xml:space="preserve"> </w:t>
      </w:r>
      <w:r>
        <w:rPr>
          <w:rFonts w:ascii="宋体" w:hAnsi="宋体" w:eastAsia="宋体" w:cs="宋体"/>
          <w:spacing w:val="-1"/>
          <w:sz w:val="24"/>
          <w:szCs w:val="24"/>
        </w:rPr>
        <w:t>其中最为突出的污染是施工扬尘。</w:t>
      </w:r>
    </w:p>
    <w:p w14:paraId="1649711E">
      <w:pPr>
        <w:spacing w:line="363" w:lineRule="exact"/>
        <w:ind w:left="621"/>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、施工扬尘</w:t>
      </w:r>
    </w:p>
    <w:p w14:paraId="76680651">
      <w:pPr>
        <w:spacing w:before="164" w:line="369" w:lineRule="auto"/>
        <w:ind w:left="122" w:right="113" w:firstLine="479"/>
        <w:rPr>
          <w:rFonts w:ascii="宋体" w:hAnsi="宋体" w:eastAsia="宋体" w:cs="宋体"/>
          <w:sz w:val="24"/>
          <w:szCs w:val="24"/>
        </w:rPr>
      </w:pPr>
      <w:r>
        <w:rPr>
          <w:rFonts w:ascii="宋体" w:hAnsi="宋体" w:eastAsia="宋体" w:cs="宋体"/>
          <w:spacing w:val="2"/>
          <w:sz w:val="24"/>
          <w:szCs w:val="24"/>
        </w:rPr>
        <w:t>施工扬尘是施工过程主要的大气污染源，主要来源于施工现场和施工过程中散</w:t>
      </w:r>
      <w:r>
        <w:rPr>
          <w:rFonts w:ascii="宋体" w:hAnsi="宋体" w:eastAsia="宋体" w:cs="宋体"/>
          <w:spacing w:val="11"/>
          <w:sz w:val="24"/>
          <w:szCs w:val="24"/>
        </w:rPr>
        <w:t xml:space="preserve"> </w:t>
      </w:r>
      <w:r>
        <w:rPr>
          <w:rFonts w:ascii="宋体" w:hAnsi="宋体" w:eastAsia="宋体" w:cs="宋体"/>
          <w:spacing w:val="2"/>
          <w:sz w:val="24"/>
          <w:szCs w:val="24"/>
        </w:rPr>
        <w:t>装粉状物料的堆放、施工场地地面裸露产生的大量堆土扬尘；运输车辆和施工机械</w:t>
      </w:r>
      <w:r>
        <w:rPr>
          <w:rFonts w:ascii="宋体" w:hAnsi="宋体" w:eastAsia="宋体" w:cs="宋体"/>
          <w:spacing w:val="6"/>
          <w:sz w:val="24"/>
          <w:szCs w:val="24"/>
        </w:rPr>
        <w:t xml:space="preserve"> </w:t>
      </w:r>
      <w:r>
        <w:rPr>
          <w:rFonts w:ascii="宋体" w:hAnsi="宋体" w:eastAsia="宋体" w:cs="宋体"/>
          <w:spacing w:val="2"/>
          <w:sz w:val="24"/>
          <w:szCs w:val="24"/>
        </w:rPr>
        <w:t>行驶过程中车轮与路面摩擦导致积尘飞扬产生的大量道路运输扬尘；车辆装载的土</w:t>
      </w:r>
      <w:r>
        <w:rPr>
          <w:rFonts w:ascii="宋体" w:hAnsi="宋体" w:eastAsia="宋体" w:cs="宋体"/>
          <w:spacing w:val="6"/>
          <w:sz w:val="24"/>
          <w:szCs w:val="24"/>
        </w:rPr>
        <w:t xml:space="preserve"> </w:t>
      </w:r>
      <w:r>
        <w:rPr>
          <w:rFonts w:ascii="宋体" w:hAnsi="宋体" w:eastAsia="宋体" w:cs="宋体"/>
          <w:sz w:val="24"/>
          <w:szCs w:val="24"/>
        </w:rPr>
        <w:t>料、散装的建筑材料在运输和装卸过程中飘洒、</w:t>
      </w:r>
      <w:r>
        <w:rPr>
          <w:rFonts w:ascii="宋体" w:hAnsi="宋体" w:eastAsia="宋体" w:cs="宋体"/>
          <w:spacing w:val="-1"/>
          <w:sz w:val="24"/>
          <w:szCs w:val="24"/>
        </w:rPr>
        <w:t>散落、飞扬增加的扬尘。</w:t>
      </w:r>
    </w:p>
    <w:p w14:paraId="3E8F7233">
      <w:pPr>
        <w:spacing w:before="3" w:line="388" w:lineRule="auto"/>
        <w:ind w:left="124" w:right="29" w:firstLine="507"/>
        <w:jc w:val="both"/>
        <w:rPr>
          <w:rFonts w:ascii="宋体" w:hAnsi="宋体" w:eastAsia="宋体" w:cs="宋体"/>
          <w:sz w:val="24"/>
          <w:szCs w:val="24"/>
        </w:rPr>
      </w:pPr>
      <w:r>
        <w:rPr>
          <w:rFonts w:ascii="宋体" w:hAnsi="宋体" w:eastAsia="宋体" w:cs="宋体"/>
          <w:spacing w:val="-5"/>
          <w:sz w:val="24"/>
          <w:szCs w:val="24"/>
        </w:rPr>
        <w:t>由</w:t>
      </w:r>
      <w:r>
        <w:rPr>
          <w:rFonts w:ascii="Times New Roman" w:hAnsi="Times New Roman" w:eastAsia="Times New Roman" w:cs="Times New Roman"/>
          <w:spacing w:val="-5"/>
          <w:sz w:val="24"/>
          <w:szCs w:val="24"/>
        </w:rPr>
        <w:t>“</w:t>
      </w:r>
      <w:r>
        <w:rPr>
          <w:rFonts w:ascii="宋体" w:hAnsi="宋体" w:eastAsia="宋体" w:cs="宋体"/>
          <w:spacing w:val="-5"/>
          <w:sz w:val="24"/>
          <w:szCs w:val="24"/>
        </w:rPr>
        <w:t>施工期大气污染源分析</w:t>
      </w:r>
      <w:r>
        <w:rPr>
          <w:rFonts w:ascii="Times New Roman" w:hAnsi="Times New Roman" w:eastAsia="Times New Roman" w:cs="Times New Roman"/>
          <w:spacing w:val="-5"/>
          <w:sz w:val="24"/>
          <w:szCs w:val="24"/>
        </w:rPr>
        <w:t>”</w:t>
      </w:r>
      <w:r>
        <w:rPr>
          <w:rFonts w:ascii="宋体" w:hAnsi="宋体" w:eastAsia="宋体" w:cs="宋体"/>
          <w:spacing w:val="-5"/>
          <w:sz w:val="24"/>
          <w:szCs w:val="24"/>
        </w:rPr>
        <w:t>可知，本项目施工现场</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PM</w:t>
      </w:r>
      <w:r>
        <w:rPr>
          <w:rFonts w:ascii="Times New Roman" w:hAnsi="Times New Roman" w:eastAsia="Times New Roman" w:cs="Times New Roman"/>
          <w:spacing w:val="-5"/>
          <w:position w:val="-1"/>
          <w:sz w:val="15"/>
          <w:szCs w:val="15"/>
        </w:rPr>
        <w:t>10</w:t>
      </w:r>
      <w:r>
        <w:rPr>
          <w:rFonts w:ascii="Times New Roman" w:hAnsi="Times New Roman" w:eastAsia="Times New Roman" w:cs="Times New Roman"/>
          <w:spacing w:val="29"/>
          <w:w w:val="101"/>
          <w:position w:val="-1"/>
          <w:sz w:val="15"/>
          <w:szCs w:val="15"/>
        </w:rPr>
        <w:t xml:space="preserve"> </w:t>
      </w:r>
      <w:r>
        <w:rPr>
          <w:rFonts w:ascii="宋体" w:hAnsi="宋体" w:eastAsia="宋体" w:cs="宋体"/>
          <w:spacing w:val="-5"/>
          <w:sz w:val="24"/>
          <w:szCs w:val="24"/>
        </w:rPr>
        <w:t>的产生源强为</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14.4kg/d</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尘粒在空气中的传播扩散情况与尘粒本身的沉降速度有关。以沙尘为例，不同粒径</w:t>
      </w:r>
      <w:r>
        <w:rPr>
          <w:rFonts w:ascii="宋体" w:hAnsi="宋体" w:eastAsia="宋体" w:cs="宋体"/>
          <w:spacing w:val="4"/>
          <w:sz w:val="24"/>
          <w:szCs w:val="24"/>
        </w:rPr>
        <w:t xml:space="preserve"> </w:t>
      </w:r>
      <w:r>
        <w:rPr>
          <w:rFonts w:ascii="宋体" w:hAnsi="宋体" w:eastAsia="宋体" w:cs="宋体"/>
          <w:spacing w:val="-2"/>
          <w:sz w:val="24"/>
          <w:szCs w:val="24"/>
        </w:rPr>
        <w:t>的尘粒的沉降速度见表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5.1-1</w:t>
      </w:r>
      <w:r>
        <w:rPr>
          <w:rFonts w:ascii="宋体" w:hAnsi="宋体" w:eastAsia="宋体" w:cs="宋体"/>
          <w:spacing w:val="-2"/>
          <w:sz w:val="24"/>
          <w:szCs w:val="24"/>
        </w:rPr>
        <w:t>。</w:t>
      </w:r>
    </w:p>
    <w:p w14:paraId="4D1219BB">
      <w:pPr>
        <w:spacing w:line="221" w:lineRule="auto"/>
        <w:ind w:left="2559"/>
        <w:rPr>
          <w:rFonts w:ascii="Times New Roman" w:hAnsi="Times New Roman" w:eastAsia="Times New Roman" w:cs="Times New Roman"/>
          <w:sz w:val="13"/>
          <w:szCs w:val="13"/>
        </w:rPr>
      </w:pPr>
      <w:r>
        <w:rPr>
          <w:rFonts w:ascii="宋体" w:hAnsi="宋体" w:eastAsia="宋体" w:cs="宋体"/>
          <w:b/>
          <w:bCs/>
          <w:spacing w:val="7"/>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7"/>
          <w:sz w:val="20"/>
          <w:szCs w:val="20"/>
        </w:rPr>
        <w:t xml:space="preserve">5.1-1 </w:t>
      </w:r>
      <w:r>
        <w:rPr>
          <w:rFonts w:ascii="宋体" w:hAnsi="宋体" w:eastAsia="宋体" w:cs="宋体"/>
          <w:b/>
          <w:bCs/>
          <w:spacing w:val="7"/>
          <w:sz w:val="20"/>
          <w:szCs w:val="20"/>
        </w:rPr>
        <w:t>不同粒径尘粒的沉降速度单</w:t>
      </w:r>
      <w:r>
        <w:rPr>
          <w:rFonts w:ascii="宋体" w:hAnsi="宋体" w:eastAsia="宋体" w:cs="宋体"/>
          <w:b/>
          <w:bCs/>
          <w:spacing w:val="6"/>
          <w:sz w:val="20"/>
          <w:szCs w:val="20"/>
        </w:rPr>
        <w:t>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p w14:paraId="72E1D594">
      <w:pPr>
        <w:spacing w:line="11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31"/>
        <w:gridCol w:w="1131"/>
        <w:gridCol w:w="1130"/>
        <w:gridCol w:w="1131"/>
        <w:gridCol w:w="1130"/>
        <w:gridCol w:w="1130"/>
        <w:gridCol w:w="974"/>
      </w:tblGrid>
      <w:tr w14:paraId="126BD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93" w:type="dxa"/>
            <w:vAlign w:val="top"/>
          </w:tcPr>
          <w:p w14:paraId="4825DE8E">
            <w:pPr>
              <w:pStyle w:val="6"/>
              <w:spacing w:before="69" w:line="228" w:lineRule="auto"/>
              <w:ind w:left="205"/>
              <w:rPr>
                <w:rFonts w:ascii="Times New Roman" w:hAnsi="Times New Roman" w:eastAsia="Times New Roman" w:cs="Times New Roman"/>
              </w:rPr>
            </w:pPr>
            <w:r>
              <w:rPr>
                <w:spacing w:val="-8"/>
              </w:rPr>
              <w:t>粒径</w:t>
            </w:r>
            <w:r>
              <w:rPr>
                <w:spacing w:val="-39"/>
              </w:rPr>
              <w:t xml:space="preserve"> </w:t>
            </w:r>
            <w:r>
              <w:rPr>
                <w:spacing w:val="-8"/>
              </w:rPr>
              <w:t>μ</w:t>
            </w:r>
            <w:r>
              <w:rPr>
                <w:rFonts w:ascii="Times New Roman" w:hAnsi="Times New Roman" w:eastAsia="Times New Roman" w:cs="Times New Roman"/>
                <w:spacing w:val="-8"/>
              </w:rPr>
              <w:t>m</w:t>
            </w:r>
          </w:p>
        </w:tc>
        <w:tc>
          <w:tcPr>
            <w:tcW w:w="1131" w:type="dxa"/>
            <w:vAlign w:val="top"/>
          </w:tcPr>
          <w:p w14:paraId="34E42672">
            <w:pPr>
              <w:spacing w:before="37" w:line="275"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131" w:type="dxa"/>
            <w:vAlign w:val="top"/>
          </w:tcPr>
          <w:p w14:paraId="714CEC5D">
            <w:pPr>
              <w:spacing w:before="37" w:line="275"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130" w:type="dxa"/>
            <w:vAlign w:val="top"/>
          </w:tcPr>
          <w:p w14:paraId="4905D34C">
            <w:pPr>
              <w:spacing w:before="37"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131" w:type="dxa"/>
            <w:vAlign w:val="top"/>
          </w:tcPr>
          <w:p w14:paraId="3CAF427D">
            <w:pPr>
              <w:spacing w:before="37" w:line="275"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130" w:type="dxa"/>
            <w:vAlign w:val="top"/>
          </w:tcPr>
          <w:p w14:paraId="2CF52125">
            <w:pPr>
              <w:spacing w:before="37" w:line="275"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130" w:type="dxa"/>
            <w:vAlign w:val="top"/>
          </w:tcPr>
          <w:p w14:paraId="4D02D5F2">
            <w:pPr>
              <w:spacing w:before="37"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74" w:type="dxa"/>
            <w:vAlign w:val="top"/>
          </w:tcPr>
          <w:p w14:paraId="2D9D0421">
            <w:pPr>
              <w:spacing w:before="37" w:line="275"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176D8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06493374">
            <w:pPr>
              <w:pStyle w:val="6"/>
              <w:spacing w:before="65" w:line="228" w:lineRule="auto"/>
              <w:ind w:left="181"/>
            </w:pPr>
            <w:r>
              <w:rPr>
                <w:spacing w:val="7"/>
              </w:rPr>
              <w:t>沉降速度</w:t>
            </w:r>
          </w:p>
        </w:tc>
        <w:tc>
          <w:tcPr>
            <w:tcW w:w="1131" w:type="dxa"/>
            <w:vAlign w:val="top"/>
          </w:tcPr>
          <w:p w14:paraId="490DB96B">
            <w:pPr>
              <w:spacing w:before="34"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131" w:type="dxa"/>
            <w:vAlign w:val="top"/>
          </w:tcPr>
          <w:p w14:paraId="3F9C40F7">
            <w:pPr>
              <w:spacing w:before="34"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0.012</w:t>
            </w:r>
          </w:p>
        </w:tc>
        <w:tc>
          <w:tcPr>
            <w:tcW w:w="1130" w:type="dxa"/>
            <w:vAlign w:val="top"/>
          </w:tcPr>
          <w:p w14:paraId="1F414912">
            <w:pPr>
              <w:spacing w:before="34"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0.027</w:t>
            </w:r>
          </w:p>
        </w:tc>
        <w:tc>
          <w:tcPr>
            <w:tcW w:w="1131" w:type="dxa"/>
            <w:vAlign w:val="top"/>
          </w:tcPr>
          <w:p w14:paraId="132FA64B">
            <w:pPr>
              <w:spacing w:before="34"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0.048</w:t>
            </w:r>
          </w:p>
        </w:tc>
        <w:tc>
          <w:tcPr>
            <w:tcW w:w="1130" w:type="dxa"/>
            <w:vAlign w:val="top"/>
          </w:tcPr>
          <w:p w14:paraId="046AC2E5">
            <w:pPr>
              <w:spacing w:before="34"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0.075</w:t>
            </w:r>
          </w:p>
        </w:tc>
        <w:tc>
          <w:tcPr>
            <w:tcW w:w="1130" w:type="dxa"/>
            <w:vAlign w:val="top"/>
          </w:tcPr>
          <w:p w14:paraId="4499452C">
            <w:pPr>
              <w:spacing w:before="34"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0.108</w:t>
            </w:r>
          </w:p>
        </w:tc>
        <w:tc>
          <w:tcPr>
            <w:tcW w:w="974" w:type="dxa"/>
            <w:vAlign w:val="top"/>
          </w:tcPr>
          <w:p w14:paraId="639AF824">
            <w:pPr>
              <w:spacing w:before="34"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0.147</w:t>
            </w:r>
          </w:p>
        </w:tc>
      </w:tr>
      <w:tr w14:paraId="11B5C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20E373AE">
            <w:pPr>
              <w:pStyle w:val="6"/>
              <w:spacing w:before="66" w:line="228" w:lineRule="auto"/>
              <w:ind w:left="205"/>
              <w:rPr>
                <w:rFonts w:ascii="Times New Roman" w:hAnsi="Times New Roman" w:eastAsia="Times New Roman" w:cs="Times New Roman"/>
              </w:rPr>
            </w:pPr>
            <w:r>
              <w:rPr>
                <w:spacing w:val="-8"/>
              </w:rPr>
              <w:t>粒径</w:t>
            </w:r>
            <w:r>
              <w:rPr>
                <w:spacing w:val="-39"/>
              </w:rPr>
              <w:t xml:space="preserve"> </w:t>
            </w:r>
            <w:r>
              <w:rPr>
                <w:spacing w:val="-8"/>
              </w:rPr>
              <w:t>μ</w:t>
            </w:r>
            <w:r>
              <w:rPr>
                <w:rFonts w:ascii="Times New Roman" w:hAnsi="Times New Roman" w:eastAsia="Times New Roman" w:cs="Times New Roman"/>
                <w:spacing w:val="-8"/>
              </w:rPr>
              <w:t>m</w:t>
            </w:r>
          </w:p>
        </w:tc>
        <w:tc>
          <w:tcPr>
            <w:tcW w:w="1131" w:type="dxa"/>
            <w:vAlign w:val="top"/>
          </w:tcPr>
          <w:p w14:paraId="05E96B62">
            <w:pPr>
              <w:spacing w:before="35" w:line="274"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131" w:type="dxa"/>
            <w:vAlign w:val="top"/>
          </w:tcPr>
          <w:p w14:paraId="206E8F9A">
            <w:pPr>
              <w:spacing w:before="35" w:line="274" w:lineRule="exact"/>
              <w:ind w:left="4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1130" w:type="dxa"/>
            <w:vAlign w:val="top"/>
          </w:tcPr>
          <w:p w14:paraId="533DA53F">
            <w:pPr>
              <w:spacing w:before="35"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131" w:type="dxa"/>
            <w:vAlign w:val="top"/>
          </w:tcPr>
          <w:p w14:paraId="42326DDD">
            <w:pPr>
              <w:spacing w:before="35"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130" w:type="dxa"/>
            <w:vAlign w:val="top"/>
          </w:tcPr>
          <w:p w14:paraId="026E521B">
            <w:pPr>
              <w:spacing w:before="35"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130" w:type="dxa"/>
            <w:vAlign w:val="top"/>
          </w:tcPr>
          <w:p w14:paraId="76A6DFD0">
            <w:pPr>
              <w:spacing w:before="35"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974" w:type="dxa"/>
            <w:vAlign w:val="top"/>
          </w:tcPr>
          <w:p w14:paraId="79885C2D">
            <w:pPr>
              <w:spacing w:before="35"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350</w:t>
            </w:r>
          </w:p>
        </w:tc>
      </w:tr>
      <w:tr w14:paraId="25AC8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2947853A">
            <w:pPr>
              <w:pStyle w:val="6"/>
              <w:spacing w:before="65" w:line="228" w:lineRule="auto"/>
              <w:ind w:left="181"/>
            </w:pPr>
            <w:r>
              <w:rPr>
                <w:spacing w:val="7"/>
              </w:rPr>
              <w:t>沉降速度</w:t>
            </w:r>
          </w:p>
        </w:tc>
        <w:tc>
          <w:tcPr>
            <w:tcW w:w="1131" w:type="dxa"/>
            <w:vAlign w:val="top"/>
          </w:tcPr>
          <w:p w14:paraId="03D9B708">
            <w:pPr>
              <w:spacing w:before="37"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0.158</w:t>
            </w:r>
          </w:p>
        </w:tc>
        <w:tc>
          <w:tcPr>
            <w:tcW w:w="1131" w:type="dxa"/>
            <w:vAlign w:val="top"/>
          </w:tcPr>
          <w:p w14:paraId="23413676">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0.170</w:t>
            </w:r>
          </w:p>
        </w:tc>
        <w:tc>
          <w:tcPr>
            <w:tcW w:w="1130" w:type="dxa"/>
            <w:vAlign w:val="top"/>
          </w:tcPr>
          <w:p w14:paraId="43D0349B">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0.182</w:t>
            </w:r>
          </w:p>
        </w:tc>
        <w:tc>
          <w:tcPr>
            <w:tcW w:w="1131" w:type="dxa"/>
            <w:vAlign w:val="top"/>
          </w:tcPr>
          <w:p w14:paraId="6FC73095">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0.239</w:t>
            </w:r>
          </w:p>
        </w:tc>
        <w:tc>
          <w:tcPr>
            <w:tcW w:w="1130" w:type="dxa"/>
            <w:vAlign w:val="top"/>
          </w:tcPr>
          <w:p w14:paraId="5022C12F">
            <w:pPr>
              <w:spacing w:before="37"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0.804</w:t>
            </w:r>
          </w:p>
        </w:tc>
        <w:tc>
          <w:tcPr>
            <w:tcW w:w="1130" w:type="dxa"/>
            <w:vAlign w:val="top"/>
          </w:tcPr>
          <w:p w14:paraId="25B5C8AD">
            <w:pPr>
              <w:spacing w:before="37" w:line="274"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c>
          <w:tcPr>
            <w:tcW w:w="974" w:type="dxa"/>
            <w:vAlign w:val="top"/>
          </w:tcPr>
          <w:p w14:paraId="3A51E421">
            <w:pPr>
              <w:spacing w:before="3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1.829</w:t>
            </w:r>
          </w:p>
        </w:tc>
      </w:tr>
      <w:tr w14:paraId="33A7A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5797D964">
            <w:pPr>
              <w:pStyle w:val="6"/>
              <w:spacing w:before="67" w:line="228" w:lineRule="auto"/>
              <w:ind w:left="205"/>
              <w:rPr>
                <w:rFonts w:ascii="Times New Roman" w:hAnsi="Times New Roman" w:eastAsia="Times New Roman" w:cs="Times New Roman"/>
              </w:rPr>
            </w:pPr>
            <w:r>
              <w:rPr>
                <w:spacing w:val="-8"/>
              </w:rPr>
              <w:t>粒径</w:t>
            </w:r>
            <w:r>
              <w:rPr>
                <w:spacing w:val="-39"/>
              </w:rPr>
              <w:t xml:space="preserve"> </w:t>
            </w:r>
            <w:r>
              <w:rPr>
                <w:spacing w:val="-8"/>
              </w:rPr>
              <w:t>μ</w:t>
            </w:r>
            <w:r>
              <w:rPr>
                <w:rFonts w:ascii="Times New Roman" w:hAnsi="Times New Roman" w:eastAsia="Times New Roman" w:cs="Times New Roman"/>
                <w:spacing w:val="-8"/>
              </w:rPr>
              <w:t>m</w:t>
            </w:r>
          </w:p>
        </w:tc>
        <w:tc>
          <w:tcPr>
            <w:tcW w:w="1131" w:type="dxa"/>
            <w:vAlign w:val="top"/>
          </w:tcPr>
          <w:p w14:paraId="50B1E6D5">
            <w:pPr>
              <w:spacing w:before="38" w:line="274" w:lineRule="exact"/>
              <w:ind w:left="4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131" w:type="dxa"/>
            <w:vAlign w:val="top"/>
          </w:tcPr>
          <w:p w14:paraId="58357ED5">
            <w:pPr>
              <w:spacing w:before="38"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550</w:t>
            </w:r>
          </w:p>
        </w:tc>
        <w:tc>
          <w:tcPr>
            <w:tcW w:w="1130" w:type="dxa"/>
            <w:vAlign w:val="top"/>
          </w:tcPr>
          <w:p w14:paraId="5BA86FC6">
            <w:pPr>
              <w:spacing w:before="38"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650</w:t>
            </w:r>
          </w:p>
        </w:tc>
        <w:tc>
          <w:tcPr>
            <w:tcW w:w="1131" w:type="dxa"/>
            <w:vAlign w:val="top"/>
          </w:tcPr>
          <w:p w14:paraId="0A0538F2">
            <w:pPr>
              <w:spacing w:before="38" w:line="274" w:lineRule="exact"/>
              <w:ind w:left="4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750</w:t>
            </w:r>
          </w:p>
        </w:tc>
        <w:tc>
          <w:tcPr>
            <w:tcW w:w="1130" w:type="dxa"/>
            <w:vAlign w:val="top"/>
          </w:tcPr>
          <w:p w14:paraId="174948D5">
            <w:pPr>
              <w:spacing w:before="38"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850</w:t>
            </w:r>
          </w:p>
        </w:tc>
        <w:tc>
          <w:tcPr>
            <w:tcW w:w="1130" w:type="dxa"/>
            <w:vAlign w:val="top"/>
          </w:tcPr>
          <w:p w14:paraId="408BA636">
            <w:pPr>
              <w:spacing w:before="38"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950</w:t>
            </w:r>
          </w:p>
        </w:tc>
        <w:tc>
          <w:tcPr>
            <w:tcW w:w="974" w:type="dxa"/>
            <w:vAlign w:val="top"/>
          </w:tcPr>
          <w:p w14:paraId="6E683B04">
            <w:pPr>
              <w:spacing w:before="3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1050</w:t>
            </w:r>
          </w:p>
        </w:tc>
      </w:tr>
      <w:tr w14:paraId="7B3C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93" w:type="dxa"/>
            <w:vAlign w:val="top"/>
          </w:tcPr>
          <w:p w14:paraId="7F043888">
            <w:pPr>
              <w:pStyle w:val="6"/>
              <w:spacing w:before="68" w:line="228" w:lineRule="auto"/>
              <w:ind w:left="181"/>
            </w:pPr>
            <w:r>
              <w:rPr>
                <w:spacing w:val="7"/>
              </w:rPr>
              <w:t>沉降速度</w:t>
            </w:r>
          </w:p>
        </w:tc>
        <w:tc>
          <w:tcPr>
            <w:tcW w:w="1131" w:type="dxa"/>
            <w:vAlign w:val="top"/>
          </w:tcPr>
          <w:p w14:paraId="1441ACDE">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2.211</w:t>
            </w:r>
          </w:p>
        </w:tc>
        <w:tc>
          <w:tcPr>
            <w:tcW w:w="1131" w:type="dxa"/>
            <w:vAlign w:val="top"/>
          </w:tcPr>
          <w:p w14:paraId="4C504CEB">
            <w:pPr>
              <w:spacing w:before="37"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2.614</w:t>
            </w:r>
          </w:p>
        </w:tc>
        <w:tc>
          <w:tcPr>
            <w:tcW w:w="1130" w:type="dxa"/>
            <w:vAlign w:val="top"/>
          </w:tcPr>
          <w:p w14:paraId="3136C1B5">
            <w:pPr>
              <w:spacing w:before="37"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3.016</w:t>
            </w:r>
          </w:p>
        </w:tc>
        <w:tc>
          <w:tcPr>
            <w:tcW w:w="1131" w:type="dxa"/>
            <w:vAlign w:val="top"/>
          </w:tcPr>
          <w:p w14:paraId="7A9E7119">
            <w:pPr>
              <w:spacing w:before="37"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3.418</w:t>
            </w:r>
          </w:p>
        </w:tc>
        <w:tc>
          <w:tcPr>
            <w:tcW w:w="1130" w:type="dxa"/>
            <w:vAlign w:val="top"/>
          </w:tcPr>
          <w:p w14:paraId="37FAE0F6">
            <w:pPr>
              <w:spacing w:before="37"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3.820</w:t>
            </w:r>
          </w:p>
        </w:tc>
        <w:tc>
          <w:tcPr>
            <w:tcW w:w="1130" w:type="dxa"/>
            <w:vAlign w:val="top"/>
          </w:tcPr>
          <w:p w14:paraId="028D0FC6">
            <w:pPr>
              <w:spacing w:before="37" w:line="274"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4.222</w:t>
            </w:r>
          </w:p>
        </w:tc>
        <w:tc>
          <w:tcPr>
            <w:tcW w:w="974" w:type="dxa"/>
            <w:vAlign w:val="top"/>
          </w:tcPr>
          <w:p w14:paraId="283E0862">
            <w:pPr>
              <w:spacing w:before="37"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4.624</w:t>
            </w:r>
          </w:p>
        </w:tc>
      </w:tr>
    </w:tbl>
    <w:p w14:paraId="2B7502AA">
      <w:pPr>
        <w:spacing w:before="250" w:line="361" w:lineRule="auto"/>
        <w:ind w:left="129" w:right="49" w:firstLine="502"/>
        <w:jc w:val="both"/>
        <w:rPr>
          <w:rFonts w:ascii="宋体" w:hAnsi="宋体" w:eastAsia="宋体" w:cs="宋体"/>
          <w:sz w:val="24"/>
          <w:szCs w:val="24"/>
        </w:rPr>
      </w:pPr>
      <w:r>
        <w:rPr>
          <w:rFonts w:ascii="宋体" w:hAnsi="宋体" w:eastAsia="宋体" w:cs="宋体"/>
          <w:spacing w:val="2"/>
          <w:sz w:val="24"/>
          <w:szCs w:val="24"/>
        </w:rPr>
        <w:t>由表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5.1-1</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可知，尘粒的沉降速度随粒径的增大而迅速增大。当粒径为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250μm</w:t>
      </w:r>
      <w:r>
        <w:rPr>
          <w:rFonts w:ascii="Times New Roman" w:hAnsi="Times New Roman" w:eastAsia="Times New Roman" w:cs="Times New Roman"/>
          <w:sz w:val="24"/>
          <w:szCs w:val="24"/>
        </w:rPr>
        <w:t xml:space="preserve">  </w:t>
      </w:r>
      <w:r>
        <w:rPr>
          <w:rFonts w:ascii="宋体" w:hAnsi="宋体" w:eastAsia="宋体" w:cs="宋体"/>
          <w:spacing w:val="1"/>
          <w:sz w:val="24"/>
          <w:szCs w:val="24"/>
        </w:rPr>
        <w:t>时，沉降速度已达到</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1.005m/s</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，因此，可以认为真正对</w:t>
      </w:r>
      <w:r>
        <w:rPr>
          <w:rFonts w:ascii="宋体" w:hAnsi="宋体" w:eastAsia="宋体" w:cs="宋体"/>
          <w:sz w:val="24"/>
          <w:szCs w:val="24"/>
        </w:rPr>
        <w:t xml:space="preserve">外环境产生影响的是一些微 </w:t>
      </w:r>
      <w:r>
        <w:rPr>
          <w:rFonts w:ascii="宋体" w:hAnsi="宋体" w:eastAsia="宋体" w:cs="宋体"/>
          <w:spacing w:val="-3"/>
          <w:sz w:val="24"/>
          <w:szCs w:val="24"/>
        </w:rPr>
        <w:t>小尘粒，其影响程度和范围随现场的气候变化而变化。根据类比调查，一般情况下，</w:t>
      </w:r>
    </w:p>
    <w:p w14:paraId="519182B2">
      <w:pPr>
        <w:spacing w:line="361" w:lineRule="auto"/>
        <w:rPr>
          <w:rFonts w:ascii="宋体" w:hAnsi="宋体" w:eastAsia="宋体" w:cs="宋体"/>
          <w:sz w:val="24"/>
          <w:szCs w:val="24"/>
        </w:rPr>
        <w:sectPr>
          <w:footerReference r:id="rId119" w:type="default"/>
          <w:pgSz w:w="11906" w:h="16839"/>
          <w:pgMar w:top="400" w:right="1475" w:bottom="1485" w:left="1475" w:header="0" w:footer="1249" w:gutter="0"/>
          <w:cols w:space="720" w:num="1"/>
        </w:sectPr>
      </w:pPr>
    </w:p>
    <w:p w14:paraId="77D50FF4">
      <w:pPr>
        <w:pStyle w:val="2"/>
        <w:spacing w:line="255" w:lineRule="auto"/>
      </w:pPr>
    </w:p>
    <w:p w14:paraId="2E5771CD">
      <w:pPr>
        <w:pStyle w:val="2"/>
        <w:spacing w:line="255" w:lineRule="auto"/>
      </w:pPr>
    </w:p>
    <w:p w14:paraId="0563F519">
      <w:pPr>
        <w:pStyle w:val="2"/>
        <w:spacing w:line="255" w:lineRule="auto"/>
      </w:pPr>
    </w:p>
    <w:p w14:paraId="3438B86D">
      <w:pPr>
        <w:pStyle w:val="2"/>
        <w:spacing w:line="256" w:lineRule="auto"/>
      </w:pPr>
    </w:p>
    <w:p w14:paraId="57781DDA">
      <w:pPr>
        <w:spacing w:before="78" w:line="367" w:lineRule="auto"/>
        <w:ind w:left="122" w:right="32"/>
        <w:jc w:val="both"/>
        <w:rPr>
          <w:rFonts w:ascii="宋体" w:hAnsi="宋体" w:eastAsia="宋体" w:cs="宋体"/>
          <w:sz w:val="24"/>
          <w:szCs w:val="24"/>
        </w:rPr>
      </w:pPr>
      <w:r>
        <w:rPr>
          <w:rFonts w:ascii="宋体" w:hAnsi="宋体" w:eastAsia="宋体" w:cs="宋体"/>
          <w:spacing w:val="-4"/>
          <w:sz w:val="24"/>
          <w:szCs w:val="24"/>
        </w:rPr>
        <w:t>施工场地、施工道路在自然风作用下产生的</w:t>
      </w:r>
      <w:r>
        <w:rPr>
          <w:rFonts w:ascii="宋体" w:hAnsi="宋体" w:eastAsia="宋体" w:cs="宋体"/>
          <w:spacing w:val="-5"/>
          <w:sz w:val="24"/>
          <w:szCs w:val="24"/>
        </w:rPr>
        <w:t>扬尘所影响的范围在</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38"/>
          <w:sz w:val="24"/>
          <w:szCs w:val="24"/>
        </w:rPr>
        <w:t xml:space="preserve"> </w:t>
      </w:r>
      <w:r>
        <w:rPr>
          <w:rFonts w:ascii="宋体" w:hAnsi="宋体" w:eastAsia="宋体" w:cs="宋体"/>
          <w:spacing w:val="-5"/>
          <w:sz w:val="24"/>
          <w:szCs w:val="24"/>
        </w:rPr>
        <w:t>以内。类比分</w:t>
      </w:r>
      <w:r>
        <w:rPr>
          <w:rFonts w:ascii="宋体" w:hAnsi="宋体" w:eastAsia="宋体" w:cs="宋体"/>
          <w:sz w:val="24"/>
          <w:szCs w:val="24"/>
        </w:rPr>
        <w:t xml:space="preserve"> </w:t>
      </w:r>
      <w:r>
        <w:rPr>
          <w:rFonts w:ascii="宋体" w:hAnsi="宋体" w:eastAsia="宋体" w:cs="宋体"/>
          <w:spacing w:val="-2"/>
          <w:sz w:val="24"/>
          <w:szCs w:val="24"/>
        </w:rPr>
        <w:t>析可知，本项目施工场地下风向</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50m</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处</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TSP </w:t>
      </w:r>
      <w:r>
        <w:rPr>
          <w:rFonts w:ascii="宋体" w:hAnsi="宋体" w:eastAsia="宋体" w:cs="宋体"/>
          <w:spacing w:val="-2"/>
          <w:sz w:val="24"/>
          <w:szCs w:val="24"/>
        </w:rPr>
        <w:t>浓度低于广东省地方标准《大气污染物</w:t>
      </w:r>
      <w:r>
        <w:rPr>
          <w:rFonts w:ascii="宋体" w:hAnsi="宋体" w:eastAsia="宋体" w:cs="宋体"/>
          <w:sz w:val="24"/>
          <w:szCs w:val="24"/>
        </w:rPr>
        <w:t xml:space="preserve"> </w:t>
      </w:r>
      <w:r>
        <w:rPr>
          <w:rFonts w:ascii="宋体" w:hAnsi="宋体" w:eastAsia="宋体" w:cs="宋体"/>
          <w:spacing w:val="-6"/>
          <w:sz w:val="24"/>
          <w:szCs w:val="24"/>
        </w:rPr>
        <w:t>排放限值》（</w:t>
      </w:r>
      <w:r>
        <w:rPr>
          <w:rFonts w:ascii="Times New Roman" w:hAnsi="Times New Roman" w:eastAsia="Times New Roman" w:cs="Times New Roman"/>
          <w:spacing w:val="-6"/>
          <w:sz w:val="24"/>
          <w:szCs w:val="24"/>
        </w:rPr>
        <w:t>DB44/27-2001</w:t>
      </w:r>
      <w:r>
        <w:rPr>
          <w:rFonts w:ascii="宋体" w:hAnsi="宋体" w:eastAsia="宋体" w:cs="宋体"/>
          <w:spacing w:val="-6"/>
          <w:sz w:val="24"/>
          <w:szCs w:val="24"/>
        </w:rPr>
        <w:t>）中规定的颗粒物无组织排放监控浓度限值（</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7"/>
          <w:sz w:val="24"/>
          <w:szCs w:val="24"/>
        </w:rPr>
        <w:t>0mg/m</w:t>
      </w:r>
      <w:r>
        <w:rPr>
          <w:rFonts w:ascii="Times New Roman" w:hAnsi="Times New Roman" w:eastAsia="Times New Roman" w:cs="Times New Roman"/>
          <w:spacing w:val="-7"/>
          <w:position w:val="7"/>
          <w:sz w:val="15"/>
          <w:szCs w:val="15"/>
        </w:rPr>
        <w:t>3</w:t>
      </w:r>
      <w:r>
        <w:rPr>
          <w:rFonts w:ascii="宋体" w:hAnsi="宋体" w:eastAsia="宋体" w:cs="宋体"/>
          <w:spacing w:val="-7"/>
          <w:sz w:val="24"/>
          <w:szCs w:val="24"/>
        </w:rPr>
        <w:t>）。</w:t>
      </w:r>
    </w:p>
    <w:p w14:paraId="23688A8B">
      <w:pPr>
        <w:spacing w:before="73" w:line="373" w:lineRule="auto"/>
        <w:ind w:left="123" w:right="113" w:firstLine="479"/>
        <w:jc w:val="both"/>
        <w:rPr>
          <w:rFonts w:ascii="宋体" w:hAnsi="宋体" w:eastAsia="宋体" w:cs="宋体"/>
          <w:sz w:val="24"/>
          <w:szCs w:val="24"/>
        </w:rPr>
      </w:pPr>
      <w:r>
        <w:rPr>
          <w:rFonts w:ascii="宋体" w:hAnsi="宋体" w:eastAsia="宋体" w:cs="宋体"/>
          <w:spacing w:val="2"/>
          <w:sz w:val="24"/>
          <w:szCs w:val="24"/>
        </w:rPr>
        <w:t>根据经验显示，施工场地、施工道路的扬尘可用洒水和清扫的方式予以防治，</w:t>
      </w:r>
      <w:r>
        <w:rPr>
          <w:rFonts w:ascii="宋体" w:hAnsi="宋体" w:eastAsia="宋体" w:cs="宋体"/>
          <w:spacing w:val="10"/>
          <w:sz w:val="24"/>
          <w:szCs w:val="24"/>
        </w:rPr>
        <w:t xml:space="preserve"> </w:t>
      </w:r>
      <w:r>
        <w:rPr>
          <w:rFonts w:ascii="宋体" w:hAnsi="宋体" w:eastAsia="宋体" w:cs="宋体"/>
          <w:spacing w:val="6"/>
          <w:sz w:val="24"/>
          <w:szCs w:val="24"/>
        </w:rPr>
        <w:t>若在施工期间对车辆行驶的路面和部分易起尘的部位实施洒水抑尘（每天洒水</w:t>
      </w:r>
      <w:r>
        <w:rPr>
          <w:rFonts w:ascii="Times New Roman" w:hAnsi="Times New Roman" w:eastAsia="Times New Roman" w:cs="Times New Roman"/>
          <w:spacing w:val="6"/>
          <w:sz w:val="24"/>
          <w:szCs w:val="24"/>
        </w:rPr>
        <w:t>4-5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次</w:t>
      </w:r>
      <w:r>
        <w:rPr>
          <w:rFonts w:ascii="宋体" w:hAnsi="宋体" w:eastAsia="宋体" w:cs="宋体"/>
          <w:spacing w:val="15"/>
          <w:sz w:val="24"/>
          <w:szCs w:val="24"/>
        </w:rPr>
        <w:t>），</w:t>
      </w:r>
      <w:r>
        <w:rPr>
          <w:rFonts w:ascii="宋体" w:hAnsi="宋体" w:eastAsia="宋体" w:cs="宋体"/>
          <w:spacing w:val="-2"/>
          <w:sz w:val="24"/>
          <w:szCs w:val="24"/>
        </w:rPr>
        <w:t>可使扬尘减少</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50</w:t>
      </w:r>
      <w:r>
        <w:rPr>
          <w:rFonts w:ascii="宋体" w:hAnsi="宋体" w:eastAsia="宋体" w:cs="宋体"/>
          <w:spacing w:val="-2"/>
          <w:sz w:val="24"/>
          <w:szCs w:val="24"/>
        </w:rPr>
        <w:t>～</w:t>
      </w:r>
      <w:r>
        <w:rPr>
          <w:rFonts w:ascii="Times New Roman" w:hAnsi="Times New Roman" w:eastAsia="Times New Roman" w:cs="Times New Roman"/>
          <w:spacing w:val="-2"/>
          <w:sz w:val="24"/>
          <w:szCs w:val="24"/>
        </w:rPr>
        <w:t>70%</w:t>
      </w:r>
      <w:r>
        <w:rPr>
          <w:rFonts w:ascii="宋体" w:hAnsi="宋体" w:eastAsia="宋体" w:cs="宋体"/>
          <w:spacing w:val="-2"/>
          <w:sz w:val="24"/>
          <w:szCs w:val="24"/>
        </w:rPr>
        <w:t>左右，洒水抑尘的实验结果见表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5.1-2</w:t>
      </w:r>
      <w:r>
        <w:rPr>
          <w:rFonts w:ascii="宋体" w:hAnsi="宋体" w:eastAsia="宋体" w:cs="宋体"/>
          <w:spacing w:val="-2"/>
          <w:sz w:val="24"/>
          <w:szCs w:val="24"/>
        </w:rPr>
        <w:t>。</w:t>
      </w:r>
    </w:p>
    <w:p w14:paraId="63022F66">
      <w:pPr>
        <w:spacing w:before="26" w:line="221" w:lineRule="auto"/>
        <w:ind w:left="2664"/>
        <w:rPr>
          <w:rFonts w:ascii="Times New Roman" w:hAnsi="Times New Roman" w:eastAsia="Times New Roman" w:cs="Times New Roman"/>
          <w:sz w:val="13"/>
          <w:szCs w:val="13"/>
        </w:rPr>
      </w:pPr>
      <w:r>
        <w:rPr>
          <w:rFonts w:ascii="宋体" w:hAnsi="宋体" w:eastAsia="宋体" w:cs="宋体"/>
          <w:b/>
          <w:bCs/>
          <w:spacing w:val="6"/>
          <w:sz w:val="20"/>
          <w:szCs w:val="20"/>
        </w:rPr>
        <w:t>表</w:t>
      </w:r>
      <w:r>
        <w:rPr>
          <w:rFonts w:ascii="宋体" w:hAnsi="宋体" w:eastAsia="宋体" w:cs="宋体"/>
          <w:spacing w:val="-20"/>
          <w:sz w:val="20"/>
          <w:szCs w:val="20"/>
        </w:rPr>
        <w:t xml:space="preserve"> </w:t>
      </w:r>
      <w:r>
        <w:rPr>
          <w:rFonts w:ascii="Times New Roman" w:hAnsi="Times New Roman" w:eastAsia="Times New Roman" w:cs="Times New Roman"/>
          <w:b/>
          <w:bCs/>
          <w:spacing w:val="6"/>
          <w:sz w:val="20"/>
          <w:szCs w:val="20"/>
        </w:rPr>
        <w:t xml:space="preserve">5.1-2 </w:t>
      </w:r>
      <w:r>
        <w:rPr>
          <w:rFonts w:ascii="宋体" w:hAnsi="宋体" w:eastAsia="宋体" w:cs="宋体"/>
          <w:b/>
          <w:bCs/>
          <w:spacing w:val="6"/>
          <w:sz w:val="20"/>
          <w:szCs w:val="20"/>
        </w:rPr>
        <w:t>洒水路面扬尘监测结果单位：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p w14:paraId="12AEA8BC">
      <w:pPr>
        <w:spacing w:line="10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2"/>
        <w:gridCol w:w="1277"/>
        <w:gridCol w:w="1278"/>
        <w:gridCol w:w="1277"/>
        <w:gridCol w:w="1277"/>
        <w:gridCol w:w="1277"/>
        <w:gridCol w:w="1282"/>
      </w:tblGrid>
      <w:tr w14:paraId="18B87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559" w:type="dxa"/>
            <w:gridSpan w:val="2"/>
            <w:vAlign w:val="top"/>
          </w:tcPr>
          <w:p w14:paraId="527E4546">
            <w:pPr>
              <w:pStyle w:val="6"/>
              <w:spacing w:before="63" w:line="228" w:lineRule="auto"/>
              <w:ind w:left="463"/>
            </w:pPr>
            <w:r>
              <w:rPr>
                <w:b/>
                <w:bCs/>
                <w:spacing w:val="5"/>
              </w:rPr>
              <w:t>距路面距离（</w:t>
            </w:r>
            <w:r>
              <w:rPr>
                <w:rFonts w:ascii="Times New Roman" w:hAnsi="Times New Roman" w:eastAsia="Times New Roman" w:cs="Times New Roman"/>
                <w:b/>
                <w:bCs/>
                <w:spacing w:val="5"/>
              </w:rPr>
              <w:t>m</w:t>
            </w:r>
            <w:r>
              <w:rPr>
                <w:b/>
                <w:bCs/>
                <w:spacing w:val="5"/>
              </w:rPr>
              <w:t>）</w:t>
            </w:r>
          </w:p>
        </w:tc>
        <w:tc>
          <w:tcPr>
            <w:tcW w:w="1278" w:type="dxa"/>
            <w:vAlign w:val="top"/>
          </w:tcPr>
          <w:p w14:paraId="03694981">
            <w:pPr>
              <w:spacing w:before="99" w:line="195" w:lineRule="auto"/>
              <w:ind w:left="59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0</w:t>
            </w:r>
          </w:p>
        </w:tc>
        <w:tc>
          <w:tcPr>
            <w:tcW w:w="1277" w:type="dxa"/>
            <w:vAlign w:val="top"/>
          </w:tcPr>
          <w:p w14:paraId="4663B496">
            <w:pPr>
              <w:spacing w:before="99" w:line="195" w:lineRule="auto"/>
              <w:ind w:left="53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1277" w:type="dxa"/>
            <w:vAlign w:val="top"/>
          </w:tcPr>
          <w:p w14:paraId="71970D51">
            <w:pPr>
              <w:spacing w:before="99" w:line="195" w:lineRule="auto"/>
              <w:ind w:left="53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1277" w:type="dxa"/>
            <w:vAlign w:val="top"/>
          </w:tcPr>
          <w:p w14:paraId="0CA947CB">
            <w:pPr>
              <w:spacing w:before="99" w:line="195" w:lineRule="auto"/>
              <w:ind w:left="49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1282" w:type="dxa"/>
            <w:vAlign w:val="top"/>
          </w:tcPr>
          <w:p w14:paraId="36C1A892">
            <w:pPr>
              <w:spacing w:before="99" w:line="195" w:lineRule="auto"/>
              <w:ind w:left="48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r>
      <w:tr w14:paraId="6D7EA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2" w:type="dxa"/>
            <w:vMerge w:val="restart"/>
            <w:tcBorders>
              <w:bottom w:val="nil"/>
            </w:tcBorders>
            <w:vAlign w:val="top"/>
          </w:tcPr>
          <w:p w14:paraId="10645960">
            <w:pPr>
              <w:pStyle w:val="6"/>
              <w:spacing w:before="228" w:line="229" w:lineRule="auto"/>
              <w:ind w:left="227"/>
            </w:pPr>
            <w:r>
              <w:rPr>
                <w:rFonts w:ascii="Times New Roman" w:hAnsi="Times New Roman" w:eastAsia="Times New Roman" w:cs="Times New Roman"/>
              </w:rPr>
              <w:t>TSP</w:t>
            </w:r>
            <w:r>
              <w:rPr>
                <w:rFonts w:ascii="Times New Roman" w:hAnsi="Times New Roman" w:eastAsia="Times New Roman" w:cs="Times New Roman"/>
                <w:spacing w:val="13"/>
              </w:rPr>
              <w:t xml:space="preserve"> </w:t>
            </w:r>
            <w:r>
              <w:rPr>
                <w:spacing w:val="9"/>
              </w:rPr>
              <w:t>浓度</w:t>
            </w:r>
          </w:p>
        </w:tc>
        <w:tc>
          <w:tcPr>
            <w:tcW w:w="1277" w:type="dxa"/>
            <w:vAlign w:val="top"/>
          </w:tcPr>
          <w:p w14:paraId="74DB910E">
            <w:pPr>
              <w:pStyle w:val="6"/>
              <w:spacing w:before="60" w:line="228" w:lineRule="auto"/>
              <w:ind w:left="330"/>
            </w:pPr>
            <w:r>
              <w:rPr>
                <w:spacing w:val="5"/>
              </w:rPr>
              <w:t>不洒水</w:t>
            </w:r>
          </w:p>
        </w:tc>
        <w:tc>
          <w:tcPr>
            <w:tcW w:w="1278" w:type="dxa"/>
            <w:vAlign w:val="top"/>
          </w:tcPr>
          <w:p w14:paraId="29ADB5EF">
            <w:pPr>
              <w:spacing w:before="29" w:line="274"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11.3</w:t>
            </w:r>
          </w:p>
        </w:tc>
        <w:tc>
          <w:tcPr>
            <w:tcW w:w="1277" w:type="dxa"/>
            <w:vAlign w:val="top"/>
          </w:tcPr>
          <w:p w14:paraId="752820ED">
            <w:pPr>
              <w:spacing w:before="29" w:line="274" w:lineRule="exact"/>
              <w:ind w:left="4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2.89</w:t>
            </w:r>
          </w:p>
        </w:tc>
        <w:tc>
          <w:tcPr>
            <w:tcW w:w="1277" w:type="dxa"/>
            <w:vAlign w:val="top"/>
          </w:tcPr>
          <w:p w14:paraId="58B5BE20">
            <w:pPr>
              <w:spacing w:before="29"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1.15</w:t>
            </w:r>
          </w:p>
        </w:tc>
        <w:tc>
          <w:tcPr>
            <w:tcW w:w="1277" w:type="dxa"/>
            <w:vAlign w:val="top"/>
          </w:tcPr>
          <w:p w14:paraId="24BF0C1F">
            <w:pPr>
              <w:spacing w:before="29"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0.86</w:t>
            </w:r>
          </w:p>
        </w:tc>
        <w:tc>
          <w:tcPr>
            <w:tcW w:w="1282" w:type="dxa"/>
            <w:vAlign w:val="top"/>
          </w:tcPr>
          <w:p w14:paraId="74A56BDF">
            <w:pPr>
              <w:spacing w:before="29"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0.56</w:t>
            </w:r>
          </w:p>
        </w:tc>
      </w:tr>
      <w:tr w14:paraId="6A4BE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2" w:type="dxa"/>
            <w:vMerge w:val="continue"/>
            <w:tcBorders>
              <w:top w:val="nil"/>
            </w:tcBorders>
            <w:vAlign w:val="top"/>
          </w:tcPr>
          <w:p w14:paraId="35106EBA">
            <w:pPr>
              <w:rPr>
                <w:rFonts w:ascii="Arial"/>
                <w:sz w:val="21"/>
              </w:rPr>
            </w:pPr>
          </w:p>
        </w:tc>
        <w:tc>
          <w:tcPr>
            <w:tcW w:w="1277" w:type="dxa"/>
            <w:vAlign w:val="top"/>
          </w:tcPr>
          <w:p w14:paraId="41959529">
            <w:pPr>
              <w:pStyle w:val="6"/>
              <w:spacing w:before="61" w:line="228" w:lineRule="auto"/>
              <w:ind w:left="435"/>
            </w:pPr>
            <w:r>
              <w:rPr>
                <w:spacing w:val="3"/>
              </w:rPr>
              <w:t>洒水</w:t>
            </w:r>
          </w:p>
        </w:tc>
        <w:tc>
          <w:tcPr>
            <w:tcW w:w="1278" w:type="dxa"/>
            <w:vAlign w:val="top"/>
          </w:tcPr>
          <w:p w14:paraId="0886B9A0">
            <w:pPr>
              <w:spacing w:before="30"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2.11</w:t>
            </w:r>
          </w:p>
        </w:tc>
        <w:tc>
          <w:tcPr>
            <w:tcW w:w="1277" w:type="dxa"/>
            <w:vAlign w:val="top"/>
          </w:tcPr>
          <w:p w14:paraId="56D63EF5">
            <w:pPr>
              <w:spacing w:before="30"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w:t>
            </w:r>
          </w:p>
        </w:tc>
        <w:tc>
          <w:tcPr>
            <w:tcW w:w="1277" w:type="dxa"/>
            <w:vAlign w:val="top"/>
          </w:tcPr>
          <w:p w14:paraId="6AF284DB">
            <w:pPr>
              <w:spacing w:before="30"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0.68</w:t>
            </w:r>
          </w:p>
        </w:tc>
        <w:tc>
          <w:tcPr>
            <w:tcW w:w="1277" w:type="dxa"/>
            <w:vAlign w:val="top"/>
          </w:tcPr>
          <w:p w14:paraId="5E33D12D">
            <w:pPr>
              <w:spacing w:before="30"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0.60</w:t>
            </w:r>
          </w:p>
        </w:tc>
        <w:tc>
          <w:tcPr>
            <w:tcW w:w="1282" w:type="dxa"/>
            <w:vAlign w:val="top"/>
          </w:tcPr>
          <w:p w14:paraId="7ED4E363">
            <w:pPr>
              <w:spacing w:before="30"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r>
      <w:tr w14:paraId="217F1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559" w:type="dxa"/>
            <w:gridSpan w:val="2"/>
            <w:vAlign w:val="top"/>
          </w:tcPr>
          <w:p w14:paraId="02AFAD00">
            <w:pPr>
              <w:pStyle w:val="6"/>
              <w:spacing w:before="62" w:line="228" w:lineRule="auto"/>
              <w:ind w:left="881"/>
            </w:pPr>
            <w:r>
              <w:rPr>
                <w:spacing w:val="3"/>
              </w:rPr>
              <w:t>降尘效率</w:t>
            </w:r>
          </w:p>
        </w:tc>
        <w:tc>
          <w:tcPr>
            <w:tcW w:w="1278" w:type="dxa"/>
            <w:vAlign w:val="top"/>
          </w:tcPr>
          <w:p w14:paraId="507242AF">
            <w:pPr>
              <w:spacing w:before="31" w:line="274" w:lineRule="exact"/>
              <w:ind w:left="4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80.2</w:t>
            </w:r>
          </w:p>
        </w:tc>
        <w:tc>
          <w:tcPr>
            <w:tcW w:w="1277" w:type="dxa"/>
            <w:vAlign w:val="top"/>
          </w:tcPr>
          <w:p w14:paraId="7544F07C">
            <w:pPr>
              <w:spacing w:before="31" w:line="27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51.6</w:t>
            </w:r>
          </w:p>
        </w:tc>
        <w:tc>
          <w:tcPr>
            <w:tcW w:w="1277" w:type="dxa"/>
            <w:vAlign w:val="top"/>
          </w:tcPr>
          <w:p w14:paraId="4935E17B">
            <w:pPr>
              <w:spacing w:before="31"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41.7</w:t>
            </w:r>
          </w:p>
        </w:tc>
        <w:tc>
          <w:tcPr>
            <w:tcW w:w="1277" w:type="dxa"/>
            <w:vAlign w:val="top"/>
          </w:tcPr>
          <w:p w14:paraId="45942895">
            <w:pPr>
              <w:spacing w:before="31" w:line="27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30.2</w:t>
            </w:r>
          </w:p>
        </w:tc>
        <w:tc>
          <w:tcPr>
            <w:tcW w:w="1282" w:type="dxa"/>
            <w:vAlign w:val="top"/>
          </w:tcPr>
          <w:p w14:paraId="703BC994">
            <w:pPr>
              <w:spacing w:before="31" w:line="274"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48.2</w:t>
            </w:r>
          </w:p>
        </w:tc>
      </w:tr>
    </w:tbl>
    <w:p w14:paraId="0446E579">
      <w:pPr>
        <w:spacing w:before="252" w:line="367" w:lineRule="auto"/>
        <w:ind w:left="122" w:right="110" w:firstLine="510"/>
        <w:jc w:val="both"/>
        <w:rPr>
          <w:rFonts w:ascii="宋体" w:hAnsi="宋体" w:eastAsia="宋体" w:cs="宋体"/>
          <w:sz w:val="24"/>
          <w:szCs w:val="24"/>
        </w:rPr>
      </w:pPr>
      <w:r>
        <w:rPr>
          <w:rFonts w:ascii="宋体" w:hAnsi="宋体" w:eastAsia="宋体" w:cs="宋体"/>
          <w:spacing w:val="-4"/>
          <w:sz w:val="24"/>
          <w:szCs w:val="24"/>
        </w:rPr>
        <w:t>由表</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可知，有效的洒水抑尘可以使施工扬尘在</w:t>
      </w:r>
      <w:r>
        <w:rPr>
          <w:rFonts w:ascii="Times New Roman" w:hAnsi="Times New Roman" w:eastAsia="Times New Roman" w:cs="Times New Roman"/>
          <w:spacing w:val="-4"/>
          <w:sz w:val="24"/>
          <w:szCs w:val="24"/>
        </w:rPr>
        <w:t>40m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w:t>
      </w:r>
      <w:r>
        <w:rPr>
          <w:rFonts w:ascii="宋体" w:hAnsi="宋体" w:eastAsia="宋体" w:cs="宋体"/>
          <w:spacing w:val="-5"/>
          <w:sz w:val="24"/>
          <w:szCs w:val="24"/>
        </w:rPr>
        <w:t>距离内达到广东省地</w:t>
      </w:r>
      <w:r>
        <w:rPr>
          <w:rFonts w:ascii="宋体" w:hAnsi="宋体" w:eastAsia="宋体" w:cs="宋体"/>
          <w:sz w:val="24"/>
          <w:szCs w:val="24"/>
        </w:rPr>
        <w:t xml:space="preserve"> </w:t>
      </w:r>
      <w:r>
        <w:rPr>
          <w:rFonts w:ascii="宋体" w:hAnsi="宋体" w:eastAsia="宋体" w:cs="宋体"/>
          <w:spacing w:val="2"/>
          <w:sz w:val="24"/>
          <w:szCs w:val="24"/>
        </w:rPr>
        <w:t>方标准《大气污染物排放限值》（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）中颗粒物无组织排放监控浓度限</w:t>
      </w:r>
      <w:r>
        <w:rPr>
          <w:rFonts w:ascii="宋体" w:hAnsi="宋体" w:eastAsia="宋体" w:cs="宋体"/>
          <w:spacing w:val="1"/>
          <w:sz w:val="24"/>
          <w:szCs w:val="24"/>
        </w:rPr>
        <w:t xml:space="preserve"> </w:t>
      </w:r>
      <w:r>
        <w:rPr>
          <w:rFonts w:ascii="宋体" w:hAnsi="宋体" w:eastAsia="宋体" w:cs="宋体"/>
          <w:spacing w:val="3"/>
          <w:sz w:val="24"/>
          <w:szCs w:val="24"/>
        </w:rPr>
        <w:t>值要求（</w:t>
      </w:r>
      <w:r>
        <w:rPr>
          <w:rFonts w:ascii="Times New Roman" w:hAnsi="Times New Roman" w:eastAsia="Times New Roman" w:cs="Times New Roman"/>
          <w:spacing w:val="3"/>
          <w:sz w:val="24"/>
          <w:szCs w:val="24"/>
        </w:rPr>
        <w:t>1.0</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 xml:space="preserve">3 </w:t>
      </w:r>
      <w:r>
        <w:rPr>
          <w:rFonts w:ascii="宋体" w:hAnsi="宋体" w:eastAsia="宋体" w:cs="宋体"/>
          <w:spacing w:val="-10"/>
          <w:sz w:val="24"/>
          <w:szCs w:val="24"/>
        </w:rPr>
        <w:t>），</w:t>
      </w:r>
      <w:r>
        <w:rPr>
          <w:rFonts w:ascii="宋体" w:hAnsi="宋体" w:eastAsia="宋体" w:cs="宋体"/>
          <w:spacing w:val="3"/>
          <w:sz w:val="24"/>
          <w:szCs w:val="24"/>
        </w:rPr>
        <w:t>在此范围内洒水降尘</w:t>
      </w:r>
      <w:r>
        <w:rPr>
          <w:rFonts w:ascii="宋体" w:hAnsi="宋体" w:eastAsia="宋体" w:cs="宋体"/>
          <w:spacing w:val="2"/>
          <w:sz w:val="24"/>
          <w:szCs w:val="24"/>
        </w:rPr>
        <w:t>效率达到</w:t>
      </w:r>
      <w:r>
        <w:rPr>
          <w:rFonts w:ascii="Times New Roman" w:hAnsi="Times New Roman" w:eastAsia="Times New Roman" w:cs="Times New Roman"/>
          <w:spacing w:val="2"/>
          <w:sz w:val="24"/>
          <w:szCs w:val="24"/>
        </w:rPr>
        <w:t>40</w:t>
      </w:r>
      <w:r>
        <w:rPr>
          <w:rFonts w:ascii="宋体" w:hAnsi="宋体" w:eastAsia="宋体" w:cs="宋体"/>
          <w:spacing w:val="2"/>
          <w:sz w:val="24"/>
          <w:szCs w:val="24"/>
        </w:rPr>
        <w:t>～</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，有效降低了施工现</w:t>
      </w:r>
      <w:r>
        <w:rPr>
          <w:rFonts w:ascii="宋体" w:hAnsi="宋体" w:eastAsia="宋体" w:cs="宋体"/>
          <w:sz w:val="24"/>
          <w:szCs w:val="24"/>
        </w:rPr>
        <w:t xml:space="preserve"> </w:t>
      </w:r>
      <w:r>
        <w:rPr>
          <w:rFonts w:ascii="宋体" w:hAnsi="宋体" w:eastAsia="宋体" w:cs="宋体"/>
          <w:spacing w:val="-1"/>
          <w:sz w:val="24"/>
          <w:szCs w:val="24"/>
        </w:rPr>
        <w:t>场的扬尘污染程度。</w:t>
      </w:r>
    </w:p>
    <w:p w14:paraId="0610495A">
      <w:pPr>
        <w:spacing w:before="86" w:line="366" w:lineRule="auto"/>
        <w:ind w:left="124" w:right="49" w:firstLine="479"/>
        <w:jc w:val="both"/>
        <w:rPr>
          <w:rFonts w:ascii="宋体" w:hAnsi="宋体" w:eastAsia="宋体" w:cs="宋体"/>
          <w:sz w:val="24"/>
          <w:szCs w:val="24"/>
        </w:rPr>
      </w:pPr>
      <w:r>
        <w:rPr>
          <w:rFonts w:ascii="宋体" w:hAnsi="宋体" w:eastAsia="宋体" w:cs="宋体"/>
          <w:spacing w:val="2"/>
          <w:sz w:val="24"/>
          <w:szCs w:val="24"/>
        </w:rPr>
        <w:t>本项目位于远离市区，周边居民很少，做好施工过程中的防尘措施，则施工扬</w:t>
      </w:r>
      <w:r>
        <w:rPr>
          <w:rFonts w:ascii="宋体" w:hAnsi="宋体" w:eastAsia="宋体" w:cs="宋体"/>
          <w:spacing w:val="9"/>
          <w:sz w:val="24"/>
          <w:szCs w:val="24"/>
        </w:rPr>
        <w:t xml:space="preserve"> </w:t>
      </w:r>
      <w:r>
        <w:rPr>
          <w:rFonts w:ascii="宋体" w:hAnsi="宋体" w:eastAsia="宋体" w:cs="宋体"/>
          <w:spacing w:val="-3"/>
          <w:sz w:val="24"/>
          <w:szCs w:val="24"/>
        </w:rPr>
        <w:t>尘对敏感点的影响不大。对于特定的工程施工，扬尘造成的污染是短期的、局部的，</w:t>
      </w:r>
      <w:r>
        <w:rPr>
          <w:rFonts w:ascii="宋体" w:hAnsi="宋体" w:eastAsia="宋体" w:cs="宋体"/>
          <w:spacing w:val="10"/>
          <w:sz w:val="24"/>
          <w:szCs w:val="24"/>
        </w:rPr>
        <w:t xml:space="preserve"> </w:t>
      </w:r>
      <w:r>
        <w:rPr>
          <w:rFonts w:ascii="宋体" w:hAnsi="宋体" w:eastAsia="宋体" w:cs="宋体"/>
          <w:sz w:val="24"/>
          <w:szCs w:val="24"/>
        </w:rPr>
        <w:t>随着施工期结束其排放即为零。因此，本项目施</w:t>
      </w:r>
      <w:r>
        <w:rPr>
          <w:rFonts w:ascii="宋体" w:hAnsi="宋体" w:eastAsia="宋体" w:cs="宋体"/>
          <w:spacing w:val="-1"/>
          <w:sz w:val="24"/>
          <w:szCs w:val="24"/>
        </w:rPr>
        <w:t>工期大气环境影响是有限的。</w:t>
      </w:r>
    </w:p>
    <w:p w14:paraId="458CF6B2">
      <w:pPr>
        <w:spacing w:line="359" w:lineRule="exact"/>
        <w:ind w:left="598"/>
        <w:rPr>
          <w:rFonts w:ascii="宋体" w:hAnsi="宋体" w:eastAsia="宋体" w:cs="宋体"/>
          <w:sz w:val="24"/>
          <w:szCs w:val="24"/>
        </w:rPr>
      </w:pP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29"/>
          <w:position w:val="2"/>
          <w:sz w:val="24"/>
          <w:szCs w:val="24"/>
        </w:rPr>
        <w:t xml:space="preserve"> </w:t>
      </w:r>
      <w:r>
        <w:rPr>
          <w:rFonts w:ascii="宋体" w:hAnsi="宋体" w:eastAsia="宋体" w:cs="宋体"/>
          <w:spacing w:val="-2"/>
          <w:position w:val="2"/>
          <w:sz w:val="24"/>
          <w:szCs w:val="24"/>
        </w:rPr>
        <w:t>、施工期机械及运输车辆产生的燃油废气</w:t>
      </w:r>
    </w:p>
    <w:p w14:paraId="64AD7728">
      <w:pPr>
        <w:spacing w:before="168" w:line="376" w:lineRule="auto"/>
        <w:ind w:left="122" w:right="32" w:firstLine="494"/>
        <w:rPr>
          <w:rFonts w:ascii="宋体" w:hAnsi="宋体" w:eastAsia="宋体" w:cs="宋体"/>
          <w:sz w:val="24"/>
          <w:szCs w:val="24"/>
        </w:rPr>
      </w:pPr>
      <w:r>
        <w:rPr>
          <w:rFonts w:ascii="宋体" w:hAnsi="宋体" w:eastAsia="宋体" w:cs="宋体"/>
          <w:spacing w:val="2"/>
          <w:sz w:val="24"/>
          <w:szCs w:val="24"/>
        </w:rPr>
        <w:t>除施工扬尘影响外，建设施工机械排放的废气和进出施工场地的各类</w:t>
      </w:r>
      <w:r>
        <w:rPr>
          <w:rFonts w:ascii="宋体" w:hAnsi="宋体" w:eastAsia="宋体" w:cs="宋体"/>
          <w:spacing w:val="1"/>
          <w:sz w:val="24"/>
          <w:szCs w:val="24"/>
        </w:rPr>
        <w:t>运输车辆</w:t>
      </w:r>
      <w:r>
        <w:rPr>
          <w:rFonts w:ascii="宋体" w:hAnsi="宋体" w:eastAsia="宋体" w:cs="宋体"/>
          <w:sz w:val="24"/>
          <w:szCs w:val="24"/>
        </w:rPr>
        <w:t xml:space="preserve"> </w:t>
      </w:r>
      <w:r>
        <w:rPr>
          <w:rFonts w:ascii="宋体" w:hAnsi="宋体" w:eastAsia="宋体" w:cs="宋体"/>
          <w:spacing w:val="2"/>
          <w:sz w:val="24"/>
          <w:szCs w:val="24"/>
        </w:rPr>
        <w:t>排放的汽车尾气也将在短期内影响项目周边的环境空气质量，施工机械排放废气主</w:t>
      </w:r>
      <w:r>
        <w:rPr>
          <w:rFonts w:ascii="宋体" w:hAnsi="宋体" w:eastAsia="宋体" w:cs="宋体"/>
          <w:spacing w:val="6"/>
          <w:sz w:val="24"/>
          <w:szCs w:val="24"/>
        </w:rPr>
        <w:t xml:space="preserve"> </w:t>
      </w:r>
      <w:r>
        <w:rPr>
          <w:rFonts w:ascii="宋体" w:hAnsi="宋体" w:eastAsia="宋体" w:cs="宋体"/>
          <w:spacing w:val="2"/>
          <w:sz w:val="24"/>
          <w:szCs w:val="24"/>
        </w:rPr>
        <w:t>要集中在钻桩、挖土阶段，废气排放量与同时运转的机械设备的数量有关；而运输</w:t>
      </w:r>
      <w:r>
        <w:rPr>
          <w:rFonts w:ascii="宋体" w:hAnsi="宋体" w:eastAsia="宋体" w:cs="宋体"/>
          <w:spacing w:val="6"/>
          <w:sz w:val="24"/>
          <w:szCs w:val="24"/>
        </w:rPr>
        <w:t xml:space="preserve"> </w:t>
      </w:r>
      <w:r>
        <w:rPr>
          <w:rFonts w:ascii="宋体" w:hAnsi="宋体" w:eastAsia="宋体" w:cs="宋体"/>
          <w:spacing w:val="-2"/>
          <w:sz w:val="24"/>
          <w:szCs w:val="24"/>
        </w:rPr>
        <w:t>车辆的废气排放，除与进出施工场地的车辆数量相关外，还与汽车的</w:t>
      </w:r>
      <w:r>
        <w:rPr>
          <w:rFonts w:ascii="宋体" w:hAnsi="宋体" w:eastAsia="宋体" w:cs="宋体"/>
          <w:spacing w:val="-3"/>
          <w:sz w:val="24"/>
          <w:szCs w:val="24"/>
        </w:rPr>
        <w:t>行驶状态有关。</w:t>
      </w:r>
      <w:r>
        <w:rPr>
          <w:rFonts w:ascii="宋体" w:hAnsi="宋体" w:eastAsia="宋体" w:cs="宋体"/>
          <w:sz w:val="24"/>
          <w:szCs w:val="24"/>
        </w:rPr>
        <w:t xml:space="preserve"> </w:t>
      </w:r>
      <w:r>
        <w:rPr>
          <w:rFonts w:ascii="宋体" w:hAnsi="宋体" w:eastAsia="宋体" w:cs="宋体"/>
          <w:spacing w:val="2"/>
          <w:sz w:val="24"/>
          <w:szCs w:val="24"/>
        </w:rPr>
        <w:t>合理地进行施工作业，加强施工的现场管理，将直接影响施工现场的大气污染物排</w:t>
      </w:r>
      <w:r>
        <w:rPr>
          <w:rFonts w:ascii="宋体" w:hAnsi="宋体" w:eastAsia="宋体" w:cs="宋体"/>
          <w:spacing w:val="6"/>
          <w:sz w:val="24"/>
          <w:szCs w:val="24"/>
        </w:rPr>
        <w:t xml:space="preserve"> </w:t>
      </w:r>
      <w:r>
        <w:rPr>
          <w:rFonts w:ascii="宋体" w:hAnsi="宋体" w:eastAsia="宋体" w:cs="宋体"/>
          <w:spacing w:val="-5"/>
          <w:sz w:val="24"/>
          <w:szCs w:val="24"/>
        </w:rPr>
        <w:t>放。</w:t>
      </w:r>
    </w:p>
    <w:p w14:paraId="1D99885F">
      <w:pPr>
        <w:spacing w:before="4" w:line="376" w:lineRule="auto"/>
        <w:ind w:left="124" w:right="42" w:firstLine="438"/>
        <w:jc w:val="both"/>
        <w:rPr>
          <w:rFonts w:ascii="宋体" w:hAnsi="宋体" w:eastAsia="宋体" w:cs="宋体"/>
          <w:sz w:val="24"/>
          <w:szCs w:val="24"/>
        </w:rPr>
      </w:pPr>
      <w:r>
        <w:rPr>
          <w:rFonts w:ascii="宋体" w:hAnsi="宋体" w:eastAsia="宋体" w:cs="宋体"/>
          <w:spacing w:val="-2"/>
          <w:sz w:val="24"/>
          <w:szCs w:val="24"/>
        </w:rPr>
        <w:t>本项目施工时施工车辆、钻桩机、挖土机等因燃油产生的二氧化硫、氮氧化物、</w:t>
      </w:r>
      <w:r>
        <w:rPr>
          <w:rFonts w:ascii="宋体" w:hAnsi="宋体" w:eastAsia="宋体" w:cs="宋体"/>
          <w:spacing w:val="18"/>
          <w:sz w:val="24"/>
          <w:szCs w:val="24"/>
        </w:rPr>
        <w:t xml:space="preserve"> </w:t>
      </w:r>
      <w:r>
        <w:rPr>
          <w:rFonts w:ascii="宋体" w:hAnsi="宋体" w:eastAsia="宋体" w:cs="宋体"/>
          <w:spacing w:val="2"/>
          <w:sz w:val="24"/>
          <w:szCs w:val="24"/>
        </w:rPr>
        <w:t>一氧化碳、烃类等污染物对大气环境将有所影响，但此类污染物排放量不大，且表</w:t>
      </w:r>
      <w:r>
        <w:rPr>
          <w:rFonts w:ascii="宋体" w:hAnsi="宋体" w:eastAsia="宋体" w:cs="宋体"/>
          <w:spacing w:val="4"/>
          <w:sz w:val="24"/>
          <w:szCs w:val="24"/>
        </w:rPr>
        <w:t xml:space="preserve"> </w:t>
      </w:r>
      <w:r>
        <w:rPr>
          <w:rFonts w:ascii="宋体" w:hAnsi="宋体" w:eastAsia="宋体" w:cs="宋体"/>
          <w:spacing w:val="2"/>
          <w:sz w:val="24"/>
          <w:szCs w:val="24"/>
        </w:rPr>
        <w:t>现为间歇特征，受影响的为现场施工人员。为了防治施工期间机械燃油尾气，须加</w:t>
      </w:r>
      <w:r>
        <w:rPr>
          <w:rFonts w:ascii="宋体" w:hAnsi="宋体" w:eastAsia="宋体" w:cs="宋体"/>
          <w:spacing w:val="4"/>
          <w:sz w:val="24"/>
          <w:szCs w:val="24"/>
        </w:rPr>
        <w:t xml:space="preserve"> </w:t>
      </w:r>
      <w:r>
        <w:rPr>
          <w:rFonts w:ascii="宋体" w:hAnsi="宋体" w:eastAsia="宋体" w:cs="宋体"/>
          <w:spacing w:val="-1"/>
          <w:sz w:val="24"/>
          <w:szCs w:val="24"/>
        </w:rPr>
        <w:t>强施工机械管理，确保油料燃烧完全。</w:t>
      </w:r>
    </w:p>
    <w:p w14:paraId="668B9168">
      <w:pPr>
        <w:spacing w:line="376" w:lineRule="auto"/>
        <w:rPr>
          <w:rFonts w:ascii="宋体" w:hAnsi="宋体" w:eastAsia="宋体" w:cs="宋体"/>
          <w:sz w:val="24"/>
          <w:szCs w:val="24"/>
        </w:rPr>
        <w:sectPr>
          <w:footerReference r:id="rId120" w:type="default"/>
          <w:pgSz w:w="11906" w:h="16839"/>
          <w:pgMar w:top="400" w:right="1475" w:bottom="1485" w:left="1475" w:header="0" w:footer="1249" w:gutter="0"/>
          <w:cols w:space="720" w:num="1"/>
        </w:sectPr>
      </w:pPr>
    </w:p>
    <w:p w14:paraId="18DC1010">
      <w:pPr>
        <w:pStyle w:val="2"/>
        <w:spacing w:line="255" w:lineRule="auto"/>
      </w:pPr>
    </w:p>
    <w:p w14:paraId="6F11B3A4">
      <w:pPr>
        <w:pStyle w:val="2"/>
        <w:spacing w:line="255" w:lineRule="auto"/>
      </w:pPr>
    </w:p>
    <w:p w14:paraId="54CC9C69">
      <w:pPr>
        <w:pStyle w:val="2"/>
        <w:spacing w:line="256" w:lineRule="auto"/>
      </w:pPr>
    </w:p>
    <w:p w14:paraId="682718AA">
      <w:pPr>
        <w:pStyle w:val="2"/>
        <w:spacing w:line="256" w:lineRule="auto"/>
      </w:pPr>
    </w:p>
    <w:p w14:paraId="2D6C9F00">
      <w:pPr>
        <w:spacing w:before="78" w:line="360" w:lineRule="exact"/>
        <w:ind w:left="481"/>
        <w:outlineLvl w:val="0"/>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、装修废气</w:t>
      </w:r>
    </w:p>
    <w:p w14:paraId="7848C46F">
      <w:pPr>
        <w:spacing w:before="166" w:line="372" w:lineRule="auto"/>
        <w:ind w:right="63" w:firstLine="480"/>
        <w:jc w:val="both"/>
        <w:rPr>
          <w:rFonts w:ascii="宋体" w:hAnsi="宋体" w:eastAsia="宋体" w:cs="宋体"/>
          <w:sz w:val="24"/>
          <w:szCs w:val="24"/>
        </w:rPr>
      </w:pPr>
      <w:r>
        <w:rPr>
          <w:rFonts w:ascii="宋体" w:hAnsi="宋体" w:eastAsia="宋体" w:cs="宋体"/>
          <w:spacing w:val="2"/>
          <w:sz w:val="24"/>
          <w:szCs w:val="24"/>
        </w:rPr>
        <w:t>本项目属于简单装修，装修时油漆废气产生量较少，该废气的排放属无组织排</w:t>
      </w:r>
      <w:r>
        <w:rPr>
          <w:rFonts w:ascii="宋体" w:hAnsi="宋体" w:eastAsia="宋体" w:cs="宋体"/>
          <w:spacing w:val="6"/>
          <w:sz w:val="24"/>
          <w:szCs w:val="24"/>
        </w:rPr>
        <w:t xml:space="preserve"> </w:t>
      </w:r>
      <w:r>
        <w:rPr>
          <w:rFonts w:ascii="宋体" w:hAnsi="宋体" w:eastAsia="宋体" w:cs="宋体"/>
          <w:spacing w:val="2"/>
          <w:sz w:val="24"/>
          <w:szCs w:val="24"/>
        </w:rPr>
        <w:t>放，其主要污染因子为二甲苯和甲苯，此外还有极少量的汽油、丁醇和丙醇等。但</w:t>
      </w:r>
      <w:r>
        <w:rPr>
          <w:rFonts w:ascii="宋体" w:hAnsi="宋体" w:eastAsia="宋体" w:cs="宋体"/>
          <w:spacing w:val="6"/>
          <w:sz w:val="24"/>
          <w:szCs w:val="24"/>
        </w:rPr>
        <w:t xml:space="preserve"> </w:t>
      </w:r>
      <w:r>
        <w:rPr>
          <w:rFonts w:ascii="宋体" w:hAnsi="宋体" w:eastAsia="宋体" w:cs="宋体"/>
          <w:spacing w:val="2"/>
          <w:sz w:val="24"/>
          <w:szCs w:val="24"/>
        </w:rPr>
        <w:t>排放时间和部位不明确，装修阶段的油漆废气排放周期短，且作业分散。因此在装</w:t>
      </w:r>
      <w:r>
        <w:rPr>
          <w:rFonts w:ascii="宋体" w:hAnsi="宋体" w:eastAsia="宋体" w:cs="宋体"/>
          <w:spacing w:val="6"/>
          <w:sz w:val="24"/>
          <w:szCs w:val="24"/>
        </w:rPr>
        <w:t xml:space="preserve"> </w:t>
      </w:r>
      <w:r>
        <w:rPr>
          <w:rFonts w:ascii="宋体" w:hAnsi="宋体" w:eastAsia="宋体" w:cs="宋体"/>
          <w:spacing w:val="2"/>
          <w:sz w:val="24"/>
          <w:szCs w:val="24"/>
        </w:rPr>
        <w:t>修期间应加强室内的通风换气。由于油漆中含有甲醛、二甲苯和甲苯等影响环境质</w:t>
      </w:r>
      <w:r>
        <w:rPr>
          <w:rFonts w:ascii="宋体" w:hAnsi="宋体" w:eastAsia="宋体" w:cs="宋体"/>
          <w:spacing w:val="6"/>
          <w:sz w:val="24"/>
          <w:szCs w:val="24"/>
        </w:rPr>
        <w:t xml:space="preserve"> </w:t>
      </w:r>
      <w:r>
        <w:rPr>
          <w:rFonts w:ascii="宋体" w:hAnsi="宋体" w:eastAsia="宋体" w:cs="宋体"/>
          <w:spacing w:val="2"/>
          <w:sz w:val="24"/>
          <w:szCs w:val="24"/>
        </w:rPr>
        <w:t>量的有毒有害物质挥发时间较长，所以正式运行后一段时间内也要注意室内空气的</w:t>
      </w:r>
      <w:r>
        <w:rPr>
          <w:rFonts w:ascii="宋体" w:hAnsi="宋体" w:eastAsia="宋体" w:cs="宋体"/>
          <w:spacing w:val="6"/>
          <w:sz w:val="24"/>
          <w:szCs w:val="24"/>
        </w:rPr>
        <w:t xml:space="preserve"> </w:t>
      </w:r>
      <w:r>
        <w:rPr>
          <w:rFonts w:ascii="宋体" w:hAnsi="宋体" w:eastAsia="宋体" w:cs="宋体"/>
          <w:spacing w:val="2"/>
          <w:sz w:val="24"/>
          <w:szCs w:val="24"/>
        </w:rPr>
        <w:t>流畅。而油漆挥发需要一定时间，受影响的空间方位一般只局限于墙面的附近，因</w:t>
      </w:r>
      <w:r>
        <w:rPr>
          <w:rFonts w:ascii="宋体" w:hAnsi="宋体" w:eastAsia="宋体" w:cs="宋体"/>
          <w:spacing w:val="6"/>
          <w:sz w:val="24"/>
          <w:szCs w:val="24"/>
        </w:rPr>
        <w:t xml:space="preserve"> </w:t>
      </w:r>
      <w:r>
        <w:rPr>
          <w:rFonts w:ascii="宋体" w:hAnsi="宋体" w:eastAsia="宋体" w:cs="宋体"/>
          <w:spacing w:val="-1"/>
          <w:sz w:val="24"/>
          <w:szCs w:val="24"/>
        </w:rPr>
        <w:t>此，油漆废气对建筑物外的大气环境不会造成很大影响。</w:t>
      </w:r>
    </w:p>
    <w:p w14:paraId="4730F7D5">
      <w:pPr>
        <w:spacing w:line="361" w:lineRule="exact"/>
        <w:ind w:left="475"/>
        <w:rPr>
          <w:rFonts w:ascii="宋体" w:hAnsi="宋体" w:eastAsia="宋体" w:cs="宋体"/>
          <w:sz w:val="24"/>
          <w:szCs w:val="24"/>
        </w:rPr>
      </w:pPr>
      <w:r>
        <w:rPr>
          <w:rFonts w:ascii="Times New Roman" w:hAnsi="Times New Roman" w:eastAsia="Times New Roman" w:cs="Times New Roman"/>
          <w:spacing w:val="-2"/>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、施工期大气环境污染防治措施</w:t>
      </w:r>
    </w:p>
    <w:p w14:paraId="61CDA136">
      <w:pPr>
        <w:spacing w:before="164" w:line="362" w:lineRule="auto"/>
        <w:ind w:left="1" w:right="63" w:firstLine="481"/>
        <w:rPr>
          <w:rFonts w:ascii="宋体" w:hAnsi="宋体" w:eastAsia="宋体" w:cs="宋体"/>
          <w:sz w:val="24"/>
          <w:szCs w:val="24"/>
        </w:rPr>
      </w:pPr>
      <w:r>
        <w:rPr>
          <w:rFonts w:ascii="宋体" w:hAnsi="宋体" w:eastAsia="宋体" w:cs="宋体"/>
          <w:spacing w:val="2"/>
          <w:sz w:val="24"/>
          <w:szCs w:val="24"/>
        </w:rPr>
        <w:t>为减少施工废气对周边环境的影响，建设单位应采取屏蔽作业等合理可行的控</w:t>
      </w:r>
      <w:r>
        <w:rPr>
          <w:rFonts w:ascii="宋体" w:hAnsi="宋体" w:eastAsia="宋体" w:cs="宋体"/>
          <w:spacing w:val="7"/>
          <w:sz w:val="24"/>
          <w:szCs w:val="24"/>
        </w:rPr>
        <w:t xml:space="preserve"> </w:t>
      </w:r>
      <w:r>
        <w:rPr>
          <w:rFonts w:ascii="宋体" w:hAnsi="宋体" w:eastAsia="宋体" w:cs="宋体"/>
          <w:spacing w:val="-1"/>
          <w:sz w:val="24"/>
          <w:szCs w:val="24"/>
        </w:rPr>
        <w:t>制措施。针对不同的废气采取不同的对策。</w:t>
      </w:r>
    </w:p>
    <w:p w14:paraId="61A1D3D7">
      <w:pPr>
        <w:spacing w:line="343" w:lineRule="auto"/>
        <w:ind w:firstLine="49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）施工现场要实行屏蔽作业，现场四周除留必</w:t>
      </w:r>
      <w:r>
        <w:rPr>
          <w:rFonts w:ascii="宋体" w:hAnsi="宋体" w:eastAsia="宋体" w:cs="宋体"/>
          <w:spacing w:val="-7"/>
          <w:sz w:val="24"/>
          <w:szCs w:val="24"/>
        </w:rPr>
        <w:t>要的人员、车辆进出口通道外，</w:t>
      </w:r>
      <w:r>
        <w:rPr>
          <w:rFonts w:ascii="宋体" w:hAnsi="宋体" w:eastAsia="宋体" w:cs="宋体"/>
          <w:sz w:val="24"/>
          <w:szCs w:val="24"/>
        </w:rPr>
        <w:t xml:space="preserve"> </w:t>
      </w:r>
      <w:r>
        <w:rPr>
          <w:rFonts w:ascii="宋体" w:hAnsi="宋体" w:eastAsia="宋体" w:cs="宋体"/>
          <w:spacing w:val="2"/>
          <w:sz w:val="24"/>
          <w:szCs w:val="24"/>
        </w:rPr>
        <w:t>施工单位必须在施工开始前设置好连续封闭的围墙、围板或围栏，其高度从内外地</w:t>
      </w:r>
      <w:r>
        <w:rPr>
          <w:rFonts w:ascii="宋体" w:hAnsi="宋体" w:eastAsia="宋体" w:cs="宋体"/>
          <w:spacing w:val="7"/>
          <w:sz w:val="24"/>
          <w:szCs w:val="24"/>
        </w:rPr>
        <w:t xml:space="preserve"> </w:t>
      </w:r>
      <w:r>
        <w:rPr>
          <w:rFonts w:ascii="宋体" w:hAnsi="宋体" w:eastAsia="宋体" w:cs="宋体"/>
          <w:spacing w:val="-1"/>
          <w:sz w:val="24"/>
          <w:szCs w:val="24"/>
        </w:rPr>
        <w:t>面最高处计，围墙不得低于</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，围板不得低于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1.8m</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，围栏为标准密扣式钢护栏。</w:t>
      </w:r>
    </w:p>
    <w:p w14:paraId="08D73FA1">
      <w:pPr>
        <w:spacing w:before="129" w:line="312" w:lineRule="auto"/>
        <w:ind w:right="63"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）对施工现场实行合理化管理，使砂石料统一堆放，袋装的粉体建筑材料应</w:t>
      </w:r>
      <w:r>
        <w:rPr>
          <w:rFonts w:ascii="宋体" w:hAnsi="宋体" w:eastAsia="宋体" w:cs="宋体"/>
          <w:spacing w:val="16"/>
          <w:sz w:val="24"/>
          <w:szCs w:val="24"/>
        </w:rPr>
        <w:t xml:space="preserve"> </w:t>
      </w:r>
      <w:r>
        <w:rPr>
          <w:rFonts w:ascii="宋体" w:hAnsi="宋体" w:eastAsia="宋体" w:cs="宋体"/>
          <w:sz w:val="24"/>
          <w:szCs w:val="24"/>
        </w:rPr>
        <w:t>在专门库房堆放，并尽量减少搬运环节，搬运时做到轻举轻</w:t>
      </w:r>
      <w:r>
        <w:rPr>
          <w:rFonts w:ascii="宋体" w:hAnsi="宋体" w:eastAsia="宋体" w:cs="宋体"/>
          <w:spacing w:val="-1"/>
          <w:sz w:val="24"/>
          <w:szCs w:val="24"/>
        </w:rPr>
        <w:t>放，防止包装袋破裂。</w:t>
      </w:r>
    </w:p>
    <w:p w14:paraId="2372A38A">
      <w:pPr>
        <w:spacing w:before="166" w:line="334" w:lineRule="auto"/>
        <w:ind w:right="63"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）开挖时，对作业面和土堆适当喷水，使其保持一定湿度，以减少扬尘量，</w:t>
      </w:r>
      <w:r>
        <w:rPr>
          <w:rFonts w:ascii="宋体" w:hAnsi="宋体" w:eastAsia="宋体" w:cs="宋体"/>
          <w:spacing w:val="16"/>
          <w:sz w:val="24"/>
          <w:szCs w:val="24"/>
        </w:rPr>
        <w:t xml:space="preserve"> </w:t>
      </w:r>
      <w:r>
        <w:rPr>
          <w:rFonts w:ascii="宋体" w:hAnsi="宋体" w:eastAsia="宋体" w:cs="宋体"/>
          <w:spacing w:val="2"/>
          <w:sz w:val="24"/>
          <w:szCs w:val="24"/>
        </w:rPr>
        <w:t>而且开挖的泥土和建筑垃圾要及时运走，以防长期堆放表面干燥而起尘或被雨水冲</w:t>
      </w:r>
      <w:r>
        <w:rPr>
          <w:rFonts w:ascii="宋体" w:hAnsi="宋体" w:eastAsia="宋体" w:cs="宋体"/>
          <w:spacing w:val="7"/>
          <w:sz w:val="24"/>
          <w:szCs w:val="24"/>
        </w:rPr>
        <w:t xml:space="preserve"> </w:t>
      </w:r>
      <w:r>
        <w:rPr>
          <w:rFonts w:ascii="宋体" w:hAnsi="宋体" w:eastAsia="宋体" w:cs="宋体"/>
          <w:spacing w:val="-5"/>
          <w:sz w:val="24"/>
          <w:szCs w:val="24"/>
        </w:rPr>
        <w:t>刷。</w:t>
      </w:r>
    </w:p>
    <w:p w14:paraId="281B7E1B">
      <w:pPr>
        <w:spacing w:before="166" w:line="333" w:lineRule="auto"/>
        <w:ind w:right="63"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）运输车辆应完好，不应装载过满，并尽量采取遮盖、密闭措施，减少沿途</w:t>
      </w:r>
      <w:r>
        <w:rPr>
          <w:rFonts w:ascii="宋体" w:hAnsi="宋体" w:eastAsia="宋体" w:cs="宋体"/>
          <w:spacing w:val="16"/>
          <w:sz w:val="24"/>
          <w:szCs w:val="24"/>
        </w:rPr>
        <w:t xml:space="preserve"> </w:t>
      </w:r>
      <w:r>
        <w:rPr>
          <w:rFonts w:ascii="宋体" w:hAnsi="宋体" w:eastAsia="宋体" w:cs="宋体"/>
          <w:spacing w:val="2"/>
          <w:sz w:val="24"/>
          <w:szCs w:val="24"/>
        </w:rPr>
        <w:t>抛洒，并及时清扫散落在路面上的泥土和建筑材料，冲洗轮胎，定时洒水压尘，以</w:t>
      </w:r>
      <w:r>
        <w:rPr>
          <w:rFonts w:ascii="宋体" w:hAnsi="宋体" w:eastAsia="宋体" w:cs="宋体"/>
          <w:spacing w:val="6"/>
          <w:sz w:val="24"/>
          <w:szCs w:val="24"/>
        </w:rPr>
        <w:t xml:space="preserve"> </w:t>
      </w:r>
      <w:r>
        <w:rPr>
          <w:rFonts w:ascii="宋体" w:hAnsi="宋体" w:eastAsia="宋体" w:cs="宋体"/>
          <w:spacing w:val="-1"/>
          <w:sz w:val="24"/>
          <w:szCs w:val="24"/>
        </w:rPr>
        <w:t>减少运输过程中的扬尘。</w:t>
      </w:r>
    </w:p>
    <w:p w14:paraId="1CBD4CE8">
      <w:pPr>
        <w:spacing w:before="204" w:line="298" w:lineRule="auto"/>
        <w:ind w:left="20" w:right="63"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）遇到四级风以上天气不得进行土方回填、转运以及其他可能产生扬尘污染</w:t>
      </w:r>
      <w:r>
        <w:rPr>
          <w:rFonts w:ascii="宋体" w:hAnsi="宋体" w:eastAsia="宋体" w:cs="宋体"/>
          <w:spacing w:val="16"/>
          <w:sz w:val="24"/>
          <w:szCs w:val="24"/>
        </w:rPr>
        <w:t xml:space="preserve"> </w:t>
      </w:r>
      <w:r>
        <w:rPr>
          <w:rFonts w:ascii="宋体" w:hAnsi="宋体" w:eastAsia="宋体" w:cs="宋体"/>
          <w:spacing w:val="-2"/>
          <w:sz w:val="24"/>
          <w:szCs w:val="24"/>
        </w:rPr>
        <w:t>的施工，并对堆存的砂粉等建筑材料采取遮盖措施。</w:t>
      </w:r>
    </w:p>
    <w:p w14:paraId="42437DE9">
      <w:pPr>
        <w:spacing w:before="166" w:line="312" w:lineRule="auto"/>
        <w:ind w:left="10" w:right="60"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）有扬尘产生的施工切割、打磨等尽量</w:t>
      </w:r>
      <w:r>
        <w:rPr>
          <w:rFonts w:ascii="宋体" w:hAnsi="宋体" w:eastAsia="宋体" w:cs="宋体"/>
          <w:spacing w:val="-2"/>
          <w:sz w:val="24"/>
          <w:szCs w:val="24"/>
        </w:rPr>
        <w:t>集中进行，密闭施工或带水作业，不</w:t>
      </w:r>
      <w:r>
        <w:rPr>
          <w:rFonts w:ascii="宋体" w:hAnsi="宋体" w:eastAsia="宋体" w:cs="宋体"/>
          <w:sz w:val="24"/>
          <w:szCs w:val="24"/>
        </w:rPr>
        <w:t xml:space="preserve"> </w:t>
      </w:r>
      <w:r>
        <w:rPr>
          <w:rFonts w:ascii="宋体" w:hAnsi="宋体" w:eastAsia="宋体" w:cs="宋体"/>
          <w:spacing w:val="-2"/>
          <w:sz w:val="24"/>
          <w:szCs w:val="24"/>
        </w:rPr>
        <w:t>能集中进行的尽量密闭作业。</w:t>
      </w:r>
    </w:p>
    <w:p w14:paraId="1E3B338C">
      <w:pPr>
        <w:spacing w:before="203" w:line="299" w:lineRule="auto"/>
        <w:ind w:left="3" w:right="63"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）建筑工程脚手架外侧必须使用合格的密目式安全网进行全封闭，并做到定</w:t>
      </w:r>
      <w:r>
        <w:rPr>
          <w:rFonts w:ascii="宋体" w:hAnsi="宋体" w:eastAsia="宋体" w:cs="宋体"/>
          <w:spacing w:val="16"/>
          <w:sz w:val="24"/>
          <w:szCs w:val="24"/>
        </w:rPr>
        <w:t xml:space="preserve"> </w:t>
      </w:r>
      <w:r>
        <w:rPr>
          <w:rFonts w:ascii="宋体" w:hAnsi="宋体" w:eastAsia="宋体" w:cs="宋体"/>
          <w:spacing w:val="-1"/>
          <w:sz w:val="24"/>
          <w:szCs w:val="24"/>
        </w:rPr>
        <w:t>期清洗，对破损安全网要及时更换。</w:t>
      </w:r>
    </w:p>
    <w:p w14:paraId="3FFEEB4C">
      <w:pPr>
        <w:spacing w:line="299" w:lineRule="auto"/>
        <w:rPr>
          <w:rFonts w:ascii="宋体" w:hAnsi="宋体" w:eastAsia="宋体" w:cs="宋体"/>
          <w:sz w:val="24"/>
          <w:szCs w:val="24"/>
        </w:rPr>
        <w:sectPr>
          <w:footerReference r:id="rId121" w:type="default"/>
          <w:pgSz w:w="11906" w:h="16839"/>
          <w:pgMar w:top="400" w:right="1525" w:bottom="1485" w:left="1597" w:header="0" w:footer="1249" w:gutter="0"/>
          <w:cols w:space="720" w:num="1"/>
        </w:sectPr>
      </w:pPr>
    </w:p>
    <w:p w14:paraId="6B63152F">
      <w:pPr>
        <w:pStyle w:val="2"/>
        <w:spacing w:line="255" w:lineRule="auto"/>
      </w:pPr>
    </w:p>
    <w:p w14:paraId="011D0550">
      <w:pPr>
        <w:pStyle w:val="2"/>
        <w:spacing w:line="255" w:lineRule="auto"/>
      </w:pPr>
    </w:p>
    <w:p w14:paraId="415F1AB6">
      <w:pPr>
        <w:pStyle w:val="2"/>
        <w:spacing w:line="256" w:lineRule="auto"/>
      </w:pPr>
    </w:p>
    <w:p w14:paraId="69907F02">
      <w:pPr>
        <w:pStyle w:val="2"/>
        <w:spacing w:line="256" w:lineRule="auto"/>
      </w:pPr>
    </w:p>
    <w:p w14:paraId="65832D62">
      <w:pPr>
        <w:spacing w:before="78" w:line="360" w:lineRule="exact"/>
        <w:ind w:right="51"/>
        <w:jc w:val="right"/>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8</w:t>
      </w:r>
      <w:r>
        <w:rPr>
          <w:rFonts w:ascii="宋体" w:hAnsi="宋体" w:eastAsia="宋体" w:cs="宋体"/>
          <w:spacing w:val="-1"/>
          <w:position w:val="2"/>
          <w:sz w:val="24"/>
          <w:szCs w:val="24"/>
        </w:rPr>
        <w:t>）施工现场进出口、主要道路和砂、石堆场，各种加工场地进行硬化处理。</w:t>
      </w:r>
    </w:p>
    <w:p w14:paraId="7B29F523">
      <w:pPr>
        <w:spacing w:before="129" w:line="312" w:lineRule="auto"/>
        <w:ind w:left="3" w:right="82"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9</w:t>
      </w:r>
      <w:r>
        <w:rPr>
          <w:rFonts w:ascii="宋体" w:hAnsi="宋体" w:eastAsia="宋体" w:cs="宋体"/>
          <w:spacing w:val="-2"/>
          <w:sz w:val="24"/>
          <w:szCs w:val="24"/>
        </w:rPr>
        <w:t>）为最大程度减少施工期对项目四周的敏感点影响，施工场地设置应尽量设</w:t>
      </w:r>
      <w:r>
        <w:rPr>
          <w:rFonts w:ascii="宋体" w:hAnsi="宋体" w:eastAsia="宋体" w:cs="宋体"/>
          <w:spacing w:val="16"/>
          <w:sz w:val="24"/>
          <w:szCs w:val="24"/>
        </w:rPr>
        <w:t xml:space="preserve"> </w:t>
      </w:r>
      <w:r>
        <w:rPr>
          <w:rFonts w:ascii="宋体" w:hAnsi="宋体" w:eastAsia="宋体" w:cs="宋体"/>
          <w:sz w:val="24"/>
          <w:szCs w:val="24"/>
        </w:rPr>
        <w:t>置在场地中央，并且应在四周靠近敏感点处设置双</w:t>
      </w:r>
      <w:r>
        <w:rPr>
          <w:rFonts w:ascii="宋体" w:hAnsi="宋体" w:eastAsia="宋体" w:cs="宋体"/>
          <w:spacing w:val="-1"/>
          <w:sz w:val="24"/>
          <w:szCs w:val="24"/>
        </w:rPr>
        <w:t>层细目滞尘防护网。</w:t>
      </w:r>
    </w:p>
    <w:p w14:paraId="45ED1110">
      <w:pPr>
        <w:spacing w:before="166" w:line="312" w:lineRule="auto"/>
        <w:ind w:left="6" w:right="8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）施工机械设备、车辆必须定期维修保养，施工车辆应达到相应</w:t>
      </w:r>
      <w:r>
        <w:rPr>
          <w:rFonts w:ascii="宋体" w:hAnsi="宋体" w:eastAsia="宋体" w:cs="宋体"/>
          <w:spacing w:val="1"/>
          <w:sz w:val="24"/>
          <w:szCs w:val="24"/>
        </w:rPr>
        <w:t>的汽车废</w:t>
      </w:r>
      <w:r>
        <w:rPr>
          <w:rFonts w:ascii="宋体" w:hAnsi="宋体" w:eastAsia="宋体" w:cs="宋体"/>
          <w:sz w:val="24"/>
          <w:szCs w:val="24"/>
        </w:rPr>
        <w:t xml:space="preserve"> </w:t>
      </w:r>
      <w:r>
        <w:rPr>
          <w:rFonts w:ascii="宋体" w:hAnsi="宋体" w:eastAsia="宋体" w:cs="宋体"/>
          <w:spacing w:val="-2"/>
          <w:sz w:val="24"/>
          <w:szCs w:val="24"/>
        </w:rPr>
        <w:t>气排放标准。</w:t>
      </w:r>
    </w:p>
    <w:p w14:paraId="41D5BCB6">
      <w:pPr>
        <w:spacing w:before="201" w:line="379" w:lineRule="auto"/>
        <w:ind w:left="24" w:right="82" w:firstLine="459"/>
        <w:rPr>
          <w:rFonts w:ascii="宋体" w:hAnsi="宋体" w:eastAsia="宋体" w:cs="宋体"/>
          <w:sz w:val="24"/>
          <w:szCs w:val="24"/>
        </w:rPr>
      </w:pPr>
      <w:r>
        <w:rPr>
          <w:rFonts w:ascii="宋体" w:hAnsi="宋体" w:eastAsia="宋体" w:cs="宋体"/>
          <w:spacing w:val="2"/>
          <w:sz w:val="24"/>
          <w:szCs w:val="24"/>
        </w:rPr>
        <w:t>在采取有效措施处理后，可降低施工废气对周围大气环境的影响，且施工期造</w:t>
      </w:r>
      <w:r>
        <w:rPr>
          <w:rFonts w:ascii="宋体" w:hAnsi="宋体" w:eastAsia="宋体" w:cs="宋体"/>
          <w:spacing w:val="11"/>
          <w:sz w:val="24"/>
          <w:szCs w:val="24"/>
        </w:rPr>
        <w:t xml:space="preserve"> </w:t>
      </w:r>
      <w:r>
        <w:rPr>
          <w:rFonts w:ascii="宋体" w:hAnsi="宋体" w:eastAsia="宋体" w:cs="宋体"/>
          <w:spacing w:val="-1"/>
          <w:sz w:val="24"/>
          <w:szCs w:val="24"/>
        </w:rPr>
        <w:t>的大气污染是短期、局部的，随着施工期的结束，这些影响可以逐步得到恢复。</w:t>
      </w:r>
    </w:p>
    <w:p w14:paraId="72095C75">
      <w:pPr>
        <w:spacing w:before="292" w:line="220" w:lineRule="auto"/>
        <w:ind w:left="4"/>
        <w:outlineLvl w:val="1"/>
        <w:rPr>
          <w:rFonts w:ascii="宋体" w:hAnsi="宋体" w:eastAsia="宋体" w:cs="宋体"/>
          <w:sz w:val="24"/>
          <w:szCs w:val="24"/>
        </w:rPr>
      </w:pPr>
      <w:r>
        <w:rPr>
          <w:rFonts w:ascii="Times New Roman" w:hAnsi="Times New Roman" w:eastAsia="Times New Roman" w:cs="Times New Roman"/>
          <w:b/>
          <w:bCs/>
          <w:spacing w:val="-2"/>
          <w:sz w:val="24"/>
          <w:szCs w:val="24"/>
        </w:rPr>
        <w:t>5.1.2</w:t>
      </w:r>
      <w:r>
        <w:rPr>
          <w:rFonts w:ascii="宋体" w:hAnsi="宋体" w:eastAsia="宋体" w:cs="宋体"/>
          <w:b/>
          <w:bCs/>
          <w:spacing w:val="-2"/>
          <w:sz w:val="24"/>
          <w:szCs w:val="24"/>
        </w:rPr>
        <w:t>施工期地表水环境影响分析</w:t>
      </w:r>
    </w:p>
    <w:p w14:paraId="28788EF7">
      <w:pPr>
        <w:pStyle w:val="2"/>
        <w:spacing w:line="277" w:lineRule="auto"/>
      </w:pPr>
    </w:p>
    <w:p w14:paraId="6A2A4C61">
      <w:pPr>
        <w:spacing w:before="78" w:line="363" w:lineRule="auto"/>
        <w:ind w:left="4" w:right="82" w:firstLine="484"/>
        <w:rPr>
          <w:rFonts w:ascii="宋体" w:hAnsi="宋体" w:eastAsia="宋体" w:cs="宋体"/>
          <w:sz w:val="24"/>
          <w:szCs w:val="24"/>
        </w:rPr>
      </w:pPr>
      <w:r>
        <w:rPr>
          <w:rFonts w:ascii="宋体" w:hAnsi="宋体" w:eastAsia="宋体" w:cs="宋体"/>
          <w:spacing w:val="2"/>
          <w:sz w:val="24"/>
          <w:szCs w:val="24"/>
        </w:rPr>
        <w:t>项目施工期间产生的污水主要包括如下几类：施工人员生活污水，砂石料冲洗</w:t>
      </w:r>
      <w:r>
        <w:rPr>
          <w:rFonts w:ascii="宋体" w:hAnsi="宋体" w:eastAsia="宋体" w:cs="宋体"/>
          <w:spacing w:val="6"/>
          <w:sz w:val="24"/>
          <w:szCs w:val="24"/>
        </w:rPr>
        <w:t xml:space="preserve"> </w:t>
      </w:r>
      <w:r>
        <w:rPr>
          <w:rFonts w:ascii="宋体" w:hAnsi="宋体" w:eastAsia="宋体" w:cs="宋体"/>
          <w:sz w:val="24"/>
          <w:szCs w:val="24"/>
        </w:rPr>
        <w:t>及混凝土搅拌产生的生产废水，机械车辆冲洗、</w:t>
      </w:r>
      <w:r>
        <w:rPr>
          <w:rFonts w:ascii="宋体" w:hAnsi="宋体" w:eastAsia="宋体" w:cs="宋体"/>
          <w:spacing w:val="-1"/>
          <w:sz w:val="24"/>
          <w:szCs w:val="24"/>
        </w:rPr>
        <w:t>检修产生的含油废水。</w:t>
      </w:r>
    </w:p>
    <w:p w14:paraId="4215559A">
      <w:pPr>
        <w:spacing w:line="361" w:lineRule="exact"/>
        <w:ind w:left="503"/>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、施工废水</w:t>
      </w:r>
    </w:p>
    <w:p w14:paraId="73C90475">
      <w:pPr>
        <w:spacing w:before="166" w:line="372" w:lineRule="auto"/>
        <w:ind w:left="4" w:right="19" w:firstLine="480"/>
        <w:rPr>
          <w:rFonts w:ascii="宋体" w:hAnsi="宋体" w:eastAsia="宋体" w:cs="宋体"/>
          <w:sz w:val="24"/>
          <w:szCs w:val="24"/>
        </w:rPr>
      </w:pPr>
      <w:r>
        <w:rPr>
          <w:rFonts w:ascii="宋体" w:hAnsi="宋体" w:eastAsia="宋体" w:cs="宋体"/>
          <w:spacing w:val="2"/>
          <w:sz w:val="24"/>
          <w:szCs w:val="24"/>
        </w:rPr>
        <w:t>施工期废水主要为施工过程中产生的施工废水和施工人员的清洁废水等，其特</w:t>
      </w:r>
      <w:r>
        <w:rPr>
          <w:rFonts w:ascii="宋体" w:hAnsi="宋体" w:eastAsia="宋体" w:cs="宋体"/>
          <w:spacing w:val="11"/>
          <w:sz w:val="24"/>
          <w:szCs w:val="24"/>
        </w:rPr>
        <w:t xml:space="preserve"> </w:t>
      </w:r>
      <w:r>
        <w:rPr>
          <w:rFonts w:ascii="宋体" w:hAnsi="宋体" w:eastAsia="宋体" w:cs="宋体"/>
          <w:spacing w:val="-1"/>
          <w:sz w:val="24"/>
          <w:szCs w:val="24"/>
        </w:rPr>
        <w:t xml:space="preserve">点是排放量较少，主要污染物为 </w:t>
      </w:r>
      <w:r>
        <w:rPr>
          <w:rFonts w:ascii="Times New Roman" w:hAnsi="Times New Roman" w:eastAsia="Times New Roman" w:cs="Times New Roman"/>
          <w:spacing w:val="-1"/>
          <w:sz w:val="24"/>
          <w:szCs w:val="24"/>
        </w:rPr>
        <w:t>SS</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，运输车辆和机械冲洗也会产生少量含油废水，</w:t>
      </w:r>
      <w:r>
        <w:rPr>
          <w:rFonts w:ascii="宋体" w:hAnsi="宋体" w:eastAsia="宋体" w:cs="宋体"/>
          <w:sz w:val="24"/>
          <w:szCs w:val="24"/>
        </w:rPr>
        <w:t xml:space="preserve"> </w:t>
      </w:r>
      <w:r>
        <w:rPr>
          <w:rFonts w:ascii="宋体" w:hAnsi="宋体" w:eastAsia="宋体" w:cs="宋体"/>
          <w:spacing w:val="2"/>
          <w:sz w:val="24"/>
          <w:szCs w:val="24"/>
        </w:rPr>
        <w:t>不含其它可溶性的有害物质。施工方拟在施工区分区设置临时沉淀池，施工期废水</w:t>
      </w:r>
      <w:r>
        <w:rPr>
          <w:rFonts w:ascii="宋体" w:hAnsi="宋体" w:eastAsia="宋体" w:cs="宋体"/>
          <w:spacing w:val="7"/>
          <w:sz w:val="24"/>
          <w:szCs w:val="24"/>
        </w:rPr>
        <w:t xml:space="preserve"> </w:t>
      </w:r>
      <w:r>
        <w:rPr>
          <w:rFonts w:ascii="宋体" w:hAnsi="宋体" w:eastAsia="宋体" w:cs="宋体"/>
          <w:spacing w:val="2"/>
          <w:sz w:val="24"/>
          <w:szCs w:val="24"/>
        </w:rPr>
        <w:t>通过沟渠收集排入沉淀池进行沉淀等处理，处理后的废水全部回用于施工过程和场</w:t>
      </w:r>
      <w:r>
        <w:rPr>
          <w:rFonts w:ascii="宋体" w:hAnsi="宋体" w:eastAsia="宋体" w:cs="宋体"/>
          <w:spacing w:val="7"/>
          <w:sz w:val="24"/>
          <w:szCs w:val="24"/>
        </w:rPr>
        <w:t xml:space="preserve"> </w:t>
      </w:r>
      <w:r>
        <w:rPr>
          <w:rFonts w:ascii="宋体" w:hAnsi="宋体" w:eastAsia="宋体" w:cs="宋体"/>
          <w:spacing w:val="-3"/>
          <w:sz w:val="24"/>
          <w:szCs w:val="24"/>
        </w:rPr>
        <w:t>地洒水抑尘，不外排。本项目施工场区面积较大，施工场地抑尘需要消耗大量的水，</w:t>
      </w:r>
      <w:r>
        <w:rPr>
          <w:rFonts w:ascii="宋体" w:hAnsi="宋体" w:eastAsia="宋体" w:cs="宋体"/>
          <w:spacing w:val="13"/>
          <w:sz w:val="24"/>
          <w:szCs w:val="24"/>
        </w:rPr>
        <w:t xml:space="preserve"> </w:t>
      </w:r>
      <w:r>
        <w:rPr>
          <w:rFonts w:ascii="宋体" w:hAnsi="宋体" w:eastAsia="宋体" w:cs="宋体"/>
          <w:spacing w:val="3"/>
          <w:sz w:val="24"/>
          <w:szCs w:val="24"/>
        </w:rPr>
        <w:t>施工废水、机械车辆清洗废水和施工人员清洁废水等水量较小，通过沉淀池</w:t>
      </w:r>
      <w:r>
        <w:rPr>
          <w:rFonts w:ascii="宋体" w:hAnsi="宋体" w:eastAsia="宋体" w:cs="宋体"/>
          <w:spacing w:val="2"/>
          <w:sz w:val="24"/>
          <w:szCs w:val="24"/>
        </w:rPr>
        <w:t>沉淀、</w:t>
      </w:r>
      <w:r>
        <w:rPr>
          <w:rFonts w:ascii="宋体" w:hAnsi="宋体" w:eastAsia="宋体" w:cs="宋体"/>
          <w:sz w:val="24"/>
          <w:szCs w:val="24"/>
        </w:rPr>
        <w:t xml:space="preserve"> </w:t>
      </w:r>
      <w:r>
        <w:rPr>
          <w:rFonts w:ascii="宋体" w:hAnsi="宋体" w:eastAsia="宋体" w:cs="宋体"/>
          <w:spacing w:val="-1"/>
          <w:sz w:val="24"/>
          <w:szCs w:val="24"/>
        </w:rPr>
        <w:t>澄清处理后可全部回用，对周围水环境的影响不大。</w:t>
      </w:r>
    </w:p>
    <w:p w14:paraId="42FCDE60">
      <w:pPr>
        <w:spacing w:line="361" w:lineRule="exact"/>
        <w:ind w:left="480"/>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、生活污水</w:t>
      </w:r>
    </w:p>
    <w:p w14:paraId="4EF3459C">
      <w:pPr>
        <w:spacing w:before="125" w:line="371" w:lineRule="auto"/>
        <w:ind w:firstLine="485"/>
        <w:rPr>
          <w:rFonts w:ascii="宋体" w:hAnsi="宋体" w:eastAsia="宋体" w:cs="宋体"/>
          <w:sz w:val="24"/>
          <w:szCs w:val="24"/>
        </w:rPr>
      </w:pPr>
      <w:r>
        <w:rPr>
          <w:rFonts w:ascii="宋体" w:hAnsi="宋体" w:eastAsia="宋体" w:cs="宋体"/>
          <w:spacing w:val="-1"/>
          <w:sz w:val="24"/>
          <w:szCs w:val="24"/>
        </w:rPr>
        <w:t>根据前文估算，项目施工期排放生活污水量为</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1.62t/d</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，实际施工天数约为</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天，项目施工期间生活污水排放量为</w:t>
      </w:r>
      <w:r>
        <w:rPr>
          <w:rFonts w:ascii="Times New Roman" w:hAnsi="Times New Roman" w:eastAsia="Times New Roman" w:cs="Times New Roman"/>
          <w:spacing w:val="-1"/>
          <w:sz w:val="24"/>
          <w:szCs w:val="24"/>
        </w:rPr>
        <w:t>243t</w:t>
      </w:r>
      <w:r>
        <w:rPr>
          <w:rFonts w:ascii="宋体" w:hAnsi="宋体" w:eastAsia="宋体" w:cs="宋体"/>
          <w:spacing w:val="-1"/>
          <w:sz w:val="24"/>
          <w:szCs w:val="24"/>
        </w:rPr>
        <w:t>。施工人员生活污水主要污染物是</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0"/>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SS  </w:t>
      </w:r>
      <w:r>
        <w:rPr>
          <w:rFonts w:ascii="宋体" w:hAnsi="宋体" w:eastAsia="宋体" w:cs="宋体"/>
          <w:spacing w:val="-1"/>
          <w:sz w:val="24"/>
          <w:szCs w:val="24"/>
        </w:rPr>
        <w:t xml:space="preserve">和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。施工场地拟设置旱厕，并</w:t>
      </w:r>
      <w:r>
        <w:rPr>
          <w:rFonts w:ascii="宋体" w:hAnsi="宋体" w:eastAsia="宋体" w:cs="宋体"/>
          <w:spacing w:val="-2"/>
          <w:sz w:val="24"/>
          <w:szCs w:val="24"/>
        </w:rPr>
        <w:t>配置临时化粪池，施工期产生的生</w:t>
      </w:r>
      <w:r>
        <w:rPr>
          <w:rFonts w:ascii="宋体" w:hAnsi="宋体" w:eastAsia="宋体" w:cs="宋体"/>
          <w:sz w:val="24"/>
          <w:szCs w:val="24"/>
        </w:rPr>
        <w:t xml:space="preserve"> 活污水经化粪池处理后，用于周边果林地施</w:t>
      </w:r>
      <w:r>
        <w:rPr>
          <w:rFonts w:ascii="宋体" w:hAnsi="宋体" w:eastAsia="宋体" w:cs="宋体"/>
          <w:spacing w:val="-1"/>
          <w:sz w:val="24"/>
          <w:szCs w:val="24"/>
        </w:rPr>
        <w:t>肥，不外排。</w:t>
      </w:r>
    </w:p>
    <w:p w14:paraId="56B2CC30">
      <w:pPr>
        <w:pStyle w:val="2"/>
        <w:spacing w:line="283" w:lineRule="auto"/>
      </w:pPr>
    </w:p>
    <w:p w14:paraId="068E657C">
      <w:pPr>
        <w:spacing w:before="79" w:line="220" w:lineRule="auto"/>
        <w:ind w:left="4"/>
        <w:outlineLvl w:val="1"/>
        <w:rPr>
          <w:rFonts w:ascii="宋体" w:hAnsi="宋体" w:eastAsia="宋体" w:cs="宋体"/>
          <w:sz w:val="24"/>
          <w:szCs w:val="24"/>
        </w:rPr>
      </w:pPr>
      <w:r>
        <w:rPr>
          <w:rFonts w:ascii="Times New Roman" w:hAnsi="Times New Roman" w:eastAsia="Times New Roman" w:cs="Times New Roman"/>
          <w:b/>
          <w:bCs/>
          <w:spacing w:val="-2"/>
          <w:sz w:val="24"/>
          <w:szCs w:val="24"/>
        </w:rPr>
        <w:t>5.1.3</w:t>
      </w:r>
      <w:r>
        <w:rPr>
          <w:rFonts w:ascii="宋体" w:hAnsi="宋体" w:eastAsia="宋体" w:cs="宋体"/>
          <w:b/>
          <w:bCs/>
          <w:spacing w:val="-2"/>
          <w:sz w:val="24"/>
          <w:szCs w:val="24"/>
        </w:rPr>
        <w:t>施工期地下水环境影响分析</w:t>
      </w:r>
    </w:p>
    <w:p w14:paraId="44BC4DD1">
      <w:pPr>
        <w:pStyle w:val="2"/>
        <w:spacing w:line="244" w:lineRule="auto"/>
      </w:pPr>
    </w:p>
    <w:p w14:paraId="69B96715">
      <w:pPr>
        <w:spacing w:before="79" w:line="360" w:lineRule="exact"/>
        <w:ind w:left="503"/>
        <w:rPr>
          <w:rFonts w:ascii="宋体" w:hAnsi="宋体" w:eastAsia="宋体" w:cs="宋体"/>
          <w:sz w:val="24"/>
          <w:szCs w:val="24"/>
        </w:rPr>
      </w:pPr>
      <w:r>
        <w:rPr>
          <w:rFonts w:ascii="Times New Roman" w:hAnsi="Times New Roman" w:eastAsia="Times New Roman" w:cs="Times New Roman"/>
          <w:spacing w:val="-3"/>
          <w:position w:val="2"/>
          <w:sz w:val="24"/>
          <w:szCs w:val="24"/>
        </w:rPr>
        <w:t>1</w:t>
      </w:r>
      <w:r>
        <w:rPr>
          <w:rFonts w:ascii="Times New Roman" w:hAnsi="Times New Roman" w:eastAsia="Times New Roman" w:cs="Times New Roman"/>
          <w:spacing w:val="-21"/>
          <w:position w:val="2"/>
          <w:sz w:val="24"/>
          <w:szCs w:val="24"/>
        </w:rPr>
        <w:t xml:space="preserve"> </w:t>
      </w:r>
      <w:r>
        <w:rPr>
          <w:rFonts w:ascii="宋体" w:hAnsi="宋体" w:eastAsia="宋体" w:cs="宋体"/>
          <w:spacing w:val="-3"/>
          <w:position w:val="2"/>
          <w:sz w:val="24"/>
          <w:szCs w:val="24"/>
        </w:rPr>
        <w:t>、施工期主要可能造成地下水污染的污染源包括：</w:t>
      </w:r>
    </w:p>
    <w:p w14:paraId="738FE3B5">
      <w:pPr>
        <w:spacing w:before="127"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）施工期废水：特别是车辆冲洗废水，含有大量的泥沙，处理不当，有可能</w:t>
      </w:r>
    </w:p>
    <w:p w14:paraId="3496A845">
      <w:pPr>
        <w:spacing w:line="360" w:lineRule="exact"/>
        <w:rPr>
          <w:rFonts w:ascii="宋体" w:hAnsi="宋体" w:eastAsia="宋体" w:cs="宋体"/>
          <w:sz w:val="24"/>
          <w:szCs w:val="24"/>
        </w:rPr>
        <w:sectPr>
          <w:footerReference r:id="rId122" w:type="default"/>
          <w:pgSz w:w="11906" w:h="16839"/>
          <w:pgMar w:top="400" w:right="1505" w:bottom="1485" w:left="1592" w:header="0" w:footer="1249" w:gutter="0"/>
          <w:cols w:space="720" w:num="1"/>
        </w:sectPr>
      </w:pPr>
    </w:p>
    <w:p w14:paraId="4CB94F7A">
      <w:pPr>
        <w:pStyle w:val="2"/>
        <w:spacing w:line="264" w:lineRule="auto"/>
      </w:pPr>
    </w:p>
    <w:p w14:paraId="7519584A">
      <w:pPr>
        <w:pStyle w:val="2"/>
        <w:spacing w:line="264" w:lineRule="auto"/>
      </w:pPr>
    </w:p>
    <w:p w14:paraId="4388E37C">
      <w:pPr>
        <w:pStyle w:val="2"/>
        <w:spacing w:line="264" w:lineRule="auto"/>
      </w:pPr>
    </w:p>
    <w:p w14:paraId="7E0D8CFF">
      <w:pPr>
        <w:pStyle w:val="2"/>
        <w:spacing w:line="265" w:lineRule="auto"/>
      </w:pPr>
    </w:p>
    <w:p w14:paraId="36B4B96A">
      <w:pPr>
        <w:spacing w:before="78" w:line="220" w:lineRule="auto"/>
        <w:ind w:left="483"/>
        <w:rPr>
          <w:rFonts w:ascii="宋体" w:hAnsi="宋体" w:eastAsia="宋体" w:cs="宋体"/>
          <w:sz w:val="24"/>
          <w:szCs w:val="24"/>
        </w:rPr>
      </w:pPr>
      <w:r>
        <w:rPr>
          <w:rFonts w:ascii="宋体" w:hAnsi="宋体" w:eastAsia="宋体" w:cs="宋体"/>
          <w:spacing w:val="-2"/>
          <w:sz w:val="24"/>
          <w:szCs w:val="24"/>
        </w:rPr>
        <w:t>污染地下水；</w:t>
      </w:r>
    </w:p>
    <w:p w14:paraId="08FD0FE9">
      <w:pPr>
        <w:spacing w:before="167" w:line="312" w:lineRule="auto"/>
        <w:ind w:left="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）施工产生的余泥、建筑垃圾等随意堆</w:t>
      </w:r>
      <w:r>
        <w:rPr>
          <w:rFonts w:ascii="宋体" w:hAnsi="宋体" w:eastAsia="宋体" w:cs="宋体"/>
          <w:spacing w:val="-2"/>
          <w:sz w:val="24"/>
          <w:szCs w:val="24"/>
        </w:rPr>
        <w:t>放，降雨时随雨水浸入到地下，造成</w:t>
      </w:r>
      <w:r>
        <w:rPr>
          <w:rFonts w:ascii="宋体" w:hAnsi="宋体" w:eastAsia="宋体" w:cs="宋体"/>
          <w:sz w:val="24"/>
          <w:szCs w:val="24"/>
        </w:rPr>
        <w:t xml:space="preserve"> </w:t>
      </w:r>
      <w:r>
        <w:rPr>
          <w:rFonts w:ascii="宋体" w:hAnsi="宋体" w:eastAsia="宋体" w:cs="宋体"/>
          <w:spacing w:val="-2"/>
          <w:sz w:val="24"/>
          <w:szCs w:val="24"/>
        </w:rPr>
        <w:t>地下会污染；</w:t>
      </w:r>
    </w:p>
    <w:p w14:paraId="71964FEE">
      <w:pPr>
        <w:spacing w:before="166" w:line="312" w:lineRule="auto"/>
        <w:ind w:left="1" w:right="2"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）施工过程中机械维修产生的废油地漏到地面，下渗到土壤中，有可能造成</w:t>
      </w:r>
      <w:r>
        <w:rPr>
          <w:rFonts w:ascii="宋体" w:hAnsi="宋体" w:eastAsia="宋体" w:cs="宋体"/>
          <w:spacing w:val="16"/>
          <w:sz w:val="24"/>
          <w:szCs w:val="24"/>
        </w:rPr>
        <w:t xml:space="preserve"> </w:t>
      </w:r>
      <w:r>
        <w:rPr>
          <w:rFonts w:ascii="宋体" w:hAnsi="宋体" w:eastAsia="宋体" w:cs="宋体"/>
          <w:spacing w:val="-2"/>
          <w:sz w:val="24"/>
          <w:szCs w:val="24"/>
        </w:rPr>
        <w:t>地下水污染；</w:t>
      </w:r>
    </w:p>
    <w:p w14:paraId="0D4BFC01">
      <w:pPr>
        <w:spacing w:before="170" w:line="333"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）施工期地基开挖，可能从基坑周围渗漏出含有泥浆的废水，渗漏水排放浸</w:t>
      </w:r>
      <w:r>
        <w:rPr>
          <w:rFonts w:ascii="宋体" w:hAnsi="宋体" w:eastAsia="宋体" w:cs="宋体"/>
          <w:spacing w:val="16"/>
          <w:sz w:val="24"/>
          <w:szCs w:val="24"/>
        </w:rPr>
        <w:t xml:space="preserve"> </w:t>
      </w:r>
      <w:r>
        <w:rPr>
          <w:rFonts w:ascii="宋体" w:hAnsi="宋体" w:eastAsia="宋体" w:cs="宋体"/>
          <w:spacing w:val="2"/>
          <w:sz w:val="24"/>
          <w:szCs w:val="24"/>
        </w:rPr>
        <w:t>入地下水，有可能造成地表水污染，另外，基坑废水随基坑底部渗漏，有可能造成</w:t>
      </w:r>
      <w:r>
        <w:rPr>
          <w:rFonts w:ascii="宋体" w:hAnsi="宋体" w:eastAsia="宋体" w:cs="宋体"/>
          <w:spacing w:val="7"/>
          <w:sz w:val="24"/>
          <w:szCs w:val="24"/>
        </w:rPr>
        <w:t xml:space="preserve"> </w:t>
      </w:r>
      <w:r>
        <w:rPr>
          <w:rFonts w:ascii="宋体" w:hAnsi="宋体" w:eastAsia="宋体" w:cs="宋体"/>
          <w:spacing w:val="-1"/>
          <w:sz w:val="24"/>
          <w:szCs w:val="24"/>
        </w:rPr>
        <w:t>地下水的污染影响。</w:t>
      </w:r>
    </w:p>
    <w:p w14:paraId="556D1CE8">
      <w:pPr>
        <w:spacing w:before="165" w:line="360" w:lineRule="exact"/>
        <w:ind w:left="476"/>
        <w:rPr>
          <w:rFonts w:ascii="宋体" w:hAnsi="宋体" w:eastAsia="宋体" w:cs="宋体"/>
          <w:sz w:val="24"/>
          <w:szCs w:val="24"/>
        </w:rPr>
      </w:pP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17"/>
          <w:position w:val="2"/>
          <w:sz w:val="24"/>
          <w:szCs w:val="24"/>
        </w:rPr>
        <w:t xml:space="preserve"> </w:t>
      </w:r>
      <w:r>
        <w:rPr>
          <w:rFonts w:ascii="宋体" w:hAnsi="宋体" w:eastAsia="宋体" w:cs="宋体"/>
          <w:spacing w:val="-2"/>
          <w:position w:val="2"/>
          <w:sz w:val="24"/>
          <w:szCs w:val="24"/>
        </w:rPr>
        <w:t>、为减少地下水环境污染，建设单位应采取以下措施：</w:t>
      </w:r>
    </w:p>
    <w:p w14:paraId="6BB4AE6E">
      <w:pPr>
        <w:spacing w:before="132" w:line="333" w:lineRule="auto"/>
        <w:ind w:left="1" w:right="2"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）车辆冲洗在地面进行混凝土硬化，产生的废水汇集到沉淀池沉淀，并且沉</w:t>
      </w:r>
      <w:r>
        <w:rPr>
          <w:rFonts w:ascii="宋体" w:hAnsi="宋体" w:eastAsia="宋体" w:cs="宋体"/>
          <w:spacing w:val="16"/>
          <w:sz w:val="24"/>
          <w:szCs w:val="24"/>
        </w:rPr>
        <w:t xml:space="preserve"> </w:t>
      </w:r>
      <w:r>
        <w:rPr>
          <w:rFonts w:ascii="宋体" w:hAnsi="宋体" w:eastAsia="宋体" w:cs="宋体"/>
          <w:spacing w:val="2"/>
          <w:sz w:val="24"/>
          <w:szCs w:val="24"/>
        </w:rPr>
        <w:t>淀后回用，减少污水产生量，同事采用混凝土对沉淀池壁及底面进行硬化，及时清</w:t>
      </w:r>
      <w:r>
        <w:rPr>
          <w:rFonts w:ascii="宋体" w:hAnsi="宋体" w:eastAsia="宋体" w:cs="宋体"/>
          <w:spacing w:val="6"/>
          <w:sz w:val="24"/>
          <w:szCs w:val="24"/>
        </w:rPr>
        <w:t xml:space="preserve"> </w:t>
      </w:r>
      <w:r>
        <w:rPr>
          <w:rFonts w:ascii="宋体" w:hAnsi="宋体" w:eastAsia="宋体" w:cs="宋体"/>
          <w:spacing w:val="-2"/>
          <w:sz w:val="24"/>
          <w:szCs w:val="24"/>
        </w:rPr>
        <w:t>运沉淀池内的泥沙。</w:t>
      </w:r>
    </w:p>
    <w:p w14:paraId="3EE0F27A">
      <w:pPr>
        <w:spacing w:before="166" w:line="312" w:lineRule="auto"/>
        <w:ind w:left="5" w:right="2"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）及时对建筑垃圾及生活垃圾进行清运，避免其成为污染源，产生地下水污</w:t>
      </w:r>
      <w:r>
        <w:rPr>
          <w:rFonts w:ascii="宋体" w:hAnsi="宋体" w:eastAsia="宋体" w:cs="宋体"/>
          <w:spacing w:val="16"/>
          <w:sz w:val="24"/>
          <w:szCs w:val="24"/>
        </w:rPr>
        <w:t xml:space="preserve"> </w:t>
      </w:r>
      <w:r>
        <w:rPr>
          <w:rFonts w:ascii="宋体" w:hAnsi="宋体" w:eastAsia="宋体" w:cs="宋体"/>
          <w:spacing w:val="-7"/>
          <w:sz w:val="24"/>
          <w:szCs w:val="24"/>
        </w:rPr>
        <w:t>染。</w:t>
      </w:r>
    </w:p>
    <w:p w14:paraId="453D165F">
      <w:pPr>
        <w:spacing w:before="163" w:line="334" w:lineRule="auto"/>
        <w:ind w:left="3" w:right="2"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）车辆维修点地面进行硬化，滴漏在底面的油污及时进行清理，加强机械设</w:t>
      </w:r>
      <w:r>
        <w:rPr>
          <w:rFonts w:ascii="宋体" w:hAnsi="宋体" w:eastAsia="宋体" w:cs="宋体"/>
          <w:spacing w:val="16"/>
          <w:sz w:val="24"/>
          <w:szCs w:val="24"/>
        </w:rPr>
        <w:t xml:space="preserve"> </w:t>
      </w:r>
      <w:r>
        <w:rPr>
          <w:rFonts w:ascii="宋体" w:hAnsi="宋体" w:eastAsia="宋体" w:cs="宋体"/>
          <w:spacing w:val="2"/>
          <w:sz w:val="24"/>
          <w:szCs w:val="24"/>
        </w:rPr>
        <w:t>备维护，减少设备在施工过程油污的滴漏，加强施工期环保巡查，发现地面有有油</w:t>
      </w:r>
      <w:r>
        <w:rPr>
          <w:rFonts w:ascii="宋体" w:hAnsi="宋体" w:eastAsia="宋体" w:cs="宋体"/>
          <w:spacing w:val="4"/>
          <w:sz w:val="24"/>
          <w:szCs w:val="24"/>
        </w:rPr>
        <w:t xml:space="preserve"> </w:t>
      </w:r>
      <w:r>
        <w:rPr>
          <w:rFonts w:ascii="宋体" w:hAnsi="宋体" w:eastAsia="宋体" w:cs="宋体"/>
          <w:spacing w:val="-1"/>
          <w:sz w:val="24"/>
          <w:szCs w:val="24"/>
        </w:rPr>
        <w:t>污斑迹，及时清理油污及其受污染的土壤。</w:t>
      </w:r>
    </w:p>
    <w:p w14:paraId="5BC8B6E1">
      <w:pPr>
        <w:pStyle w:val="2"/>
        <w:spacing w:line="419" w:lineRule="auto"/>
      </w:pPr>
    </w:p>
    <w:p w14:paraId="6FBF47E6">
      <w:pPr>
        <w:spacing w:before="79"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5.1.4</w:t>
      </w:r>
      <w:r>
        <w:rPr>
          <w:rFonts w:ascii="宋体" w:hAnsi="宋体" w:eastAsia="宋体" w:cs="宋体"/>
          <w:b/>
          <w:bCs/>
          <w:spacing w:val="-2"/>
          <w:sz w:val="24"/>
          <w:szCs w:val="24"/>
        </w:rPr>
        <w:t>施工期噪声环境影响分析</w:t>
      </w:r>
    </w:p>
    <w:p w14:paraId="6DEC1AEF">
      <w:pPr>
        <w:pStyle w:val="2"/>
        <w:spacing w:line="277" w:lineRule="auto"/>
      </w:pPr>
    </w:p>
    <w:p w14:paraId="3094E0FB">
      <w:pPr>
        <w:spacing w:before="78" w:line="369" w:lineRule="auto"/>
        <w:ind w:left="2" w:firstLine="478"/>
        <w:jc w:val="both"/>
        <w:rPr>
          <w:rFonts w:ascii="宋体" w:hAnsi="宋体" w:eastAsia="宋体" w:cs="宋体"/>
          <w:sz w:val="24"/>
          <w:szCs w:val="24"/>
        </w:rPr>
      </w:pPr>
      <w:r>
        <w:rPr>
          <w:rFonts w:ascii="宋体" w:hAnsi="宋体" w:eastAsia="宋体" w:cs="宋体"/>
          <w:spacing w:val="2"/>
          <w:sz w:val="24"/>
          <w:szCs w:val="24"/>
        </w:rPr>
        <w:t>施工期的主要噪声源是施工机械作业时产生的噪声和振动、出入施工场地车辆</w:t>
      </w:r>
      <w:r>
        <w:rPr>
          <w:rFonts w:ascii="宋体" w:hAnsi="宋体" w:eastAsia="宋体" w:cs="宋体"/>
          <w:spacing w:val="11"/>
          <w:sz w:val="24"/>
          <w:szCs w:val="24"/>
        </w:rPr>
        <w:t xml:space="preserve"> </w:t>
      </w:r>
      <w:r>
        <w:rPr>
          <w:rFonts w:ascii="宋体" w:hAnsi="宋体" w:eastAsia="宋体" w:cs="宋体"/>
          <w:spacing w:val="9"/>
          <w:sz w:val="24"/>
          <w:szCs w:val="24"/>
        </w:rPr>
        <w:t>（主要是建筑材料运输车辆）产生的噪声。机械设备振动产生的噪声声压级介于</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105</w:t>
      </w:r>
      <w:r>
        <w:rPr>
          <w:rFonts w:ascii="Times New Roman" w:hAnsi="Times New Roman" w:eastAsia="Times New Roman" w:cs="Times New Roman"/>
          <w:sz w:val="24"/>
          <w:szCs w:val="24"/>
        </w:rPr>
        <w:t>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）之间且随距离的衰减较快，其影响范围较小，因</w:t>
      </w:r>
      <w:r>
        <w:rPr>
          <w:rFonts w:ascii="宋体" w:hAnsi="宋体" w:eastAsia="宋体" w:cs="宋体"/>
          <w:spacing w:val="1"/>
          <w:sz w:val="24"/>
          <w:szCs w:val="24"/>
        </w:rPr>
        <w:t>此对于机械振动对</w:t>
      </w:r>
      <w:r>
        <w:rPr>
          <w:rFonts w:ascii="宋体" w:hAnsi="宋体" w:eastAsia="宋体" w:cs="宋体"/>
          <w:sz w:val="24"/>
          <w:szCs w:val="24"/>
        </w:rPr>
        <w:t xml:space="preserve"> </w:t>
      </w:r>
      <w:r>
        <w:rPr>
          <w:rFonts w:ascii="宋体" w:hAnsi="宋体" w:eastAsia="宋体" w:cs="宋体"/>
          <w:spacing w:val="-1"/>
          <w:sz w:val="24"/>
          <w:szCs w:val="24"/>
        </w:rPr>
        <w:t>周围环境的影响不作具体分析，仅考虑噪声的影响。</w:t>
      </w:r>
    </w:p>
    <w:p w14:paraId="6567C257">
      <w:pPr>
        <w:spacing w:before="40" w:line="378" w:lineRule="auto"/>
        <w:ind w:left="12" w:right="2" w:firstLine="471"/>
        <w:rPr>
          <w:rFonts w:ascii="宋体" w:hAnsi="宋体" w:eastAsia="宋体" w:cs="宋体"/>
          <w:sz w:val="24"/>
          <w:szCs w:val="24"/>
        </w:rPr>
      </w:pPr>
      <w:r>
        <w:rPr>
          <w:rFonts w:ascii="宋体" w:hAnsi="宋体" w:eastAsia="宋体" w:cs="宋体"/>
          <w:spacing w:val="2"/>
          <w:sz w:val="24"/>
          <w:szCs w:val="24"/>
        </w:rPr>
        <w:t>建设期间，运输车辆和各种施工机械如挖土机、搅拌机等都是噪声值比较大的</w:t>
      </w:r>
      <w:r>
        <w:rPr>
          <w:rFonts w:ascii="宋体" w:hAnsi="宋体" w:eastAsia="宋体" w:cs="宋体"/>
          <w:spacing w:val="7"/>
          <w:sz w:val="24"/>
          <w:szCs w:val="24"/>
        </w:rPr>
        <w:t xml:space="preserve"> </w:t>
      </w:r>
      <w:r>
        <w:rPr>
          <w:rFonts w:ascii="宋体" w:hAnsi="宋体" w:eastAsia="宋体" w:cs="宋体"/>
          <w:spacing w:val="-1"/>
          <w:sz w:val="24"/>
          <w:szCs w:val="24"/>
        </w:rPr>
        <w:t>噪声设备，根据有关资料，这些机械、设备运行时的噪声值如下表。</w:t>
      </w:r>
    </w:p>
    <w:p w14:paraId="1CAEFDFD">
      <w:pPr>
        <w:spacing w:line="378" w:lineRule="auto"/>
        <w:rPr>
          <w:rFonts w:ascii="宋体" w:hAnsi="宋体" w:eastAsia="宋体" w:cs="宋体"/>
          <w:sz w:val="24"/>
          <w:szCs w:val="24"/>
        </w:rPr>
        <w:sectPr>
          <w:footerReference r:id="rId123" w:type="default"/>
          <w:pgSz w:w="11906" w:h="16839"/>
          <w:pgMar w:top="400" w:right="1585" w:bottom="1485" w:left="1596" w:header="0" w:footer="1249" w:gutter="0"/>
          <w:cols w:space="720" w:num="1"/>
        </w:sectPr>
      </w:pPr>
    </w:p>
    <w:p w14:paraId="027CF632">
      <w:pPr>
        <w:pStyle w:val="2"/>
        <w:spacing w:line="271" w:lineRule="auto"/>
      </w:pPr>
    </w:p>
    <w:p w14:paraId="19B96562">
      <w:pPr>
        <w:pStyle w:val="2"/>
        <w:spacing w:line="271" w:lineRule="auto"/>
      </w:pPr>
    </w:p>
    <w:p w14:paraId="3569C773">
      <w:pPr>
        <w:pStyle w:val="2"/>
        <w:spacing w:line="271" w:lineRule="auto"/>
      </w:pPr>
    </w:p>
    <w:p w14:paraId="205EC80C">
      <w:pPr>
        <w:pStyle w:val="2"/>
        <w:spacing w:line="271" w:lineRule="auto"/>
      </w:pPr>
    </w:p>
    <w:p w14:paraId="433E5091">
      <w:pPr>
        <w:spacing w:before="65" w:line="228" w:lineRule="auto"/>
        <w:ind w:left="254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5.1-3 </w:t>
      </w:r>
      <w:r>
        <w:rPr>
          <w:rFonts w:ascii="宋体" w:hAnsi="宋体" w:eastAsia="宋体" w:cs="宋体"/>
          <w:b/>
          <w:bCs/>
          <w:spacing w:val="6"/>
          <w:sz w:val="20"/>
          <w:szCs w:val="20"/>
        </w:rPr>
        <w:t>各种施工机械的噪声值单位：</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4DE0FB27">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2309"/>
        <w:gridCol w:w="1489"/>
        <w:gridCol w:w="876"/>
        <w:gridCol w:w="2103"/>
        <w:gridCol w:w="1493"/>
      </w:tblGrid>
      <w:tr w14:paraId="12A9A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5EF70DF9">
            <w:pPr>
              <w:pStyle w:val="6"/>
              <w:spacing w:before="62" w:line="230" w:lineRule="auto"/>
              <w:ind w:left="135"/>
            </w:pPr>
            <w:r>
              <w:rPr>
                <w:b/>
                <w:bCs/>
                <w:spacing w:val="4"/>
              </w:rPr>
              <w:t>序号</w:t>
            </w:r>
          </w:p>
        </w:tc>
        <w:tc>
          <w:tcPr>
            <w:tcW w:w="2309" w:type="dxa"/>
            <w:vAlign w:val="top"/>
          </w:tcPr>
          <w:p w14:paraId="7B3E506C">
            <w:pPr>
              <w:pStyle w:val="6"/>
              <w:spacing w:before="62" w:line="230" w:lineRule="auto"/>
              <w:ind w:left="527"/>
            </w:pPr>
            <w:r>
              <w:rPr>
                <w:b/>
                <w:bCs/>
                <w:spacing w:val="7"/>
              </w:rPr>
              <w:t>施工设备名称</w:t>
            </w:r>
          </w:p>
        </w:tc>
        <w:tc>
          <w:tcPr>
            <w:tcW w:w="1489" w:type="dxa"/>
            <w:vAlign w:val="top"/>
          </w:tcPr>
          <w:p w14:paraId="4D574FCE">
            <w:pPr>
              <w:pStyle w:val="6"/>
              <w:spacing w:before="62" w:line="229" w:lineRule="auto"/>
              <w:ind w:left="268"/>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c>
          <w:tcPr>
            <w:tcW w:w="876" w:type="dxa"/>
            <w:vAlign w:val="top"/>
          </w:tcPr>
          <w:p w14:paraId="027C4F8E">
            <w:pPr>
              <w:pStyle w:val="6"/>
              <w:spacing w:before="62" w:line="230" w:lineRule="auto"/>
              <w:ind w:left="233"/>
            </w:pPr>
            <w:r>
              <w:rPr>
                <w:b/>
                <w:bCs/>
                <w:spacing w:val="4"/>
              </w:rPr>
              <w:t>序号</w:t>
            </w:r>
          </w:p>
        </w:tc>
        <w:tc>
          <w:tcPr>
            <w:tcW w:w="2103" w:type="dxa"/>
            <w:vAlign w:val="top"/>
          </w:tcPr>
          <w:p w14:paraId="604B4CE2">
            <w:pPr>
              <w:pStyle w:val="6"/>
              <w:spacing w:before="62" w:line="230" w:lineRule="auto"/>
              <w:ind w:left="428"/>
            </w:pPr>
            <w:r>
              <w:rPr>
                <w:b/>
                <w:bCs/>
                <w:spacing w:val="7"/>
              </w:rPr>
              <w:t>施工设备名称</w:t>
            </w:r>
          </w:p>
        </w:tc>
        <w:tc>
          <w:tcPr>
            <w:tcW w:w="1493" w:type="dxa"/>
            <w:vAlign w:val="top"/>
          </w:tcPr>
          <w:p w14:paraId="797BCE63">
            <w:pPr>
              <w:pStyle w:val="6"/>
              <w:spacing w:before="62" w:line="229" w:lineRule="auto"/>
              <w:ind w:left="269"/>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r>
      <w:tr w14:paraId="7F707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3EC34197">
            <w:pPr>
              <w:spacing w:before="27"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309" w:type="dxa"/>
            <w:vAlign w:val="top"/>
          </w:tcPr>
          <w:p w14:paraId="332E6B93">
            <w:pPr>
              <w:pStyle w:val="6"/>
              <w:spacing w:before="57" w:line="228" w:lineRule="auto"/>
              <w:ind w:left="842"/>
            </w:pPr>
            <w:r>
              <w:rPr>
                <w:spacing w:val="7"/>
              </w:rPr>
              <w:t>挖掘机</w:t>
            </w:r>
          </w:p>
        </w:tc>
        <w:tc>
          <w:tcPr>
            <w:tcW w:w="1489" w:type="dxa"/>
            <w:vAlign w:val="top"/>
          </w:tcPr>
          <w:p w14:paraId="380D4467">
            <w:pPr>
              <w:spacing w:before="27"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82~90</w:t>
            </w:r>
          </w:p>
        </w:tc>
        <w:tc>
          <w:tcPr>
            <w:tcW w:w="876" w:type="dxa"/>
            <w:vAlign w:val="top"/>
          </w:tcPr>
          <w:p w14:paraId="0225A173">
            <w:pPr>
              <w:spacing w:before="27" w:line="274" w:lineRule="exact"/>
              <w:ind w:left="3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03" w:type="dxa"/>
            <w:vAlign w:val="top"/>
          </w:tcPr>
          <w:p w14:paraId="20E246F8">
            <w:pPr>
              <w:pStyle w:val="6"/>
              <w:spacing w:before="57" w:line="228" w:lineRule="auto"/>
              <w:ind w:left="746"/>
            </w:pPr>
            <w:r>
              <w:rPr>
                <w:spacing w:val="5"/>
              </w:rPr>
              <w:t>打桩机</w:t>
            </w:r>
          </w:p>
        </w:tc>
        <w:tc>
          <w:tcPr>
            <w:tcW w:w="1493" w:type="dxa"/>
            <w:vAlign w:val="top"/>
          </w:tcPr>
          <w:p w14:paraId="4B758858">
            <w:pPr>
              <w:spacing w:before="27"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r>
      <w:tr w14:paraId="6A80E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4CAACD01">
            <w:pPr>
              <w:spacing w:before="28"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309" w:type="dxa"/>
            <w:vAlign w:val="top"/>
          </w:tcPr>
          <w:p w14:paraId="659BB6D9">
            <w:pPr>
              <w:pStyle w:val="6"/>
              <w:spacing w:before="58" w:line="228" w:lineRule="auto"/>
              <w:ind w:left="843"/>
            </w:pPr>
            <w:r>
              <w:rPr>
                <w:spacing w:val="6"/>
              </w:rPr>
              <w:t>装载机</w:t>
            </w:r>
          </w:p>
        </w:tc>
        <w:tc>
          <w:tcPr>
            <w:tcW w:w="1489" w:type="dxa"/>
            <w:vAlign w:val="top"/>
          </w:tcPr>
          <w:p w14:paraId="15EBD49B">
            <w:pPr>
              <w:spacing w:before="28"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90~95</w:t>
            </w:r>
          </w:p>
        </w:tc>
        <w:tc>
          <w:tcPr>
            <w:tcW w:w="876" w:type="dxa"/>
            <w:vAlign w:val="top"/>
          </w:tcPr>
          <w:p w14:paraId="3564ACCE">
            <w:pPr>
              <w:spacing w:before="28"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03" w:type="dxa"/>
            <w:vAlign w:val="top"/>
          </w:tcPr>
          <w:p w14:paraId="1A799601">
            <w:pPr>
              <w:pStyle w:val="6"/>
              <w:spacing w:before="58" w:line="228" w:lineRule="auto"/>
              <w:ind w:left="744"/>
            </w:pPr>
            <w:r>
              <w:rPr>
                <w:spacing w:val="6"/>
              </w:rPr>
              <w:t>压桩机</w:t>
            </w:r>
          </w:p>
        </w:tc>
        <w:tc>
          <w:tcPr>
            <w:tcW w:w="1493" w:type="dxa"/>
            <w:vAlign w:val="top"/>
          </w:tcPr>
          <w:p w14:paraId="65832080">
            <w:pPr>
              <w:spacing w:before="28" w:line="274" w:lineRule="exact"/>
              <w:ind w:left="4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70~75</w:t>
            </w:r>
          </w:p>
        </w:tc>
      </w:tr>
      <w:tr w14:paraId="6D87B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3FE90D3B">
            <w:pPr>
              <w:spacing w:before="29"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309" w:type="dxa"/>
            <w:vAlign w:val="top"/>
          </w:tcPr>
          <w:p w14:paraId="1575CF21">
            <w:pPr>
              <w:pStyle w:val="6"/>
              <w:spacing w:before="59" w:line="228" w:lineRule="auto"/>
              <w:ind w:left="843"/>
            </w:pPr>
            <w:r>
              <w:rPr>
                <w:spacing w:val="6"/>
              </w:rPr>
              <w:t>推土机</w:t>
            </w:r>
          </w:p>
        </w:tc>
        <w:tc>
          <w:tcPr>
            <w:tcW w:w="1489" w:type="dxa"/>
            <w:vAlign w:val="top"/>
          </w:tcPr>
          <w:p w14:paraId="62FBB13C">
            <w:pPr>
              <w:spacing w:before="29"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83~88</w:t>
            </w:r>
          </w:p>
        </w:tc>
        <w:tc>
          <w:tcPr>
            <w:tcW w:w="876" w:type="dxa"/>
            <w:vAlign w:val="top"/>
          </w:tcPr>
          <w:p w14:paraId="0C1F5E52">
            <w:pPr>
              <w:spacing w:before="29"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103" w:type="dxa"/>
            <w:vAlign w:val="top"/>
          </w:tcPr>
          <w:p w14:paraId="29706497">
            <w:pPr>
              <w:pStyle w:val="6"/>
              <w:spacing w:before="60" w:line="229" w:lineRule="auto"/>
              <w:ind w:left="849"/>
            </w:pPr>
            <w:r>
              <w:rPr>
                <w:spacing w:val="4"/>
              </w:rPr>
              <w:t>风镐</w:t>
            </w:r>
          </w:p>
        </w:tc>
        <w:tc>
          <w:tcPr>
            <w:tcW w:w="1493" w:type="dxa"/>
            <w:vAlign w:val="top"/>
          </w:tcPr>
          <w:p w14:paraId="73EC4A9C">
            <w:pPr>
              <w:spacing w:before="29"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r w14:paraId="6C1CA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6BEC9759">
            <w:pPr>
              <w:spacing w:before="2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309" w:type="dxa"/>
            <w:vAlign w:val="top"/>
          </w:tcPr>
          <w:p w14:paraId="212F04EC">
            <w:pPr>
              <w:pStyle w:val="6"/>
              <w:spacing w:before="59" w:line="228" w:lineRule="auto"/>
              <w:ind w:left="529"/>
            </w:pPr>
            <w:r>
              <w:rPr>
                <w:spacing w:val="8"/>
              </w:rPr>
              <w:t>移动式发电机</w:t>
            </w:r>
          </w:p>
        </w:tc>
        <w:tc>
          <w:tcPr>
            <w:tcW w:w="1489" w:type="dxa"/>
            <w:vAlign w:val="top"/>
          </w:tcPr>
          <w:p w14:paraId="0F81E5A3">
            <w:pPr>
              <w:spacing w:before="29"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95~</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102</w:t>
            </w:r>
          </w:p>
        </w:tc>
        <w:tc>
          <w:tcPr>
            <w:tcW w:w="876" w:type="dxa"/>
            <w:vAlign w:val="top"/>
          </w:tcPr>
          <w:p w14:paraId="080854CC">
            <w:pPr>
              <w:spacing w:before="29"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103" w:type="dxa"/>
            <w:vAlign w:val="top"/>
          </w:tcPr>
          <w:p w14:paraId="4C59EB1D">
            <w:pPr>
              <w:pStyle w:val="6"/>
              <w:spacing w:before="60" w:line="228" w:lineRule="auto"/>
              <w:ind w:left="431"/>
            </w:pPr>
            <w:r>
              <w:rPr>
                <w:spacing w:val="7"/>
              </w:rPr>
              <w:t>混凝土运输泵</w:t>
            </w:r>
          </w:p>
        </w:tc>
        <w:tc>
          <w:tcPr>
            <w:tcW w:w="1493" w:type="dxa"/>
            <w:vAlign w:val="top"/>
          </w:tcPr>
          <w:p w14:paraId="0924C5EF">
            <w:pPr>
              <w:spacing w:before="29"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88~95</w:t>
            </w:r>
          </w:p>
        </w:tc>
      </w:tr>
      <w:tr w14:paraId="74DA5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524223A4">
            <w:pPr>
              <w:spacing w:before="100"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09" w:type="dxa"/>
            <w:vAlign w:val="top"/>
          </w:tcPr>
          <w:p w14:paraId="62D33BDB">
            <w:pPr>
              <w:pStyle w:val="6"/>
              <w:spacing w:before="61" w:line="229" w:lineRule="auto"/>
              <w:ind w:left="740"/>
            </w:pPr>
            <w:r>
              <w:rPr>
                <w:spacing w:val="7"/>
              </w:rPr>
              <w:t>木工电锯</w:t>
            </w:r>
          </w:p>
        </w:tc>
        <w:tc>
          <w:tcPr>
            <w:tcW w:w="1489" w:type="dxa"/>
            <w:vAlign w:val="top"/>
          </w:tcPr>
          <w:p w14:paraId="1311A9BF">
            <w:pPr>
              <w:spacing w:before="30"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95~99</w:t>
            </w:r>
          </w:p>
        </w:tc>
        <w:tc>
          <w:tcPr>
            <w:tcW w:w="876" w:type="dxa"/>
            <w:vAlign w:val="top"/>
          </w:tcPr>
          <w:p w14:paraId="5C7FE713">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103" w:type="dxa"/>
            <w:vAlign w:val="top"/>
          </w:tcPr>
          <w:p w14:paraId="28D65668">
            <w:pPr>
              <w:pStyle w:val="6"/>
              <w:spacing w:before="60" w:line="228" w:lineRule="auto"/>
              <w:ind w:left="742"/>
            </w:pPr>
            <w:r>
              <w:rPr>
                <w:spacing w:val="7"/>
              </w:rPr>
              <w:t>搅拌机</w:t>
            </w:r>
          </w:p>
        </w:tc>
        <w:tc>
          <w:tcPr>
            <w:tcW w:w="1493" w:type="dxa"/>
            <w:vAlign w:val="top"/>
          </w:tcPr>
          <w:p w14:paraId="442574E2">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85~90</w:t>
            </w:r>
          </w:p>
        </w:tc>
      </w:tr>
      <w:tr w14:paraId="0A0D2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0138844B">
            <w:pPr>
              <w:spacing w:before="30"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309" w:type="dxa"/>
            <w:vAlign w:val="top"/>
          </w:tcPr>
          <w:p w14:paraId="051FCBAF">
            <w:pPr>
              <w:pStyle w:val="6"/>
              <w:spacing w:before="61" w:line="228" w:lineRule="auto"/>
              <w:ind w:left="531"/>
            </w:pPr>
            <w:r>
              <w:rPr>
                <w:spacing w:val="7"/>
              </w:rPr>
              <w:t>各类型压路车</w:t>
            </w:r>
          </w:p>
        </w:tc>
        <w:tc>
          <w:tcPr>
            <w:tcW w:w="1489" w:type="dxa"/>
            <w:vAlign w:val="top"/>
          </w:tcPr>
          <w:p w14:paraId="6BBBF3D5">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80~90</w:t>
            </w:r>
          </w:p>
        </w:tc>
        <w:tc>
          <w:tcPr>
            <w:tcW w:w="876" w:type="dxa"/>
            <w:vAlign w:val="top"/>
          </w:tcPr>
          <w:p w14:paraId="601A56A1">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2103" w:type="dxa"/>
            <w:vAlign w:val="top"/>
          </w:tcPr>
          <w:p w14:paraId="6A0DE77F">
            <w:pPr>
              <w:pStyle w:val="6"/>
              <w:spacing w:before="61" w:line="228" w:lineRule="auto"/>
              <w:ind w:left="431"/>
            </w:pPr>
            <w:r>
              <w:rPr>
                <w:spacing w:val="7"/>
              </w:rPr>
              <w:t>混凝土振捣器</w:t>
            </w:r>
          </w:p>
        </w:tc>
        <w:tc>
          <w:tcPr>
            <w:tcW w:w="1493" w:type="dxa"/>
            <w:vAlign w:val="top"/>
          </w:tcPr>
          <w:p w14:paraId="556BF90E">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80~88</w:t>
            </w:r>
          </w:p>
        </w:tc>
      </w:tr>
      <w:tr w14:paraId="6B669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79C11B2B">
            <w:pPr>
              <w:spacing w:before="101"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09" w:type="dxa"/>
            <w:vAlign w:val="top"/>
          </w:tcPr>
          <w:p w14:paraId="23949673">
            <w:pPr>
              <w:pStyle w:val="6"/>
              <w:spacing w:before="62" w:line="234" w:lineRule="auto"/>
              <w:ind w:left="973"/>
            </w:pPr>
            <w:r>
              <w:rPr>
                <w:spacing w:val="-8"/>
              </w:rPr>
              <w:t>电锤</w:t>
            </w:r>
          </w:p>
        </w:tc>
        <w:tc>
          <w:tcPr>
            <w:tcW w:w="1489" w:type="dxa"/>
            <w:vAlign w:val="top"/>
          </w:tcPr>
          <w:p w14:paraId="1F2E78F9">
            <w:pPr>
              <w:spacing w:before="31" w:line="274"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c>
          <w:tcPr>
            <w:tcW w:w="876" w:type="dxa"/>
            <w:vAlign w:val="top"/>
          </w:tcPr>
          <w:p w14:paraId="06272EDE">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103" w:type="dxa"/>
            <w:vAlign w:val="top"/>
          </w:tcPr>
          <w:p w14:paraId="628A4EA2">
            <w:pPr>
              <w:pStyle w:val="6"/>
              <w:spacing w:before="61" w:line="228" w:lineRule="auto"/>
              <w:ind w:left="329"/>
            </w:pPr>
            <w:r>
              <w:rPr>
                <w:spacing w:val="7"/>
              </w:rPr>
              <w:t>云石机、角磨机</w:t>
            </w:r>
          </w:p>
        </w:tc>
        <w:tc>
          <w:tcPr>
            <w:tcW w:w="1493" w:type="dxa"/>
            <w:vAlign w:val="top"/>
          </w:tcPr>
          <w:p w14:paraId="311C95F3">
            <w:pPr>
              <w:spacing w:before="31"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90~96</w:t>
            </w:r>
          </w:p>
        </w:tc>
      </w:tr>
      <w:tr w14:paraId="14784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0A81F2A2">
            <w:pPr>
              <w:spacing w:before="31"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309" w:type="dxa"/>
            <w:vAlign w:val="top"/>
          </w:tcPr>
          <w:p w14:paraId="0D55D980">
            <w:pPr>
              <w:pStyle w:val="6"/>
              <w:spacing w:before="62" w:line="229" w:lineRule="auto"/>
              <w:ind w:left="949"/>
            </w:pPr>
            <w:r>
              <w:rPr>
                <w:spacing w:val="4"/>
              </w:rPr>
              <w:t>夯锤</w:t>
            </w:r>
          </w:p>
        </w:tc>
        <w:tc>
          <w:tcPr>
            <w:tcW w:w="1489" w:type="dxa"/>
            <w:vAlign w:val="top"/>
          </w:tcPr>
          <w:p w14:paraId="70A7C754">
            <w:pPr>
              <w:spacing w:before="31"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90~</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100</w:t>
            </w:r>
          </w:p>
        </w:tc>
        <w:tc>
          <w:tcPr>
            <w:tcW w:w="876" w:type="dxa"/>
            <w:vAlign w:val="top"/>
          </w:tcPr>
          <w:p w14:paraId="7DB3A870">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2103" w:type="dxa"/>
            <w:vAlign w:val="top"/>
          </w:tcPr>
          <w:p w14:paraId="54600D39">
            <w:pPr>
              <w:pStyle w:val="6"/>
              <w:spacing w:before="61" w:line="228" w:lineRule="auto"/>
              <w:ind w:left="750"/>
            </w:pPr>
            <w:r>
              <w:rPr>
                <w:spacing w:val="4"/>
              </w:rPr>
              <w:t>空压机</w:t>
            </w:r>
          </w:p>
        </w:tc>
        <w:tc>
          <w:tcPr>
            <w:tcW w:w="1493" w:type="dxa"/>
            <w:vAlign w:val="top"/>
          </w:tcPr>
          <w:p w14:paraId="79C6364B">
            <w:pPr>
              <w:spacing w:before="31"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bl>
    <w:p w14:paraId="4484F23D">
      <w:pPr>
        <w:pStyle w:val="2"/>
        <w:spacing w:line="335" w:lineRule="auto"/>
      </w:pPr>
    </w:p>
    <w:p w14:paraId="4FC402D8">
      <w:pPr>
        <w:spacing w:before="78" w:line="360" w:lineRule="exact"/>
        <w:ind w:left="621"/>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7"/>
          <w:position w:val="2"/>
          <w:sz w:val="24"/>
          <w:szCs w:val="24"/>
        </w:rPr>
        <w:t>、噪声预测模式</w:t>
      </w:r>
    </w:p>
    <w:p w14:paraId="77701960">
      <w:pPr>
        <w:spacing w:before="165" w:line="362" w:lineRule="auto"/>
        <w:ind w:left="125" w:right="113" w:firstLine="480"/>
        <w:rPr>
          <w:rFonts w:ascii="宋体" w:hAnsi="宋体" w:eastAsia="宋体" w:cs="宋体"/>
          <w:sz w:val="24"/>
          <w:szCs w:val="24"/>
        </w:rPr>
      </w:pPr>
      <w:r>
        <w:rPr>
          <w:rFonts w:ascii="宋体" w:hAnsi="宋体" w:eastAsia="宋体" w:cs="宋体"/>
          <w:spacing w:val="2"/>
          <w:sz w:val="24"/>
          <w:szCs w:val="24"/>
        </w:rPr>
        <w:t>工程噪声源可近似作为点声源处理，根据点声源噪声衰减模式，可估算其施工</w:t>
      </w:r>
      <w:r>
        <w:rPr>
          <w:rFonts w:ascii="宋体" w:hAnsi="宋体" w:eastAsia="宋体" w:cs="宋体"/>
          <w:spacing w:val="7"/>
          <w:sz w:val="24"/>
          <w:szCs w:val="24"/>
        </w:rPr>
        <w:t xml:space="preserve"> </w:t>
      </w:r>
      <w:r>
        <w:rPr>
          <w:rFonts w:ascii="宋体" w:hAnsi="宋体" w:eastAsia="宋体" w:cs="宋体"/>
          <w:spacing w:val="-1"/>
          <w:sz w:val="24"/>
          <w:szCs w:val="24"/>
        </w:rPr>
        <w:t>期间距离噪声源不同距离处的噪声值，预测模式如下：</w:t>
      </w:r>
    </w:p>
    <w:p w14:paraId="13512F93">
      <w:pPr>
        <w:spacing w:line="333" w:lineRule="exact"/>
        <w:ind w:left="3749"/>
        <w:outlineLvl w:val="0"/>
        <w:rPr>
          <w:rFonts w:ascii="宋体" w:hAnsi="宋体" w:eastAsia="宋体" w:cs="宋体"/>
          <w:sz w:val="24"/>
          <w:szCs w:val="24"/>
        </w:rPr>
      </w:pPr>
      <w:r>
        <w:rPr>
          <w:rFonts w:ascii="Times New Roman" w:hAnsi="Times New Roman" w:eastAsia="Times New Roman" w:cs="Times New Roman"/>
          <w:position w:val="3"/>
          <w:sz w:val="24"/>
          <w:szCs w:val="24"/>
        </w:rPr>
        <w:t>L</w:t>
      </w:r>
      <w:r>
        <w:rPr>
          <w:rFonts w:ascii="Times New Roman" w:hAnsi="Times New Roman" w:eastAsia="Times New Roman" w:cs="Times New Roman"/>
          <w:position w:val="2"/>
          <w:sz w:val="15"/>
          <w:szCs w:val="15"/>
        </w:rPr>
        <w:t>2</w:t>
      </w:r>
      <w:r>
        <w:rPr>
          <w:rFonts w:ascii="Times New Roman" w:hAnsi="Times New Roman" w:eastAsia="Times New Roman" w:cs="Times New Roman"/>
          <w:position w:val="3"/>
          <w:sz w:val="24"/>
          <w:szCs w:val="24"/>
        </w:rPr>
        <w:t>=L</w:t>
      </w:r>
      <w:r>
        <w:rPr>
          <w:rFonts w:ascii="Times New Roman" w:hAnsi="Times New Roman" w:eastAsia="Times New Roman" w:cs="Times New Roman"/>
          <w:position w:val="3"/>
          <w:sz w:val="15"/>
          <w:szCs w:val="15"/>
        </w:rPr>
        <w:t>1</w:t>
      </w:r>
      <w:r>
        <w:rPr>
          <w:rFonts w:ascii="Times New Roman" w:hAnsi="Times New Roman" w:eastAsia="Times New Roman" w:cs="Times New Roman"/>
          <w:position w:val="3"/>
          <w:sz w:val="24"/>
          <w:szCs w:val="24"/>
        </w:rPr>
        <w:t>-20lg</w:t>
      </w:r>
      <w:r>
        <w:rPr>
          <w:rFonts w:ascii="宋体" w:hAnsi="宋体" w:eastAsia="宋体" w:cs="宋体"/>
          <w:position w:val="3"/>
          <w:sz w:val="24"/>
          <w:szCs w:val="24"/>
        </w:rPr>
        <w:t>（</w:t>
      </w:r>
      <w:r>
        <w:rPr>
          <w:rFonts w:ascii="Times New Roman" w:hAnsi="Times New Roman" w:eastAsia="Times New Roman" w:cs="Times New Roman"/>
          <w:position w:val="3"/>
          <w:sz w:val="24"/>
          <w:szCs w:val="24"/>
        </w:rPr>
        <w:t>r</w:t>
      </w:r>
      <w:r>
        <w:rPr>
          <w:rFonts w:ascii="Times New Roman" w:hAnsi="Times New Roman" w:eastAsia="Times New Roman" w:cs="Times New Roman"/>
          <w:position w:val="3"/>
          <w:sz w:val="15"/>
          <w:szCs w:val="15"/>
        </w:rPr>
        <w:t>2</w:t>
      </w:r>
      <w:r>
        <w:rPr>
          <w:rFonts w:ascii="Times New Roman" w:hAnsi="Times New Roman" w:eastAsia="Times New Roman" w:cs="Times New Roman"/>
          <w:position w:val="3"/>
          <w:sz w:val="24"/>
          <w:szCs w:val="24"/>
        </w:rPr>
        <w:t>/r</w:t>
      </w:r>
      <w:r>
        <w:rPr>
          <w:rFonts w:ascii="Times New Roman" w:hAnsi="Times New Roman" w:eastAsia="Times New Roman" w:cs="Times New Roman"/>
          <w:position w:val="3"/>
          <w:sz w:val="15"/>
          <w:szCs w:val="15"/>
        </w:rPr>
        <w:t>1</w:t>
      </w:r>
      <w:r>
        <w:rPr>
          <w:rFonts w:ascii="宋体" w:hAnsi="宋体" w:eastAsia="宋体" w:cs="宋体"/>
          <w:position w:val="3"/>
          <w:sz w:val="24"/>
          <w:szCs w:val="24"/>
        </w:rPr>
        <w:t>）</w:t>
      </w:r>
    </w:p>
    <w:p w14:paraId="1B5A93A8">
      <w:pPr>
        <w:spacing w:before="156" w:line="361" w:lineRule="exact"/>
        <w:ind w:left="123"/>
        <w:rPr>
          <w:rFonts w:ascii="宋体" w:hAnsi="宋体" w:eastAsia="宋体" w:cs="宋体"/>
          <w:sz w:val="24"/>
          <w:szCs w:val="24"/>
        </w:rPr>
      </w:pPr>
      <w:r>
        <w:rPr>
          <w:rFonts w:ascii="宋体" w:hAnsi="宋体" w:eastAsia="宋体" w:cs="宋体"/>
          <w:spacing w:val="-3"/>
          <w:position w:val="2"/>
          <w:sz w:val="24"/>
          <w:szCs w:val="24"/>
        </w:rPr>
        <w:t>其中：</w:t>
      </w:r>
      <w:r>
        <w:rPr>
          <w:rFonts w:ascii="Times New Roman" w:hAnsi="Times New Roman" w:eastAsia="Times New Roman" w:cs="Times New Roman"/>
          <w:spacing w:val="-3"/>
          <w:position w:val="2"/>
          <w:sz w:val="24"/>
          <w:szCs w:val="24"/>
        </w:rPr>
        <w:t>L</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L</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3"/>
          <w:position w:val="2"/>
          <w:sz w:val="24"/>
          <w:szCs w:val="24"/>
        </w:rPr>
        <w:t>—</w:t>
      </w:r>
      <w:r>
        <w:rPr>
          <w:rFonts w:ascii="宋体" w:hAnsi="宋体" w:eastAsia="宋体" w:cs="宋体"/>
          <w:spacing w:val="-3"/>
          <w:position w:val="2"/>
          <w:sz w:val="24"/>
          <w:szCs w:val="24"/>
        </w:rPr>
        <w:t>距离声源</w:t>
      </w:r>
      <w:r>
        <w:rPr>
          <w:rFonts w:ascii="宋体" w:hAnsi="宋体" w:eastAsia="宋体" w:cs="宋体"/>
          <w:spacing w:val="-59"/>
          <w:position w:val="2"/>
          <w:sz w:val="24"/>
          <w:szCs w:val="24"/>
        </w:rPr>
        <w:t xml:space="preserve"> </w:t>
      </w:r>
      <w:r>
        <w:rPr>
          <w:rFonts w:ascii="Times New Roman" w:hAnsi="Times New Roman" w:eastAsia="Times New Roman" w:cs="Times New Roman"/>
          <w:spacing w:val="-3"/>
          <w:position w:val="1"/>
          <w:sz w:val="24"/>
          <w:szCs w:val="24"/>
        </w:rPr>
        <w:t>r</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position w:val="2"/>
          <w:sz w:val="24"/>
          <w:szCs w:val="24"/>
        </w:rPr>
        <w:t xml:space="preserve">、 </w:t>
      </w:r>
      <w:r>
        <w:rPr>
          <w:rFonts w:ascii="Times New Roman" w:hAnsi="Times New Roman" w:eastAsia="Times New Roman" w:cs="Times New Roman"/>
          <w:spacing w:val="-3"/>
          <w:position w:val="1"/>
          <w:sz w:val="24"/>
          <w:szCs w:val="24"/>
        </w:rPr>
        <w:t>r</w:t>
      </w:r>
      <w:r>
        <w:rPr>
          <w:rFonts w:ascii="Times New Roman" w:hAnsi="Times New Roman" w:eastAsia="Times New Roman" w:cs="Times New Roman"/>
          <w:spacing w:val="-3"/>
          <w:position w:val="1"/>
          <w:sz w:val="15"/>
          <w:szCs w:val="15"/>
        </w:rPr>
        <w:t>2</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m</w:t>
      </w:r>
      <w:r>
        <w:rPr>
          <w:rFonts w:ascii="Times New Roman" w:hAnsi="Times New Roman" w:eastAsia="Times New Roman" w:cs="Times New Roman"/>
          <w:spacing w:val="-27"/>
          <w:position w:val="2"/>
          <w:sz w:val="24"/>
          <w:szCs w:val="24"/>
        </w:rPr>
        <w:t xml:space="preserve"> </w:t>
      </w:r>
      <w:r>
        <w:rPr>
          <w:rFonts w:ascii="宋体" w:hAnsi="宋体" w:eastAsia="宋体" w:cs="宋体"/>
          <w:spacing w:val="-3"/>
          <w:position w:val="2"/>
          <w:sz w:val="24"/>
          <w:szCs w:val="24"/>
        </w:rPr>
        <w:t>）距离的噪声值，</w:t>
      </w:r>
      <w:r>
        <w:rPr>
          <w:rFonts w:ascii="Times New Roman" w:hAnsi="Times New Roman" w:eastAsia="Times New Roman" w:cs="Times New Roman"/>
          <w:spacing w:val="-3"/>
          <w:position w:val="2"/>
          <w:sz w:val="24"/>
          <w:szCs w:val="24"/>
        </w:rPr>
        <w:t>dB</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A</w:t>
      </w:r>
      <w:r>
        <w:rPr>
          <w:rFonts w:ascii="宋体" w:hAnsi="宋体" w:eastAsia="宋体" w:cs="宋体"/>
          <w:spacing w:val="4"/>
          <w:position w:val="2"/>
          <w:sz w:val="24"/>
          <w:szCs w:val="24"/>
        </w:rPr>
        <w:t>）；</w:t>
      </w:r>
    </w:p>
    <w:p w14:paraId="3848D57C">
      <w:pPr>
        <w:spacing w:before="127" w:line="361" w:lineRule="exact"/>
        <w:ind w:left="1675"/>
        <w:rPr>
          <w:rFonts w:ascii="宋体" w:hAnsi="宋体" w:eastAsia="宋体" w:cs="宋体"/>
          <w:sz w:val="24"/>
          <w:szCs w:val="24"/>
        </w:rPr>
      </w:pPr>
      <w:r>
        <w:rPr>
          <w:rFonts w:ascii="Times New Roman" w:hAnsi="Times New Roman" w:eastAsia="Times New Roman" w:cs="Times New Roman"/>
          <w:spacing w:val="-4"/>
          <w:position w:val="2"/>
          <w:sz w:val="24"/>
          <w:szCs w:val="24"/>
        </w:rPr>
        <w:t>r</w:t>
      </w:r>
      <w:r>
        <w:rPr>
          <w:rFonts w:ascii="Times New Roman" w:hAnsi="Times New Roman" w:eastAsia="Times New Roman" w:cs="Times New Roman"/>
          <w:spacing w:val="-4"/>
          <w:position w:val="2"/>
          <w:sz w:val="15"/>
          <w:szCs w:val="15"/>
        </w:rPr>
        <w:t>1</w:t>
      </w:r>
      <w:r>
        <w:rPr>
          <w:rFonts w:ascii="Times New Roman" w:hAnsi="Times New Roman" w:eastAsia="Times New Roman" w:cs="Times New Roman"/>
          <w:spacing w:val="-4"/>
          <w:position w:val="2"/>
          <w:sz w:val="24"/>
          <w:szCs w:val="24"/>
        </w:rPr>
        <w:t>—</w:t>
      </w:r>
      <w:r>
        <w:rPr>
          <w:rFonts w:ascii="宋体" w:hAnsi="宋体" w:eastAsia="宋体" w:cs="宋体"/>
          <w:spacing w:val="-4"/>
          <w:position w:val="2"/>
          <w:sz w:val="24"/>
          <w:szCs w:val="24"/>
        </w:rPr>
        <w:t>点声源至受声点</w:t>
      </w:r>
      <w:r>
        <w:rPr>
          <w:rFonts w:ascii="宋体" w:hAnsi="宋体" w:eastAsia="宋体" w:cs="宋体"/>
          <w:spacing w:val="-31"/>
          <w:position w:val="2"/>
          <w:sz w:val="24"/>
          <w:szCs w:val="24"/>
        </w:rPr>
        <w:t xml:space="preserve"> </w:t>
      </w: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29"/>
          <w:w w:val="101"/>
          <w:position w:val="2"/>
          <w:sz w:val="24"/>
          <w:szCs w:val="24"/>
        </w:rPr>
        <w:t xml:space="preserve"> </w:t>
      </w:r>
      <w:r>
        <w:rPr>
          <w:rFonts w:ascii="宋体" w:hAnsi="宋体" w:eastAsia="宋体" w:cs="宋体"/>
          <w:spacing w:val="-4"/>
          <w:position w:val="2"/>
          <w:sz w:val="24"/>
          <w:szCs w:val="24"/>
        </w:rPr>
        <w:t>的距离；</w:t>
      </w:r>
    </w:p>
    <w:p w14:paraId="34911D68">
      <w:pPr>
        <w:spacing w:before="128" w:line="361" w:lineRule="exact"/>
        <w:ind w:left="1675"/>
        <w:rPr>
          <w:rFonts w:ascii="宋体" w:hAnsi="宋体" w:eastAsia="宋体" w:cs="宋体"/>
          <w:sz w:val="24"/>
          <w:szCs w:val="24"/>
        </w:rPr>
      </w:pPr>
      <w:r>
        <w:rPr>
          <w:rFonts w:ascii="Times New Roman" w:hAnsi="Times New Roman" w:eastAsia="Times New Roman" w:cs="Times New Roman"/>
          <w:spacing w:val="2"/>
          <w:position w:val="2"/>
          <w:sz w:val="24"/>
          <w:szCs w:val="24"/>
        </w:rPr>
        <w:t>r</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点声源至受声点</w:t>
      </w: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29"/>
          <w:position w:val="2"/>
          <w:sz w:val="24"/>
          <w:szCs w:val="24"/>
        </w:rPr>
        <w:t xml:space="preserve"> </w:t>
      </w:r>
      <w:r>
        <w:rPr>
          <w:rFonts w:ascii="宋体" w:hAnsi="宋体" w:eastAsia="宋体" w:cs="宋体"/>
          <w:spacing w:val="2"/>
          <w:position w:val="2"/>
          <w:sz w:val="24"/>
          <w:szCs w:val="24"/>
        </w:rPr>
        <w:t>的距离。</w:t>
      </w:r>
    </w:p>
    <w:p w14:paraId="337F3A54">
      <w:pPr>
        <w:spacing w:before="128" w:line="374" w:lineRule="auto"/>
        <w:ind w:left="146" w:right="113" w:firstLine="456"/>
        <w:rPr>
          <w:rFonts w:ascii="宋体" w:hAnsi="宋体" w:eastAsia="宋体" w:cs="宋体"/>
          <w:sz w:val="24"/>
          <w:szCs w:val="24"/>
        </w:rPr>
      </w:pPr>
      <w:r>
        <w:rPr>
          <w:rFonts w:ascii="宋体" w:hAnsi="宋体" w:eastAsia="宋体" w:cs="宋体"/>
          <w:spacing w:val="-3"/>
          <w:sz w:val="24"/>
          <w:szCs w:val="24"/>
        </w:rPr>
        <w:t>根据表</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5.1-5</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中各种施工机械噪声值，通过计算可以得出不同类型施工机械在不</w:t>
      </w:r>
      <w:r>
        <w:rPr>
          <w:rFonts w:ascii="宋体" w:hAnsi="宋体" w:eastAsia="宋体" w:cs="宋体"/>
          <w:sz w:val="24"/>
          <w:szCs w:val="24"/>
        </w:rPr>
        <w:t xml:space="preserve"> </w:t>
      </w:r>
      <w:r>
        <w:rPr>
          <w:rFonts w:ascii="宋体" w:hAnsi="宋体" w:eastAsia="宋体" w:cs="宋体"/>
          <w:spacing w:val="-3"/>
          <w:sz w:val="24"/>
          <w:szCs w:val="24"/>
        </w:rPr>
        <w:t>同距离处的噪声预测值，见表</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5.1-4</w:t>
      </w:r>
      <w:r>
        <w:rPr>
          <w:rFonts w:ascii="宋体" w:hAnsi="宋体" w:eastAsia="宋体" w:cs="宋体"/>
          <w:spacing w:val="-3"/>
          <w:sz w:val="24"/>
          <w:szCs w:val="24"/>
        </w:rPr>
        <w:t>。</w:t>
      </w:r>
    </w:p>
    <w:p w14:paraId="2D390A81">
      <w:pPr>
        <w:spacing w:before="57" w:line="228" w:lineRule="auto"/>
        <w:ind w:left="2016"/>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7"/>
          <w:sz w:val="20"/>
          <w:szCs w:val="20"/>
        </w:rPr>
        <w:t xml:space="preserve">5.1-4 </w:t>
      </w:r>
      <w:r>
        <w:rPr>
          <w:rFonts w:ascii="宋体" w:hAnsi="宋体" w:eastAsia="宋体" w:cs="宋体"/>
          <w:b/>
          <w:bCs/>
          <w:spacing w:val="7"/>
          <w:sz w:val="20"/>
          <w:szCs w:val="20"/>
        </w:rPr>
        <w:t>各种施工机械在不同距离的噪声值单位：</w:t>
      </w:r>
      <w:r>
        <w:rPr>
          <w:rFonts w:ascii="Times New Roman" w:hAnsi="Times New Roman" w:eastAsia="Times New Roman" w:cs="Times New Roman"/>
          <w:b/>
          <w:bCs/>
          <w:sz w:val="20"/>
          <w:szCs w:val="20"/>
        </w:rPr>
        <w:t>dB</w:t>
      </w:r>
      <w:r>
        <w:rPr>
          <w:rFonts w:ascii="宋体" w:hAnsi="宋体" w:eastAsia="宋体" w:cs="宋体"/>
          <w:b/>
          <w:bCs/>
          <w:spacing w:val="7"/>
          <w:sz w:val="20"/>
          <w:szCs w:val="20"/>
        </w:rPr>
        <w:t>（</w:t>
      </w:r>
      <w:r>
        <w:rPr>
          <w:rFonts w:ascii="Times New Roman" w:hAnsi="Times New Roman" w:eastAsia="Times New Roman" w:cs="Times New Roman"/>
          <w:b/>
          <w:bCs/>
          <w:spacing w:val="7"/>
          <w:sz w:val="20"/>
          <w:szCs w:val="20"/>
        </w:rPr>
        <w:t>A</w:t>
      </w:r>
      <w:r>
        <w:rPr>
          <w:rFonts w:ascii="宋体" w:hAnsi="宋体" w:eastAsia="宋体" w:cs="宋体"/>
          <w:b/>
          <w:bCs/>
          <w:spacing w:val="7"/>
          <w:sz w:val="20"/>
          <w:szCs w:val="20"/>
        </w:rPr>
        <w:t>）</w:t>
      </w:r>
    </w:p>
    <w:p w14:paraId="197ED8E8">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699"/>
        <w:gridCol w:w="699"/>
        <w:gridCol w:w="699"/>
        <w:gridCol w:w="699"/>
        <w:gridCol w:w="699"/>
        <w:gridCol w:w="699"/>
        <w:gridCol w:w="699"/>
        <w:gridCol w:w="699"/>
        <w:gridCol w:w="699"/>
        <w:gridCol w:w="704"/>
      </w:tblGrid>
      <w:tr w14:paraId="72FA2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955" w:type="dxa"/>
            <w:tcBorders>
              <w:tl2br w:val="single" w:color="000000" w:sz="4" w:space="0"/>
            </w:tcBorders>
            <w:vAlign w:val="top"/>
          </w:tcPr>
          <w:p w14:paraId="220EB5BD">
            <w:pPr>
              <w:pStyle w:val="6"/>
              <w:spacing w:before="63" w:line="271" w:lineRule="auto"/>
              <w:ind w:left="565" w:right="484" w:hanging="90"/>
            </w:pPr>
            <w:r>
              <w:rPr>
                <w:b/>
                <w:bCs/>
                <w:spacing w:val="2"/>
              </w:rPr>
              <w:t>距离（</w:t>
            </w:r>
            <w:r>
              <w:rPr>
                <w:rFonts w:ascii="Times New Roman" w:hAnsi="Times New Roman" w:eastAsia="Times New Roman" w:cs="Times New Roman"/>
                <w:b/>
                <w:bCs/>
                <w:spacing w:val="2"/>
              </w:rPr>
              <w:t>m</w:t>
            </w:r>
            <w:r>
              <w:rPr>
                <w:b/>
                <w:bCs/>
                <w:spacing w:val="2"/>
              </w:rPr>
              <w:t>）</w:t>
            </w:r>
            <w:r>
              <w:rPr>
                <w:spacing w:val="3"/>
              </w:rPr>
              <w:t xml:space="preserve"> </w:t>
            </w:r>
            <w:r>
              <w:rPr>
                <w:b/>
                <w:bCs/>
                <w:spacing w:val="5"/>
              </w:rPr>
              <w:t>设备名称</w:t>
            </w:r>
          </w:p>
        </w:tc>
        <w:tc>
          <w:tcPr>
            <w:tcW w:w="699" w:type="dxa"/>
            <w:vAlign w:val="top"/>
          </w:tcPr>
          <w:p w14:paraId="4469EAD5">
            <w:pPr>
              <w:spacing w:before="102" w:line="192" w:lineRule="auto"/>
              <w:ind w:left="29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699" w:type="dxa"/>
            <w:vAlign w:val="top"/>
          </w:tcPr>
          <w:p w14:paraId="5DB3BAB0">
            <w:pPr>
              <w:spacing w:before="99" w:line="195" w:lineRule="auto"/>
              <w:ind w:left="25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699" w:type="dxa"/>
            <w:vAlign w:val="top"/>
          </w:tcPr>
          <w:p w14:paraId="3E825BB1">
            <w:pPr>
              <w:spacing w:before="99" w:line="195" w:lineRule="auto"/>
              <w:ind w:left="24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699" w:type="dxa"/>
            <w:vAlign w:val="top"/>
          </w:tcPr>
          <w:p w14:paraId="7BF6CB8C">
            <w:pPr>
              <w:spacing w:before="99" w:line="195" w:lineRule="auto"/>
              <w:ind w:left="24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30</w:t>
            </w:r>
          </w:p>
        </w:tc>
        <w:tc>
          <w:tcPr>
            <w:tcW w:w="699" w:type="dxa"/>
            <w:vAlign w:val="top"/>
          </w:tcPr>
          <w:p w14:paraId="7FE8AECC">
            <w:pPr>
              <w:spacing w:before="99" w:line="195" w:lineRule="auto"/>
              <w:ind w:left="24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40</w:t>
            </w:r>
          </w:p>
        </w:tc>
        <w:tc>
          <w:tcPr>
            <w:tcW w:w="699" w:type="dxa"/>
            <w:vAlign w:val="top"/>
          </w:tcPr>
          <w:p w14:paraId="552451EF">
            <w:pPr>
              <w:spacing w:before="99" w:line="195" w:lineRule="auto"/>
              <w:ind w:left="25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699" w:type="dxa"/>
            <w:vAlign w:val="top"/>
          </w:tcPr>
          <w:p w14:paraId="4BE7C1D5">
            <w:pPr>
              <w:spacing w:before="99" w:line="195" w:lineRule="auto"/>
              <w:ind w:left="20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699" w:type="dxa"/>
            <w:vAlign w:val="top"/>
          </w:tcPr>
          <w:p w14:paraId="5FCA0AAB">
            <w:pPr>
              <w:spacing w:before="99" w:line="195" w:lineRule="auto"/>
              <w:ind w:left="20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699" w:type="dxa"/>
            <w:vAlign w:val="top"/>
          </w:tcPr>
          <w:p w14:paraId="15D75347">
            <w:pPr>
              <w:spacing w:before="99" w:line="195" w:lineRule="auto"/>
              <w:ind w:left="19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c>
          <w:tcPr>
            <w:tcW w:w="704" w:type="dxa"/>
            <w:vAlign w:val="top"/>
          </w:tcPr>
          <w:p w14:paraId="722B6E88">
            <w:pPr>
              <w:spacing w:before="99" w:line="195" w:lineRule="auto"/>
              <w:ind w:left="19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w:t>
            </w:r>
          </w:p>
        </w:tc>
      </w:tr>
      <w:tr w14:paraId="3351B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11DD2DDD">
            <w:pPr>
              <w:pStyle w:val="6"/>
              <w:spacing w:before="59" w:line="228" w:lineRule="auto"/>
              <w:ind w:left="667"/>
            </w:pPr>
            <w:r>
              <w:rPr>
                <w:spacing w:val="7"/>
              </w:rPr>
              <w:t>挖掘机</w:t>
            </w:r>
          </w:p>
        </w:tc>
        <w:tc>
          <w:tcPr>
            <w:tcW w:w="699" w:type="dxa"/>
            <w:vAlign w:val="top"/>
          </w:tcPr>
          <w:p w14:paraId="1C8042D3">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86</w:t>
            </w:r>
          </w:p>
        </w:tc>
        <w:tc>
          <w:tcPr>
            <w:tcW w:w="699" w:type="dxa"/>
            <w:vAlign w:val="top"/>
          </w:tcPr>
          <w:p w14:paraId="1E46141F">
            <w:pPr>
              <w:spacing w:before="29"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99" w:type="dxa"/>
            <w:vAlign w:val="top"/>
          </w:tcPr>
          <w:p w14:paraId="22A4AE8B">
            <w:pPr>
              <w:spacing w:before="29"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74</w:t>
            </w:r>
          </w:p>
        </w:tc>
        <w:tc>
          <w:tcPr>
            <w:tcW w:w="699" w:type="dxa"/>
            <w:vAlign w:val="top"/>
          </w:tcPr>
          <w:p w14:paraId="04D1601A">
            <w:pPr>
              <w:spacing w:before="29"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70.4</w:t>
            </w:r>
          </w:p>
        </w:tc>
        <w:tc>
          <w:tcPr>
            <w:tcW w:w="699" w:type="dxa"/>
            <w:vAlign w:val="top"/>
          </w:tcPr>
          <w:p w14:paraId="4547ADD7">
            <w:pPr>
              <w:spacing w:before="2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67.9</w:t>
            </w:r>
          </w:p>
        </w:tc>
        <w:tc>
          <w:tcPr>
            <w:tcW w:w="699" w:type="dxa"/>
            <w:vAlign w:val="top"/>
          </w:tcPr>
          <w:p w14:paraId="7C524CF5">
            <w:pPr>
              <w:spacing w:before="29"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699" w:type="dxa"/>
            <w:vAlign w:val="top"/>
          </w:tcPr>
          <w:p w14:paraId="4DF6C4DD">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99" w:type="dxa"/>
            <w:vAlign w:val="top"/>
          </w:tcPr>
          <w:p w14:paraId="05BB0956">
            <w:pPr>
              <w:spacing w:before="2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w:t>
            </w:r>
          </w:p>
        </w:tc>
        <w:tc>
          <w:tcPr>
            <w:tcW w:w="699" w:type="dxa"/>
            <w:vAlign w:val="top"/>
          </w:tcPr>
          <w:p w14:paraId="04037A3A">
            <w:pPr>
              <w:spacing w:before="29"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704" w:type="dxa"/>
            <w:vAlign w:val="top"/>
          </w:tcPr>
          <w:p w14:paraId="303B4A6C">
            <w:pPr>
              <w:spacing w:before="29"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50.4</w:t>
            </w:r>
          </w:p>
        </w:tc>
      </w:tr>
      <w:tr w14:paraId="315EE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42413108">
            <w:pPr>
              <w:pStyle w:val="6"/>
              <w:spacing w:before="59" w:line="228" w:lineRule="auto"/>
              <w:ind w:left="668"/>
            </w:pPr>
            <w:r>
              <w:rPr>
                <w:spacing w:val="6"/>
              </w:rPr>
              <w:t>装载机</w:t>
            </w:r>
          </w:p>
        </w:tc>
        <w:tc>
          <w:tcPr>
            <w:tcW w:w="699" w:type="dxa"/>
            <w:vAlign w:val="top"/>
          </w:tcPr>
          <w:p w14:paraId="763E77B7">
            <w:pPr>
              <w:spacing w:before="29"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91</w:t>
            </w:r>
          </w:p>
        </w:tc>
        <w:tc>
          <w:tcPr>
            <w:tcW w:w="699" w:type="dxa"/>
            <w:vAlign w:val="top"/>
          </w:tcPr>
          <w:p w14:paraId="54758241">
            <w:pPr>
              <w:spacing w:before="29"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604CCB25">
            <w:pPr>
              <w:spacing w:before="29"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186D4720">
            <w:pPr>
              <w:spacing w:before="29"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75.4</w:t>
            </w:r>
          </w:p>
        </w:tc>
        <w:tc>
          <w:tcPr>
            <w:tcW w:w="699" w:type="dxa"/>
            <w:vAlign w:val="top"/>
          </w:tcPr>
          <w:p w14:paraId="1D68154C">
            <w:pPr>
              <w:spacing w:before="29"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72.9</w:t>
            </w:r>
          </w:p>
        </w:tc>
        <w:tc>
          <w:tcPr>
            <w:tcW w:w="699" w:type="dxa"/>
            <w:vAlign w:val="top"/>
          </w:tcPr>
          <w:p w14:paraId="4A74F495">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699" w:type="dxa"/>
            <w:vAlign w:val="top"/>
          </w:tcPr>
          <w:p w14:paraId="138CCBEE">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20CCD7FE">
            <w:pPr>
              <w:spacing w:before="29"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61.5</w:t>
            </w:r>
          </w:p>
        </w:tc>
        <w:tc>
          <w:tcPr>
            <w:tcW w:w="699" w:type="dxa"/>
            <w:vAlign w:val="top"/>
          </w:tcPr>
          <w:p w14:paraId="762532FF">
            <w:pPr>
              <w:spacing w:before="29"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704" w:type="dxa"/>
            <w:vAlign w:val="top"/>
          </w:tcPr>
          <w:p w14:paraId="60CA9766">
            <w:pPr>
              <w:spacing w:before="29"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55.4</w:t>
            </w:r>
          </w:p>
        </w:tc>
      </w:tr>
      <w:tr w14:paraId="709FA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58E62AE2">
            <w:pPr>
              <w:pStyle w:val="6"/>
              <w:spacing w:before="60" w:line="228" w:lineRule="auto"/>
              <w:ind w:left="668"/>
            </w:pPr>
            <w:r>
              <w:rPr>
                <w:spacing w:val="6"/>
              </w:rPr>
              <w:t>推土机</w:t>
            </w:r>
          </w:p>
        </w:tc>
        <w:tc>
          <w:tcPr>
            <w:tcW w:w="699" w:type="dxa"/>
            <w:vAlign w:val="top"/>
          </w:tcPr>
          <w:p w14:paraId="7D62504D">
            <w:pPr>
              <w:spacing w:before="30"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0BFADFBD">
            <w:pPr>
              <w:spacing w:before="30"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52C08311">
            <w:pPr>
              <w:spacing w:before="30"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501F96D8">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c>
          <w:tcPr>
            <w:tcW w:w="699" w:type="dxa"/>
            <w:vAlign w:val="top"/>
          </w:tcPr>
          <w:p w14:paraId="52CB9B3A">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66.9</w:t>
            </w:r>
          </w:p>
        </w:tc>
        <w:tc>
          <w:tcPr>
            <w:tcW w:w="699" w:type="dxa"/>
            <w:vAlign w:val="top"/>
          </w:tcPr>
          <w:p w14:paraId="3F3AC4A4">
            <w:pPr>
              <w:spacing w:before="30"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14EDAC8E">
            <w:pPr>
              <w:spacing w:before="30"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699" w:type="dxa"/>
            <w:vAlign w:val="top"/>
          </w:tcPr>
          <w:p w14:paraId="1C30FF6A">
            <w:pPr>
              <w:spacing w:before="99" w:line="192"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699" w:type="dxa"/>
            <w:vAlign w:val="top"/>
          </w:tcPr>
          <w:p w14:paraId="08C4E5C5">
            <w:pPr>
              <w:spacing w:before="30"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704" w:type="dxa"/>
            <w:vAlign w:val="top"/>
          </w:tcPr>
          <w:p w14:paraId="38A91C92">
            <w:pPr>
              <w:spacing w:before="30"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49.4</w:t>
            </w:r>
          </w:p>
        </w:tc>
      </w:tr>
      <w:tr w14:paraId="462BD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54850280">
            <w:pPr>
              <w:pStyle w:val="6"/>
              <w:spacing w:before="61" w:line="228" w:lineRule="auto"/>
              <w:ind w:left="352"/>
            </w:pPr>
            <w:r>
              <w:rPr>
                <w:spacing w:val="8"/>
              </w:rPr>
              <w:t>移动式发电机</w:t>
            </w:r>
          </w:p>
        </w:tc>
        <w:tc>
          <w:tcPr>
            <w:tcW w:w="699" w:type="dxa"/>
            <w:vAlign w:val="top"/>
          </w:tcPr>
          <w:p w14:paraId="77409C70">
            <w:pPr>
              <w:spacing w:before="31"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98</w:t>
            </w:r>
          </w:p>
        </w:tc>
        <w:tc>
          <w:tcPr>
            <w:tcW w:w="699" w:type="dxa"/>
            <w:vAlign w:val="top"/>
          </w:tcPr>
          <w:p w14:paraId="3150E9DA">
            <w:pPr>
              <w:spacing w:before="31"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92</w:t>
            </w:r>
          </w:p>
        </w:tc>
        <w:tc>
          <w:tcPr>
            <w:tcW w:w="699" w:type="dxa"/>
            <w:vAlign w:val="top"/>
          </w:tcPr>
          <w:p w14:paraId="532E23F3">
            <w:pPr>
              <w:spacing w:before="31"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86</w:t>
            </w:r>
          </w:p>
        </w:tc>
        <w:tc>
          <w:tcPr>
            <w:tcW w:w="699" w:type="dxa"/>
            <w:vAlign w:val="top"/>
          </w:tcPr>
          <w:p w14:paraId="4F31A611">
            <w:pPr>
              <w:spacing w:before="3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82.4</w:t>
            </w:r>
          </w:p>
        </w:tc>
        <w:tc>
          <w:tcPr>
            <w:tcW w:w="699" w:type="dxa"/>
            <w:vAlign w:val="top"/>
          </w:tcPr>
          <w:p w14:paraId="134D97CB">
            <w:pPr>
              <w:spacing w:before="31"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79.9</w:t>
            </w:r>
          </w:p>
        </w:tc>
        <w:tc>
          <w:tcPr>
            <w:tcW w:w="699" w:type="dxa"/>
            <w:vAlign w:val="top"/>
          </w:tcPr>
          <w:p w14:paraId="01B8DBBB">
            <w:pPr>
              <w:spacing w:before="31"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99" w:type="dxa"/>
            <w:vAlign w:val="top"/>
          </w:tcPr>
          <w:p w14:paraId="53B28852">
            <w:pPr>
              <w:spacing w:before="31"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699" w:type="dxa"/>
            <w:vAlign w:val="top"/>
          </w:tcPr>
          <w:p w14:paraId="34613863">
            <w:pPr>
              <w:spacing w:before="31"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68.5</w:t>
            </w:r>
          </w:p>
        </w:tc>
        <w:tc>
          <w:tcPr>
            <w:tcW w:w="699" w:type="dxa"/>
            <w:vAlign w:val="top"/>
          </w:tcPr>
          <w:p w14:paraId="76828C3F">
            <w:pPr>
              <w:spacing w:before="31"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704" w:type="dxa"/>
            <w:vAlign w:val="top"/>
          </w:tcPr>
          <w:p w14:paraId="5F1CF370">
            <w:pPr>
              <w:spacing w:before="3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62.4</w:t>
            </w:r>
          </w:p>
        </w:tc>
      </w:tr>
      <w:tr w14:paraId="7EDC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681E2B5A">
            <w:pPr>
              <w:pStyle w:val="6"/>
              <w:spacing w:before="62" w:line="229" w:lineRule="auto"/>
              <w:ind w:left="563"/>
            </w:pPr>
            <w:r>
              <w:rPr>
                <w:spacing w:val="7"/>
              </w:rPr>
              <w:t>木工电锯</w:t>
            </w:r>
          </w:p>
        </w:tc>
        <w:tc>
          <w:tcPr>
            <w:tcW w:w="699" w:type="dxa"/>
            <w:vAlign w:val="top"/>
          </w:tcPr>
          <w:p w14:paraId="7860ECB3">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c>
          <w:tcPr>
            <w:tcW w:w="699" w:type="dxa"/>
            <w:vAlign w:val="top"/>
          </w:tcPr>
          <w:p w14:paraId="30DCC557">
            <w:pPr>
              <w:spacing w:before="3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89</w:t>
            </w:r>
          </w:p>
        </w:tc>
        <w:tc>
          <w:tcPr>
            <w:tcW w:w="699" w:type="dxa"/>
            <w:vAlign w:val="top"/>
          </w:tcPr>
          <w:p w14:paraId="0DD09FE9">
            <w:pPr>
              <w:spacing w:before="3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w:t>
            </w:r>
          </w:p>
        </w:tc>
        <w:tc>
          <w:tcPr>
            <w:tcW w:w="699" w:type="dxa"/>
            <w:vAlign w:val="top"/>
          </w:tcPr>
          <w:p w14:paraId="72E5DAA1">
            <w:pPr>
              <w:spacing w:before="32"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79.4</w:t>
            </w:r>
          </w:p>
        </w:tc>
        <w:tc>
          <w:tcPr>
            <w:tcW w:w="699" w:type="dxa"/>
            <w:vAlign w:val="top"/>
          </w:tcPr>
          <w:p w14:paraId="6C087BF0">
            <w:pPr>
              <w:spacing w:before="32"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76.9</w:t>
            </w:r>
          </w:p>
        </w:tc>
        <w:tc>
          <w:tcPr>
            <w:tcW w:w="699" w:type="dxa"/>
            <w:vAlign w:val="top"/>
          </w:tcPr>
          <w:p w14:paraId="7A3B6710">
            <w:pPr>
              <w:spacing w:before="101" w:line="192"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99" w:type="dxa"/>
            <w:vAlign w:val="top"/>
          </w:tcPr>
          <w:p w14:paraId="42AE57EE">
            <w:pPr>
              <w:spacing w:before="32"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69</w:t>
            </w:r>
          </w:p>
        </w:tc>
        <w:tc>
          <w:tcPr>
            <w:tcW w:w="699" w:type="dxa"/>
            <w:vAlign w:val="top"/>
          </w:tcPr>
          <w:p w14:paraId="120F7744">
            <w:pPr>
              <w:spacing w:before="32"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65.5</w:t>
            </w:r>
          </w:p>
        </w:tc>
        <w:tc>
          <w:tcPr>
            <w:tcW w:w="699" w:type="dxa"/>
            <w:vAlign w:val="top"/>
          </w:tcPr>
          <w:p w14:paraId="4008D75B">
            <w:pPr>
              <w:spacing w:before="32"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63</w:t>
            </w:r>
          </w:p>
        </w:tc>
        <w:tc>
          <w:tcPr>
            <w:tcW w:w="704" w:type="dxa"/>
            <w:vAlign w:val="top"/>
          </w:tcPr>
          <w:p w14:paraId="5CB4C320">
            <w:pPr>
              <w:spacing w:before="32"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r>
      <w:tr w14:paraId="5A49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134310F3">
            <w:pPr>
              <w:pStyle w:val="6"/>
              <w:spacing w:before="64" w:line="228" w:lineRule="auto"/>
              <w:ind w:left="354"/>
            </w:pPr>
            <w:r>
              <w:rPr>
                <w:spacing w:val="7"/>
              </w:rPr>
              <w:t>各类型压路车</w:t>
            </w:r>
          </w:p>
        </w:tc>
        <w:tc>
          <w:tcPr>
            <w:tcW w:w="699" w:type="dxa"/>
            <w:vAlign w:val="top"/>
          </w:tcPr>
          <w:p w14:paraId="1BAC718D">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86</w:t>
            </w:r>
          </w:p>
        </w:tc>
        <w:tc>
          <w:tcPr>
            <w:tcW w:w="699" w:type="dxa"/>
            <w:vAlign w:val="top"/>
          </w:tcPr>
          <w:p w14:paraId="4589ABFB">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99" w:type="dxa"/>
            <w:vAlign w:val="top"/>
          </w:tcPr>
          <w:p w14:paraId="4F3354AF">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74</w:t>
            </w:r>
          </w:p>
        </w:tc>
        <w:tc>
          <w:tcPr>
            <w:tcW w:w="699" w:type="dxa"/>
            <w:vAlign w:val="top"/>
          </w:tcPr>
          <w:p w14:paraId="2E47A836">
            <w:pPr>
              <w:spacing w:before="33"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70.4</w:t>
            </w:r>
          </w:p>
        </w:tc>
        <w:tc>
          <w:tcPr>
            <w:tcW w:w="699" w:type="dxa"/>
            <w:vAlign w:val="top"/>
          </w:tcPr>
          <w:p w14:paraId="195E1681">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67.9</w:t>
            </w:r>
          </w:p>
        </w:tc>
        <w:tc>
          <w:tcPr>
            <w:tcW w:w="699" w:type="dxa"/>
            <w:vAlign w:val="top"/>
          </w:tcPr>
          <w:p w14:paraId="012E6ADC">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699" w:type="dxa"/>
            <w:vAlign w:val="top"/>
          </w:tcPr>
          <w:p w14:paraId="06EF8A87">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99" w:type="dxa"/>
            <w:vAlign w:val="top"/>
          </w:tcPr>
          <w:p w14:paraId="5EF184C5">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w:t>
            </w:r>
          </w:p>
        </w:tc>
        <w:tc>
          <w:tcPr>
            <w:tcW w:w="699" w:type="dxa"/>
            <w:vAlign w:val="top"/>
          </w:tcPr>
          <w:p w14:paraId="27438A5F">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704" w:type="dxa"/>
            <w:vAlign w:val="top"/>
          </w:tcPr>
          <w:p w14:paraId="2EC802B0">
            <w:pPr>
              <w:spacing w:before="3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50.4</w:t>
            </w:r>
          </w:p>
        </w:tc>
      </w:tr>
      <w:tr w14:paraId="46B4D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5614FE98">
            <w:pPr>
              <w:pStyle w:val="6"/>
              <w:spacing w:before="64" w:line="234" w:lineRule="auto"/>
              <w:ind w:left="796"/>
            </w:pPr>
            <w:r>
              <w:rPr>
                <w:spacing w:val="-8"/>
              </w:rPr>
              <w:t>电锤</w:t>
            </w:r>
          </w:p>
        </w:tc>
        <w:tc>
          <w:tcPr>
            <w:tcW w:w="699" w:type="dxa"/>
            <w:vAlign w:val="top"/>
          </w:tcPr>
          <w:p w14:paraId="4EEB02F1">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99</w:t>
            </w:r>
          </w:p>
        </w:tc>
        <w:tc>
          <w:tcPr>
            <w:tcW w:w="699" w:type="dxa"/>
            <w:vAlign w:val="top"/>
          </w:tcPr>
          <w:p w14:paraId="0ABCC43B">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93</w:t>
            </w:r>
          </w:p>
        </w:tc>
        <w:tc>
          <w:tcPr>
            <w:tcW w:w="699" w:type="dxa"/>
            <w:vAlign w:val="top"/>
          </w:tcPr>
          <w:p w14:paraId="7E25B8C4">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w:t>
            </w:r>
          </w:p>
        </w:tc>
        <w:tc>
          <w:tcPr>
            <w:tcW w:w="699" w:type="dxa"/>
            <w:vAlign w:val="top"/>
          </w:tcPr>
          <w:p w14:paraId="299C20DE">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83.4</w:t>
            </w:r>
          </w:p>
        </w:tc>
        <w:tc>
          <w:tcPr>
            <w:tcW w:w="699" w:type="dxa"/>
            <w:vAlign w:val="top"/>
          </w:tcPr>
          <w:p w14:paraId="09A06FE5">
            <w:pPr>
              <w:spacing w:before="33" w:line="274" w:lineRule="exact"/>
              <w:ind w:left="1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80.9</w:t>
            </w:r>
          </w:p>
        </w:tc>
        <w:tc>
          <w:tcPr>
            <w:tcW w:w="699" w:type="dxa"/>
            <w:vAlign w:val="top"/>
          </w:tcPr>
          <w:p w14:paraId="028BAB90">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14D6D297">
            <w:pPr>
              <w:spacing w:before="33"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4767E50E">
            <w:pPr>
              <w:spacing w:before="3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69.5</w:t>
            </w:r>
          </w:p>
        </w:tc>
        <w:tc>
          <w:tcPr>
            <w:tcW w:w="699" w:type="dxa"/>
            <w:vAlign w:val="top"/>
          </w:tcPr>
          <w:p w14:paraId="62BE9AEC">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67</w:t>
            </w:r>
          </w:p>
        </w:tc>
        <w:tc>
          <w:tcPr>
            <w:tcW w:w="704" w:type="dxa"/>
            <w:vAlign w:val="top"/>
          </w:tcPr>
          <w:p w14:paraId="648CA83C">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60.4</w:t>
            </w:r>
          </w:p>
        </w:tc>
      </w:tr>
      <w:tr w14:paraId="090A4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06ADE7EF">
            <w:pPr>
              <w:pStyle w:val="6"/>
              <w:spacing w:before="63" w:line="229" w:lineRule="auto"/>
              <w:ind w:left="772"/>
            </w:pPr>
            <w:r>
              <w:rPr>
                <w:spacing w:val="4"/>
              </w:rPr>
              <w:t>夯锤</w:t>
            </w:r>
          </w:p>
        </w:tc>
        <w:tc>
          <w:tcPr>
            <w:tcW w:w="699" w:type="dxa"/>
            <w:vAlign w:val="top"/>
          </w:tcPr>
          <w:p w14:paraId="2A70980B">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93</w:t>
            </w:r>
          </w:p>
        </w:tc>
        <w:tc>
          <w:tcPr>
            <w:tcW w:w="699" w:type="dxa"/>
            <w:vAlign w:val="top"/>
          </w:tcPr>
          <w:p w14:paraId="01B2BFC8">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w:t>
            </w:r>
          </w:p>
        </w:tc>
        <w:tc>
          <w:tcPr>
            <w:tcW w:w="699" w:type="dxa"/>
            <w:vAlign w:val="top"/>
          </w:tcPr>
          <w:p w14:paraId="33EA6C82">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81</w:t>
            </w:r>
          </w:p>
        </w:tc>
        <w:tc>
          <w:tcPr>
            <w:tcW w:w="699" w:type="dxa"/>
            <w:vAlign w:val="top"/>
          </w:tcPr>
          <w:p w14:paraId="26C1E67C">
            <w:pPr>
              <w:spacing w:before="33"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77.4</w:t>
            </w:r>
          </w:p>
        </w:tc>
        <w:tc>
          <w:tcPr>
            <w:tcW w:w="699" w:type="dxa"/>
            <w:vAlign w:val="top"/>
          </w:tcPr>
          <w:p w14:paraId="4F041434">
            <w:pPr>
              <w:spacing w:before="33"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74.9</w:t>
            </w:r>
          </w:p>
        </w:tc>
        <w:tc>
          <w:tcPr>
            <w:tcW w:w="699" w:type="dxa"/>
            <w:vAlign w:val="top"/>
          </w:tcPr>
          <w:p w14:paraId="5E0F25D1">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1E6FD166">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67</w:t>
            </w:r>
          </w:p>
        </w:tc>
        <w:tc>
          <w:tcPr>
            <w:tcW w:w="699" w:type="dxa"/>
            <w:vAlign w:val="top"/>
          </w:tcPr>
          <w:p w14:paraId="06EFCD06">
            <w:pPr>
              <w:spacing w:before="3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63.5</w:t>
            </w:r>
          </w:p>
        </w:tc>
        <w:tc>
          <w:tcPr>
            <w:tcW w:w="699" w:type="dxa"/>
            <w:vAlign w:val="top"/>
          </w:tcPr>
          <w:p w14:paraId="1BF9FF2E">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61</w:t>
            </w:r>
          </w:p>
        </w:tc>
        <w:tc>
          <w:tcPr>
            <w:tcW w:w="704" w:type="dxa"/>
            <w:vAlign w:val="top"/>
          </w:tcPr>
          <w:p w14:paraId="02E2503E">
            <w:pPr>
              <w:spacing w:before="3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57.4</w:t>
            </w:r>
          </w:p>
        </w:tc>
      </w:tr>
      <w:tr w14:paraId="6548D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436C77A0">
            <w:pPr>
              <w:pStyle w:val="6"/>
              <w:spacing w:before="63" w:line="228" w:lineRule="auto"/>
              <w:ind w:left="672"/>
            </w:pPr>
            <w:r>
              <w:rPr>
                <w:spacing w:val="5"/>
              </w:rPr>
              <w:t>打桩机</w:t>
            </w:r>
          </w:p>
        </w:tc>
        <w:tc>
          <w:tcPr>
            <w:tcW w:w="699" w:type="dxa"/>
            <w:vAlign w:val="top"/>
          </w:tcPr>
          <w:p w14:paraId="726FFF4A">
            <w:pPr>
              <w:spacing w:before="33"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105</w:t>
            </w:r>
          </w:p>
        </w:tc>
        <w:tc>
          <w:tcPr>
            <w:tcW w:w="699" w:type="dxa"/>
            <w:vAlign w:val="top"/>
          </w:tcPr>
          <w:p w14:paraId="5BDDF736">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99</w:t>
            </w:r>
          </w:p>
        </w:tc>
        <w:tc>
          <w:tcPr>
            <w:tcW w:w="699" w:type="dxa"/>
            <w:vAlign w:val="top"/>
          </w:tcPr>
          <w:p w14:paraId="6C73CE67">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93</w:t>
            </w:r>
          </w:p>
        </w:tc>
        <w:tc>
          <w:tcPr>
            <w:tcW w:w="699" w:type="dxa"/>
            <w:vAlign w:val="top"/>
          </w:tcPr>
          <w:p w14:paraId="046B93F2">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89.4</w:t>
            </w:r>
          </w:p>
        </w:tc>
        <w:tc>
          <w:tcPr>
            <w:tcW w:w="699" w:type="dxa"/>
            <w:vAlign w:val="top"/>
          </w:tcPr>
          <w:p w14:paraId="4E2658A4">
            <w:pPr>
              <w:spacing w:before="33" w:line="274" w:lineRule="exact"/>
              <w:ind w:left="1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86.9</w:t>
            </w:r>
          </w:p>
        </w:tc>
        <w:tc>
          <w:tcPr>
            <w:tcW w:w="699" w:type="dxa"/>
            <w:vAlign w:val="top"/>
          </w:tcPr>
          <w:p w14:paraId="60789EC0">
            <w:pPr>
              <w:spacing w:before="33"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13CFCCD2">
            <w:pPr>
              <w:spacing w:before="33"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5C2F8786">
            <w:pPr>
              <w:spacing w:before="102" w:line="192"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75.5</w:t>
            </w:r>
          </w:p>
        </w:tc>
        <w:tc>
          <w:tcPr>
            <w:tcW w:w="699" w:type="dxa"/>
            <w:vAlign w:val="top"/>
          </w:tcPr>
          <w:p w14:paraId="17ABC424">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704" w:type="dxa"/>
            <w:vAlign w:val="top"/>
          </w:tcPr>
          <w:p w14:paraId="0B282DCB">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69.4</w:t>
            </w:r>
          </w:p>
        </w:tc>
      </w:tr>
      <w:tr w14:paraId="52C11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590FCF5B">
            <w:pPr>
              <w:pStyle w:val="6"/>
              <w:spacing w:before="63" w:line="228" w:lineRule="auto"/>
              <w:ind w:left="669"/>
            </w:pPr>
            <w:r>
              <w:rPr>
                <w:spacing w:val="6"/>
              </w:rPr>
              <w:t>压桩机</w:t>
            </w:r>
          </w:p>
        </w:tc>
        <w:tc>
          <w:tcPr>
            <w:tcW w:w="699" w:type="dxa"/>
            <w:vAlign w:val="top"/>
          </w:tcPr>
          <w:p w14:paraId="7A859C01">
            <w:pPr>
              <w:spacing w:before="33"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198ED1DB">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67</w:t>
            </w:r>
          </w:p>
        </w:tc>
        <w:tc>
          <w:tcPr>
            <w:tcW w:w="699" w:type="dxa"/>
            <w:vAlign w:val="top"/>
          </w:tcPr>
          <w:p w14:paraId="3BB2779D">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61</w:t>
            </w:r>
          </w:p>
        </w:tc>
        <w:tc>
          <w:tcPr>
            <w:tcW w:w="699" w:type="dxa"/>
            <w:vAlign w:val="top"/>
          </w:tcPr>
          <w:p w14:paraId="7F1C7323">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57.4</w:t>
            </w:r>
          </w:p>
        </w:tc>
        <w:tc>
          <w:tcPr>
            <w:tcW w:w="699" w:type="dxa"/>
            <w:vAlign w:val="top"/>
          </w:tcPr>
          <w:p w14:paraId="3E17163E">
            <w:pPr>
              <w:spacing w:before="3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54.9</w:t>
            </w:r>
          </w:p>
        </w:tc>
        <w:tc>
          <w:tcPr>
            <w:tcW w:w="699" w:type="dxa"/>
            <w:vAlign w:val="top"/>
          </w:tcPr>
          <w:p w14:paraId="7CD7BDCD">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699" w:type="dxa"/>
            <w:vAlign w:val="top"/>
          </w:tcPr>
          <w:p w14:paraId="792572DB">
            <w:pPr>
              <w:spacing w:before="33"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699" w:type="dxa"/>
            <w:vAlign w:val="top"/>
          </w:tcPr>
          <w:p w14:paraId="1568D604">
            <w:pPr>
              <w:spacing w:before="33"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43.5</w:t>
            </w:r>
          </w:p>
        </w:tc>
        <w:tc>
          <w:tcPr>
            <w:tcW w:w="699" w:type="dxa"/>
            <w:vAlign w:val="top"/>
          </w:tcPr>
          <w:p w14:paraId="75D9EF21">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704" w:type="dxa"/>
            <w:vAlign w:val="top"/>
          </w:tcPr>
          <w:p w14:paraId="0636E5DB">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37.4</w:t>
            </w:r>
          </w:p>
        </w:tc>
      </w:tr>
      <w:tr w14:paraId="7E990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03958DF8">
            <w:pPr>
              <w:pStyle w:val="6"/>
              <w:spacing w:before="63" w:line="229" w:lineRule="auto"/>
              <w:ind w:left="772"/>
            </w:pPr>
            <w:r>
              <w:rPr>
                <w:spacing w:val="4"/>
              </w:rPr>
              <w:t>风镐</w:t>
            </w:r>
          </w:p>
        </w:tc>
        <w:tc>
          <w:tcPr>
            <w:tcW w:w="699" w:type="dxa"/>
            <w:vAlign w:val="top"/>
          </w:tcPr>
          <w:p w14:paraId="0651DE01">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55F3E4F0">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29A6640F">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6A96B40D">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c>
          <w:tcPr>
            <w:tcW w:w="699" w:type="dxa"/>
            <w:vAlign w:val="top"/>
          </w:tcPr>
          <w:p w14:paraId="47BFCB41">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66.9</w:t>
            </w:r>
          </w:p>
        </w:tc>
        <w:tc>
          <w:tcPr>
            <w:tcW w:w="699" w:type="dxa"/>
            <w:vAlign w:val="top"/>
          </w:tcPr>
          <w:p w14:paraId="1BC424B0">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279B6EE9">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699" w:type="dxa"/>
            <w:vAlign w:val="top"/>
          </w:tcPr>
          <w:p w14:paraId="06685BAD">
            <w:pPr>
              <w:spacing w:before="102" w:line="192"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699" w:type="dxa"/>
            <w:vAlign w:val="top"/>
          </w:tcPr>
          <w:p w14:paraId="160F7266">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704" w:type="dxa"/>
            <w:vAlign w:val="top"/>
          </w:tcPr>
          <w:p w14:paraId="27F5FC7E">
            <w:pPr>
              <w:spacing w:before="3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49.4</w:t>
            </w:r>
          </w:p>
        </w:tc>
      </w:tr>
      <w:tr w14:paraId="58430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3B420DF7">
            <w:pPr>
              <w:pStyle w:val="6"/>
              <w:spacing w:before="64" w:line="228" w:lineRule="auto"/>
              <w:ind w:left="354"/>
            </w:pPr>
            <w:r>
              <w:rPr>
                <w:spacing w:val="7"/>
              </w:rPr>
              <w:t>混凝土运输泵</w:t>
            </w:r>
          </w:p>
        </w:tc>
        <w:tc>
          <w:tcPr>
            <w:tcW w:w="699" w:type="dxa"/>
            <w:vAlign w:val="top"/>
          </w:tcPr>
          <w:p w14:paraId="0A63A594">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w:t>
            </w:r>
          </w:p>
        </w:tc>
        <w:tc>
          <w:tcPr>
            <w:tcW w:w="699" w:type="dxa"/>
            <w:vAlign w:val="top"/>
          </w:tcPr>
          <w:p w14:paraId="4B0193C9">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699" w:type="dxa"/>
            <w:vAlign w:val="top"/>
          </w:tcPr>
          <w:p w14:paraId="01C14BE6">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699" w:type="dxa"/>
            <w:vAlign w:val="top"/>
          </w:tcPr>
          <w:p w14:paraId="40A1E580">
            <w:pPr>
              <w:spacing w:before="33"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72.4</w:t>
            </w:r>
          </w:p>
        </w:tc>
        <w:tc>
          <w:tcPr>
            <w:tcW w:w="699" w:type="dxa"/>
            <w:vAlign w:val="top"/>
          </w:tcPr>
          <w:p w14:paraId="3EF3C9F6">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69.9</w:t>
            </w:r>
          </w:p>
        </w:tc>
        <w:tc>
          <w:tcPr>
            <w:tcW w:w="699" w:type="dxa"/>
            <w:vAlign w:val="top"/>
          </w:tcPr>
          <w:p w14:paraId="3D26E0B5">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699" w:type="dxa"/>
            <w:vAlign w:val="top"/>
          </w:tcPr>
          <w:p w14:paraId="1E1ABCAB">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699" w:type="dxa"/>
            <w:vAlign w:val="top"/>
          </w:tcPr>
          <w:p w14:paraId="7D7D74E4">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w:t>
            </w:r>
          </w:p>
        </w:tc>
        <w:tc>
          <w:tcPr>
            <w:tcW w:w="699" w:type="dxa"/>
            <w:vAlign w:val="top"/>
          </w:tcPr>
          <w:p w14:paraId="75C76209">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704" w:type="dxa"/>
            <w:vAlign w:val="top"/>
          </w:tcPr>
          <w:p w14:paraId="3DDDB85B">
            <w:pPr>
              <w:spacing w:before="3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52.4</w:t>
            </w:r>
          </w:p>
        </w:tc>
      </w:tr>
      <w:tr w14:paraId="29CCF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955" w:type="dxa"/>
            <w:vAlign w:val="top"/>
          </w:tcPr>
          <w:p w14:paraId="2EC0EC4F">
            <w:pPr>
              <w:pStyle w:val="6"/>
              <w:spacing w:before="63" w:line="228" w:lineRule="auto"/>
              <w:ind w:left="667"/>
            </w:pPr>
            <w:r>
              <w:rPr>
                <w:spacing w:val="7"/>
              </w:rPr>
              <w:t>搅拌机</w:t>
            </w:r>
          </w:p>
        </w:tc>
        <w:tc>
          <w:tcPr>
            <w:tcW w:w="699" w:type="dxa"/>
            <w:vAlign w:val="top"/>
          </w:tcPr>
          <w:p w14:paraId="3CAC7364">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2288C261">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41E445A4">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04E53063">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c>
          <w:tcPr>
            <w:tcW w:w="699" w:type="dxa"/>
            <w:vAlign w:val="top"/>
          </w:tcPr>
          <w:p w14:paraId="50EB36FC">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66.9</w:t>
            </w:r>
          </w:p>
        </w:tc>
        <w:tc>
          <w:tcPr>
            <w:tcW w:w="699" w:type="dxa"/>
            <w:vAlign w:val="top"/>
          </w:tcPr>
          <w:p w14:paraId="076DF64A">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525D7D5D">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699" w:type="dxa"/>
            <w:vAlign w:val="top"/>
          </w:tcPr>
          <w:p w14:paraId="0E8095EE">
            <w:pPr>
              <w:spacing w:before="102" w:line="192"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699" w:type="dxa"/>
            <w:vAlign w:val="top"/>
          </w:tcPr>
          <w:p w14:paraId="4AE7B220">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704" w:type="dxa"/>
            <w:vAlign w:val="top"/>
          </w:tcPr>
          <w:p w14:paraId="5E84AAB7">
            <w:pPr>
              <w:spacing w:before="3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49.4</w:t>
            </w:r>
          </w:p>
        </w:tc>
      </w:tr>
    </w:tbl>
    <w:p w14:paraId="497EDF19">
      <w:pPr>
        <w:pStyle w:val="2"/>
        <w:spacing w:line="148" w:lineRule="exact"/>
        <w:rPr>
          <w:sz w:val="12"/>
        </w:rPr>
      </w:pPr>
    </w:p>
    <w:p w14:paraId="4007A597">
      <w:pPr>
        <w:spacing w:line="148" w:lineRule="exact"/>
        <w:rPr>
          <w:sz w:val="12"/>
          <w:szCs w:val="12"/>
        </w:rPr>
        <w:sectPr>
          <w:footerReference r:id="rId124" w:type="default"/>
          <w:pgSz w:w="11906" w:h="16839"/>
          <w:pgMar w:top="400" w:right="1475" w:bottom="1485" w:left="1475" w:header="0" w:footer="1249" w:gutter="0"/>
          <w:cols w:space="720" w:num="1"/>
        </w:sectPr>
      </w:pPr>
    </w:p>
    <w:p w14:paraId="20D19912">
      <w:pPr>
        <w:spacing w:before="13"/>
      </w:pPr>
    </w:p>
    <w:p w14:paraId="12FE70CF">
      <w:pPr>
        <w:spacing w:before="13"/>
      </w:pPr>
    </w:p>
    <w:p w14:paraId="39A88B32">
      <w:pPr>
        <w:spacing w:before="13"/>
      </w:pPr>
    </w:p>
    <w:p w14:paraId="3AEC0146">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699"/>
        <w:gridCol w:w="699"/>
        <w:gridCol w:w="699"/>
        <w:gridCol w:w="699"/>
        <w:gridCol w:w="699"/>
        <w:gridCol w:w="699"/>
        <w:gridCol w:w="699"/>
        <w:gridCol w:w="699"/>
        <w:gridCol w:w="699"/>
        <w:gridCol w:w="704"/>
      </w:tblGrid>
      <w:tr w14:paraId="10366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55" w:type="dxa"/>
            <w:vAlign w:val="top"/>
          </w:tcPr>
          <w:p w14:paraId="6BED2902">
            <w:pPr>
              <w:pStyle w:val="6"/>
              <w:spacing w:before="64" w:line="228" w:lineRule="auto"/>
              <w:ind w:left="354"/>
            </w:pPr>
            <w:r>
              <w:rPr>
                <w:spacing w:val="7"/>
              </w:rPr>
              <w:t>混凝土振捣器</w:t>
            </w:r>
          </w:p>
        </w:tc>
        <w:tc>
          <w:tcPr>
            <w:tcW w:w="699" w:type="dxa"/>
            <w:vAlign w:val="top"/>
          </w:tcPr>
          <w:p w14:paraId="2C42CCB9">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99" w:type="dxa"/>
            <w:vAlign w:val="top"/>
          </w:tcPr>
          <w:p w14:paraId="7AC6470B">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74</w:t>
            </w:r>
          </w:p>
        </w:tc>
        <w:tc>
          <w:tcPr>
            <w:tcW w:w="699" w:type="dxa"/>
            <w:vAlign w:val="top"/>
          </w:tcPr>
          <w:p w14:paraId="52287A33">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699" w:type="dxa"/>
            <w:vAlign w:val="top"/>
          </w:tcPr>
          <w:p w14:paraId="16F82B99">
            <w:pPr>
              <w:spacing w:before="33"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64.4</w:t>
            </w:r>
          </w:p>
        </w:tc>
        <w:tc>
          <w:tcPr>
            <w:tcW w:w="699" w:type="dxa"/>
            <w:vAlign w:val="top"/>
          </w:tcPr>
          <w:p w14:paraId="62F60198">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61.9</w:t>
            </w:r>
          </w:p>
        </w:tc>
        <w:tc>
          <w:tcPr>
            <w:tcW w:w="699" w:type="dxa"/>
            <w:vAlign w:val="top"/>
          </w:tcPr>
          <w:p w14:paraId="7C95F9CF">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99" w:type="dxa"/>
            <w:vAlign w:val="top"/>
          </w:tcPr>
          <w:p w14:paraId="69601256">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699" w:type="dxa"/>
            <w:vAlign w:val="top"/>
          </w:tcPr>
          <w:p w14:paraId="1304BBA3">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50.5</w:t>
            </w:r>
          </w:p>
        </w:tc>
        <w:tc>
          <w:tcPr>
            <w:tcW w:w="699" w:type="dxa"/>
            <w:vAlign w:val="top"/>
          </w:tcPr>
          <w:p w14:paraId="40EC16CA">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704" w:type="dxa"/>
            <w:vAlign w:val="top"/>
          </w:tcPr>
          <w:p w14:paraId="012C7B35">
            <w:pPr>
              <w:spacing w:before="3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44.4</w:t>
            </w:r>
          </w:p>
        </w:tc>
      </w:tr>
      <w:tr w14:paraId="2DAC1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955" w:type="dxa"/>
            <w:vAlign w:val="top"/>
          </w:tcPr>
          <w:p w14:paraId="30583C95">
            <w:pPr>
              <w:pStyle w:val="6"/>
              <w:spacing w:before="60" w:line="228" w:lineRule="auto"/>
              <w:ind w:left="254"/>
            </w:pPr>
            <w:r>
              <w:rPr>
                <w:spacing w:val="7"/>
              </w:rPr>
              <w:t>云石机、角磨机</w:t>
            </w:r>
          </w:p>
        </w:tc>
        <w:tc>
          <w:tcPr>
            <w:tcW w:w="699" w:type="dxa"/>
            <w:vAlign w:val="top"/>
          </w:tcPr>
          <w:p w14:paraId="5CB464DF">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699" w:type="dxa"/>
            <w:vAlign w:val="top"/>
          </w:tcPr>
          <w:p w14:paraId="07FC2F59">
            <w:pPr>
              <w:spacing w:before="30"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84</w:t>
            </w:r>
          </w:p>
        </w:tc>
        <w:tc>
          <w:tcPr>
            <w:tcW w:w="699" w:type="dxa"/>
            <w:vAlign w:val="top"/>
          </w:tcPr>
          <w:p w14:paraId="725F54FA">
            <w:pPr>
              <w:spacing w:before="30"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99" w:type="dxa"/>
            <w:vAlign w:val="top"/>
          </w:tcPr>
          <w:p w14:paraId="64FA8D93">
            <w:pPr>
              <w:spacing w:before="30"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74.4</w:t>
            </w:r>
          </w:p>
        </w:tc>
        <w:tc>
          <w:tcPr>
            <w:tcW w:w="699" w:type="dxa"/>
            <w:vAlign w:val="top"/>
          </w:tcPr>
          <w:p w14:paraId="58FDDC3D">
            <w:pPr>
              <w:spacing w:before="30"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71.9</w:t>
            </w:r>
          </w:p>
        </w:tc>
        <w:tc>
          <w:tcPr>
            <w:tcW w:w="699" w:type="dxa"/>
            <w:vAlign w:val="top"/>
          </w:tcPr>
          <w:p w14:paraId="36F567CC">
            <w:pPr>
              <w:spacing w:before="30"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99" w:type="dxa"/>
            <w:vAlign w:val="top"/>
          </w:tcPr>
          <w:p w14:paraId="37EABC92">
            <w:pPr>
              <w:spacing w:before="30"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64</w:t>
            </w:r>
          </w:p>
        </w:tc>
        <w:tc>
          <w:tcPr>
            <w:tcW w:w="699" w:type="dxa"/>
            <w:vAlign w:val="top"/>
          </w:tcPr>
          <w:p w14:paraId="489CC228">
            <w:pPr>
              <w:spacing w:before="30"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60.5</w:t>
            </w:r>
          </w:p>
        </w:tc>
        <w:tc>
          <w:tcPr>
            <w:tcW w:w="699" w:type="dxa"/>
            <w:vAlign w:val="top"/>
          </w:tcPr>
          <w:p w14:paraId="294825C6">
            <w:pPr>
              <w:spacing w:before="30"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704" w:type="dxa"/>
            <w:vAlign w:val="top"/>
          </w:tcPr>
          <w:p w14:paraId="42CE5A53">
            <w:pPr>
              <w:spacing w:before="30"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54.4</w:t>
            </w:r>
          </w:p>
        </w:tc>
      </w:tr>
      <w:tr w14:paraId="5E780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55" w:type="dxa"/>
            <w:vAlign w:val="top"/>
          </w:tcPr>
          <w:p w14:paraId="7561F0CC">
            <w:pPr>
              <w:pStyle w:val="6"/>
              <w:spacing w:before="62" w:line="228" w:lineRule="auto"/>
              <w:ind w:left="675"/>
            </w:pPr>
            <w:r>
              <w:rPr>
                <w:spacing w:val="4"/>
              </w:rPr>
              <w:t>空压机</w:t>
            </w:r>
          </w:p>
        </w:tc>
        <w:tc>
          <w:tcPr>
            <w:tcW w:w="699" w:type="dxa"/>
            <w:vAlign w:val="top"/>
          </w:tcPr>
          <w:p w14:paraId="4EE70994">
            <w:pPr>
              <w:spacing w:before="32"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w:t>
            </w:r>
          </w:p>
        </w:tc>
        <w:tc>
          <w:tcPr>
            <w:tcW w:w="699" w:type="dxa"/>
            <w:vAlign w:val="top"/>
          </w:tcPr>
          <w:p w14:paraId="088D6AEE">
            <w:pPr>
              <w:spacing w:before="3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699" w:type="dxa"/>
            <w:vAlign w:val="top"/>
          </w:tcPr>
          <w:p w14:paraId="64634095">
            <w:pPr>
              <w:spacing w:before="32"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699" w:type="dxa"/>
            <w:vAlign w:val="top"/>
          </w:tcPr>
          <w:p w14:paraId="78F74340">
            <w:pPr>
              <w:spacing w:before="32"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72.4</w:t>
            </w:r>
          </w:p>
        </w:tc>
        <w:tc>
          <w:tcPr>
            <w:tcW w:w="699" w:type="dxa"/>
            <w:vAlign w:val="top"/>
          </w:tcPr>
          <w:p w14:paraId="42EECE59">
            <w:pPr>
              <w:spacing w:before="3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69.9</w:t>
            </w:r>
          </w:p>
        </w:tc>
        <w:tc>
          <w:tcPr>
            <w:tcW w:w="699" w:type="dxa"/>
            <w:vAlign w:val="top"/>
          </w:tcPr>
          <w:p w14:paraId="4B6D00AF">
            <w:pPr>
              <w:spacing w:before="32"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699" w:type="dxa"/>
            <w:vAlign w:val="top"/>
          </w:tcPr>
          <w:p w14:paraId="1AFB79B2">
            <w:pPr>
              <w:spacing w:before="32"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699" w:type="dxa"/>
            <w:vAlign w:val="top"/>
          </w:tcPr>
          <w:p w14:paraId="24555B39">
            <w:pPr>
              <w:spacing w:before="32"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w:t>
            </w:r>
          </w:p>
        </w:tc>
        <w:tc>
          <w:tcPr>
            <w:tcW w:w="699" w:type="dxa"/>
            <w:vAlign w:val="top"/>
          </w:tcPr>
          <w:p w14:paraId="2F2E85F9">
            <w:pPr>
              <w:spacing w:before="32"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704" w:type="dxa"/>
            <w:vAlign w:val="top"/>
          </w:tcPr>
          <w:p w14:paraId="6917D834">
            <w:pPr>
              <w:spacing w:before="32"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52.4</w:t>
            </w:r>
          </w:p>
        </w:tc>
      </w:tr>
    </w:tbl>
    <w:p w14:paraId="016C386F">
      <w:pPr>
        <w:pStyle w:val="2"/>
        <w:spacing w:line="266" w:lineRule="auto"/>
      </w:pPr>
    </w:p>
    <w:p w14:paraId="3F1DBBCB">
      <w:pPr>
        <w:pStyle w:val="2"/>
        <w:spacing w:line="266" w:lineRule="auto"/>
      </w:pPr>
    </w:p>
    <w:p w14:paraId="070FFB61">
      <w:pPr>
        <w:spacing w:before="78" w:line="376" w:lineRule="auto"/>
        <w:ind w:left="123" w:right="113" w:firstLine="481"/>
        <w:jc w:val="both"/>
        <w:rPr>
          <w:rFonts w:ascii="宋体" w:hAnsi="宋体" w:eastAsia="宋体" w:cs="宋体"/>
          <w:sz w:val="24"/>
          <w:szCs w:val="24"/>
        </w:rPr>
      </w:pPr>
      <w:r>
        <w:rPr>
          <w:rFonts w:ascii="宋体" w:hAnsi="宋体" w:eastAsia="宋体" w:cs="宋体"/>
          <w:spacing w:val="2"/>
          <w:sz w:val="24"/>
          <w:szCs w:val="24"/>
        </w:rPr>
        <w:t>从上表可以看出，对于噪声级较高的施工设备，其噪声对周围的环境会产生一</w:t>
      </w:r>
      <w:r>
        <w:rPr>
          <w:rFonts w:ascii="宋体" w:hAnsi="宋体" w:eastAsia="宋体" w:cs="宋体"/>
          <w:spacing w:val="7"/>
          <w:sz w:val="24"/>
          <w:szCs w:val="24"/>
        </w:rPr>
        <w:t xml:space="preserve"> </w:t>
      </w:r>
      <w:r>
        <w:rPr>
          <w:rFonts w:ascii="宋体" w:hAnsi="宋体" w:eastAsia="宋体" w:cs="宋体"/>
          <w:spacing w:val="2"/>
          <w:sz w:val="24"/>
          <w:szCs w:val="24"/>
        </w:rPr>
        <w:t>定影响；另一方面，一般施工机械是在露天的环境中进行，通常的情况下无法进行</w:t>
      </w:r>
      <w:r>
        <w:rPr>
          <w:rFonts w:ascii="宋体" w:hAnsi="宋体" w:eastAsia="宋体" w:cs="宋体"/>
          <w:spacing w:val="5"/>
          <w:sz w:val="24"/>
          <w:szCs w:val="24"/>
        </w:rPr>
        <w:t xml:space="preserve"> </w:t>
      </w:r>
      <w:r>
        <w:rPr>
          <w:rFonts w:ascii="宋体" w:hAnsi="宋体" w:eastAsia="宋体" w:cs="宋体"/>
          <w:spacing w:val="-1"/>
          <w:sz w:val="24"/>
          <w:szCs w:val="24"/>
        </w:rPr>
        <w:t>密闭隔声处理，在施工期对周围的影响不可能完全避免。</w:t>
      </w:r>
    </w:p>
    <w:p w14:paraId="212CAA34">
      <w:pPr>
        <w:spacing w:before="6" w:line="371" w:lineRule="auto"/>
        <w:ind w:left="123" w:right="113" w:firstLine="478"/>
        <w:jc w:val="both"/>
        <w:rPr>
          <w:rFonts w:ascii="宋体" w:hAnsi="宋体" w:eastAsia="宋体" w:cs="宋体"/>
          <w:sz w:val="24"/>
          <w:szCs w:val="24"/>
        </w:rPr>
      </w:pPr>
      <w:r>
        <w:rPr>
          <w:rFonts w:ascii="宋体" w:hAnsi="宋体" w:eastAsia="宋体" w:cs="宋体"/>
          <w:spacing w:val="2"/>
          <w:sz w:val="24"/>
          <w:szCs w:val="24"/>
        </w:rPr>
        <w:t>施工噪声对环境的影响很大程度取决于施工点与敏感点的距离和施工时间，距</w:t>
      </w:r>
      <w:r>
        <w:rPr>
          <w:rFonts w:ascii="宋体" w:hAnsi="宋体" w:eastAsia="宋体" w:cs="宋体"/>
          <w:spacing w:val="11"/>
          <w:sz w:val="24"/>
          <w:szCs w:val="24"/>
        </w:rPr>
        <w:t xml:space="preserve"> </w:t>
      </w:r>
      <w:r>
        <w:rPr>
          <w:rFonts w:ascii="宋体" w:hAnsi="宋体" w:eastAsia="宋体" w:cs="宋体"/>
          <w:spacing w:val="2"/>
          <w:sz w:val="24"/>
          <w:szCs w:val="24"/>
        </w:rPr>
        <w:t>离越近，或在夜间施工时间越长，产生影响越大、越明显。施工机械噪声尽管只在</w:t>
      </w:r>
      <w:r>
        <w:rPr>
          <w:rFonts w:ascii="宋体" w:hAnsi="宋体" w:eastAsia="宋体" w:cs="宋体"/>
          <w:spacing w:val="5"/>
          <w:sz w:val="24"/>
          <w:szCs w:val="24"/>
        </w:rPr>
        <w:t xml:space="preserve"> </w:t>
      </w:r>
      <w:r>
        <w:rPr>
          <w:rFonts w:ascii="宋体" w:hAnsi="宋体" w:eastAsia="宋体" w:cs="宋体"/>
          <w:spacing w:val="2"/>
          <w:sz w:val="24"/>
          <w:szCs w:val="24"/>
        </w:rPr>
        <w:t>建设期间产生，而且随施工结束而消失，但是由于其具有冲击性、持续时间长并伴</w:t>
      </w:r>
      <w:r>
        <w:rPr>
          <w:rFonts w:ascii="宋体" w:hAnsi="宋体" w:eastAsia="宋体" w:cs="宋体"/>
          <w:spacing w:val="5"/>
          <w:sz w:val="24"/>
          <w:szCs w:val="24"/>
        </w:rPr>
        <w:t xml:space="preserve"> </w:t>
      </w:r>
      <w:r>
        <w:rPr>
          <w:rFonts w:ascii="宋体" w:hAnsi="宋体" w:eastAsia="宋体" w:cs="宋体"/>
          <w:spacing w:val="2"/>
          <w:sz w:val="24"/>
          <w:szCs w:val="24"/>
        </w:rPr>
        <w:t>有强烈震动，对环境的影响是不可忽略的。根据上表可见，白天施工时，若不进行</w:t>
      </w:r>
      <w:r>
        <w:rPr>
          <w:rFonts w:ascii="宋体" w:hAnsi="宋体" w:eastAsia="宋体" w:cs="宋体"/>
          <w:spacing w:val="5"/>
          <w:sz w:val="24"/>
          <w:szCs w:val="24"/>
        </w:rPr>
        <w:t xml:space="preserve"> </w:t>
      </w:r>
      <w:r>
        <w:rPr>
          <w:rFonts w:ascii="宋体" w:hAnsi="宋体" w:eastAsia="宋体" w:cs="宋体"/>
          <w:spacing w:val="1"/>
          <w:sz w:val="24"/>
          <w:szCs w:val="24"/>
        </w:rPr>
        <w:t>打桩作业，作业噪声超标范围在</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 xml:space="preserve">150 </w:t>
      </w:r>
      <w:r>
        <w:rPr>
          <w:rFonts w:ascii="宋体" w:hAnsi="宋体" w:eastAsia="宋体" w:cs="宋体"/>
          <w:spacing w:val="1"/>
          <w:sz w:val="24"/>
          <w:szCs w:val="24"/>
        </w:rPr>
        <w:t>米以内，若有打桩作业，打桩噪声超标范围达</w:t>
      </w:r>
      <w:r>
        <w:rPr>
          <w:rFonts w:ascii="宋体" w:hAnsi="宋体" w:eastAsia="宋体" w:cs="宋体"/>
          <w:sz w:val="24"/>
          <w:szCs w:val="24"/>
        </w:rPr>
        <w:t xml:space="preserve"> </w:t>
      </w:r>
      <w:r>
        <w:rPr>
          <w:rFonts w:ascii="Times New Roman" w:hAnsi="Times New Roman" w:eastAsia="Times New Roman" w:cs="Times New Roman"/>
          <w:spacing w:val="-4"/>
          <w:sz w:val="24"/>
          <w:szCs w:val="24"/>
        </w:rPr>
        <w:t>300m</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。夜间禁止打桩作业。</w:t>
      </w:r>
    </w:p>
    <w:p w14:paraId="2C9AEC1A">
      <w:pPr>
        <w:spacing w:line="358" w:lineRule="exact"/>
        <w:ind w:left="598"/>
        <w:outlineLvl w:val="0"/>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3"/>
          <w:position w:val="2"/>
          <w:sz w:val="24"/>
          <w:szCs w:val="24"/>
        </w:rPr>
        <w:t>、施工期间噪声影响评价</w:t>
      </w:r>
    </w:p>
    <w:p w14:paraId="696F48B7">
      <w:pPr>
        <w:spacing w:before="166" w:line="376" w:lineRule="auto"/>
        <w:ind w:left="124" w:right="113" w:firstLine="480"/>
        <w:jc w:val="both"/>
        <w:rPr>
          <w:rFonts w:ascii="宋体" w:hAnsi="宋体" w:eastAsia="宋体" w:cs="宋体"/>
          <w:sz w:val="24"/>
          <w:szCs w:val="24"/>
        </w:rPr>
      </w:pPr>
      <w:r>
        <w:rPr>
          <w:rFonts w:ascii="宋体" w:hAnsi="宋体" w:eastAsia="宋体" w:cs="宋体"/>
          <w:spacing w:val="2"/>
          <w:sz w:val="24"/>
          <w:szCs w:val="24"/>
        </w:rPr>
        <w:t>为了解本项目施工期产生的最大噪声值对外环境的影响程度，本次评价假设在</w:t>
      </w:r>
      <w:r>
        <w:rPr>
          <w:rFonts w:ascii="宋体" w:hAnsi="宋体" w:eastAsia="宋体" w:cs="宋体"/>
          <w:spacing w:val="7"/>
          <w:sz w:val="24"/>
          <w:szCs w:val="24"/>
        </w:rPr>
        <w:t xml:space="preserve"> </w:t>
      </w:r>
      <w:r>
        <w:rPr>
          <w:rFonts w:ascii="宋体" w:hAnsi="宋体" w:eastAsia="宋体" w:cs="宋体"/>
          <w:spacing w:val="2"/>
          <w:sz w:val="24"/>
          <w:szCs w:val="24"/>
        </w:rPr>
        <w:t>各施工阶段均有最高噪声值设备施工的前提下，选择各施工阶段多台噪声值最大的</w:t>
      </w:r>
      <w:r>
        <w:rPr>
          <w:rFonts w:ascii="宋体" w:hAnsi="宋体" w:eastAsia="宋体" w:cs="宋体"/>
          <w:spacing w:val="4"/>
          <w:sz w:val="24"/>
          <w:szCs w:val="24"/>
        </w:rPr>
        <w:t xml:space="preserve"> </w:t>
      </w:r>
      <w:r>
        <w:rPr>
          <w:rFonts w:ascii="宋体" w:hAnsi="宋体" w:eastAsia="宋体" w:cs="宋体"/>
          <w:spacing w:val="2"/>
          <w:sz w:val="24"/>
          <w:szCs w:val="24"/>
        </w:rPr>
        <w:t>设备同时使用，将所产生的噪声叠加之后预测对某个距离的总声压级。评价建议施</w:t>
      </w:r>
      <w:r>
        <w:rPr>
          <w:rFonts w:ascii="宋体" w:hAnsi="宋体" w:eastAsia="宋体" w:cs="宋体"/>
          <w:spacing w:val="4"/>
          <w:sz w:val="24"/>
          <w:szCs w:val="24"/>
        </w:rPr>
        <w:t xml:space="preserve"> </w:t>
      </w:r>
      <w:r>
        <w:rPr>
          <w:rFonts w:ascii="宋体" w:hAnsi="宋体" w:eastAsia="宋体" w:cs="宋体"/>
          <w:spacing w:val="2"/>
          <w:sz w:val="24"/>
          <w:szCs w:val="24"/>
        </w:rPr>
        <w:t>工单位应尽量避免在同一地点使用多台设备同时施工，必须同时施工时，大型机械</w:t>
      </w:r>
      <w:r>
        <w:rPr>
          <w:rFonts w:ascii="宋体" w:hAnsi="宋体" w:eastAsia="宋体" w:cs="宋体"/>
          <w:spacing w:val="4"/>
          <w:sz w:val="24"/>
          <w:szCs w:val="24"/>
        </w:rPr>
        <w:t xml:space="preserve"> </w:t>
      </w:r>
      <w:r>
        <w:rPr>
          <w:rFonts w:ascii="宋体" w:hAnsi="宋体" w:eastAsia="宋体" w:cs="宋体"/>
          <w:sz w:val="24"/>
          <w:szCs w:val="24"/>
        </w:rPr>
        <w:t>数量不应超过</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台，因此，评价选址</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台噪声值最大的施工</w:t>
      </w:r>
      <w:r>
        <w:rPr>
          <w:rFonts w:ascii="宋体" w:hAnsi="宋体" w:eastAsia="宋体" w:cs="宋体"/>
          <w:spacing w:val="-1"/>
          <w:sz w:val="24"/>
          <w:szCs w:val="24"/>
        </w:rPr>
        <w:t>设备同时使用时所产生</w:t>
      </w:r>
      <w:r>
        <w:rPr>
          <w:rFonts w:ascii="宋体" w:hAnsi="宋体" w:eastAsia="宋体" w:cs="宋体"/>
          <w:sz w:val="24"/>
          <w:szCs w:val="24"/>
        </w:rPr>
        <w:t xml:space="preserve"> </w:t>
      </w:r>
      <w:r>
        <w:rPr>
          <w:rFonts w:ascii="宋体" w:hAnsi="宋体" w:eastAsia="宋体" w:cs="宋体"/>
          <w:spacing w:val="-1"/>
          <w:sz w:val="24"/>
          <w:szCs w:val="24"/>
        </w:rPr>
        <w:t>的噪声叠加值来分析对某个距离的影响，具体预测值见表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5.1-7</w:t>
      </w:r>
      <w:r>
        <w:rPr>
          <w:rFonts w:ascii="宋体" w:hAnsi="宋体" w:eastAsia="宋体" w:cs="宋体"/>
          <w:spacing w:val="-1"/>
          <w:sz w:val="24"/>
          <w:szCs w:val="24"/>
        </w:rPr>
        <w:t>。</w:t>
      </w:r>
    </w:p>
    <w:p w14:paraId="38BCBC44">
      <w:pPr>
        <w:spacing w:line="220" w:lineRule="auto"/>
        <w:ind w:left="614"/>
        <w:rPr>
          <w:rFonts w:ascii="宋体" w:hAnsi="宋体" w:eastAsia="宋体" w:cs="宋体"/>
          <w:sz w:val="24"/>
          <w:szCs w:val="24"/>
        </w:rPr>
      </w:pPr>
      <w:r>
        <w:rPr>
          <w:rFonts w:ascii="宋体" w:hAnsi="宋体" w:eastAsia="宋体" w:cs="宋体"/>
          <w:spacing w:val="-2"/>
          <w:sz w:val="24"/>
          <w:szCs w:val="24"/>
        </w:rPr>
        <w:t>多个声源叠加后的总声压级，按下式计算：</w:t>
      </w:r>
    </w:p>
    <w:p w14:paraId="151471C2">
      <w:pPr>
        <w:spacing w:before="207" w:line="749" w:lineRule="exact"/>
        <w:ind w:left="3329"/>
      </w:pPr>
      <w:r>
        <w:rPr>
          <w:position w:val="-15"/>
        </w:rPr>
        <w:drawing>
          <wp:inline distT="0" distB="0" distL="0" distR="0">
            <wp:extent cx="1454785" cy="47561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26"/>
                    <a:stretch>
                      <a:fillRect/>
                    </a:stretch>
                  </pic:blipFill>
                  <pic:spPr>
                    <a:xfrm>
                      <a:off x="0" y="0"/>
                      <a:ext cx="1454899" cy="475690"/>
                    </a:xfrm>
                    <a:prstGeom prst="rect">
                      <a:avLst/>
                    </a:prstGeom>
                  </pic:spPr>
                </pic:pic>
              </a:graphicData>
            </a:graphic>
          </wp:inline>
        </w:drawing>
      </w:r>
    </w:p>
    <w:p w14:paraId="0C5C7600">
      <w:pPr>
        <w:spacing w:before="188" w:line="361" w:lineRule="exact"/>
        <w:ind w:left="607"/>
        <w:rPr>
          <w:rFonts w:ascii="宋体" w:hAnsi="宋体" w:eastAsia="宋体" w:cs="宋体"/>
          <w:sz w:val="24"/>
          <w:szCs w:val="24"/>
        </w:rPr>
      </w:pPr>
      <w:r>
        <w:rPr>
          <w:rFonts w:ascii="宋体" w:hAnsi="宋体" w:eastAsia="宋体" w:cs="宋体"/>
          <w:spacing w:val="-1"/>
          <w:position w:val="2"/>
          <w:sz w:val="24"/>
          <w:szCs w:val="24"/>
        </w:rPr>
        <w:t>式中：</w:t>
      </w:r>
      <w:r>
        <w:rPr>
          <w:rFonts w:ascii="Times New Roman" w:hAnsi="Times New Roman" w:eastAsia="Times New Roman" w:cs="Times New Roman"/>
          <w:spacing w:val="-1"/>
          <w:position w:val="2"/>
          <w:sz w:val="24"/>
          <w:szCs w:val="24"/>
        </w:rPr>
        <w:t>Lan—</w:t>
      </w:r>
      <w:r>
        <w:rPr>
          <w:rFonts w:ascii="宋体" w:hAnsi="宋体" w:eastAsia="宋体" w:cs="宋体"/>
          <w:spacing w:val="-1"/>
          <w:position w:val="2"/>
          <w:sz w:val="24"/>
          <w:szCs w:val="24"/>
        </w:rPr>
        <w:t>对于某点的总声压级，</w:t>
      </w:r>
      <w:r>
        <w:rPr>
          <w:rFonts w:ascii="Times New Roman" w:hAnsi="Times New Roman" w:eastAsia="Times New Roman" w:cs="Times New Roman"/>
          <w:spacing w:val="-1"/>
          <w:position w:val="2"/>
          <w:sz w:val="24"/>
          <w:szCs w:val="24"/>
        </w:rPr>
        <w:t>dB</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A</w:t>
      </w:r>
      <w:r>
        <w:rPr>
          <w:rFonts w:ascii="宋体" w:hAnsi="宋体" w:eastAsia="宋体" w:cs="宋体"/>
          <w:spacing w:val="2"/>
          <w:position w:val="2"/>
          <w:sz w:val="24"/>
          <w:szCs w:val="24"/>
        </w:rPr>
        <w:t>）；</w:t>
      </w:r>
    </w:p>
    <w:p w14:paraId="55B08165">
      <w:pPr>
        <w:spacing w:before="129" w:line="361" w:lineRule="exact"/>
        <w:ind w:left="1318"/>
        <w:rPr>
          <w:rFonts w:ascii="宋体" w:hAnsi="宋体" w:eastAsia="宋体" w:cs="宋体"/>
          <w:sz w:val="24"/>
          <w:szCs w:val="24"/>
        </w:rPr>
      </w:pPr>
      <w:r>
        <w:rPr>
          <w:rFonts w:ascii="Times New Roman" w:hAnsi="Times New Roman" w:eastAsia="Times New Roman" w:cs="Times New Roman"/>
          <w:spacing w:val="-1"/>
          <w:position w:val="2"/>
          <w:sz w:val="24"/>
          <w:szCs w:val="24"/>
        </w:rPr>
        <w:t>Li—</w:t>
      </w:r>
      <w:r>
        <w:rPr>
          <w:rFonts w:ascii="宋体" w:hAnsi="宋体" w:eastAsia="宋体" w:cs="宋体"/>
          <w:spacing w:val="-1"/>
          <w:position w:val="2"/>
          <w:sz w:val="24"/>
          <w:szCs w:val="24"/>
        </w:rPr>
        <w:t>各噪声点在该点的声级。</w:t>
      </w:r>
    </w:p>
    <w:p w14:paraId="32BA8942">
      <w:pPr>
        <w:spacing w:line="361" w:lineRule="exact"/>
        <w:rPr>
          <w:rFonts w:ascii="宋体" w:hAnsi="宋体" w:eastAsia="宋体" w:cs="宋体"/>
          <w:sz w:val="24"/>
          <w:szCs w:val="24"/>
        </w:rPr>
        <w:sectPr>
          <w:footerReference r:id="rId125" w:type="default"/>
          <w:pgSz w:w="11906" w:h="16839"/>
          <w:pgMar w:top="400" w:right="1475" w:bottom="1485" w:left="1475" w:header="0" w:footer="1249" w:gutter="0"/>
          <w:cols w:space="720" w:num="1"/>
        </w:sectPr>
      </w:pPr>
    </w:p>
    <w:p w14:paraId="72DA5807">
      <w:pPr>
        <w:pStyle w:val="2"/>
        <w:spacing w:line="271" w:lineRule="auto"/>
      </w:pPr>
    </w:p>
    <w:p w14:paraId="314FD4B7">
      <w:pPr>
        <w:pStyle w:val="2"/>
        <w:spacing w:line="271" w:lineRule="auto"/>
      </w:pPr>
    </w:p>
    <w:p w14:paraId="64FFFFAB">
      <w:pPr>
        <w:pStyle w:val="2"/>
        <w:spacing w:line="271" w:lineRule="auto"/>
      </w:pPr>
    </w:p>
    <w:p w14:paraId="38924882">
      <w:pPr>
        <w:pStyle w:val="2"/>
        <w:spacing w:line="271" w:lineRule="auto"/>
      </w:pPr>
    </w:p>
    <w:p w14:paraId="14ED6BBA">
      <w:pPr>
        <w:spacing w:before="65" w:line="228" w:lineRule="auto"/>
        <w:ind w:left="1651"/>
        <w:outlineLvl w:val="0"/>
        <w:rPr>
          <w:rFonts w:ascii="宋体" w:hAnsi="宋体" w:eastAsia="宋体" w:cs="宋体"/>
          <w:sz w:val="20"/>
          <w:szCs w:val="20"/>
        </w:rPr>
      </w:pPr>
      <w:r>
        <w:rPr>
          <w:rFonts w:ascii="Times New Roman" w:hAnsi="Times New Roman" w:eastAsia="Times New Roman" w:cs="Times New Roman"/>
          <w:b/>
          <w:bCs/>
          <w:spacing w:val="7"/>
          <w:sz w:val="20"/>
          <w:szCs w:val="20"/>
        </w:rPr>
        <w:t xml:space="preserve">5.1-5 </w:t>
      </w:r>
      <w:r>
        <w:rPr>
          <w:rFonts w:ascii="宋体" w:hAnsi="宋体" w:eastAsia="宋体" w:cs="宋体"/>
          <w:b/>
          <w:bCs/>
          <w:spacing w:val="7"/>
          <w:sz w:val="20"/>
          <w:szCs w:val="20"/>
        </w:rPr>
        <w:t>各种施工机械声源叠加后在不同距离的噪声值单位：</w:t>
      </w:r>
      <w:r>
        <w:rPr>
          <w:rFonts w:ascii="Times New Roman" w:hAnsi="Times New Roman" w:eastAsia="Times New Roman" w:cs="Times New Roman"/>
          <w:b/>
          <w:bCs/>
          <w:sz w:val="20"/>
          <w:szCs w:val="20"/>
        </w:rPr>
        <w:t>dB</w:t>
      </w:r>
      <w:r>
        <w:rPr>
          <w:rFonts w:ascii="宋体" w:hAnsi="宋体" w:eastAsia="宋体" w:cs="宋体"/>
          <w:b/>
          <w:bCs/>
          <w:spacing w:val="7"/>
          <w:sz w:val="20"/>
          <w:szCs w:val="20"/>
        </w:rPr>
        <w:t>（</w:t>
      </w:r>
      <w:r>
        <w:rPr>
          <w:rFonts w:ascii="Times New Roman" w:hAnsi="Times New Roman" w:eastAsia="Times New Roman" w:cs="Times New Roman"/>
          <w:b/>
          <w:bCs/>
          <w:spacing w:val="7"/>
          <w:sz w:val="20"/>
          <w:szCs w:val="20"/>
        </w:rPr>
        <w:t>A</w:t>
      </w:r>
      <w:r>
        <w:rPr>
          <w:rFonts w:ascii="宋体" w:hAnsi="宋体" w:eastAsia="宋体" w:cs="宋体"/>
          <w:b/>
          <w:bCs/>
          <w:spacing w:val="7"/>
          <w:sz w:val="20"/>
          <w:szCs w:val="20"/>
        </w:rPr>
        <w:t>）</w:t>
      </w:r>
    </w:p>
    <w:p w14:paraId="16F372C4">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1133"/>
        <w:gridCol w:w="714"/>
        <w:gridCol w:w="713"/>
        <w:gridCol w:w="714"/>
        <w:gridCol w:w="714"/>
        <w:gridCol w:w="714"/>
        <w:gridCol w:w="714"/>
        <w:gridCol w:w="713"/>
        <w:gridCol w:w="714"/>
        <w:gridCol w:w="719"/>
      </w:tblGrid>
      <w:tr w14:paraId="4E4DB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388" w:type="dxa"/>
            <w:tcBorders>
              <w:tl2br w:val="single" w:color="000000" w:sz="4" w:space="0"/>
            </w:tcBorders>
            <w:vAlign w:val="top"/>
          </w:tcPr>
          <w:p w14:paraId="65BD79C9">
            <w:pPr>
              <w:pStyle w:val="6"/>
              <w:spacing w:before="62" w:line="271" w:lineRule="auto"/>
              <w:ind w:left="282" w:right="200" w:hanging="90"/>
            </w:pPr>
            <w:r>
              <w:rPr>
                <w:b/>
                <w:bCs/>
                <w:spacing w:val="2"/>
              </w:rPr>
              <w:t>距离（</w:t>
            </w:r>
            <w:r>
              <w:rPr>
                <w:rFonts w:ascii="Times New Roman" w:hAnsi="Times New Roman" w:eastAsia="Times New Roman" w:cs="Times New Roman"/>
                <w:b/>
                <w:bCs/>
                <w:spacing w:val="2"/>
              </w:rPr>
              <w:t>m</w:t>
            </w:r>
            <w:r>
              <w:rPr>
                <w:b/>
                <w:bCs/>
                <w:spacing w:val="2"/>
              </w:rPr>
              <w:t>）</w:t>
            </w:r>
            <w:r>
              <w:rPr>
                <w:spacing w:val="3"/>
              </w:rPr>
              <w:t xml:space="preserve"> </w:t>
            </w:r>
            <w:r>
              <w:rPr>
                <w:b/>
                <w:bCs/>
                <w:spacing w:val="5"/>
              </w:rPr>
              <w:t>设备名称</w:t>
            </w:r>
          </w:p>
        </w:tc>
        <w:tc>
          <w:tcPr>
            <w:tcW w:w="1133" w:type="dxa"/>
            <w:vAlign w:val="top"/>
          </w:tcPr>
          <w:p w14:paraId="4F581D39">
            <w:pPr>
              <w:pStyle w:val="6"/>
              <w:spacing w:before="62" w:line="228" w:lineRule="auto"/>
              <w:ind w:left="156"/>
            </w:pPr>
            <w:r>
              <w:rPr>
                <w:b/>
                <w:bCs/>
                <w:spacing w:val="5"/>
              </w:rPr>
              <w:t>声级测值</w:t>
            </w:r>
          </w:p>
          <w:p w14:paraId="1BCC04F3">
            <w:pPr>
              <w:pStyle w:val="6"/>
              <w:spacing w:before="78" w:line="233" w:lineRule="auto"/>
              <w:ind w:left="123"/>
            </w:pPr>
            <w:r>
              <w:rPr>
                <w:b/>
                <w:bCs/>
                <w:spacing w:val="-2"/>
              </w:rPr>
              <w:t>（</w:t>
            </w:r>
            <w:r>
              <w:rPr>
                <w:rFonts w:ascii="Times New Roman" w:hAnsi="Times New Roman" w:eastAsia="Times New Roman" w:cs="Times New Roman"/>
                <w:b/>
                <w:bCs/>
                <w:spacing w:val="-2"/>
              </w:rPr>
              <w:t>5m</w:t>
            </w:r>
            <w:r>
              <w:rPr>
                <w:rFonts w:ascii="Times New Roman" w:hAnsi="Times New Roman" w:eastAsia="Times New Roman" w:cs="Times New Roman"/>
                <w:b/>
                <w:bCs/>
                <w:spacing w:val="19"/>
              </w:rPr>
              <w:t xml:space="preserve"> </w:t>
            </w:r>
            <w:r>
              <w:rPr>
                <w:b/>
                <w:bCs/>
                <w:spacing w:val="-2"/>
              </w:rPr>
              <w:t>处）</w:t>
            </w:r>
          </w:p>
        </w:tc>
        <w:tc>
          <w:tcPr>
            <w:tcW w:w="714" w:type="dxa"/>
            <w:vAlign w:val="top"/>
          </w:tcPr>
          <w:p w14:paraId="1D3D15A3">
            <w:pPr>
              <w:spacing w:before="261" w:line="195" w:lineRule="auto"/>
              <w:ind w:left="26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713" w:type="dxa"/>
            <w:vAlign w:val="top"/>
          </w:tcPr>
          <w:p w14:paraId="73851321">
            <w:pPr>
              <w:spacing w:before="261" w:line="195" w:lineRule="auto"/>
              <w:ind w:left="26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714" w:type="dxa"/>
            <w:vAlign w:val="top"/>
          </w:tcPr>
          <w:p w14:paraId="76429284">
            <w:pPr>
              <w:spacing w:before="261" w:line="195" w:lineRule="auto"/>
              <w:ind w:left="25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714" w:type="dxa"/>
            <w:vAlign w:val="top"/>
          </w:tcPr>
          <w:p w14:paraId="5BB23C90">
            <w:pPr>
              <w:spacing w:before="261" w:line="195" w:lineRule="auto"/>
              <w:ind w:left="25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45</w:t>
            </w:r>
          </w:p>
        </w:tc>
        <w:tc>
          <w:tcPr>
            <w:tcW w:w="714" w:type="dxa"/>
            <w:vAlign w:val="top"/>
          </w:tcPr>
          <w:p w14:paraId="7D491679">
            <w:pPr>
              <w:spacing w:before="261" w:line="195" w:lineRule="auto"/>
              <w:ind w:left="25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714" w:type="dxa"/>
            <w:vAlign w:val="top"/>
          </w:tcPr>
          <w:p w14:paraId="5FB2CC33">
            <w:pPr>
              <w:spacing w:before="261" w:line="195" w:lineRule="auto"/>
              <w:ind w:left="25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80</w:t>
            </w:r>
          </w:p>
        </w:tc>
        <w:tc>
          <w:tcPr>
            <w:tcW w:w="713" w:type="dxa"/>
            <w:vAlign w:val="top"/>
          </w:tcPr>
          <w:p w14:paraId="518CA945">
            <w:pPr>
              <w:spacing w:before="261" w:line="195" w:lineRule="auto"/>
              <w:ind w:left="21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714" w:type="dxa"/>
            <w:vAlign w:val="top"/>
          </w:tcPr>
          <w:p w14:paraId="2096B68E">
            <w:pPr>
              <w:spacing w:before="261" w:line="195" w:lineRule="auto"/>
              <w:ind w:left="21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719" w:type="dxa"/>
            <w:vAlign w:val="top"/>
          </w:tcPr>
          <w:p w14:paraId="513F1F49">
            <w:pPr>
              <w:spacing w:before="261" w:line="195" w:lineRule="auto"/>
              <w:ind w:left="20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r>
      <w:tr w14:paraId="3C76F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57B5CFDC">
            <w:pPr>
              <w:pStyle w:val="6"/>
              <w:spacing w:before="59" w:line="228" w:lineRule="auto"/>
              <w:ind w:left="385"/>
            </w:pPr>
            <w:r>
              <w:rPr>
                <w:spacing w:val="6"/>
              </w:rPr>
              <w:t>装载机</w:t>
            </w:r>
          </w:p>
        </w:tc>
        <w:tc>
          <w:tcPr>
            <w:tcW w:w="1133" w:type="dxa"/>
            <w:vAlign w:val="top"/>
          </w:tcPr>
          <w:p w14:paraId="5A13A8AE">
            <w:pPr>
              <w:spacing w:before="28"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91</w:t>
            </w:r>
          </w:p>
        </w:tc>
        <w:tc>
          <w:tcPr>
            <w:tcW w:w="714" w:type="dxa"/>
            <w:vMerge w:val="restart"/>
            <w:tcBorders>
              <w:bottom w:val="nil"/>
            </w:tcBorders>
            <w:vAlign w:val="top"/>
          </w:tcPr>
          <w:p w14:paraId="7155DE4A">
            <w:pPr>
              <w:spacing w:line="467" w:lineRule="auto"/>
              <w:rPr>
                <w:rFonts w:ascii="Arial"/>
                <w:sz w:val="21"/>
              </w:rPr>
            </w:pPr>
          </w:p>
          <w:p w14:paraId="77211AD9">
            <w:pPr>
              <w:spacing w:before="5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91.3</w:t>
            </w:r>
          </w:p>
        </w:tc>
        <w:tc>
          <w:tcPr>
            <w:tcW w:w="713" w:type="dxa"/>
            <w:vMerge w:val="restart"/>
            <w:tcBorders>
              <w:bottom w:val="nil"/>
            </w:tcBorders>
            <w:vAlign w:val="top"/>
          </w:tcPr>
          <w:p w14:paraId="7B20A01D">
            <w:pPr>
              <w:spacing w:line="467" w:lineRule="auto"/>
              <w:rPr>
                <w:rFonts w:ascii="Arial"/>
                <w:sz w:val="21"/>
              </w:rPr>
            </w:pPr>
          </w:p>
          <w:p w14:paraId="73B921A4">
            <w:pPr>
              <w:spacing w:before="58"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85.3</w:t>
            </w:r>
          </w:p>
        </w:tc>
        <w:tc>
          <w:tcPr>
            <w:tcW w:w="714" w:type="dxa"/>
            <w:vMerge w:val="restart"/>
            <w:tcBorders>
              <w:bottom w:val="nil"/>
            </w:tcBorders>
            <w:vAlign w:val="top"/>
          </w:tcPr>
          <w:p w14:paraId="1FEE9680">
            <w:pPr>
              <w:spacing w:line="467" w:lineRule="auto"/>
              <w:rPr>
                <w:rFonts w:ascii="Arial"/>
                <w:sz w:val="21"/>
              </w:rPr>
            </w:pPr>
          </w:p>
          <w:p w14:paraId="48DEE106">
            <w:pPr>
              <w:spacing w:before="58"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81.7</w:t>
            </w:r>
          </w:p>
        </w:tc>
        <w:tc>
          <w:tcPr>
            <w:tcW w:w="714" w:type="dxa"/>
            <w:vMerge w:val="restart"/>
            <w:tcBorders>
              <w:bottom w:val="nil"/>
            </w:tcBorders>
            <w:vAlign w:val="top"/>
          </w:tcPr>
          <w:p w14:paraId="38770D06">
            <w:pPr>
              <w:spacing w:line="467" w:lineRule="auto"/>
              <w:rPr>
                <w:rFonts w:ascii="Arial"/>
                <w:sz w:val="21"/>
              </w:rPr>
            </w:pPr>
          </w:p>
          <w:p w14:paraId="70784780">
            <w:pPr>
              <w:spacing w:before="58"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79.2</w:t>
            </w:r>
          </w:p>
        </w:tc>
        <w:tc>
          <w:tcPr>
            <w:tcW w:w="714" w:type="dxa"/>
            <w:vMerge w:val="restart"/>
            <w:tcBorders>
              <w:bottom w:val="nil"/>
            </w:tcBorders>
            <w:vAlign w:val="top"/>
          </w:tcPr>
          <w:p w14:paraId="60A4C3CE">
            <w:pPr>
              <w:spacing w:line="467" w:lineRule="auto"/>
              <w:rPr>
                <w:rFonts w:ascii="Arial"/>
                <w:sz w:val="21"/>
              </w:rPr>
            </w:pPr>
          </w:p>
          <w:p w14:paraId="3A308364">
            <w:pPr>
              <w:spacing w:before="5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77.3</w:t>
            </w:r>
          </w:p>
        </w:tc>
        <w:tc>
          <w:tcPr>
            <w:tcW w:w="714" w:type="dxa"/>
            <w:vMerge w:val="restart"/>
            <w:tcBorders>
              <w:bottom w:val="nil"/>
            </w:tcBorders>
            <w:vAlign w:val="top"/>
          </w:tcPr>
          <w:p w14:paraId="57D5C26C">
            <w:pPr>
              <w:spacing w:line="467" w:lineRule="auto"/>
              <w:rPr>
                <w:rFonts w:ascii="Arial"/>
                <w:sz w:val="21"/>
              </w:rPr>
            </w:pPr>
          </w:p>
          <w:p w14:paraId="0CE0FD9D">
            <w:pPr>
              <w:spacing w:before="58"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73.2</w:t>
            </w:r>
          </w:p>
        </w:tc>
        <w:tc>
          <w:tcPr>
            <w:tcW w:w="713" w:type="dxa"/>
            <w:vMerge w:val="restart"/>
            <w:tcBorders>
              <w:bottom w:val="nil"/>
            </w:tcBorders>
            <w:vAlign w:val="top"/>
          </w:tcPr>
          <w:p w14:paraId="4A19D54C">
            <w:pPr>
              <w:spacing w:line="467" w:lineRule="auto"/>
              <w:rPr>
                <w:rFonts w:ascii="Arial"/>
                <w:sz w:val="21"/>
              </w:rPr>
            </w:pPr>
          </w:p>
          <w:p w14:paraId="7FD1594B">
            <w:pPr>
              <w:spacing w:before="5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71.3</w:t>
            </w:r>
          </w:p>
        </w:tc>
        <w:tc>
          <w:tcPr>
            <w:tcW w:w="714" w:type="dxa"/>
            <w:vMerge w:val="restart"/>
            <w:tcBorders>
              <w:bottom w:val="nil"/>
            </w:tcBorders>
            <w:vAlign w:val="top"/>
          </w:tcPr>
          <w:p w14:paraId="0F8DD19B">
            <w:pPr>
              <w:spacing w:line="467" w:lineRule="auto"/>
              <w:rPr>
                <w:rFonts w:ascii="Arial"/>
                <w:sz w:val="21"/>
              </w:rPr>
            </w:pPr>
          </w:p>
          <w:p w14:paraId="2EEFC011">
            <w:pPr>
              <w:spacing w:before="58"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67.8</w:t>
            </w:r>
          </w:p>
        </w:tc>
        <w:tc>
          <w:tcPr>
            <w:tcW w:w="719" w:type="dxa"/>
            <w:vMerge w:val="restart"/>
            <w:tcBorders>
              <w:bottom w:val="nil"/>
            </w:tcBorders>
            <w:vAlign w:val="top"/>
          </w:tcPr>
          <w:p w14:paraId="50325726">
            <w:pPr>
              <w:spacing w:line="467" w:lineRule="auto"/>
              <w:rPr>
                <w:rFonts w:ascii="Arial"/>
                <w:sz w:val="21"/>
              </w:rPr>
            </w:pPr>
          </w:p>
          <w:p w14:paraId="3356014D">
            <w:pPr>
              <w:spacing w:before="58"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65.3</w:t>
            </w:r>
          </w:p>
        </w:tc>
      </w:tr>
      <w:tr w14:paraId="2236F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18574317">
            <w:pPr>
              <w:pStyle w:val="6"/>
              <w:spacing w:before="60" w:line="229" w:lineRule="auto"/>
              <w:ind w:left="280"/>
            </w:pPr>
            <w:r>
              <w:rPr>
                <w:spacing w:val="7"/>
              </w:rPr>
              <w:t>木工电锯</w:t>
            </w:r>
          </w:p>
        </w:tc>
        <w:tc>
          <w:tcPr>
            <w:tcW w:w="1133" w:type="dxa"/>
            <w:vAlign w:val="top"/>
          </w:tcPr>
          <w:p w14:paraId="5D952F40">
            <w:pPr>
              <w:spacing w:before="29"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c>
          <w:tcPr>
            <w:tcW w:w="714" w:type="dxa"/>
            <w:vMerge w:val="continue"/>
            <w:tcBorders>
              <w:top w:val="nil"/>
              <w:bottom w:val="nil"/>
            </w:tcBorders>
            <w:vAlign w:val="top"/>
          </w:tcPr>
          <w:p w14:paraId="0C1982DC">
            <w:pPr>
              <w:rPr>
                <w:rFonts w:ascii="Arial"/>
                <w:sz w:val="21"/>
              </w:rPr>
            </w:pPr>
          </w:p>
        </w:tc>
        <w:tc>
          <w:tcPr>
            <w:tcW w:w="713" w:type="dxa"/>
            <w:vMerge w:val="continue"/>
            <w:tcBorders>
              <w:top w:val="nil"/>
              <w:bottom w:val="nil"/>
            </w:tcBorders>
            <w:vAlign w:val="top"/>
          </w:tcPr>
          <w:p w14:paraId="5A567022">
            <w:pPr>
              <w:rPr>
                <w:rFonts w:ascii="Arial"/>
                <w:sz w:val="21"/>
              </w:rPr>
            </w:pPr>
          </w:p>
        </w:tc>
        <w:tc>
          <w:tcPr>
            <w:tcW w:w="714" w:type="dxa"/>
            <w:vMerge w:val="continue"/>
            <w:tcBorders>
              <w:top w:val="nil"/>
              <w:bottom w:val="nil"/>
            </w:tcBorders>
            <w:vAlign w:val="top"/>
          </w:tcPr>
          <w:p w14:paraId="15CEBC3B">
            <w:pPr>
              <w:rPr>
                <w:rFonts w:ascii="Arial"/>
                <w:sz w:val="21"/>
              </w:rPr>
            </w:pPr>
          </w:p>
        </w:tc>
        <w:tc>
          <w:tcPr>
            <w:tcW w:w="714" w:type="dxa"/>
            <w:vMerge w:val="continue"/>
            <w:tcBorders>
              <w:top w:val="nil"/>
              <w:bottom w:val="nil"/>
            </w:tcBorders>
            <w:vAlign w:val="top"/>
          </w:tcPr>
          <w:p w14:paraId="57AC33F0">
            <w:pPr>
              <w:rPr>
                <w:rFonts w:ascii="Arial"/>
                <w:sz w:val="21"/>
              </w:rPr>
            </w:pPr>
          </w:p>
        </w:tc>
        <w:tc>
          <w:tcPr>
            <w:tcW w:w="714" w:type="dxa"/>
            <w:vMerge w:val="continue"/>
            <w:tcBorders>
              <w:top w:val="nil"/>
              <w:bottom w:val="nil"/>
            </w:tcBorders>
            <w:vAlign w:val="top"/>
          </w:tcPr>
          <w:p w14:paraId="50C9AA95">
            <w:pPr>
              <w:rPr>
                <w:rFonts w:ascii="Arial"/>
                <w:sz w:val="21"/>
              </w:rPr>
            </w:pPr>
          </w:p>
        </w:tc>
        <w:tc>
          <w:tcPr>
            <w:tcW w:w="714" w:type="dxa"/>
            <w:vMerge w:val="continue"/>
            <w:tcBorders>
              <w:top w:val="nil"/>
              <w:bottom w:val="nil"/>
            </w:tcBorders>
            <w:vAlign w:val="top"/>
          </w:tcPr>
          <w:p w14:paraId="410C5248">
            <w:pPr>
              <w:rPr>
                <w:rFonts w:ascii="Arial"/>
                <w:sz w:val="21"/>
              </w:rPr>
            </w:pPr>
          </w:p>
        </w:tc>
        <w:tc>
          <w:tcPr>
            <w:tcW w:w="713" w:type="dxa"/>
            <w:vMerge w:val="continue"/>
            <w:tcBorders>
              <w:top w:val="nil"/>
              <w:bottom w:val="nil"/>
            </w:tcBorders>
            <w:vAlign w:val="top"/>
          </w:tcPr>
          <w:p w14:paraId="451DCC4D">
            <w:pPr>
              <w:rPr>
                <w:rFonts w:ascii="Arial"/>
                <w:sz w:val="21"/>
              </w:rPr>
            </w:pPr>
          </w:p>
        </w:tc>
        <w:tc>
          <w:tcPr>
            <w:tcW w:w="714" w:type="dxa"/>
            <w:vMerge w:val="continue"/>
            <w:tcBorders>
              <w:top w:val="nil"/>
              <w:bottom w:val="nil"/>
            </w:tcBorders>
            <w:vAlign w:val="top"/>
          </w:tcPr>
          <w:p w14:paraId="7BC69859">
            <w:pPr>
              <w:rPr>
                <w:rFonts w:ascii="Arial"/>
                <w:sz w:val="21"/>
              </w:rPr>
            </w:pPr>
          </w:p>
        </w:tc>
        <w:tc>
          <w:tcPr>
            <w:tcW w:w="719" w:type="dxa"/>
            <w:vMerge w:val="continue"/>
            <w:tcBorders>
              <w:top w:val="nil"/>
              <w:bottom w:val="nil"/>
            </w:tcBorders>
            <w:vAlign w:val="top"/>
          </w:tcPr>
          <w:p w14:paraId="331CF090">
            <w:pPr>
              <w:rPr>
                <w:rFonts w:ascii="Arial"/>
                <w:sz w:val="21"/>
              </w:rPr>
            </w:pPr>
          </w:p>
        </w:tc>
      </w:tr>
      <w:tr w14:paraId="4D01D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388" w:type="dxa"/>
            <w:vAlign w:val="top"/>
          </w:tcPr>
          <w:p w14:paraId="567D7C3B">
            <w:pPr>
              <w:pStyle w:val="6"/>
              <w:spacing w:before="61" w:line="228" w:lineRule="auto"/>
              <w:ind w:left="122"/>
            </w:pPr>
            <w:r>
              <w:rPr>
                <w:spacing w:val="-9"/>
              </w:rPr>
              <w:t>云石机、角磨</w:t>
            </w:r>
          </w:p>
          <w:p w14:paraId="1C8F6994">
            <w:pPr>
              <w:pStyle w:val="6"/>
              <w:spacing w:before="79" w:line="228" w:lineRule="auto"/>
              <w:ind w:left="593"/>
            </w:pPr>
            <w:r>
              <w:rPr>
                <w:spacing w:val="1"/>
              </w:rPr>
              <w:t>机</w:t>
            </w:r>
          </w:p>
        </w:tc>
        <w:tc>
          <w:tcPr>
            <w:tcW w:w="1133" w:type="dxa"/>
            <w:vAlign w:val="top"/>
          </w:tcPr>
          <w:p w14:paraId="1E2868DF">
            <w:pPr>
              <w:spacing w:before="194" w:line="274"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714" w:type="dxa"/>
            <w:vMerge w:val="continue"/>
            <w:tcBorders>
              <w:top w:val="nil"/>
            </w:tcBorders>
            <w:vAlign w:val="top"/>
          </w:tcPr>
          <w:p w14:paraId="1B4EC5A9">
            <w:pPr>
              <w:rPr>
                <w:rFonts w:ascii="Arial"/>
                <w:sz w:val="21"/>
              </w:rPr>
            </w:pPr>
          </w:p>
        </w:tc>
        <w:tc>
          <w:tcPr>
            <w:tcW w:w="713" w:type="dxa"/>
            <w:vMerge w:val="continue"/>
            <w:tcBorders>
              <w:top w:val="nil"/>
            </w:tcBorders>
            <w:vAlign w:val="top"/>
          </w:tcPr>
          <w:p w14:paraId="358EC1ED">
            <w:pPr>
              <w:rPr>
                <w:rFonts w:ascii="Arial"/>
                <w:sz w:val="21"/>
              </w:rPr>
            </w:pPr>
          </w:p>
        </w:tc>
        <w:tc>
          <w:tcPr>
            <w:tcW w:w="714" w:type="dxa"/>
            <w:vMerge w:val="continue"/>
            <w:tcBorders>
              <w:top w:val="nil"/>
            </w:tcBorders>
            <w:vAlign w:val="top"/>
          </w:tcPr>
          <w:p w14:paraId="58013397">
            <w:pPr>
              <w:rPr>
                <w:rFonts w:ascii="Arial"/>
                <w:sz w:val="21"/>
              </w:rPr>
            </w:pPr>
          </w:p>
        </w:tc>
        <w:tc>
          <w:tcPr>
            <w:tcW w:w="714" w:type="dxa"/>
            <w:vMerge w:val="continue"/>
            <w:tcBorders>
              <w:top w:val="nil"/>
            </w:tcBorders>
            <w:vAlign w:val="top"/>
          </w:tcPr>
          <w:p w14:paraId="433FAA1E">
            <w:pPr>
              <w:rPr>
                <w:rFonts w:ascii="Arial"/>
                <w:sz w:val="21"/>
              </w:rPr>
            </w:pPr>
          </w:p>
        </w:tc>
        <w:tc>
          <w:tcPr>
            <w:tcW w:w="714" w:type="dxa"/>
            <w:vMerge w:val="continue"/>
            <w:tcBorders>
              <w:top w:val="nil"/>
            </w:tcBorders>
            <w:vAlign w:val="top"/>
          </w:tcPr>
          <w:p w14:paraId="21355680">
            <w:pPr>
              <w:rPr>
                <w:rFonts w:ascii="Arial"/>
                <w:sz w:val="21"/>
              </w:rPr>
            </w:pPr>
          </w:p>
        </w:tc>
        <w:tc>
          <w:tcPr>
            <w:tcW w:w="714" w:type="dxa"/>
            <w:vMerge w:val="continue"/>
            <w:tcBorders>
              <w:top w:val="nil"/>
            </w:tcBorders>
            <w:vAlign w:val="top"/>
          </w:tcPr>
          <w:p w14:paraId="6F77C33F">
            <w:pPr>
              <w:rPr>
                <w:rFonts w:ascii="Arial"/>
                <w:sz w:val="21"/>
              </w:rPr>
            </w:pPr>
          </w:p>
        </w:tc>
        <w:tc>
          <w:tcPr>
            <w:tcW w:w="713" w:type="dxa"/>
            <w:vMerge w:val="continue"/>
            <w:tcBorders>
              <w:top w:val="nil"/>
            </w:tcBorders>
            <w:vAlign w:val="top"/>
          </w:tcPr>
          <w:p w14:paraId="7B63CE67">
            <w:pPr>
              <w:rPr>
                <w:rFonts w:ascii="Arial"/>
                <w:sz w:val="21"/>
              </w:rPr>
            </w:pPr>
          </w:p>
        </w:tc>
        <w:tc>
          <w:tcPr>
            <w:tcW w:w="714" w:type="dxa"/>
            <w:vMerge w:val="continue"/>
            <w:tcBorders>
              <w:top w:val="nil"/>
            </w:tcBorders>
            <w:vAlign w:val="top"/>
          </w:tcPr>
          <w:p w14:paraId="7985AA9E">
            <w:pPr>
              <w:rPr>
                <w:rFonts w:ascii="Arial"/>
                <w:sz w:val="21"/>
              </w:rPr>
            </w:pPr>
          </w:p>
        </w:tc>
        <w:tc>
          <w:tcPr>
            <w:tcW w:w="719" w:type="dxa"/>
            <w:vMerge w:val="continue"/>
            <w:tcBorders>
              <w:top w:val="nil"/>
            </w:tcBorders>
            <w:vAlign w:val="top"/>
          </w:tcPr>
          <w:p w14:paraId="45928027">
            <w:pPr>
              <w:rPr>
                <w:rFonts w:ascii="Arial"/>
                <w:sz w:val="21"/>
              </w:rPr>
            </w:pPr>
          </w:p>
        </w:tc>
      </w:tr>
    </w:tbl>
    <w:p w14:paraId="7D6EABA4">
      <w:pPr>
        <w:spacing w:before="291" w:line="371" w:lineRule="auto"/>
        <w:ind w:left="122" w:right="103" w:firstLine="480"/>
        <w:jc w:val="both"/>
        <w:rPr>
          <w:rFonts w:ascii="宋体" w:hAnsi="宋体" w:eastAsia="宋体" w:cs="宋体"/>
          <w:sz w:val="24"/>
          <w:szCs w:val="24"/>
        </w:rPr>
      </w:pPr>
      <w:r>
        <w:rPr>
          <w:rFonts w:ascii="宋体" w:hAnsi="宋体" w:eastAsia="宋体" w:cs="宋体"/>
          <w:spacing w:val="2"/>
          <w:sz w:val="24"/>
          <w:szCs w:val="24"/>
        </w:rPr>
        <w:t>施工单位应采取低噪型施工设备，并在施工厂界四周设置围挡，一般围墙噪声</w:t>
      </w:r>
      <w:r>
        <w:rPr>
          <w:rFonts w:ascii="宋体" w:hAnsi="宋体" w:eastAsia="宋体" w:cs="宋体"/>
          <w:spacing w:val="11"/>
          <w:sz w:val="24"/>
          <w:szCs w:val="24"/>
        </w:rPr>
        <w:t xml:space="preserve"> </w:t>
      </w:r>
      <w:r>
        <w:rPr>
          <w:rFonts w:ascii="宋体" w:hAnsi="宋体" w:eastAsia="宋体" w:cs="宋体"/>
          <w:sz w:val="24"/>
          <w:szCs w:val="24"/>
        </w:rPr>
        <w:t>的隔声值为</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10dB(A)</w:t>
      </w:r>
      <w:r>
        <w:rPr>
          <w:rFonts w:ascii="宋体" w:hAnsi="宋体" w:eastAsia="宋体" w:cs="宋体"/>
          <w:sz w:val="24"/>
          <w:szCs w:val="24"/>
        </w:rPr>
        <w:t>（本项目预测取</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10dB(A)</w:t>
      </w:r>
      <w:r>
        <w:rPr>
          <w:rFonts w:ascii="宋体" w:hAnsi="宋体" w:eastAsia="宋体" w:cs="宋体"/>
          <w:spacing w:val="11"/>
          <w:sz w:val="24"/>
          <w:szCs w:val="24"/>
        </w:rPr>
        <w:t>），</w:t>
      </w:r>
      <w:r>
        <w:rPr>
          <w:rFonts w:ascii="宋体" w:hAnsi="宋体" w:eastAsia="宋体" w:cs="宋体"/>
          <w:spacing w:val="-1"/>
          <w:sz w:val="24"/>
          <w:szCs w:val="24"/>
        </w:rPr>
        <w:t>树木遮挡可降低</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3~5dB(A)</w:t>
      </w:r>
      <w:r>
        <w:rPr>
          <w:rFonts w:ascii="宋体" w:hAnsi="宋体" w:eastAsia="宋体" w:cs="宋体"/>
          <w:spacing w:val="-1"/>
          <w:sz w:val="24"/>
          <w:szCs w:val="24"/>
        </w:rPr>
        <w:t>（本</w:t>
      </w:r>
      <w:r>
        <w:rPr>
          <w:rFonts w:ascii="宋体" w:hAnsi="宋体" w:eastAsia="宋体" w:cs="宋体"/>
          <w:sz w:val="24"/>
          <w:szCs w:val="24"/>
        </w:rPr>
        <w:t xml:space="preserve"> 项目预测取</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3dB(A)</w:t>
      </w:r>
      <w:r>
        <w:rPr>
          <w:rFonts w:ascii="宋体" w:hAnsi="宋体" w:eastAsia="宋体" w:cs="宋体"/>
          <w:spacing w:val="5"/>
          <w:sz w:val="24"/>
          <w:szCs w:val="24"/>
        </w:rPr>
        <w:t>），</w:t>
      </w:r>
      <w:r>
        <w:rPr>
          <w:rFonts w:ascii="宋体" w:hAnsi="宋体" w:eastAsia="宋体" w:cs="宋体"/>
          <w:sz w:val="24"/>
          <w:szCs w:val="24"/>
        </w:rPr>
        <w:t>在采取上述措施后，项目施工设</w:t>
      </w:r>
      <w:r>
        <w:rPr>
          <w:rFonts w:ascii="宋体" w:hAnsi="宋体" w:eastAsia="宋体" w:cs="宋体"/>
          <w:spacing w:val="-1"/>
          <w:sz w:val="24"/>
          <w:szCs w:val="24"/>
        </w:rPr>
        <w:t>备对周围环境的影响程度见</w:t>
      </w:r>
      <w:r>
        <w:rPr>
          <w:rFonts w:ascii="宋体" w:hAnsi="宋体" w:eastAsia="宋体" w:cs="宋体"/>
          <w:sz w:val="24"/>
          <w:szCs w:val="24"/>
        </w:rPr>
        <w:t xml:space="preserve"> </w:t>
      </w:r>
      <w:r>
        <w:rPr>
          <w:rFonts w:ascii="宋体" w:hAnsi="宋体" w:eastAsia="宋体" w:cs="宋体"/>
          <w:spacing w:val="-3"/>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5.1-6</w:t>
      </w:r>
      <w:r>
        <w:rPr>
          <w:rFonts w:ascii="宋体" w:hAnsi="宋体" w:eastAsia="宋体" w:cs="宋体"/>
          <w:spacing w:val="-3"/>
          <w:sz w:val="24"/>
          <w:szCs w:val="24"/>
        </w:rPr>
        <w:t>。</w:t>
      </w:r>
    </w:p>
    <w:p w14:paraId="004451CB">
      <w:pPr>
        <w:spacing w:before="202" w:line="221" w:lineRule="auto"/>
        <w:ind w:left="713"/>
        <w:rPr>
          <w:rFonts w:ascii="Times New Roman" w:hAnsi="Times New Roman" w:eastAsia="Times New Roman" w:cs="Times New Roman"/>
          <w:sz w:val="20"/>
          <w:szCs w:val="20"/>
        </w:rPr>
      </w:pPr>
      <w:r>
        <w:rPr>
          <w:rFonts w:ascii="宋体" w:hAnsi="宋体" w:eastAsia="宋体" w:cs="宋体"/>
          <w:b/>
          <w:bCs/>
          <w:spacing w:val="7"/>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7"/>
          <w:sz w:val="20"/>
          <w:szCs w:val="20"/>
        </w:rPr>
        <w:t>5.1-6 3</w:t>
      </w:r>
      <w:r>
        <w:rPr>
          <w:rFonts w:ascii="Times New Roman" w:hAnsi="Times New Roman" w:eastAsia="Times New Roman" w:cs="Times New Roman"/>
          <w:b/>
          <w:bCs/>
          <w:spacing w:val="28"/>
          <w:sz w:val="20"/>
          <w:szCs w:val="20"/>
        </w:rPr>
        <w:t xml:space="preserve"> </w:t>
      </w:r>
      <w:r>
        <w:rPr>
          <w:rFonts w:ascii="宋体" w:hAnsi="宋体" w:eastAsia="宋体" w:cs="宋体"/>
          <w:b/>
          <w:bCs/>
          <w:spacing w:val="7"/>
          <w:sz w:val="20"/>
          <w:szCs w:val="20"/>
        </w:rPr>
        <w:t>台施工机械同时施工叠加降噪后对周围环境噪声影响</w:t>
      </w:r>
      <w:r>
        <w:rPr>
          <w:rFonts w:ascii="宋体" w:hAnsi="宋体" w:eastAsia="宋体" w:cs="宋体"/>
          <w:b/>
          <w:bCs/>
          <w:spacing w:val="6"/>
          <w:sz w:val="20"/>
          <w:szCs w:val="20"/>
        </w:rPr>
        <w:t>噪声值单位：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07BC8E0E">
      <w:pPr>
        <w:spacing w:line="10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817"/>
        <w:gridCol w:w="817"/>
        <w:gridCol w:w="817"/>
        <w:gridCol w:w="818"/>
        <w:gridCol w:w="818"/>
        <w:gridCol w:w="817"/>
        <w:gridCol w:w="818"/>
        <w:gridCol w:w="818"/>
        <w:gridCol w:w="822"/>
      </w:tblGrid>
      <w:tr w14:paraId="77902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588" w:type="dxa"/>
            <w:tcBorders>
              <w:tl2br w:val="single" w:color="000000" w:sz="4" w:space="0"/>
            </w:tcBorders>
            <w:vAlign w:val="top"/>
          </w:tcPr>
          <w:p w14:paraId="50D2AF21">
            <w:pPr>
              <w:pStyle w:val="6"/>
              <w:spacing w:before="62" w:line="271" w:lineRule="auto"/>
              <w:ind w:left="383" w:right="299" w:hanging="92"/>
            </w:pPr>
            <w:r>
              <w:rPr>
                <w:b/>
                <w:bCs/>
                <w:spacing w:val="-5"/>
              </w:rPr>
              <w:t>距离（</w:t>
            </w:r>
            <w:r>
              <w:rPr>
                <w:spacing w:val="-59"/>
              </w:rPr>
              <w:t xml:space="preserve"> </w:t>
            </w:r>
            <w:r>
              <w:rPr>
                <w:rFonts w:ascii="Times New Roman" w:hAnsi="Times New Roman" w:eastAsia="Times New Roman" w:cs="Times New Roman"/>
                <w:b/>
                <w:bCs/>
                <w:spacing w:val="-5"/>
              </w:rPr>
              <w:t>m</w:t>
            </w:r>
            <w:r>
              <w:rPr>
                <w:b/>
                <w:bCs/>
                <w:spacing w:val="-5"/>
              </w:rPr>
              <w:t>）</w:t>
            </w:r>
            <w:r>
              <w:t xml:space="preserve"> </w:t>
            </w:r>
            <w:r>
              <w:rPr>
                <w:b/>
                <w:bCs/>
                <w:spacing w:val="5"/>
              </w:rPr>
              <w:t>设备名称</w:t>
            </w:r>
          </w:p>
        </w:tc>
        <w:tc>
          <w:tcPr>
            <w:tcW w:w="817" w:type="dxa"/>
            <w:vAlign w:val="top"/>
          </w:tcPr>
          <w:p w14:paraId="77E60075">
            <w:pPr>
              <w:spacing w:before="262" w:line="195" w:lineRule="auto"/>
              <w:ind w:left="31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817" w:type="dxa"/>
            <w:vAlign w:val="top"/>
          </w:tcPr>
          <w:p w14:paraId="08D67517">
            <w:pPr>
              <w:spacing w:before="262" w:line="195" w:lineRule="auto"/>
              <w:ind w:left="31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817" w:type="dxa"/>
            <w:vAlign w:val="top"/>
          </w:tcPr>
          <w:p w14:paraId="6CEE863D">
            <w:pPr>
              <w:spacing w:before="262" w:line="195" w:lineRule="auto"/>
              <w:ind w:left="30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818" w:type="dxa"/>
            <w:vAlign w:val="top"/>
          </w:tcPr>
          <w:p w14:paraId="4AFB969B">
            <w:pPr>
              <w:spacing w:before="262" w:line="195" w:lineRule="auto"/>
              <w:ind w:left="30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45</w:t>
            </w:r>
          </w:p>
        </w:tc>
        <w:tc>
          <w:tcPr>
            <w:tcW w:w="818" w:type="dxa"/>
            <w:vAlign w:val="top"/>
          </w:tcPr>
          <w:p w14:paraId="347A016D">
            <w:pPr>
              <w:spacing w:before="262" w:line="195" w:lineRule="auto"/>
              <w:ind w:left="30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817" w:type="dxa"/>
            <w:vAlign w:val="top"/>
          </w:tcPr>
          <w:p w14:paraId="13611B53">
            <w:pPr>
              <w:spacing w:before="262" w:line="195" w:lineRule="auto"/>
              <w:ind w:left="30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80</w:t>
            </w:r>
          </w:p>
        </w:tc>
        <w:tc>
          <w:tcPr>
            <w:tcW w:w="818" w:type="dxa"/>
            <w:vAlign w:val="top"/>
          </w:tcPr>
          <w:p w14:paraId="79FE49DF">
            <w:pPr>
              <w:spacing w:before="262" w:line="195" w:lineRule="auto"/>
              <w:ind w:left="26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818" w:type="dxa"/>
            <w:vAlign w:val="top"/>
          </w:tcPr>
          <w:p w14:paraId="11FE6DAF">
            <w:pPr>
              <w:spacing w:before="262" w:line="195" w:lineRule="auto"/>
              <w:ind w:left="26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822" w:type="dxa"/>
            <w:vAlign w:val="top"/>
          </w:tcPr>
          <w:p w14:paraId="4524F7A2">
            <w:pPr>
              <w:spacing w:before="262" w:line="195" w:lineRule="auto"/>
              <w:ind w:left="25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r>
      <w:tr w14:paraId="14EE7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88" w:type="dxa"/>
            <w:vAlign w:val="top"/>
          </w:tcPr>
          <w:p w14:paraId="6C8BBF99">
            <w:pPr>
              <w:pStyle w:val="6"/>
              <w:spacing w:before="60" w:line="228" w:lineRule="auto"/>
              <w:ind w:left="483"/>
            </w:pPr>
            <w:r>
              <w:rPr>
                <w:spacing w:val="6"/>
              </w:rPr>
              <w:t>装载机</w:t>
            </w:r>
          </w:p>
        </w:tc>
        <w:tc>
          <w:tcPr>
            <w:tcW w:w="817" w:type="dxa"/>
            <w:vMerge w:val="restart"/>
            <w:tcBorders>
              <w:bottom w:val="nil"/>
            </w:tcBorders>
            <w:vAlign w:val="top"/>
          </w:tcPr>
          <w:p w14:paraId="2E4FD09E">
            <w:pPr>
              <w:spacing w:line="306" w:lineRule="auto"/>
              <w:rPr>
                <w:rFonts w:ascii="Arial"/>
                <w:sz w:val="21"/>
              </w:rPr>
            </w:pPr>
          </w:p>
          <w:p w14:paraId="0D8E6D50">
            <w:pPr>
              <w:spacing w:before="58"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78.3</w:t>
            </w:r>
          </w:p>
        </w:tc>
        <w:tc>
          <w:tcPr>
            <w:tcW w:w="817" w:type="dxa"/>
            <w:vMerge w:val="restart"/>
            <w:tcBorders>
              <w:bottom w:val="nil"/>
            </w:tcBorders>
            <w:vAlign w:val="top"/>
          </w:tcPr>
          <w:p w14:paraId="57C252C8">
            <w:pPr>
              <w:spacing w:line="306" w:lineRule="auto"/>
              <w:rPr>
                <w:rFonts w:ascii="Arial"/>
                <w:sz w:val="21"/>
              </w:rPr>
            </w:pPr>
          </w:p>
          <w:p w14:paraId="34B375BF">
            <w:pPr>
              <w:spacing w:before="58"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72.3</w:t>
            </w:r>
          </w:p>
        </w:tc>
        <w:tc>
          <w:tcPr>
            <w:tcW w:w="817" w:type="dxa"/>
            <w:vMerge w:val="restart"/>
            <w:tcBorders>
              <w:bottom w:val="nil"/>
            </w:tcBorders>
            <w:vAlign w:val="top"/>
          </w:tcPr>
          <w:p w14:paraId="41FE881E">
            <w:pPr>
              <w:spacing w:line="306" w:lineRule="auto"/>
              <w:rPr>
                <w:rFonts w:ascii="Arial"/>
                <w:sz w:val="21"/>
              </w:rPr>
            </w:pPr>
          </w:p>
          <w:p w14:paraId="233F604C">
            <w:pPr>
              <w:spacing w:before="58"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69.7</w:t>
            </w:r>
          </w:p>
        </w:tc>
        <w:tc>
          <w:tcPr>
            <w:tcW w:w="818" w:type="dxa"/>
            <w:vMerge w:val="restart"/>
            <w:tcBorders>
              <w:bottom w:val="nil"/>
            </w:tcBorders>
            <w:vAlign w:val="top"/>
          </w:tcPr>
          <w:p w14:paraId="005ABF33">
            <w:pPr>
              <w:spacing w:line="306" w:lineRule="auto"/>
              <w:rPr>
                <w:rFonts w:ascii="Arial"/>
                <w:sz w:val="21"/>
              </w:rPr>
            </w:pPr>
          </w:p>
          <w:p w14:paraId="1EFE4E24">
            <w:pPr>
              <w:spacing w:before="58"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66.2</w:t>
            </w:r>
          </w:p>
        </w:tc>
        <w:tc>
          <w:tcPr>
            <w:tcW w:w="818" w:type="dxa"/>
            <w:vMerge w:val="restart"/>
            <w:tcBorders>
              <w:bottom w:val="nil"/>
            </w:tcBorders>
            <w:vAlign w:val="top"/>
          </w:tcPr>
          <w:p w14:paraId="0EE78AFD">
            <w:pPr>
              <w:spacing w:line="306" w:lineRule="auto"/>
              <w:rPr>
                <w:rFonts w:ascii="Arial"/>
                <w:sz w:val="21"/>
              </w:rPr>
            </w:pPr>
          </w:p>
          <w:p w14:paraId="5F69C5F8">
            <w:pPr>
              <w:spacing w:before="5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64.3</w:t>
            </w:r>
          </w:p>
        </w:tc>
        <w:tc>
          <w:tcPr>
            <w:tcW w:w="817" w:type="dxa"/>
            <w:vMerge w:val="restart"/>
            <w:tcBorders>
              <w:bottom w:val="nil"/>
            </w:tcBorders>
            <w:vAlign w:val="top"/>
          </w:tcPr>
          <w:p w14:paraId="194B44DB">
            <w:pPr>
              <w:spacing w:line="306" w:lineRule="auto"/>
              <w:rPr>
                <w:rFonts w:ascii="Arial"/>
                <w:sz w:val="21"/>
              </w:rPr>
            </w:pPr>
          </w:p>
          <w:p w14:paraId="75BFD45B">
            <w:pPr>
              <w:spacing w:before="5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60.2</w:t>
            </w:r>
          </w:p>
        </w:tc>
        <w:tc>
          <w:tcPr>
            <w:tcW w:w="818" w:type="dxa"/>
            <w:vMerge w:val="restart"/>
            <w:tcBorders>
              <w:bottom w:val="nil"/>
            </w:tcBorders>
            <w:vAlign w:val="top"/>
          </w:tcPr>
          <w:p w14:paraId="5BB739BC">
            <w:pPr>
              <w:spacing w:line="306" w:lineRule="auto"/>
              <w:rPr>
                <w:rFonts w:ascii="Arial"/>
                <w:sz w:val="21"/>
              </w:rPr>
            </w:pPr>
          </w:p>
          <w:p w14:paraId="2B6B572C">
            <w:pPr>
              <w:spacing w:before="5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58.3</w:t>
            </w:r>
          </w:p>
        </w:tc>
        <w:tc>
          <w:tcPr>
            <w:tcW w:w="818" w:type="dxa"/>
            <w:vMerge w:val="restart"/>
            <w:tcBorders>
              <w:bottom w:val="nil"/>
            </w:tcBorders>
            <w:vAlign w:val="top"/>
          </w:tcPr>
          <w:p w14:paraId="598DCD47">
            <w:pPr>
              <w:spacing w:line="306" w:lineRule="auto"/>
              <w:rPr>
                <w:rFonts w:ascii="Arial"/>
                <w:sz w:val="21"/>
              </w:rPr>
            </w:pPr>
          </w:p>
          <w:p w14:paraId="368A817F">
            <w:pPr>
              <w:spacing w:before="58"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54.8</w:t>
            </w:r>
          </w:p>
        </w:tc>
        <w:tc>
          <w:tcPr>
            <w:tcW w:w="822" w:type="dxa"/>
            <w:vMerge w:val="restart"/>
            <w:tcBorders>
              <w:bottom w:val="nil"/>
            </w:tcBorders>
            <w:vAlign w:val="top"/>
          </w:tcPr>
          <w:p w14:paraId="7D21FEC4">
            <w:pPr>
              <w:spacing w:line="306" w:lineRule="auto"/>
              <w:rPr>
                <w:rFonts w:ascii="Arial"/>
                <w:sz w:val="21"/>
              </w:rPr>
            </w:pPr>
          </w:p>
          <w:p w14:paraId="5BBA829A">
            <w:pPr>
              <w:spacing w:before="58"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52.3</w:t>
            </w:r>
          </w:p>
        </w:tc>
      </w:tr>
      <w:tr w14:paraId="2AFAB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88" w:type="dxa"/>
            <w:vAlign w:val="top"/>
          </w:tcPr>
          <w:p w14:paraId="773FD4ED">
            <w:pPr>
              <w:pStyle w:val="6"/>
              <w:spacing w:before="62" w:line="229" w:lineRule="auto"/>
              <w:ind w:left="381"/>
            </w:pPr>
            <w:r>
              <w:rPr>
                <w:spacing w:val="7"/>
              </w:rPr>
              <w:t>木工电锯</w:t>
            </w:r>
          </w:p>
        </w:tc>
        <w:tc>
          <w:tcPr>
            <w:tcW w:w="817" w:type="dxa"/>
            <w:vMerge w:val="continue"/>
            <w:tcBorders>
              <w:top w:val="nil"/>
              <w:bottom w:val="nil"/>
            </w:tcBorders>
            <w:vAlign w:val="top"/>
          </w:tcPr>
          <w:p w14:paraId="5BCA78AC">
            <w:pPr>
              <w:rPr>
                <w:rFonts w:ascii="Arial"/>
                <w:sz w:val="21"/>
              </w:rPr>
            </w:pPr>
          </w:p>
        </w:tc>
        <w:tc>
          <w:tcPr>
            <w:tcW w:w="817" w:type="dxa"/>
            <w:vMerge w:val="continue"/>
            <w:tcBorders>
              <w:top w:val="nil"/>
              <w:bottom w:val="nil"/>
            </w:tcBorders>
            <w:vAlign w:val="top"/>
          </w:tcPr>
          <w:p w14:paraId="0EA1B663">
            <w:pPr>
              <w:rPr>
                <w:rFonts w:ascii="Arial"/>
                <w:sz w:val="21"/>
              </w:rPr>
            </w:pPr>
          </w:p>
        </w:tc>
        <w:tc>
          <w:tcPr>
            <w:tcW w:w="817" w:type="dxa"/>
            <w:vMerge w:val="continue"/>
            <w:tcBorders>
              <w:top w:val="nil"/>
              <w:bottom w:val="nil"/>
            </w:tcBorders>
            <w:vAlign w:val="top"/>
          </w:tcPr>
          <w:p w14:paraId="3290575F">
            <w:pPr>
              <w:rPr>
                <w:rFonts w:ascii="Arial"/>
                <w:sz w:val="21"/>
              </w:rPr>
            </w:pPr>
          </w:p>
        </w:tc>
        <w:tc>
          <w:tcPr>
            <w:tcW w:w="818" w:type="dxa"/>
            <w:vMerge w:val="continue"/>
            <w:tcBorders>
              <w:top w:val="nil"/>
              <w:bottom w:val="nil"/>
            </w:tcBorders>
            <w:vAlign w:val="top"/>
          </w:tcPr>
          <w:p w14:paraId="3354A809">
            <w:pPr>
              <w:rPr>
                <w:rFonts w:ascii="Arial"/>
                <w:sz w:val="21"/>
              </w:rPr>
            </w:pPr>
          </w:p>
        </w:tc>
        <w:tc>
          <w:tcPr>
            <w:tcW w:w="818" w:type="dxa"/>
            <w:vMerge w:val="continue"/>
            <w:tcBorders>
              <w:top w:val="nil"/>
              <w:bottom w:val="nil"/>
            </w:tcBorders>
            <w:vAlign w:val="top"/>
          </w:tcPr>
          <w:p w14:paraId="3B35A702">
            <w:pPr>
              <w:rPr>
                <w:rFonts w:ascii="Arial"/>
                <w:sz w:val="21"/>
              </w:rPr>
            </w:pPr>
          </w:p>
        </w:tc>
        <w:tc>
          <w:tcPr>
            <w:tcW w:w="817" w:type="dxa"/>
            <w:vMerge w:val="continue"/>
            <w:tcBorders>
              <w:top w:val="nil"/>
              <w:bottom w:val="nil"/>
            </w:tcBorders>
            <w:vAlign w:val="top"/>
          </w:tcPr>
          <w:p w14:paraId="0E20953B">
            <w:pPr>
              <w:rPr>
                <w:rFonts w:ascii="Arial"/>
                <w:sz w:val="21"/>
              </w:rPr>
            </w:pPr>
          </w:p>
        </w:tc>
        <w:tc>
          <w:tcPr>
            <w:tcW w:w="818" w:type="dxa"/>
            <w:vMerge w:val="continue"/>
            <w:tcBorders>
              <w:top w:val="nil"/>
              <w:bottom w:val="nil"/>
            </w:tcBorders>
            <w:vAlign w:val="top"/>
          </w:tcPr>
          <w:p w14:paraId="0EF08995">
            <w:pPr>
              <w:rPr>
                <w:rFonts w:ascii="Arial"/>
                <w:sz w:val="21"/>
              </w:rPr>
            </w:pPr>
          </w:p>
        </w:tc>
        <w:tc>
          <w:tcPr>
            <w:tcW w:w="818" w:type="dxa"/>
            <w:vMerge w:val="continue"/>
            <w:tcBorders>
              <w:top w:val="nil"/>
              <w:bottom w:val="nil"/>
            </w:tcBorders>
            <w:vAlign w:val="top"/>
          </w:tcPr>
          <w:p w14:paraId="24E0C722">
            <w:pPr>
              <w:rPr>
                <w:rFonts w:ascii="Arial"/>
                <w:sz w:val="21"/>
              </w:rPr>
            </w:pPr>
          </w:p>
        </w:tc>
        <w:tc>
          <w:tcPr>
            <w:tcW w:w="822" w:type="dxa"/>
            <w:vMerge w:val="continue"/>
            <w:tcBorders>
              <w:top w:val="nil"/>
              <w:bottom w:val="nil"/>
            </w:tcBorders>
            <w:vAlign w:val="top"/>
          </w:tcPr>
          <w:p w14:paraId="53A0A83A">
            <w:pPr>
              <w:rPr>
                <w:rFonts w:ascii="Arial"/>
                <w:sz w:val="21"/>
              </w:rPr>
            </w:pPr>
          </w:p>
        </w:tc>
      </w:tr>
      <w:tr w14:paraId="73AD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1588" w:type="dxa"/>
            <w:vAlign w:val="top"/>
          </w:tcPr>
          <w:p w14:paraId="49C4CAA9">
            <w:pPr>
              <w:pStyle w:val="6"/>
              <w:spacing w:before="62" w:line="228" w:lineRule="auto"/>
              <w:ind w:left="122"/>
            </w:pPr>
            <w:r>
              <w:rPr>
                <w:spacing w:val="-7"/>
              </w:rPr>
              <w:t>云石机、角磨机</w:t>
            </w:r>
          </w:p>
        </w:tc>
        <w:tc>
          <w:tcPr>
            <w:tcW w:w="817" w:type="dxa"/>
            <w:vMerge w:val="continue"/>
            <w:tcBorders>
              <w:top w:val="nil"/>
            </w:tcBorders>
            <w:vAlign w:val="top"/>
          </w:tcPr>
          <w:p w14:paraId="32653AC8">
            <w:pPr>
              <w:rPr>
                <w:rFonts w:ascii="Arial"/>
                <w:sz w:val="21"/>
              </w:rPr>
            </w:pPr>
          </w:p>
        </w:tc>
        <w:tc>
          <w:tcPr>
            <w:tcW w:w="817" w:type="dxa"/>
            <w:vMerge w:val="continue"/>
            <w:tcBorders>
              <w:top w:val="nil"/>
            </w:tcBorders>
            <w:vAlign w:val="top"/>
          </w:tcPr>
          <w:p w14:paraId="5B80BB8C">
            <w:pPr>
              <w:rPr>
                <w:rFonts w:ascii="Arial"/>
                <w:sz w:val="21"/>
              </w:rPr>
            </w:pPr>
          </w:p>
        </w:tc>
        <w:tc>
          <w:tcPr>
            <w:tcW w:w="817" w:type="dxa"/>
            <w:vMerge w:val="continue"/>
            <w:tcBorders>
              <w:top w:val="nil"/>
            </w:tcBorders>
            <w:vAlign w:val="top"/>
          </w:tcPr>
          <w:p w14:paraId="7CBB4CD1">
            <w:pPr>
              <w:rPr>
                <w:rFonts w:ascii="Arial"/>
                <w:sz w:val="21"/>
              </w:rPr>
            </w:pPr>
          </w:p>
        </w:tc>
        <w:tc>
          <w:tcPr>
            <w:tcW w:w="818" w:type="dxa"/>
            <w:vMerge w:val="continue"/>
            <w:tcBorders>
              <w:top w:val="nil"/>
            </w:tcBorders>
            <w:vAlign w:val="top"/>
          </w:tcPr>
          <w:p w14:paraId="3DEA41CB">
            <w:pPr>
              <w:rPr>
                <w:rFonts w:ascii="Arial"/>
                <w:sz w:val="21"/>
              </w:rPr>
            </w:pPr>
          </w:p>
        </w:tc>
        <w:tc>
          <w:tcPr>
            <w:tcW w:w="818" w:type="dxa"/>
            <w:vMerge w:val="continue"/>
            <w:tcBorders>
              <w:top w:val="nil"/>
            </w:tcBorders>
            <w:vAlign w:val="top"/>
          </w:tcPr>
          <w:p w14:paraId="195CCF05">
            <w:pPr>
              <w:rPr>
                <w:rFonts w:ascii="Arial"/>
                <w:sz w:val="21"/>
              </w:rPr>
            </w:pPr>
          </w:p>
        </w:tc>
        <w:tc>
          <w:tcPr>
            <w:tcW w:w="817" w:type="dxa"/>
            <w:vMerge w:val="continue"/>
            <w:tcBorders>
              <w:top w:val="nil"/>
            </w:tcBorders>
            <w:vAlign w:val="top"/>
          </w:tcPr>
          <w:p w14:paraId="34904FE7">
            <w:pPr>
              <w:rPr>
                <w:rFonts w:ascii="Arial"/>
                <w:sz w:val="21"/>
              </w:rPr>
            </w:pPr>
          </w:p>
        </w:tc>
        <w:tc>
          <w:tcPr>
            <w:tcW w:w="818" w:type="dxa"/>
            <w:vMerge w:val="continue"/>
            <w:tcBorders>
              <w:top w:val="nil"/>
            </w:tcBorders>
            <w:vAlign w:val="top"/>
          </w:tcPr>
          <w:p w14:paraId="715708BE">
            <w:pPr>
              <w:rPr>
                <w:rFonts w:ascii="Arial"/>
                <w:sz w:val="21"/>
              </w:rPr>
            </w:pPr>
          </w:p>
        </w:tc>
        <w:tc>
          <w:tcPr>
            <w:tcW w:w="818" w:type="dxa"/>
            <w:vMerge w:val="continue"/>
            <w:tcBorders>
              <w:top w:val="nil"/>
            </w:tcBorders>
            <w:vAlign w:val="top"/>
          </w:tcPr>
          <w:p w14:paraId="4A43A934">
            <w:pPr>
              <w:rPr>
                <w:rFonts w:ascii="Arial"/>
                <w:sz w:val="21"/>
              </w:rPr>
            </w:pPr>
          </w:p>
        </w:tc>
        <w:tc>
          <w:tcPr>
            <w:tcW w:w="822" w:type="dxa"/>
            <w:vMerge w:val="continue"/>
            <w:tcBorders>
              <w:top w:val="nil"/>
            </w:tcBorders>
            <w:vAlign w:val="top"/>
          </w:tcPr>
          <w:p w14:paraId="514BD6A5">
            <w:pPr>
              <w:rPr>
                <w:rFonts w:ascii="Arial"/>
                <w:sz w:val="21"/>
              </w:rPr>
            </w:pPr>
          </w:p>
        </w:tc>
      </w:tr>
    </w:tbl>
    <w:p w14:paraId="5CF23600">
      <w:pPr>
        <w:pStyle w:val="2"/>
        <w:spacing w:line="334" w:lineRule="auto"/>
      </w:pPr>
    </w:p>
    <w:p w14:paraId="0F510628">
      <w:pPr>
        <w:spacing w:before="78" w:line="374" w:lineRule="auto"/>
        <w:ind w:left="122" w:right="113" w:firstLine="481"/>
        <w:jc w:val="both"/>
        <w:rPr>
          <w:rFonts w:ascii="宋体" w:hAnsi="宋体" w:eastAsia="宋体" w:cs="宋体"/>
          <w:sz w:val="24"/>
          <w:szCs w:val="24"/>
        </w:rPr>
      </w:pPr>
      <w:r>
        <w:rPr>
          <w:rFonts w:ascii="宋体" w:hAnsi="宋体" w:eastAsia="宋体" w:cs="宋体"/>
          <w:spacing w:val="-4"/>
          <w:sz w:val="24"/>
          <w:szCs w:val="24"/>
        </w:rPr>
        <w:t>反推计算在围挡隔声后，</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7"/>
          <w:sz w:val="24"/>
          <w:szCs w:val="24"/>
        </w:rPr>
        <w:t xml:space="preserve"> </w:t>
      </w:r>
      <w:r>
        <w:rPr>
          <w:rFonts w:ascii="宋体" w:hAnsi="宋体" w:eastAsia="宋体" w:cs="宋体"/>
          <w:spacing w:val="-4"/>
          <w:sz w:val="24"/>
          <w:szCs w:val="24"/>
        </w:rPr>
        <w:t>台设备同时施工，当厂界的昼间噪声限值达到《建筑</w:t>
      </w:r>
      <w:r>
        <w:rPr>
          <w:rFonts w:ascii="宋体" w:hAnsi="宋体" w:eastAsia="宋体" w:cs="宋体"/>
          <w:sz w:val="24"/>
          <w:szCs w:val="24"/>
        </w:rPr>
        <w:t xml:space="preserve"> </w:t>
      </w:r>
      <w:r>
        <w:rPr>
          <w:rFonts w:ascii="宋体" w:hAnsi="宋体" w:eastAsia="宋体" w:cs="宋体"/>
          <w:spacing w:val="-1"/>
          <w:sz w:val="24"/>
          <w:szCs w:val="24"/>
        </w:rPr>
        <w:t>施工厂界环境噪声排放标准》（</w:t>
      </w:r>
      <w:r>
        <w:rPr>
          <w:rFonts w:ascii="Times New Roman" w:hAnsi="Times New Roman" w:eastAsia="Times New Roman" w:cs="Times New Roman"/>
          <w:spacing w:val="-1"/>
          <w:sz w:val="24"/>
          <w:szCs w:val="24"/>
        </w:rPr>
        <w:t>GB12523-2011</w:t>
      </w:r>
      <w:r>
        <w:rPr>
          <w:rFonts w:ascii="宋体" w:hAnsi="宋体" w:eastAsia="宋体" w:cs="宋体"/>
          <w:spacing w:val="-1"/>
          <w:sz w:val="24"/>
          <w:szCs w:val="24"/>
        </w:rPr>
        <w:t>）中昼间</w:t>
      </w:r>
      <w:r>
        <w:rPr>
          <w:rFonts w:ascii="Times New Roman" w:hAnsi="Times New Roman" w:eastAsia="Times New Roman" w:cs="Times New Roman"/>
          <w:spacing w:val="-1"/>
          <w:sz w:val="24"/>
          <w:szCs w:val="24"/>
        </w:rPr>
        <w:t>≤70dB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）时，</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8"/>
          <w:w w:val="101"/>
          <w:sz w:val="24"/>
          <w:szCs w:val="24"/>
        </w:rPr>
        <w:t xml:space="preserve"> </w:t>
      </w:r>
      <w:r>
        <w:rPr>
          <w:rFonts w:ascii="宋体" w:hAnsi="宋体" w:eastAsia="宋体" w:cs="宋体"/>
          <w:spacing w:val="-1"/>
          <w:sz w:val="24"/>
          <w:szCs w:val="24"/>
        </w:rPr>
        <w:t>台</w:t>
      </w:r>
      <w:r>
        <w:rPr>
          <w:rFonts w:ascii="宋体" w:hAnsi="宋体" w:eastAsia="宋体" w:cs="宋体"/>
          <w:spacing w:val="-2"/>
          <w:sz w:val="24"/>
          <w:szCs w:val="24"/>
        </w:rPr>
        <w:t>设备距</w:t>
      </w:r>
      <w:r>
        <w:rPr>
          <w:rFonts w:ascii="宋体" w:hAnsi="宋体" w:eastAsia="宋体" w:cs="宋体"/>
          <w:sz w:val="24"/>
          <w:szCs w:val="24"/>
        </w:rPr>
        <w:t xml:space="preserve"> </w:t>
      </w:r>
      <w:r>
        <w:rPr>
          <w:rFonts w:ascii="宋体" w:hAnsi="宋体" w:eastAsia="宋体" w:cs="宋体"/>
          <w:spacing w:val="-2"/>
          <w:sz w:val="24"/>
          <w:szCs w:val="24"/>
        </w:rPr>
        <w:t>离施工厂界的最近距离为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50m</w:t>
      </w:r>
      <w:r>
        <w:rPr>
          <w:rFonts w:ascii="宋体" w:hAnsi="宋体" w:eastAsia="宋体" w:cs="宋体"/>
          <w:spacing w:val="-2"/>
          <w:sz w:val="24"/>
          <w:szCs w:val="24"/>
        </w:rPr>
        <w:t>。</w:t>
      </w:r>
    </w:p>
    <w:p w14:paraId="35F2F35F">
      <w:pPr>
        <w:spacing w:before="48" w:line="366" w:lineRule="auto"/>
        <w:ind w:left="122" w:right="113" w:firstLine="482"/>
        <w:jc w:val="both"/>
        <w:rPr>
          <w:rFonts w:ascii="宋体" w:hAnsi="宋体" w:eastAsia="宋体" w:cs="宋体"/>
          <w:sz w:val="24"/>
          <w:szCs w:val="24"/>
        </w:rPr>
      </w:pPr>
      <w:r>
        <w:rPr>
          <w:rFonts w:ascii="宋体" w:hAnsi="宋体" w:eastAsia="宋体" w:cs="宋体"/>
          <w:spacing w:val="2"/>
          <w:sz w:val="24"/>
          <w:szCs w:val="24"/>
        </w:rPr>
        <w:t>可见，在使用低噪型施工设备，且在施工场界周围设置围挡的情况下，还应保</w:t>
      </w:r>
      <w:r>
        <w:rPr>
          <w:rFonts w:ascii="宋体" w:hAnsi="宋体" w:eastAsia="宋体" w:cs="宋体"/>
          <w:spacing w:val="8"/>
          <w:sz w:val="24"/>
          <w:szCs w:val="24"/>
        </w:rPr>
        <w:t xml:space="preserve"> </w:t>
      </w:r>
      <w:r>
        <w:rPr>
          <w:rFonts w:ascii="宋体" w:hAnsi="宋体" w:eastAsia="宋体" w:cs="宋体"/>
          <w:spacing w:val="2"/>
          <w:sz w:val="24"/>
          <w:szCs w:val="24"/>
        </w:rPr>
        <w:t>证各施工设备与施工场界之间保持一定的距离，方能使其施工场界噪声达到《建筑</w:t>
      </w:r>
      <w:r>
        <w:rPr>
          <w:rFonts w:ascii="宋体" w:hAnsi="宋体" w:eastAsia="宋体" w:cs="宋体"/>
          <w:spacing w:val="7"/>
          <w:sz w:val="24"/>
          <w:szCs w:val="24"/>
        </w:rPr>
        <w:t xml:space="preserve"> </w:t>
      </w:r>
      <w:r>
        <w:rPr>
          <w:rFonts w:ascii="宋体" w:hAnsi="宋体" w:eastAsia="宋体" w:cs="宋体"/>
          <w:sz w:val="24"/>
          <w:szCs w:val="24"/>
        </w:rPr>
        <w:t>施工厂界环境噪声排放标准》（</w:t>
      </w:r>
      <w:r>
        <w:rPr>
          <w:rFonts w:ascii="Times New Roman" w:hAnsi="Times New Roman" w:eastAsia="Times New Roman" w:cs="Times New Roman"/>
          <w:sz w:val="24"/>
          <w:szCs w:val="24"/>
        </w:rPr>
        <w:t>GB12523</w:t>
      </w:r>
      <w:r>
        <w:rPr>
          <w:rFonts w:ascii="Times New Roman" w:hAnsi="Times New Roman" w:eastAsia="Times New Roman" w:cs="Times New Roman"/>
          <w:spacing w:val="-1"/>
          <w:sz w:val="24"/>
          <w:szCs w:val="24"/>
        </w:rPr>
        <w:t>-2011</w:t>
      </w:r>
      <w:r>
        <w:rPr>
          <w:rFonts w:ascii="宋体" w:hAnsi="宋体" w:eastAsia="宋体" w:cs="宋体"/>
          <w:spacing w:val="-1"/>
          <w:sz w:val="24"/>
          <w:szCs w:val="24"/>
        </w:rPr>
        <w:t>）中昼间</w:t>
      </w:r>
      <w:r>
        <w:rPr>
          <w:rFonts w:ascii="Times New Roman" w:hAnsi="Times New Roman" w:eastAsia="Times New Roman" w:cs="Times New Roman"/>
          <w:spacing w:val="-1"/>
          <w:sz w:val="24"/>
          <w:szCs w:val="24"/>
        </w:rPr>
        <w:t>≤70dB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）要求。</w:t>
      </w:r>
    </w:p>
    <w:p w14:paraId="32AE87E0">
      <w:pPr>
        <w:spacing w:line="361" w:lineRule="exact"/>
        <w:ind w:left="603"/>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32"/>
          <w:position w:val="2"/>
          <w:sz w:val="24"/>
          <w:szCs w:val="24"/>
        </w:rPr>
        <w:t xml:space="preserve"> </w:t>
      </w:r>
      <w:r>
        <w:rPr>
          <w:rFonts w:ascii="宋体" w:hAnsi="宋体" w:eastAsia="宋体" w:cs="宋体"/>
          <w:spacing w:val="-3"/>
          <w:position w:val="2"/>
          <w:sz w:val="24"/>
          <w:szCs w:val="24"/>
        </w:rPr>
        <w:t>、施工期噪声影响防治措施</w:t>
      </w:r>
    </w:p>
    <w:p w14:paraId="4126E1C5">
      <w:pPr>
        <w:spacing w:before="165" w:line="369" w:lineRule="auto"/>
        <w:ind w:left="122" w:right="113" w:firstLine="510"/>
        <w:rPr>
          <w:rFonts w:ascii="宋体" w:hAnsi="宋体" w:eastAsia="宋体" w:cs="宋体"/>
          <w:sz w:val="24"/>
          <w:szCs w:val="24"/>
        </w:rPr>
      </w:pPr>
      <w:r>
        <w:rPr>
          <w:rFonts w:ascii="宋体" w:hAnsi="宋体" w:eastAsia="宋体" w:cs="宋体"/>
          <w:spacing w:val="1"/>
          <w:sz w:val="24"/>
          <w:szCs w:val="24"/>
        </w:rPr>
        <w:t>由施工期噪声影响分析可知，施工机械噪声对周边敏感点会产生一定的影响，</w:t>
      </w:r>
      <w:r>
        <w:rPr>
          <w:rFonts w:ascii="宋体" w:hAnsi="宋体" w:eastAsia="宋体" w:cs="宋体"/>
          <w:spacing w:val="15"/>
          <w:sz w:val="24"/>
          <w:szCs w:val="24"/>
        </w:rPr>
        <w:t xml:space="preserve"> </w:t>
      </w:r>
      <w:r>
        <w:rPr>
          <w:rFonts w:ascii="宋体" w:hAnsi="宋体" w:eastAsia="宋体" w:cs="宋体"/>
          <w:spacing w:val="2"/>
          <w:sz w:val="24"/>
          <w:szCs w:val="24"/>
        </w:rPr>
        <w:t>施工单位应加强施工管理并采取一系列噪声污染防治措施，尽量降低施工期噪声对</w:t>
      </w:r>
      <w:r>
        <w:rPr>
          <w:rFonts w:ascii="宋体" w:hAnsi="宋体" w:eastAsia="宋体" w:cs="宋体"/>
          <w:spacing w:val="7"/>
          <w:sz w:val="24"/>
          <w:szCs w:val="24"/>
        </w:rPr>
        <w:t xml:space="preserve"> </w:t>
      </w:r>
      <w:r>
        <w:rPr>
          <w:rFonts w:ascii="宋体" w:hAnsi="宋体" w:eastAsia="宋体" w:cs="宋体"/>
          <w:spacing w:val="2"/>
          <w:sz w:val="24"/>
          <w:szCs w:val="24"/>
        </w:rPr>
        <w:t>敏感点的影响。为最大程度减少对周边敏感目标及环境的噪声影响，建议建设单位</w:t>
      </w:r>
      <w:r>
        <w:rPr>
          <w:rFonts w:ascii="宋体" w:hAnsi="宋体" w:eastAsia="宋体" w:cs="宋体"/>
          <w:spacing w:val="7"/>
          <w:sz w:val="24"/>
          <w:szCs w:val="24"/>
        </w:rPr>
        <w:t xml:space="preserve"> </w:t>
      </w:r>
      <w:r>
        <w:rPr>
          <w:rFonts w:ascii="宋体" w:hAnsi="宋体" w:eastAsia="宋体" w:cs="宋体"/>
          <w:spacing w:val="-2"/>
          <w:sz w:val="24"/>
          <w:szCs w:val="24"/>
        </w:rPr>
        <w:t>按以下要求执行：</w:t>
      </w:r>
    </w:p>
    <w:p w14:paraId="4E615292">
      <w:pPr>
        <w:spacing w:before="2" w:line="366" w:lineRule="auto"/>
        <w:ind w:left="141" w:right="108" w:firstLine="47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）施工现场应遵照《建筑施工场界环境噪声排放标准》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GBl</w:t>
      </w:r>
      <w:r>
        <w:rPr>
          <w:rFonts w:ascii="Times New Roman" w:hAnsi="Times New Roman" w:eastAsia="Times New Roman" w:cs="Times New Roman"/>
          <w:spacing w:val="1"/>
          <w:sz w:val="24"/>
          <w:szCs w:val="24"/>
        </w:rPr>
        <w:t>2523</w:t>
      </w:r>
      <w:r>
        <w:rPr>
          <w:rFonts w:ascii="Times New Roman" w:hAnsi="Times New Roman" w:eastAsia="Times New Roman" w:cs="Times New Roman"/>
          <w:sz w:val="24"/>
          <w:szCs w:val="24"/>
        </w:rPr>
        <w:t>-2011)</w:t>
      </w:r>
      <w:r>
        <w:rPr>
          <w:rFonts w:ascii="宋体" w:hAnsi="宋体" w:eastAsia="宋体" w:cs="宋体"/>
          <w:sz w:val="24"/>
          <w:szCs w:val="24"/>
        </w:rPr>
        <w:t xml:space="preserve">指定 </w:t>
      </w:r>
      <w:r>
        <w:rPr>
          <w:rFonts w:ascii="宋体" w:hAnsi="宋体" w:eastAsia="宋体" w:cs="宋体"/>
          <w:spacing w:val="-6"/>
          <w:sz w:val="24"/>
          <w:szCs w:val="24"/>
        </w:rPr>
        <w:t>降噪制度。</w:t>
      </w:r>
    </w:p>
    <w:p w14:paraId="79168799">
      <w:pPr>
        <w:spacing w:line="366" w:lineRule="auto"/>
        <w:rPr>
          <w:rFonts w:ascii="宋体" w:hAnsi="宋体" w:eastAsia="宋体" w:cs="宋体"/>
          <w:sz w:val="24"/>
          <w:szCs w:val="24"/>
        </w:rPr>
        <w:sectPr>
          <w:footerReference r:id="rId126" w:type="default"/>
          <w:pgSz w:w="11906" w:h="16839"/>
          <w:pgMar w:top="400" w:right="1475" w:bottom="1485" w:left="1475" w:header="0" w:footer="1249" w:gutter="0"/>
          <w:cols w:space="720" w:num="1"/>
        </w:sectPr>
      </w:pPr>
    </w:p>
    <w:p w14:paraId="6D8041BF">
      <w:pPr>
        <w:pStyle w:val="2"/>
        <w:spacing w:line="256" w:lineRule="auto"/>
      </w:pPr>
    </w:p>
    <w:p w14:paraId="613315A9">
      <w:pPr>
        <w:pStyle w:val="2"/>
        <w:spacing w:line="256" w:lineRule="auto"/>
      </w:pPr>
    </w:p>
    <w:p w14:paraId="6F6EBC63">
      <w:pPr>
        <w:pStyle w:val="2"/>
        <w:spacing w:line="256" w:lineRule="auto"/>
      </w:pPr>
    </w:p>
    <w:p w14:paraId="089EBEDB">
      <w:pPr>
        <w:pStyle w:val="2"/>
        <w:spacing w:line="256" w:lineRule="auto"/>
      </w:pPr>
    </w:p>
    <w:p w14:paraId="6F51E1D7">
      <w:pPr>
        <w:spacing w:before="78" w:line="350" w:lineRule="auto"/>
        <w:ind w:left="1" w:right="73"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）强化午间及夜间施工噪声管理。严格按照《中华人民共和国环境噪声污染</w:t>
      </w:r>
      <w:r>
        <w:rPr>
          <w:rFonts w:ascii="宋体" w:hAnsi="宋体" w:eastAsia="宋体" w:cs="宋体"/>
          <w:spacing w:val="16"/>
          <w:sz w:val="24"/>
          <w:szCs w:val="24"/>
        </w:rPr>
        <w:t xml:space="preserve"> </w:t>
      </w:r>
      <w:r>
        <w:rPr>
          <w:rFonts w:ascii="宋体" w:hAnsi="宋体" w:eastAsia="宋体" w:cs="宋体"/>
          <w:spacing w:val="1"/>
          <w:sz w:val="24"/>
          <w:szCs w:val="24"/>
        </w:rPr>
        <w:t>防治规定》中对建筑施工的有关管理规定和要求，严禁在中午</w:t>
      </w:r>
      <w:r>
        <w:rPr>
          <w:rFonts w:ascii="Times New Roman" w:hAnsi="Times New Roman" w:eastAsia="Times New Roman" w:cs="Times New Roman"/>
          <w:sz w:val="24"/>
          <w:szCs w:val="24"/>
        </w:rPr>
        <w:t>(12:00</w:t>
      </w:r>
      <w:r>
        <w:rPr>
          <w:rFonts w:ascii="宋体" w:hAnsi="宋体" w:eastAsia="宋体" w:cs="宋体"/>
          <w:sz w:val="24"/>
          <w:szCs w:val="24"/>
        </w:rPr>
        <w:t>～</w:t>
      </w:r>
      <w:r>
        <w:rPr>
          <w:rFonts w:ascii="Times New Roman" w:hAnsi="Times New Roman" w:eastAsia="Times New Roman" w:cs="Times New Roman"/>
          <w:sz w:val="24"/>
          <w:szCs w:val="24"/>
        </w:rPr>
        <w:t>14:00)</w:t>
      </w:r>
      <w:r>
        <w:rPr>
          <w:rFonts w:ascii="宋体" w:hAnsi="宋体" w:eastAsia="宋体" w:cs="宋体"/>
          <w:sz w:val="24"/>
          <w:szCs w:val="24"/>
        </w:rPr>
        <w:t xml:space="preserve">和夜间 </w:t>
      </w:r>
      <w:r>
        <w:rPr>
          <w:rFonts w:ascii="Times New Roman" w:hAnsi="Times New Roman" w:eastAsia="Times New Roman" w:cs="Times New Roman"/>
          <w:spacing w:val="-1"/>
          <w:sz w:val="24"/>
          <w:szCs w:val="24"/>
        </w:rPr>
        <w:t>(22:00</w:t>
      </w:r>
      <w:r>
        <w:rPr>
          <w:rFonts w:ascii="宋体" w:hAnsi="宋体" w:eastAsia="宋体" w:cs="宋体"/>
          <w:spacing w:val="-1"/>
          <w:sz w:val="24"/>
          <w:szCs w:val="24"/>
        </w:rPr>
        <w:t xml:space="preserve">～次日早上 </w:t>
      </w:r>
      <w:r>
        <w:rPr>
          <w:rFonts w:ascii="Times New Roman" w:hAnsi="Times New Roman" w:eastAsia="Times New Roman" w:cs="Times New Roman"/>
          <w:spacing w:val="-1"/>
          <w:sz w:val="24"/>
          <w:szCs w:val="24"/>
        </w:rPr>
        <w:t>6:00)</w:t>
      </w:r>
      <w:r>
        <w:rPr>
          <w:rFonts w:ascii="宋体" w:hAnsi="宋体" w:eastAsia="宋体" w:cs="宋体"/>
          <w:spacing w:val="-1"/>
          <w:sz w:val="24"/>
          <w:szCs w:val="24"/>
        </w:rPr>
        <w:t>期间作业，本项目不允许在中午</w:t>
      </w:r>
      <w:r>
        <w:rPr>
          <w:rFonts w:ascii="宋体" w:hAnsi="宋体" w:eastAsia="宋体" w:cs="宋体"/>
          <w:spacing w:val="-14"/>
          <w:sz w:val="24"/>
          <w:szCs w:val="24"/>
        </w:rPr>
        <w:t xml:space="preserve"> </w:t>
      </w:r>
      <w:r>
        <w:rPr>
          <w:rFonts w:ascii="Times New Roman" w:hAnsi="Times New Roman" w:eastAsia="Times New Roman" w:cs="Times New Roman"/>
          <w:spacing w:val="-1"/>
          <w:sz w:val="24"/>
          <w:szCs w:val="24"/>
        </w:rPr>
        <w:t>12:00</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14:00 </w:t>
      </w:r>
      <w:r>
        <w:rPr>
          <w:rFonts w:ascii="宋体" w:hAnsi="宋体" w:eastAsia="宋体" w:cs="宋体"/>
          <w:spacing w:val="-1"/>
          <w:sz w:val="24"/>
          <w:szCs w:val="24"/>
        </w:rPr>
        <w:t>及晚上</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22:00~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次日</w:t>
      </w:r>
      <w:r>
        <w:rPr>
          <w:rFonts w:ascii="Times New Roman" w:hAnsi="Times New Roman" w:eastAsia="Times New Roman" w:cs="Times New Roman"/>
          <w:spacing w:val="1"/>
          <w:sz w:val="24"/>
          <w:szCs w:val="24"/>
        </w:rPr>
        <w:t>6:00</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内施工，因特殊需要延续施工时间的，应尽量采取降噪措施</w:t>
      </w:r>
      <w:r>
        <w:rPr>
          <w:rFonts w:ascii="宋体" w:hAnsi="宋体" w:eastAsia="宋体" w:cs="宋体"/>
          <w:sz w:val="24"/>
          <w:szCs w:val="24"/>
        </w:rPr>
        <w:t xml:space="preserve">，做好周围群 </w:t>
      </w:r>
      <w:r>
        <w:rPr>
          <w:rFonts w:ascii="宋体" w:hAnsi="宋体" w:eastAsia="宋体" w:cs="宋体"/>
          <w:spacing w:val="-1"/>
          <w:sz w:val="24"/>
          <w:szCs w:val="24"/>
        </w:rPr>
        <w:t>众工作，并报工地所在区或市环保局批准后方可施工。</w:t>
      </w:r>
    </w:p>
    <w:p w14:paraId="14E30649">
      <w:pPr>
        <w:spacing w:before="167" w:line="311" w:lineRule="auto"/>
        <w:ind w:left="16" w:right="15" w:firstLine="47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）从声源上控制：①选用低噪声、低振动设备；②</w:t>
      </w:r>
      <w:r>
        <w:rPr>
          <w:rFonts w:ascii="宋体" w:hAnsi="宋体" w:eastAsia="宋体" w:cs="宋体"/>
          <w:spacing w:val="-7"/>
          <w:sz w:val="24"/>
          <w:szCs w:val="24"/>
        </w:rPr>
        <w:t>改善施工方法和操作方法，</w:t>
      </w:r>
      <w:r>
        <w:rPr>
          <w:rFonts w:ascii="宋体" w:hAnsi="宋体" w:eastAsia="宋体" w:cs="宋体"/>
          <w:sz w:val="24"/>
          <w:szCs w:val="24"/>
        </w:rPr>
        <w:t xml:space="preserve"> </w:t>
      </w:r>
      <w:r>
        <w:rPr>
          <w:rFonts w:ascii="宋体" w:hAnsi="宋体" w:eastAsia="宋体" w:cs="宋体"/>
          <w:spacing w:val="-1"/>
          <w:sz w:val="24"/>
          <w:szCs w:val="24"/>
        </w:rPr>
        <w:t>防止产生高噪声、高振动；③对设备采取消声减振措施。</w:t>
      </w:r>
    </w:p>
    <w:p w14:paraId="1AE8D827">
      <w:pPr>
        <w:spacing w:before="168" w:line="312" w:lineRule="auto"/>
        <w:ind w:left="1" w:right="78"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）对工人和司机进行环保教育，不得喧</w:t>
      </w:r>
      <w:r>
        <w:rPr>
          <w:rFonts w:ascii="宋体" w:hAnsi="宋体" w:eastAsia="宋体" w:cs="宋体"/>
          <w:spacing w:val="-2"/>
          <w:sz w:val="24"/>
          <w:szCs w:val="24"/>
        </w:rPr>
        <w:t>哗，禁止按喇叭，散料装卸车时应轻</w:t>
      </w:r>
      <w:r>
        <w:rPr>
          <w:rFonts w:ascii="宋体" w:hAnsi="宋体" w:eastAsia="宋体" w:cs="宋体"/>
          <w:sz w:val="24"/>
          <w:szCs w:val="24"/>
        </w:rPr>
        <w:t xml:space="preserve"> </w:t>
      </w:r>
      <w:r>
        <w:rPr>
          <w:rFonts w:ascii="宋体" w:hAnsi="宋体" w:eastAsia="宋体" w:cs="宋体"/>
          <w:spacing w:val="-1"/>
          <w:sz w:val="24"/>
          <w:szCs w:val="24"/>
        </w:rPr>
        <w:t>装慢放，减少散料冲出车厢发出的声响。</w:t>
      </w:r>
    </w:p>
    <w:p w14:paraId="5CA26463">
      <w:pPr>
        <w:spacing w:before="203"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）车辆噪声采取保持技术状态完好和适当减低速度的方法进行控制。</w:t>
      </w:r>
    </w:p>
    <w:p w14:paraId="408EAADB">
      <w:pPr>
        <w:spacing w:before="167" w:line="361"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6</w:t>
      </w:r>
      <w:r>
        <w:rPr>
          <w:rFonts w:ascii="宋体" w:hAnsi="宋体" w:eastAsia="宋体" w:cs="宋体"/>
          <w:spacing w:val="-1"/>
          <w:position w:val="2"/>
          <w:sz w:val="24"/>
          <w:szCs w:val="24"/>
        </w:rPr>
        <w:t>）将施工高噪声设备尽量远离边界，并避免高噪声设备同时运行。</w:t>
      </w:r>
    </w:p>
    <w:p w14:paraId="5CBEA5AF">
      <w:pPr>
        <w:spacing w:before="130" w:line="334" w:lineRule="auto"/>
        <w:ind w:left="1" w:right="81" w:firstLine="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）必须在施工场址边界设立围蔽设施，高</w:t>
      </w:r>
      <w:r>
        <w:rPr>
          <w:rFonts w:ascii="宋体" w:hAnsi="宋体" w:eastAsia="宋体" w:cs="宋体"/>
          <w:spacing w:val="2"/>
          <w:sz w:val="24"/>
          <w:szCs w:val="24"/>
        </w:rPr>
        <w:t>度不应小于</w:t>
      </w:r>
      <w:r>
        <w:rPr>
          <w:rFonts w:ascii="Times New Roman" w:hAnsi="Times New Roman" w:eastAsia="Times New Roman" w:cs="Times New Roman"/>
          <w:spacing w:val="2"/>
          <w:sz w:val="24"/>
          <w:szCs w:val="24"/>
        </w:rPr>
        <w:t>2m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，在施工环境敏感</w:t>
      </w:r>
      <w:r>
        <w:rPr>
          <w:rFonts w:ascii="宋体" w:hAnsi="宋体" w:eastAsia="宋体" w:cs="宋体"/>
          <w:sz w:val="24"/>
          <w:szCs w:val="24"/>
        </w:rPr>
        <w:t xml:space="preserve"> </w:t>
      </w:r>
      <w:r>
        <w:rPr>
          <w:rFonts w:ascii="宋体" w:hAnsi="宋体" w:eastAsia="宋体" w:cs="宋体"/>
          <w:spacing w:val="2"/>
          <w:sz w:val="24"/>
          <w:szCs w:val="24"/>
        </w:rPr>
        <w:t>点附近进行高噪声施工时必须设立移动式隔声屏障，降低施工噪声对敏感点造成的</w:t>
      </w:r>
      <w:r>
        <w:rPr>
          <w:rFonts w:ascii="宋体" w:hAnsi="宋体" w:eastAsia="宋体" w:cs="宋体"/>
          <w:spacing w:val="6"/>
          <w:sz w:val="24"/>
          <w:szCs w:val="24"/>
        </w:rPr>
        <w:t xml:space="preserve"> </w:t>
      </w:r>
      <w:r>
        <w:rPr>
          <w:rFonts w:ascii="宋体" w:hAnsi="宋体" w:eastAsia="宋体" w:cs="宋体"/>
          <w:spacing w:val="-4"/>
          <w:sz w:val="24"/>
          <w:szCs w:val="24"/>
        </w:rPr>
        <w:t>影响。</w:t>
      </w:r>
    </w:p>
    <w:p w14:paraId="2A736100">
      <w:pPr>
        <w:spacing w:before="165" w:line="333" w:lineRule="auto"/>
        <w:ind w:left="3" w:right="78"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）根据《中华人民共和国环境噪声污染</w:t>
      </w:r>
      <w:r>
        <w:rPr>
          <w:rFonts w:ascii="宋体" w:hAnsi="宋体" w:eastAsia="宋体" w:cs="宋体"/>
          <w:spacing w:val="-2"/>
          <w:sz w:val="24"/>
          <w:szCs w:val="24"/>
        </w:rPr>
        <w:t>防治法》的规定，如采取了降噪措施</w:t>
      </w:r>
      <w:r>
        <w:rPr>
          <w:rFonts w:ascii="宋体" w:hAnsi="宋体" w:eastAsia="宋体" w:cs="宋体"/>
          <w:sz w:val="24"/>
          <w:szCs w:val="24"/>
        </w:rPr>
        <w:t xml:space="preserve"> </w:t>
      </w:r>
      <w:r>
        <w:rPr>
          <w:rFonts w:ascii="宋体" w:hAnsi="宋体" w:eastAsia="宋体" w:cs="宋体"/>
          <w:spacing w:val="2"/>
          <w:sz w:val="24"/>
          <w:szCs w:val="24"/>
        </w:rPr>
        <w:t>后仍不能达到排放限值要求的，特别是夜间施工噪声发生扰民现象时，施工单位应</w:t>
      </w:r>
      <w:r>
        <w:rPr>
          <w:rFonts w:ascii="宋体" w:hAnsi="宋体" w:eastAsia="宋体" w:cs="宋体"/>
          <w:spacing w:val="4"/>
          <w:sz w:val="24"/>
          <w:szCs w:val="24"/>
        </w:rPr>
        <w:t xml:space="preserve"> </w:t>
      </w:r>
      <w:r>
        <w:rPr>
          <w:rFonts w:ascii="宋体" w:hAnsi="宋体" w:eastAsia="宋体" w:cs="宋体"/>
          <w:spacing w:val="-1"/>
          <w:sz w:val="24"/>
          <w:szCs w:val="24"/>
        </w:rPr>
        <w:t>向受影响的组织或个人致歉并给与赔偿。</w:t>
      </w:r>
    </w:p>
    <w:p w14:paraId="20ACF01B">
      <w:pPr>
        <w:spacing w:before="204" w:line="387" w:lineRule="auto"/>
        <w:ind w:left="3" w:firstLine="480"/>
        <w:rPr>
          <w:rFonts w:ascii="宋体" w:hAnsi="宋体" w:eastAsia="宋体" w:cs="宋体"/>
          <w:sz w:val="24"/>
          <w:szCs w:val="24"/>
        </w:rPr>
      </w:pPr>
      <w:r>
        <w:rPr>
          <w:rFonts w:ascii="宋体" w:hAnsi="宋体" w:eastAsia="宋体" w:cs="宋体"/>
          <w:spacing w:val="2"/>
          <w:sz w:val="24"/>
          <w:szCs w:val="24"/>
        </w:rPr>
        <w:t>建设单位采取以上措施后，能使施工场界达到《建筑施工厂界环境噪声排放标</w:t>
      </w:r>
      <w:r>
        <w:rPr>
          <w:rFonts w:ascii="宋体" w:hAnsi="宋体" w:eastAsia="宋体" w:cs="宋体"/>
          <w:spacing w:val="7"/>
          <w:sz w:val="24"/>
          <w:szCs w:val="24"/>
        </w:rPr>
        <w:t xml:space="preserve"> </w:t>
      </w:r>
      <w:r>
        <w:rPr>
          <w:rFonts w:ascii="宋体" w:hAnsi="宋体" w:eastAsia="宋体" w:cs="宋体"/>
          <w:spacing w:val="-5"/>
          <w:sz w:val="24"/>
          <w:szCs w:val="24"/>
        </w:rPr>
        <w:t>准》（</w:t>
      </w:r>
      <w:r>
        <w:rPr>
          <w:rFonts w:ascii="Times New Roman" w:hAnsi="Times New Roman" w:eastAsia="Times New Roman" w:cs="Times New Roman"/>
          <w:spacing w:val="-5"/>
          <w:sz w:val="24"/>
          <w:szCs w:val="24"/>
        </w:rPr>
        <w:t>GB12523-2011</w:t>
      </w:r>
      <w:r>
        <w:rPr>
          <w:rFonts w:ascii="宋体" w:hAnsi="宋体" w:eastAsia="宋体" w:cs="宋体"/>
          <w:spacing w:val="-5"/>
          <w:sz w:val="24"/>
          <w:szCs w:val="24"/>
        </w:rPr>
        <w:t>）中昼间</w:t>
      </w:r>
      <w:r>
        <w:rPr>
          <w:rFonts w:ascii="Times New Roman" w:hAnsi="Times New Roman" w:eastAsia="Times New Roman" w:cs="Times New Roman"/>
          <w:spacing w:val="-5"/>
          <w:sz w:val="24"/>
          <w:szCs w:val="24"/>
        </w:rPr>
        <w:t>≤70dB</w:t>
      </w:r>
      <w:r>
        <w:rPr>
          <w:rFonts w:ascii="宋体" w:hAnsi="宋体" w:eastAsia="宋体" w:cs="宋体"/>
          <w:spacing w:val="-5"/>
          <w:sz w:val="24"/>
          <w:szCs w:val="24"/>
        </w:rPr>
        <w:t>（</w:t>
      </w:r>
      <w:r>
        <w:rPr>
          <w:rFonts w:ascii="Times New Roman" w:hAnsi="Times New Roman" w:eastAsia="Times New Roman" w:cs="Times New Roman"/>
          <w:spacing w:val="-5"/>
          <w:sz w:val="24"/>
          <w:szCs w:val="24"/>
        </w:rPr>
        <w:t>A</w:t>
      </w:r>
      <w:r>
        <w:rPr>
          <w:rFonts w:ascii="宋体" w:hAnsi="宋体" w:eastAsia="宋体" w:cs="宋体"/>
          <w:spacing w:val="-5"/>
          <w:sz w:val="24"/>
          <w:szCs w:val="24"/>
        </w:rPr>
        <w:t>）限值要求，对周边</w:t>
      </w:r>
      <w:r>
        <w:rPr>
          <w:rFonts w:ascii="宋体" w:hAnsi="宋体" w:eastAsia="宋体" w:cs="宋体"/>
          <w:spacing w:val="-6"/>
          <w:sz w:val="24"/>
          <w:szCs w:val="24"/>
        </w:rPr>
        <w:t>及敏感点造成影响较小。</w:t>
      </w:r>
    </w:p>
    <w:p w14:paraId="1FC299DE">
      <w:pPr>
        <w:spacing w:before="269"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5.1.5</w:t>
      </w:r>
      <w:r>
        <w:rPr>
          <w:rFonts w:ascii="宋体" w:hAnsi="宋体" w:eastAsia="宋体" w:cs="宋体"/>
          <w:b/>
          <w:bCs/>
          <w:spacing w:val="-2"/>
          <w:sz w:val="24"/>
          <w:szCs w:val="24"/>
        </w:rPr>
        <w:t>施工期固体废物影响分析</w:t>
      </w:r>
    </w:p>
    <w:p w14:paraId="03A50B5D">
      <w:pPr>
        <w:pStyle w:val="2"/>
        <w:spacing w:line="276" w:lineRule="auto"/>
      </w:pPr>
    </w:p>
    <w:p w14:paraId="135CA939">
      <w:pPr>
        <w:spacing w:before="79" w:line="221" w:lineRule="auto"/>
        <w:ind w:left="480"/>
        <w:rPr>
          <w:rFonts w:ascii="宋体" w:hAnsi="宋体" w:eastAsia="宋体" w:cs="宋体"/>
          <w:sz w:val="24"/>
          <w:szCs w:val="24"/>
        </w:rPr>
      </w:pPr>
      <w:r>
        <w:rPr>
          <w:rFonts w:ascii="宋体" w:hAnsi="宋体" w:eastAsia="宋体" w:cs="宋体"/>
          <w:spacing w:val="-1"/>
          <w:sz w:val="24"/>
          <w:szCs w:val="24"/>
        </w:rPr>
        <w:t>施工期间的固体废物主要是建筑垃圾和施工人员的生活垃圾。</w:t>
      </w:r>
    </w:p>
    <w:p w14:paraId="523A0FBE">
      <w:pPr>
        <w:spacing w:before="167" w:line="361" w:lineRule="exact"/>
        <w:ind w:left="499"/>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、建筑垃圾</w:t>
      </w:r>
    </w:p>
    <w:p w14:paraId="1E31BB74">
      <w:pPr>
        <w:spacing w:before="163" w:line="376" w:lineRule="auto"/>
        <w:ind w:left="28" w:right="17" w:firstLine="451"/>
        <w:rPr>
          <w:rFonts w:ascii="宋体" w:hAnsi="宋体" w:eastAsia="宋体" w:cs="宋体"/>
          <w:sz w:val="24"/>
          <w:szCs w:val="24"/>
        </w:rPr>
      </w:pPr>
      <w:r>
        <w:rPr>
          <w:rFonts w:ascii="宋体" w:hAnsi="宋体" w:eastAsia="宋体" w:cs="宋体"/>
          <w:spacing w:val="-3"/>
          <w:sz w:val="24"/>
          <w:szCs w:val="24"/>
        </w:rPr>
        <w:t>施工期间建筑工地会产生大量余泥、渣土、地表开挖的淤泥、施工剩余废物料，</w:t>
      </w:r>
      <w:r>
        <w:rPr>
          <w:rFonts w:ascii="宋体" w:hAnsi="宋体" w:eastAsia="宋体" w:cs="宋体"/>
          <w:spacing w:val="7"/>
          <w:sz w:val="24"/>
          <w:szCs w:val="24"/>
        </w:rPr>
        <w:t xml:space="preserve"> </w:t>
      </w:r>
      <w:r>
        <w:rPr>
          <w:rFonts w:ascii="宋体" w:hAnsi="宋体" w:eastAsia="宋体" w:cs="宋体"/>
          <w:spacing w:val="-2"/>
          <w:sz w:val="24"/>
          <w:szCs w:val="24"/>
        </w:rPr>
        <w:t>以及在运输过程中，车辆若不注意清洁运输而沿途撒落的尘土。</w:t>
      </w:r>
    </w:p>
    <w:p w14:paraId="584D7A89">
      <w:pPr>
        <w:spacing w:line="219" w:lineRule="auto"/>
        <w:ind w:left="480"/>
        <w:rPr>
          <w:rFonts w:ascii="宋体" w:hAnsi="宋体" w:eastAsia="宋体" w:cs="宋体"/>
          <w:sz w:val="24"/>
          <w:szCs w:val="24"/>
        </w:rPr>
      </w:pPr>
      <w:r>
        <w:rPr>
          <w:rFonts w:ascii="宋体" w:hAnsi="宋体" w:eastAsia="宋体" w:cs="宋体"/>
          <w:spacing w:val="-1"/>
          <w:sz w:val="24"/>
          <w:szCs w:val="24"/>
        </w:rPr>
        <w:t>施工期建筑垃圾产生量采用建筑面积发展预测，预测模型为：</w:t>
      </w:r>
    </w:p>
    <w:p w14:paraId="40C61456">
      <w:pPr>
        <w:spacing w:before="170" w:line="314" w:lineRule="exact"/>
        <w:ind w:left="4163"/>
        <w:outlineLvl w:val="0"/>
        <w:rPr>
          <w:rFonts w:ascii="Times New Roman" w:hAnsi="Times New Roman" w:eastAsia="Times New Roman" w:cs="Times New Roman"/>
          <w:sz w:val="15"/>
          <w:szCs w:val="15"/>
        </w:rPr>
      </w:pPr>
      <w:r>
        <w:rPr>
          <w:rFonts w:ascii="Times New Roman" w:hAnsi="Times New Roman" w:eastAsia="Times New Roman" w:cs="Times New Roman"/>
          <w:position w:val="4"/>
          <w:sz w:val="24"/>
          <w:szCs w:val="24"/>
        </w:rPr>
        <w:t>J</w:t>
      </w:r>
      <w:r>
        <w:rPr>
          <w:rFonts w:ascii="Times New Roman" w:hAnsi="Times New Roman" w:eastAsia="Times New Roman" w:cs="Times New Roman"/>
          <w:position w:val="3"/>
          <w:sz w:val="15"/>
          <w:szCs w:val="15"/>
        </w:rPr>
        <w:t>s</w:t>
      </w:r>
      <w:r>
        <w:rPr>
          <w:rFonts w:ascii="Times New Roman" w:hAnsi="Times New Roman" w:eastAsia="Times New Roman" w:cs="Times New Roman"/>
          <w:position w:val="4"/>
          <w:sz w:val="24"/>
          <w:szCs w:val="24"/>
        </w:rPr>
        <w:t>=Q</w:t>
      </w:r>
      <w:r>
        <w:rPr>
          <w:rFonts w:ascii="Times New Roman" w:hAnsi="Times New Roman" w:eastAsia="Times New Roman" w:cs="Times New Roman"/>
          <w:position w:val="4"/>
          <w:sz w:val="15"/>
          <w:szCs w:val="15"/>
        </w:rPr>
        <w:t>s</w:t>
      </w:r>
      <w:r>
        <w:rPr>
          <w:rFonts w:ascii="Times New Roman" w:hAnsi="Times New Roman" w:eastAsia="Times New Roman" w:cs="Times New Roman"/>
          <w:position w:val="4"/>
          <w:sz w:val="24"/>
          <w:szCs w:val="24"/>
        </w:rPr>
        <w:t>×C</w:t>
      </w:r>
      <w:r>
        <w:rPr>
          <w:rFonts w:ascii="Times New Roman" w:hAnsi="Times New Roman" w:eastAsia="Times New Roman" w:cs="Times New Roman"/>
          <w:position w:val="3"/>
          <w:sz w:val="15"/>
          <w:szCs w:val="15"/>
        </w:rPr>
        <w:t>s</w:t>
      </w:r>
    </w:p>
    <w:p w14:paraId="364097E4">
      <w:pPr>
        <w:spacing w:before="211" w:line="220" w:lineRule="auto"/>
        <w:ind w:left="486"/>
        <w:rPr>
          <w:rFonts w:ascii="宋体" w:hAnsi="宋体" w:eastAsia="宋体" w:cs="宋体"/>
          <w:sz w:val="24"/>
          <w:szCs w:val="24"/>
        </w:rPr>
      </w:pPr>
      <w:r>
        <w:rPr>
          <w:rFonts w:ascii="宋体" w:hAnsi="宋体" w:eastAsia="宋体" w:cs="宋体"/>
          <w:spacing w:val="-1"/>
          <w:sz w:val="24"/>
          <w:szCs w:val="24"/>
        </w:rPr>
        <w:t xml:space="preserve">式中： </w:t>
      </w:r>
      <w:r>
        <w:rPr>
          <w:rFonts w:ascii="Times New Roman" w:hAnsi="Times New Roman" w:eastAsia="Times New Roman" w:cs="Times New Roman"/>
          <w:i/>
          <w:iCs/>
          <w:spacing w:val="-1"/>
          <w:sz w:val="24"/>
          <w:szCs w:val="24"/>
        </w:rPr>
        <w:t>J</w:t>
      </w:r>
      <w:r>
        <w:rPr>
          <w:rFonts w:ascii="Times New Roman" w:hAnsi="Times New Roman" w:eastAsia="Times New Roman" w:cs="Times New Roman"/>
          <w:i/>
          <w:iCs/>
          <w:spacing w:val="-1"/>
          <w:position w:val="-1"/>
          <w:sz w:val="15"/>
          <w:szCs w:val="15"/>
        </w:rPr>
        <w:t>s</w:t>
      </w:r>
      <w:r>
        <w:rPr>
          <w:rFonts w:ascii="Times New Roman" w:hAnsi="Times New Roman" w:eastAsia="Times New Roman" w:cs="Times New Roman"/>
          <w:spacing w:val="-1"/>
          <w:sz w:val="24"/>
          <w:szCs w:val="24"/>
        </w:rPr>
        <w:t>—</w:t>
      </w:r>
      <w:r>
        <w:rPr>
          <w:rFonts w:ascii="宋体" w:hAnsi="宋体" w:eastAsia="宋体" w:cs="宋体"/>
          <w:spacing w:val="-1"/>
          <w:sz w:val="24"/>
          <w:szCs w:val="24"/>
        </w:rPr>
        <w:t>建筑垃圾产生量；</w:t>
      </w:r>
    </w:p>
    <w:p w14:paraId="462168DC">
      <w:pPr>
        <w:spacing w:line="220" w:lineRule="auto"/>
        <w:rPr>
          <w:rFonts w:ascii="宋体" w:hAnsi="宋体" w:eastAsia="宋体" w:cs="宋体"/>
          <w:sz w:val="24"/>
          <w:szCs w:val="24"/>
        </w:rPr>
        <w:sectPr>
          <w:footerReference r:id="rId127" w:type="default"/>
          <w:pgSz w:w="11906" w:h="16839"/>
          <w:pgMar w:top="400" w:right="1507" w:bottom="1485" w:left="1596" w:header="0" w:footer="1249" w:gutter="0"/>
          <w:cols w:space="720" w:num="1"/>
        </w:sectPr>
      </w:pPr>
    </w:p>
    <w:p w14:paraId="24852463">
      <w:pPr>
        <w:pStyle w:val="2"/>
        <w:spacing w:line="264" w:lineRule="auto"/>
      </w:pPr>
    </w:p>
    <w:p w14:paraId="6CBD4B2D">
      <w:pPr>
        <w:pStyle w:val="2"/>
        <w:spacing w:line="264" w:lineRule="auto"/>
      </w:pPr>
    </w:p>
    <w:p w14:paraId="6574D46C">
      <w:pPr>
        <w:pStyle w:val="2"/>
        <w:spacing w:line="264" w:lineRule="auto"/>
      </w:pPr>
    </w:p>
    <w:p w14:paraId="482766FB">
      <w:pPr>
        <w:pStyle w:val="2"/>
        <w:spacing w:line="265" w:lineRule="auto"/>
      </w:pPr>
    </w:p>
    <w:p w14:paraId="2D533245">
      <w:pPr>
        <w:spacing w:before="78" w:line="212" w:lineRule="auto"/>
        <w:ind w:left="483"/>
        <w:rPr>
          <w:rFonts w:ascii="宋体" w:hAnsi="宋体" w:eastAsia="宋体" w:cs="宋体"/>
          <w:sz w:val="24"/>
          <w:szCs w:val="24"/>
        </w:rPr>
      </w:pPr>
      <w:r>
        <w:rPr>
          <w:rFonts w:ascii="Times New Roman" w:hAnsi="Times New Roman" w:eastAsia="Times New Roman" w:cs="Times New Roman"/>
          <w:i/>
          <w:iCs/>
          <w:sz w:val="24"/>
          <w:szCs w:val="24"/>
        </w:rPr>
        <w:t>Q</w:t>
      </w:r>
      <w:r>
        <w:rPr>
          <w:rFonts w:ascii="Times New Roman" w:hAnsi="Times New Roman" w:eastAsia="Times New Roman" w:cs="Times New Roman"/>
          <w:i/>
          <w:iCs/>
          <w:sz w:val="15"/>
          <w:szCs w:val="15"/>
        </w:rPr>
        <w:t>s</w:t>
      </w:r>
      <w:r>
        <w:rPr>
          <w:rFonts w:ascii="Times New Roman" w:hAnsi="Times New Roman" w:eastAsia="Times New Roman" w:cs="Times New Roman"/>
          <w:spacing w:val="8"/>
          <w:sz w:val="24"/>
          <w:szCs w:val="24"/>
        </w:rPr>
        <w:t>—</w:t>
      </w:r>
      <w:r>
        <w:rPr>
          <w:rFonts w:ascii="宋体" w:hAnsi="宋体" w:eastAsia="宋体" w:cs="宋体"/>
          <w:spacing w:val="8"/>
          <w:sz w:val="24"/>
          <w:szCs w:val="24"/>
        </w:rPr>
        <w:t>建筑面积；</w:t>
      </w:r>
    </w:p>
    <w:p w14:paraId="5757AD1D">
      <w:pPr>
        <w:spacing w:before="178" w:line="360" w:lineRule="exact"/>
        <w:ind w:left="488"/>
        <w:rPr>
          <w:rFonts w:ascii="宋体" w:hAnsi="宋体" w:eastAsia="宋体" w:cs="宋体"/>
          <w:sz w:val="24"/>
          <w:szCs w:val="24"/>
        </w:rPr>
      </w:pPr>
      <w:r>
        <w:rPr>
          <w:rFonts w:ascii="Times New Roman" w:hAnsi="Times New Roman" w:eastAsia="Times New Roman" w:cs="Times New Roman"/>
          <w:i/>
          <w:iCs/>
          <w:spacing w:val="-2"/>
          <w:position w:val="2"/>
          <w:sz w:val="24"/>
          <w:szCs w:val="24"/>
        </w:rPr>
        <w:t>C</w:t>
      </w:r>
      <w:r>
        <w:rPr>
          <w:rFonts w:ascii="Times New Roman" w:hAnsi="Times New Roman" w:eastAsia="Times New Roman" w:cs="Times New Roman"/>
          <w:i/>
          <w:iCs/>
          <w:spacing w:val="-2"/>
          <w:position w:val="1"/>
          <w:sz w:val="15"/>
          <w:szCs w:val="15"/>
        </w:rPr>
        <w:t>s</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平均每平方建筑面积垃圾产生量（</w:t>
      </w:r>
      <w:r>
        <w:rPr>
          <w:rFonts w:ascii="Times New Roman" w:hAnsi="Times New Roman" w:eastAsia="Times New Roman" w:cs="Times New Roman"/>
          <w:spacing w:val="-2"/>
          <w:position w:val="2"/>
          <w:sz w:val="24"/>
          <w:szCs w:val="24"/>
        </w:rPr>
        <w:t>t/m</w:t>
      </w:r>
      <w:r>
        <w:rPr>
          <w:rFonts w:ascii="Times New Roman" w:hAnsi="Times New Roman" w:eastAsia="Times New Roman" w:cs="Times New Roman"/>
          <w:spacing w:val="-2"/>
          <w:position w:val="9"/>
          <w:sz w:val="15"/>
          <w:szCs w:val="15"/>
        </w:rPr>
        <w:t xml:space="preserve">2 </w:t>
      </w:r>
      <w:r>
        <w:rPr>
          <w:rFonts w:ascii="宋体" w:hAnsi="宋体" w:eastAsia="宋体" w:cs="宋体"/>
          <w:spacing w:val="-3"/>
          <w:position w:val="2"/>
          <w:sz w:val="24"/>
          <w:szCs w:val="24"/>
        </w:rPr>
        <w:t>）。</w:t>
      </w:r>
    </w:p>
    <w:p w14:paraId="3787B895">
      <w:pPr>
        <w:spacing w:before="124" w:line="375" w:lineRule="auto"/>
        <w:ind w:left="1" w:right="2" w:firstLine="425"/>
        <w:rPr>
          <w:rFonts w:ascii="宋体" w:hAnsi="宋体" w:eastAsia="宋体" w:cs="宋体"/>
          <w:sz w:val="24"/>
          <w:szCs w:val="24"/>
        </w:rPr>
      </w:pPr>
      <w:r>
        <w:rPr>
          <w:rFonts w:ascii="宋体" w:hAnsi="宋体" w:eastAsia="宋体" w:cs="宋体"/>
          <w:sz w:val="24"/>
          <w:szCs w:val="24"/>
        </w:rPr>
        <w:t>本项目建筑面积为</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8346m</w:t>
      </w:r>
      <w:r>
        <w:rPr>
          <w:rFonts w:ascii="Times New Roman" w:hAnsi="Times New Roman" w:eastAsia="Times New Roman" w:cs="Times New Roman"/>
          <w:position w:val="7"/>
          <w:sz w:val="15"/>
          <w:szCs w:val="15"/>
        </w:rPr>
        <w:t>2</w:t>
      </w:r>
      <w:r>
        <w:rPr>
          <w:rFonts w:ascii="Times New Roman" w:hAnsi="Times New Roman" w:eastAsia="Times New Roman" w:cs="Times New Roman"/>
          <w:spacing w:val="-10"/>
          <w:position w:val="7"/>
          <w:sz w:val="15"/>
          <w:szCs w:val="15"/>
        </w:rPr>
        <w:t xml:space="preserve"> </w:t>
      </w:r>
      <w:r>
        <w:rPr>
          <w:rFonts w:ascii="宋体" w:hAnsi="宋体" w:eastAsia="宋体" w:cs="宋体"/>
          <w:sz w:val="24"/>
          <w:szCs w:val="24"/>
        </w:rPr>
        <w:t xml:space="preserve">，经过与工业企业施工期固废排放情况类比，每平方 </w:t>
      </w:r>
      <w:r>
        <w:rPr>
          <w:rFonts w:ascii="宋体" w:hAnsi="宋体" w:eastAsia="宋体" w:cs="宋体"/>
          <w:spacing w:val="2"/>
          <w:sz w:val="24"/>
          <w:szCs w:val="24"/>
        </w:rPr>
        <w:t>米建筑面积产生建筑垃圾约</w:t>
      </w:r>
      <w:r>
        <w:rPr>
          <w:rFonts w:ascii="Times New Roman" w:hAnsi="Times New Roman" w:eastAsia="Times New Roman" w:cs="Times New Roman"/>
          <w:spacing w:val="2"/>
          <w:sz w:val="24"/>
          <w:szCs w:val="24"/>
        </w:rPr>
        <w:t>4.4</w:t>
      </w:r>
      <w:r>
        <w:rPr>
          <w:rFonts w:ascii="Times New Roman" w:hAnsi="Times New Roman" w:eastAsia="Times New Roman" w:cs="Times New Roman"/>
          <w:sz w:val="24"/>
          <w:szCs w:val="24"/>
        </w:rPr>
        <w:t>kg</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。故本项目施工期将产生约</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36.7t </w:t>
      </w:r>
      <w:r>
        <w:rPr>
          <w:rFonts w:ascii="宋体" w:hAnsi="宋体" w:eastAsia="宋体" w:cs="宋体"/>
          <w:spacing w:val="2"/>
          <w:sz w:val="24"/>
          <w:szCs w:val="24"/>
        </w:rPr>
        <w:t>建筑垃圾。施工</w:t>
      </w:r>
      <w:r>
        <w:rPr>
          <w:rFonts w:ascii="宋体" w:hAnsi="宋体" w:eastAsia="宋体" w:cs="宋体"/>
          <w:sz w:val="24"/>
          <w:szCs w:val="24"/>
        </w:rPr>
        <w:t xml:space="preserve"> </w:t>
      </w:r>
      <w:r>
        <w:rPr>
          <w:rFonts w:ascii="宋体" w:hAnsi="宋体" w:eastAsia="宋体" w:cs="宋体"/>
          <w:spacing w:val="2"/>
          <w:sz w:val="24"/>
          <w:szCs w:val="24"/>
        </w:rPr>
        <w:t>期产生的建筑垃圾，首先考虑废料回收利用，不能回收利用的交由废品收购站或者</w:t>
      </w:r>
      <w:r>
        <w:rPr>
          <w:rFonts w:ascii="宋体" w:hAnsi="宋体" w:eastAsia="宋体" w:cs="宋体"/>
          <w:spacing w:val="6"/>
          <w:sz w:val="24"/>
          <w:szCs w:val="24"/>
        </w:rPr>
        <w:t xml:space="preserve"> </w:t>
      </w:r>
      <w:r>
        <w:rPr>
          <w:rFonts w:ascii="宋体" w:hAnsi="宋体" w:eastAsia="宋体" w:cs="宋体"/>
          <w:spacing w:val="-1"/>
          <w:sz w:val="24"/>
          <w:szCs w:val="24"/>
        </w:rPr>
        <w:t>清运到指定的建筑垃圾场。</w:t>
      </w:r>
    </w:p>
    <w:p w14:paraId="6B9E4C74">
      <w:pPr>
        <w:spacing w:before="8" w:line="361" w:lineRule="exact"/>
        <w:ind w:left="477"/>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27"/>
          <w:position w:val="2"/>
          <w:sz w:val="24"/>
          <w:szCs w:val="24"/>
        </w:rPr>
        <w:t xml:space="preserve"> </w:t>
      </w:r>
      <w:r>
        <w:rPr>
          <w:rFonts w:ascii="宋体" w:hAnsi="宋体" w:eastAsia="宋体" w:cs="宋体"/>
          <w:spacing w:val="-4"/>
          <w:position w:val="2"/>
          <w:sz w:val="24"/>
          <w:szCs w:val="24"/>
        </w:rPr>
        <w:t>、施工人员生活垃圾</w:t>
      </w:r>
    </w:p>
    <w:p w14:paraId="3D20D868">
      <w:pPr>
        <w:spacing w:before="130" w:line="365" w:lineRule="auto"/>
        <w:ind w:left="20" w:firstLine="460"/>
        <w:jc w:val="both"/>
        <w:rPr>
          <w:rFonts w:ascii="宋体" w:hAnsi="宋体" w:eastAsia="宋体" w:cs="宋体"/>
          <w:sz w:val="24"/>
          <w:szCs w:val="24"/>
        </w:rPr>
      </w:pPr>
      <w:r>
        <w:rPr>
          <w:rFonts w:ascii="宋体" w:hAnsi="宋体" w:eastAsia="宋体" w:cs="宋体"/>
          <w:spacing w:val="1"/>
          <w:sz w:val="24"/>
          <w:szCs w:val="24"/>
        </w:rPr>
        <w:t>施工人员</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人，施工期</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个月，按每人每</w:t>
      </w:r>
      <w:r>
        <w:rPr>
          <w:rFonts w:ascii="宋体" w:hAnsi="宋体" w:eastAsia="宋体" w:cs="宋体"/>
          <w:sz w:val="24"/>
          <w:szCs w:val="24"/>
        </w:rPr>
        <w:t>天产生生活垃圾</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0.5kg/d</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 xml:space="preserve">计，施工期 </w:t>
      </w:r>
      <w:r>
        <w:rPr>
          <w:rFonts w:ascii="宋体" w:hAnsi="宋体" w:eastAsia="宋体" w:cs="宋体"/>
          <w:spacing w:val="2"/>
          <w:sz w:val="24"/>
          <w:szCs w:val="24"/>
        </w:rPr>
        <w:t>间生活垃圾产生量为</w:t>
      </w:r>
      <w:r>
        <w:rPr>
          <w:rFonts w:ascii="Times New Roman" w:hAnsi="Times New Roman" w:eastAsia="Times New Roman" w:cs="Times New Roman"/>
          <w:spacing w:val="2"/>
          <w:sz w:val="24"/>
          <w:szCs w:val="24"/>
        </w:rPr>
        <w:t>2.25t/a</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。施工人员生活垃圾经收集后交给当地的环卫部门，每</w:t>
      </w:r>
      <w:r>
        <w:rPr>
          <w:rFonts w:ascii="宋体" w:hAnsi="宋体" w:eastAsia="宋体" w:cs="宋体"/>
          <w:sz w:val="24"/>
          <w:szCs w:val="24"/>
        </w:rPr>
        <w:t xml:space="preserve"> </w:t>
      </w:r>
      <w:r>
        <w:rPr>
          <w:rFonts w:ascii="宋体" w:hAnsi="宋体" w:eastAsia="宋体" w:cs="宋体"/>
          <w:spacing w:val="-1"/>
          <w:sz w:val="24"/>
          <w:szCs w:val="24"/>
        </w:rPr>
        <w:t>日清理，并要做好垃圾堆放点的消毒，杀灭害虫，以免散发恶臭、滋生蚊蝇。</w:t>
      </w:r>
    </w:p>
    <w:p w14:paraId="2D891B51">
      <w:pPr>
        <w:spacing w:before="41" w:line="361" w:lineRule="exact"/>
        <w:ind w:left="482"/>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23"/>
          <w:position w:val="2"/>
          <w:sz w:val="24"/>
          <w:szCs w:val="24"/>
        </w:rPr>
        <w:t xml:space="preserve"> </w:t>
      </w:r>
      <w:r>
        <w:rPr>
          <w:rFonts w:ascii="宋体" w:hAnsi="宋体" w:eastAsia="宋体" w:cs="宋体"/>
          <w:spacing w:val="-3"/>
          <w:position w:val="2"/>
          <w:sz w:val="24"/>
          <w:szCs w:val="24"/>
        </w:rPr>
        <w:t>、施工期固体废弃物影响防治措施</w:t>
      </w:r>
    </w:p>
    <w:p w14:paraId="332947D1">
      <w:pPr>
        <w:spacing w:before="167" w:line="219" w:lineRule="auto"/>
        <w:ind w:left="484"/>
        <w:rPr>
          <w:rFonts w:ascii="宋体" w:hAnsi="宋体" w:eastAsia="宋体" w:cs="宋体"/>
          <w:sz w:val="24"/>
          <w:szCs w:val="24"/>
        </w:rPr>
      </w:pPr>
      <w:r>
        <w:rPr>
          <w:rFonts w:ascii="宋体" w:hAnsi="宋体" w:eastAsia="宋体" w:cs="宋体"/>
          <w:spacing w:val="-1"/>
          <w:sz w:val="24"/>
          <w:szCs w:val="24"/>
        </w:rPr>
        <w:t>为减少施工期固废对周围环境的影响，建议采取以下防范措施：</w:t>
      </w:r>
    </w:p>
    <w:p w14:paraId="7E5C286B">
      <w:pPr>
        <w:spacing w:before="168" w:line="312" w:lineRule="auto"/>
        <w:ind w:left="2" w:right="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）弃土的处置建设单位拟将施工过程产生弃土方运至城管部门认可的建筑废</w:t>
      </w:r>
      <w:r>
        <w:rPr>
          <w:rFonts w:ascii="宋体" w:hAnsi="宋体" w:eastAsia="宋体" w:cs="宋体"/>
          <w:spacing w:val="16"/>
          <w:sz w:val="24"/>
          <w:szCs w:val="24"/>
        </w:rPr>
        <w:t xml:space="preserve"> </w:t>
      </w:r>
      <w:r>
        <w:rPr>
          <w:rFonts w:ascii="宋体" w:hAnsi="宋体" w:eastAsia="宋体" w:cs="宋体"/>
          <w:spacing w:val="-2"/>
          <w:sz w:val="24"/>
          <w:szCs w:val="24"/>
        </w:rPr>
        <w:t>土渣场填埋。</w:t>
      </w:r>
    </w:p>
    <w:p w14:paraId="159AD4D7">
      <w:pPr>
        <w:spacing w:before="163" w:line="334"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）施工废料处理首先应考虑废料的回收利用。对钢筋、钢板、玻璃、木材等</w:t>
      </w:r>
      <w:r>
        <w:rPr>
          <w:rFonts w:ascii="宋体" w:hAnsi="宋体" w:eastAsia="宋体" w:cs="宋体"/>
          <w:spacing w:val="16"/>
          <w:sz w:val="24"/>
          <w:szCs w:val="24"/>
        </w:rPr>
        <w:t xml:space="preserve"> </w:t>
      </w:r>
      <w:r>
        <w:rPr>
          <w:rFonts w:ascii="宋体" w:hAnsi="宋体" w:eastAsia="宋体" w:cs="宋体"/>
          <w:spacing w:val="2"/>
          <w:sz w:val="24"/>
          <w:szCs w:val="24"/>
        </w:rPr>
        <w:t>边角料可分类回收，交废物收购站处理；对建筑垃圾，如废砖、含砖、石、砂的杂</w:t>
      </w:r>
      <w:r>
        <w:rPr>
          <w:rFonts w:ascii="宋体" w:hAnsi="宋体" w:eastAsia="宋体" w:cs="宋体"/>
          <w:spacing w:val="7"/>
          <w:sz w:val="24"/>
          <w:szCs w:val="24"/>
        </w:rPr>
        <w:t xml:space="preserve"> </w:t>
      </w:r>
      <w:r>
        <w:rPr>
          <w:rFonts w:ascii="宋体" w:hAnsi="宋体" w:eastAsia="宋体" w:cs="宋体"/>
          <w:spacing w:val="-1"/>
          <w:sz w:val="24"/>
          <w:szCs w:val="24"/>
        </w:rPr>
        <w:t>土应及时清运处理，以免影响施工和环境卫生。</w:t>
      </w:r>
    </w:p>
    <w:p w14:paraId="4F5DDFFA">
      <w:pPr>
        <w:spacing w:before="168" w:line="312" w:lineRule="auto"/>
        <w:ind w:left="3"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）针对生活垃圾，应设有垃圾桶或垃圾</w:t>
      </w:r>
      <w:r>
        <w:rPr>
          <w:rFonts w:ascii="宋体" w:hAnsi="宋体" w:eastAsia="宋体" w:cs="宋体"/>
          <w:spacing w:val="-2"/>
          <w:sz w:val="24"/>
          <w:szCs w:val="24"/>
        </w:rPr>
        <w:t>池，派专人负责清扫收集，统一收集</w:t>
      </w:r>
      <w:r>
        <w:rPr>
          <w:rFonts w:ascii="宋体" w:hAnsi="宋体" w:eastAsia="宋体" w:cs="宋体"/>
          <w:sz w:val="24"/>
          <w:szCs w:val="24"/>
        </w:rPr>
        <w:t xml:space="preserve"> 后及时交给环卫部门，由环卫部门清运到生活垃圾</w:t>
      </w:r>
      <w:r>
        <w:rPr>
          <w:rFonts w:ascii="宋体" w:hAnsi="宋体" w:eastAsia="宋体" w:cs="宋体"/>
          <w:spacing w:val="-1"/>
          <w:sz w:val="24"/>
          <w:szCs w:val="24"/>
        </w:rPr>
        <w:t>填埋场处理，严禁随地处置。</w:t>
      </w:r>
    </w:p>
    <w:p w14:paraId="1FFB8019">
      <w:pPr>
        <w:spacing w:before="167" w:line="344" w:lineRule="auto"/>
        <w:ind w:right="2"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）完工清场的固体废物处理处置工程完工后应撤离所有临时设施和部件，四</w:t>
      </w:r>
      <w:r>
        <w:rPr>
          <w:rFonts w:ascii="宋体" w:hAnsi="宋体" w:eastAsia="宋体" w:cs="宋体"/>
          <w:spacing w:val="16"/>
          <w:sz w:val="24"/>
          <w:szCs w:val="24"/>
        </w:rPr>
        <w:t xml:space="preserve"> </w:t>
      </w:r>
      <w:r>
        <w:rPr>
          <w:rFonts w:ascii="宋体" w:hAnsi="宋体" w:eastAsia="宋体" w:cs="宋体"/>
          <w:spacing w:val="2"/>
          <w:sz w:val="24"/>
          <w:szCs w:val="24"/>
        </w:rPr>
        <w:t>周溢流砂浆的泥土全部挖除，临时设施拆除时应防止扬尘、噪声及废弃物污染。施</w:t>
      </w:r>
      <w:r>
        <w:rPr>
          <w:rFonts w:ascii="宋体" w:hAnsi="宋体" w:eastAsia="宋体" w:cs="宋体"/>
          <w:spacing w:val="8"/>
          <w:sz w:val="24"/>
          <w:szCs w:val="24"/>
        </w:rPr>
        <w:t xml:space="preserve"> </w:t>
      </w:r>
      <w:r>
        <w:rPr>
          <w:rFonts w:ascii="宋体" w:hAnsi="宋体" w:eastAsia="宋体" w:cs="宋体"/>
          <w:spacing w:val="2"/>
          <w:sz w:val="24"/>
          <w:szCs w:val="24"/>
        </w:rPr>
        <w:t>工区垃圾堆放点、临时厕所全部拆除并进行消毒。对所有施工工作面和施工活动区</w:t>
      </w:r>
      <w:r>
        <w:rPr>
          <w:rFonts w:ascii="宋体" w:hAnsi="宋体" w:eastAsia="宋体" w:cs="宋体"/>
          <w:spacing w:val="8"/>
          <w:sz w:val="24"/>
          <w:szCs w:val="24"/>
        </w:rPr>
        <w:t xml:space="preserve"> </w:t>
      </w:r>
      <w:r>
        <w:rPr>
          <w:rFonts w:ascii="宋体" w:hAnsi="宋体" w:eastAsia="宋体" w:cs="宋体"/>
          <w:spacing w:val="-1"/>
          <w:sz w:val="24"/>
          <w:szCs w:val="24"/>
        </w:rPr>
        <w:t>进行检查，将施工废弃物彻底清理处置。</w:t>
      </w:r>
    </w:p>
    <w:p w14:paraId="17B81F2F">
      <w:pPr>
        <w:spacing w:before="203" w:line="220" w:lineRule="auto"/>
        <w:ind w:left="483"/>
        <w:rPr>
          <w:rFonts w:ascii="宋体" w:hAnsi="宋体" w:eastAsia="宋体" w:cs="宋体"/>
          <w:sz w:val="24"/>
          <w:szCs w:val="24"/>
        </w:rPr>
      </w:pPr>
      <w:r>
        <w:rPr>
          <w:rFonts w:ascii="宋体" w:hAnsi="宋体" w:eastAsia="宋体" w:cs="宋体"/>
          <w:spacing w:val="-1"/>
          <w:sz w:val="24"/>
          <w:szCs w:val="24"/>
        </w:rPr>
        <w:t>经过上述措施处理后，施工产生的固体废物对周围环境的影响较小。</w:t>
      </w:r>
    </w:p>
    <w:p w14:paraId="3B38BEC1">
      <w:pPr>
        <w:pStyle w:val="2"/>
        <w:spacing w:line="417" w:lineRule="auto"/>
      </w:pPr>
    </w:p>
    <w:p w14:paraId="2AD00F7A">
      <w:pPr>
        <w:spacing w:before="79"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5.1.6</w:t>
      </w:r>
      <w:r>
        <w:rPr>
          <w:rFonts w:ascii="宋体" w:hAnsi="宋体" w:eastAsia="宋体" w:cs="宋体"/>
          <w:b/>
          <w:bCs/>
          <w:spacing w:val="-2"/>
          <w:sz w:val="24"/>
          <w:szCs w:val="24"/>
        </w:rPr>
        <w:t>施工期生态环境影响分析</w:t>
      </w:r>
    </w:p>
    <w:p w14:paraId="2AB8F9D3">
      <w:pPr>
        <w:pStyle w:val="2"/>
        <w:spacing w:line="243" w:lineRule="auto"/>
      </w:pPr>
    </w:p>
    <w:p w14:paraId="0836BC18">
      <w:pPr>
        <w:spacing w:before="79" w:line="360" w:lineRule="exact"/>
        <w:ind w:left="500"/>
        <w:rPr>
          <w:rFonts w:ascii="宋体" w:hAnsi="宋体" w:eastAsia="宋体" w:cs="宋体"/>
          <w:sz w:val="24"/>
          <w:szCs w:val="24"/>
        </w:rPr>
      </w:pPr>
      <w:r>
        <w:rPr>
          <w:rFonts w:ascii="Times New Roman" w:hAnsi="Times New Roman" w:eastAsia="Times New Roman" w:cs="Times New Roman"/>
          <w:spacing w:val="-5"/>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、施工期对植被的影响</w:t>
      </w:r>
    </w:p>
    <w:p w14:paraId="3738EC2B">
      <w:pPr>
        <w:spacing w:before="165" w:line="219" w:lineRule="auto"/>
        <w:ind w:right="2"/>
        <w:jc w:val="right"/>
        <w:rPr>
          <w:rFonts w:ascii="宋体" w:hAnsi="宋体" w:eastAsia="宋体" w:cs="宋体"/>
          <w:sz w:val="24"/>
          <w:szCs w:val="24"/>
        </w:rPr>
      </w:pPr>
      <w:r>
        <w:rPr>
          <w:rFonts w:ascii="宋体" w:hAnsi="宋体" w:eastAsia="宋体" w:cs="宋体"/>
          <w:spacing w:val="2"/>
          <w:sz w:val="24"/>
          <w:szCs w:val="24"/>
        </w:rPr>
        <w:t>项目的施工建设，必然会对周围的生态环境带来一定的破坏影响，使现有的土</w:t>
      </w:r>
    </w:p>
    <w:p w14:paraId="673D2A36">
      <w:pPr>
        <w:spacing w:line="219" w:lineRule="auto"/>
        <w:rPr>
          <w:rFonts w:ascii="宋体" w:hAnsi="宋体" w:eastAsia="宋体" w:cs="宋体"/>
          <w:sz w:val="24"/>
          <w:szCs w:val="24"/>
        </w:rPr>
        <w:sectPr>
          <w:footerReference r:id="rId128" w:type="default"/>
          <w:pgSz w:w="11906" w:h="16839"/>
          <w:pgMar w:top="400" w:right="1585" w:bottom="1485" w:left="1596" w:header="0" w:footer="1249" w:gutter="0"/>
          <w:cols w:space="720" w:num="1"/>
        </w:sectPr>
      </w:pPr>
    </w:p>
    <w:p w14:paraId="09110150">
      <w:pPr>
        <w:pStyle w:val="2"/>
        <w:spacing w:line="264" w:lineRule="auto"/>
      </w:pPr>
    </w:p>
    <w:p w14:paraId="20CD6342">
      <w:pPr>
        <w:pStyle w:val="2"/>
        <w:spacing w:line="264" w:lineRule="auto"/>
      </w:pPr>
    </w:p>
    <w:p w14:paraId="239273EE">
      <w:pPr>
        <w:pStyle w:val="2"/>
        <w:spacing w:line="264" w:lineRule="auto"/>
      </w:pPr>
    </w:p>
    <w:p w14:paraId="64DDEF38">
      <w:pPr>
        <w:pStyle w:val="2"/>
        <w:spacing w:line="264" w:lineRule="auto"/>
      </w:pPr>
    </w:p>
    <w:p w14:paraId="5C48F545">
      <w:pPr>
        <w:spacing w:before="78" w:line="371" w:lineRule="auto"/>
        <w:ind w:left="1" w:right="81"/>
        <w:jc w:val="both"/>
        <w:rPr>
          <w:rFonts w:ascii="宋体" w:hAnsi="宋体" w:eastAsia="宋体" w:cs="宋体"/>
          <w:sz w:val="24"/>
          <w:szCs w:val="24"/>
        </w:rPr>
      </w:pPr>
      <w:r>
        <w:rPr>
          <w:rFonts w:ascii="宋体" w:hAnsi="宋体" w:eastAsia="宋体" w:cs="宋体"/>
          <w:spacing w:val="2"/>
          <w:sz w:val="24"/>
          <w:szCs w:val="24"/>
        </w:rPr>
        <w:t>地利用类型发生变化，许多地表植被会消失，同时各种机械车辆碾压和施工人员的</w:t>
      </w:r>
      <w:r>
        <w:rPr>
          <w:rFonts w:ascii="宋体" w:hAnsi="宋体" w:eastAsia="宋体" w:cs="宋体"/>
          <w:spacing w:val="6"/>
          <w:sz w:val="24"/>
          <w:szCs w:val="24"/>
        </w:rPr>
        <w:t xml:space="preserve"> </w:t>
      </w:r>
      <w:r>
        <w:rPr>
          <w:rFonts w:ascii="宋体" w:hAnsi="宋体" w:eastAsia="宋体" w:cs="宋体"/>
          <w:spacing w:val="2"/>
          <w:sz w:val="24"/>
          <w:szCs w:val="24"/>
        </w:rPr>
        <w:t>践踏及土石的堆放，也会对植被造成较为严重的破坏和影响。随着施工期的进行，</w:t>
      </w:r>
      <w:r>
        <w:rPr>
          <w:rFonts w:ascii="宋体" w:hAnsi="宋体" w:eastAsia="宋体" w:cs="宋体"/>
          <w:spacing w:val="6"/>
          <w:sz w:val="24"/>
          <w:szCs w:val="24"/>
        </w:rPr>
        <w:t xml:space="preserve"> </w:t>
      </w:r>
      <w:r>
        <w:rPr>
          <w:rFonts w:ascii="宋体" w:hAnsi="宋体" w:eastAsia="宋体" w:cs="宋体"/>
          <w:spacing w:val="2"/>
          <w:sz w:val="24"/>
          <w:szCs w:val="24"/>
        </w:rPr>
        <w:t>用地范围内的一些植物种类将会消失，绝大部分的植物种类数量将会大大减少。随</w:t>
      </w:r>
      <w:r>
        <w:rPr>
          <w:rFonts w:ascii="宋体" w:hAnsi="宋体" w:eastAsia="宋体" w:cs="宋体"/>
          <w:spacing w:val="6"/>
          <w:sz w:val="24"/>
          <w:szCs w:val="24"/>
        </w:rPr>
        <w:t xml:space="preserve"> </w:t>
      </w:r>
      <w:r>
        <w:rPr>
          <w:rFonts w:ascii="宋体" w:hAnsi="宋体" w:eastAsia="宋体" w:cs="宋体"/>
          <w:spacing w:val="2"/>
          <w:sz w:val="24"/>
          <w:szCs w:val="24"/>
        </w:rPr>
        <w:t>着施工期的建设，经过绿化建设，植被会得到逐步恢复。施工期对植被的破坏将可</w:t>
      </w:r>
      <w:r>
        <w:rPr>
          <w:rFonts w:ascii="宋体" w:hAnsi="宋体" w:eastAsia="宋体" w:cs="宋体"/>
          <w:spacing w:val="6"/>
          <w:sz w:val="24"/>
          <w:szCs w:val="24"/>
        </w:rPr>
        <w:t xml:space="preserve"> </w:t>
      </w:r>
      <w:r>
        <w:rPr>
          <w:rFonts w:ascii="宋体" w:hAnsi="宋体" w:eastAsia="宋体" w:cs="宋体"/>
          <w:sz w:val="24"/>
          <w:szCs w:val="24"/>
        </w:rPr>
        <w:t>能会降低区域生态系统的服务功能，此影响将会延</w:t>
      </w:r>
      <w:r>
        <w:rPr>
          <w:rFonts w:ascii="宋体" w:hAnsi="宋体" w:eastAsia="宋体" w:cs="宋体"/>
          <w:spacing w:val="-1"/>
          <w:sz w:val="24"/>
          <w:szCs w:val="24"/>
        </w:rPr>
        <w:t>续到施工期后的营运期。</w:t>
      </w:r>
    </w:p>
    <w:p w14:paraId="1CE5083A">
      <w:pPr>
        <w:spacing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）施工期对土壤和景观的影响</w:t>
      </w:r>
    </w:p>
    <w:p w14:paraId="55AD6810">
      <w:pPr>
        <w:spacing w:before="163" w:line="377" w:lineRule="auto"/>
        <w:ind w:left="2" w:right="81" w:firstLine="478"/>
        <w:rPr>
          <w:rFonts w:ascii="宋体" w:hAnsi="宋体" w:eastAsia="宋体" w:cs="宋体"/>
          <w:sz w:val="24"/>
          <w:szCs w:val="24"/>
        </w:rPr>
      </w:pPr>
      <w:r>
        <w:rPr>
          <w:rFonts w:ascii="宋体" w:hAnsi="宋体" w:eastAsia="宋体" w:cs="宋体"/>
          <w:spacing w:val="2"/>
          <w:sz w:val="24"/>
          <w:szCs w:val="24"/>
        </w:rPr>
        <w:t>施工期由于机械的碾压及施工人员的践踏，在施工作业区周围的土壤将被严重</w:t>
      </w:r>
      <w:r>
        <w:rPr>
          <w:rFonts w:ascii="宋体" w:hAnsi="宋体" w:eastAsia="宋体" w:cs="宋体"/>
          <w:spacing w:val="11"/>
          <w:sz w:val="24"/>
          <w:szCs w:val="24"/>
        </w:rPr>
        <w:t xml:space="preserve"> </w:t>
      </w:r>
      <w:r>
        <w:rPr>
          <w:rFonts w:ascii="宋体" w:hAnsi="宋体" w:eastAsia="宋体" w:cs="宋体"/>
          <w:spacing w:val="2"/>
          <w:sz w:val="24"/>
          <w:szCs w:val="24"/>
        </w:rPr>
        <w:t>压实，部分施工区域的表土被铲去，另一些区域的表土将可能被填埋，从而使施工</w:t>
      </w:r>
      <w:r>
        <w:rPr>
          <w:rFonts w:ascii="宋体" w:hAnsi="宋体" w:eastAsia="宋体" w:cs="宋体"/>
          <w:spacing w:val="5"/>
          <w:sz w:val="24"/>
          <w:szCs w:val="24"/>
        </w:rPr>
        <w:t xml:space="preserve"> </w:t>
      </w:r>
      <w:r>
        <w:rPr>
          <w:rFonts w:ascii="宋体" w:hAnsi="宋体" w:eastAsia="宋体" w:cs="宋体"/>
          <w:sz w:val="24"/>
          <w:szCs w:val="24"/>
        </w:rPr>
        <w:t>完成后的土壤表层缺乏原有土壤的肥力，不利</w:t>
      </w:r>
      <w:r>
        <w:rPr>
          <w:rFonts w:ascii="宋体" w:hAnsi="宋体" w:eastAsia="宋体" w:cs="宋体"/>
          <w:spacing w:val="-1"/>
          <w:sz w:val="24"/>
          <w:szCs w:val="24"/>
        </w:rPr>
        <w:t>于植物的生长和植被恢复。</w:t>
      </w:r>
    </w:p>
    <w:p w14:paraId="0796F310">
      <w:pPr>
        <w:spacing w:before="301" w:line="224" w:lineRule="auto"/>
        <w:ind w:left="2"/>
        <w:outlineLvl w:val="1"/>
        <w:rPr>
          <w:rFonts w:ascii="宋体" w:hAnsi="宋体" w:eastAsia="宋体" w:cs="宋体"/>
          <w:sz w:val="31"/>
          <w:szCs w:val="31"/>
        </w:rPr>
      </w:pPr>
      <w:bookmarkStart w:id="36" w:name="bookmark32"/>
      <w:bookmarkEnd w:id="36"/>
      <w:r>
        <w:rPr>
          <w:rFonts w:ascii="Times New Roman" w:hAnsi="Times New Roman" w:eastAsia="Times New Roman" w:cs="Times New Roman"/>
          <w:b/>
          <w:bCs/>
          <w:spacing w:val="5"/>
          <w:sz w:val="31"/>
          <w:szCs w:val="31"/>
        </w:rPr>
        <w:t>5.2</w:t>
      </w:r>
      <w:r>
        <w:rPr>
          <w:rFonts w:ascii="宋体" w:hAnsi="宋体" w:eastAsia="宋体" w:cs="宋体"/>
          <w:b/>
          <w:bCs/>
          <w:spacing w:val="5"/>
          <w:sz w:val="31"/>
          <w:szCs w:val="31"/>
        </w:rPr>
        <w:t>营运期环境影响评价</w:t>
      </w:r>
    </w:p>
    <w:p w14:paraId="4E40C85E">
      <w:pPr>
        <w:pStyle w:val="2"/>
        <w:spacing w:line="448" w:lineRule="auto"/>
      </w:pPr>
    </w:p>
    <w:p w14:paraId="20F98CA7">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5.2.1</w:t>
      </w:r>
      <w:r>
        <w:rPr>
          <w:rFonts w:ascii="宋体" w:hAnsi="宋体" w:eastAsia="宋体" w:cs="宋体"/>
          <w:b/>
          <w:bCs/>
          <w:spacing w:val="-2"/>
          <w:sz w:val="24"/>
          <w:szCs w:val="24"/>
        </w:rPr>
        <w:t>地表水环境影响评价</w:t>
      </w:r>
    </w:p>
    <w:p w14:paraId="1FA11932">
      <w:pPr>
        <w:pStyle w:val="2"/>
        <w:spacing w:line="281" w:lineRule="auto"/>
      </w:pPr>
    </w:p>
    <w:p w14:paraId="5944B2BE">
      <w:pPr>
        <w:spacing w:before="78" w:line="220" w:lineRule="auto"/>
        <w:ind w:left="487"/>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rFonts w:ascii="宋体" w:hAnsi="宋体" w:eastAsia="宋体" w:cs="宋体"/>
          <w:b/>
          <w:bCs/>
          <w:spacing w:val="-6"/>
          <w:sz w:val="24"/>
          <w:szCs w:val="24"/>
        </w:rPr>
        <w:t>、废水产生及排放情况</w:t>
      </w:r>
    </w:p>
    <w:p w14:paraId="6159C5BC">
      <w:pPr>
        <w:spacing w:before="78" w:line="357" w:lineRule="auto"/>
        <w:ind w:left="1" w:right="73" w:firstLine="508"/>
        <w:jc w:val="both"/>
        <w:rPr>
          <w:rFonts w:ascii="宋体" w:hAnsi="宋体" w:eastAsia="宋体" w:cs="宋体"/>
          <w:sz w:val="24"/>
          <w:szCs w:val="24"/>
        </w:rPr>
      </w:pPr>
      <w:r>
        <w:rPr>
          <w:rFonts w:ascii="宋体" w:hAnsi="宋体" w:eastAsia="宋体" w:cs="宋体"/>
          <w:spacing w:val="6"/>
          <w:sz w:val="24"/>
          <w:szCs w:val="24"/>
        </w:rPr>
        <w:t>由“</w:t>
      </w:r>
      <w:r>
        <w:rPr>
          <w:rFonts w:ascii="Times New Roman" w:hAnsi="Times New Roman" w:eastAsia="Times New Roman" w:cs="Times New Roman"/>
          <w:spacing w:val="6"/>
          <w:sz w:val="24"/>
          <w:szCs w:val="24"/>
        </w:rPr>
        <w:t>3.5.</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6"/>
          <w:sz w:val="24"/>
          <w:szCs w:val="24"/>
        </w:rPr>
        <w:t>水污染源</w:t>
      </w:r>
      <w:r>
        <w:rPr>
          <w:rFonts w:ascii="宋体" w:hAnsi="宋体" w:eastAsia="宋体" w:cs="宋体"/>
          <w:spacing w:val="-78"/>
          <w:sz w:val="24"/>
          <w:szCs w:val="24"/>
        </w:rPr>
        <w:t xml:space="preserve"> </w:t>
      </w:r>
      <w:r>
        <w:rPr>
          <w:rFonts w:ascii="宋体" w:hAnsi="宋体" w:eastAsia="宋体" w:cs="宋体"/>
          <w:spacing w:val="6"/>
          <w:sz w:val="24"/>
          <w:szCs w:val="24"/>
        </w:rPr>
        <w:t>”分析可知，本项目运营期猪只养殖废水最大产生总量为</w:t>
      </w:r>
      <w:r>
        <w:rPr>
          <w:rFonts w:ascii="宋体" w:hAnsi="宋体" w:eastAsia="宋体" w:cs="宋体"/>
          <w:sz w:val="24"/>
          <w:szCs w:val="24"/>
        </w:rPr>
        <w:t xml:space="preserve"> </w:t>
      </w:r>
      <w:r>
        <w:rPr>
          <w:rFonts w:ascii="Times New Roman" w:hAnsi="Times New Roman" w:eastAsia="Times New Roman" w:cs="Times New Roman"/>
          <w:sz w:val="24"/>
          <w:szCs w:val="24"/>
        </w:rPr>
        <w:t>30.38t/d</w:t>
      </w:r>
      <w:r>
        <w:rPr>
          <w:rFonts w:ascii="宋体" w:hAnsi="宋体" w:eastAsia="宋体" w:cs="宋体"/>
          <w:sz w:val="24"/>
          <w:szCs w:val="24"/>
        </w:rPr>
        <w:t>（</w:t>
      </w:r>
      <w:r>
        <w:rPr>
          <w:rFonts w:ascii="Times New Roman" w:hAnsi="Times New Roman" w:eastAsia="Times New Roman" w:cs="Times New Roman"/>
          <w:sz w:val="24"/>
          <w:szCs w:val="24"/>
        </w:rPr>
        <w:t>8698.02t/a</w:t>
      </w:r>
      <w:r>
        <w:rPr>
          <w:rFonts w:ascii="宋体" w:hAnsi="宋体" w:eastAsia="宋体" w:cs="宋体"/>
          <w:spacing w:val="14"/>
          <w:sz w:val="24"/>
          <w:szCs w:val="24"/>
        </w:rPr>
        <w:t>），</w:t>
      </w:r>
      <w:r>
        <w:rPr>
          <w:rFonts w:ascii="宋体" w:hAnsi="宋体" w:eastAsia="宋体" w:cs="宋体"/>
          <w:sz w:val="24"/>
          <w:szCs w:val="24"/>
        </w:rPr>
        <w:t>办公生活污水产生量为</w:t>
      </w:r>
      <w:r>
        <w:rPr>
          <w:rFonts w:ascii="Times New Roman" w:hAnsi="Times New Roman" w:eastAsia="Times New Roman" w:cs="Times New Roman"/>
          <w:sz w:val="24"/>
          <w:szCs w:val="24"/>
        </w:rPr>
        <w:t>0.58t/d</w:t>
      </w:r>
      <w:r>
        <w:rPr>
          <w:rFonts w:ascii="宋体" w:hAnsi="宋体" w:eastAsia="宋体" w:cs="宋体"/>
          <w:sz w:val="24"/>
          <w:szCs w:val="24"/>
        </w:rPr>
        <w:t>（</w:t>
      </w:r>
      <w:r>
        <w:rPr>
          <w:rFonts w:ascii="Times New Roman" w:hAnsi="Times New Roman" w:eastAsia="Times New Roman" w:cs="Times New Roman"/>
          <w:sz w:val="24"/>
          <w:szCs w:val="24"/>
        </w:rPr>
        <w:t>210.24t/a</w:t>
      </w:r>
      <w:r>
        <w:rPr>
          <w:rFonts w:ascii="宋体" w:hAnsi="宋体" w:eastAsia="宋体" w:cs="宋体"/>
          <w:spacing w:val="14"/>
          <w:sz w:val="24"/>
          <w:szCs w:val="24"/>
        </w:rPr>
        <w:t>），</w:t>
      </w:r>
      <w:r>
        <w:rPr>
          <w:rFonts w:ascii="宋体" w:hAnsi="宋体" w:eastAsia="宋体" w:cs="宋体"/>
          <w:sz w:val="24"/>
          <w:szCs w:val="24"/>
        </w:rPr>
        <w:t>项目运营期废</w:t>
      </w:r>
      <w:r>
        <w:rPr>
          <w:rFonts w:ascii="宋体" w:hAnsi="宋体" w:eastAsia="宋体" w:cs="宋体"/>
          <w:spacing w:val="2"/>
          <w:sz w:val="24"/>
          <w:szCs w:val="24"/>
        </w:rPr>
        <w:t xml:space="preserve"> </w:t>
      </w:r>
      <w:r>
        <w:rPr>
          <w:rFonts w:ascii="宋体" w:hAnsi="宋体" w:eastAsia="宋体" w:cs="宋体"/>
          <w:spacing w:val="-1"/>
          <w:sz w:val="24"/>
          <w:szCs w:val="24"/>
        </w:rPr>
        <w:t>水产生总量为</w:t>
      </w:r>
      <w:r>
        <w:rPr>
          <w:rFonts w:ascii="Times New Roman" w:hAnsi="Times New Roman" w:eastAsia="Times New Roman" w:cs="Times New Roman"/>
          <w:spacing w:val="-1"/>
          <w:sz w:val="24"/>
          <w:szCs w:val="24"/>
        </w:rPr>
        <w:t>30.96t/d</w:t>
      </w:r>
      <w:r>
        <w:rPr>
          <w:rFonts w:ascii="宋体" w:hAnsi="宋体" w:eastAsia="宋体" w:cs="宋体"/>
          <w:spacing w:val="-1"/>
          <w:sz w:val="24"/>
          <w:szCs w:val="24"/>
        </w:rPr>
        <w:t>（</w:t>
      </w:r>
      <w:r>
        <w:rPr>
          <w:rFonts w:ascii="Times New Roman" w:hAnsi="Times New Roman" w:eastAsia="Times New Roman" w:cs="Times New Roman"/>
          <w:spacing w:val="-1"/>
          <w:sz w:val="24"/>
          <w:szCs w:val="24"/>
        </w:rPr>
        <w:t>8908.26 t/a</w:t>
      </w:r>
      <w:r>
        <w:rPr>
          <w:rFonts w:ascii="宋体" w:hAnsi="宋体" w:eastAsia="宋体" w:cs="宋体"/>
          <w:spacing w:val="-1"/>
          <w:sz w:val="24"/>
          <w:szCs w:val="24"/>
        </w:rPr>
        <w:t>）。</w:t>
      </w:r>
    </w:p>
    <w:p w14:paraId="502C2D3D">
      <w:pPr>
        <w:spacing w:before="133" w:line="376" w:lineRule="auto"/>
        <w:ind w:left="3" w:firstLine="479"/>
        <w:rPr>
          <w:rFonts w:ascii="宋体" w:hAnsi="宋体" w:eastAsia="宋体" w:cs="宋体"/>
          <w:sz w:val="24"/>
          <w:szCs w:val="24"/>
        </w:rPr>
      </w:pPr>
      <w:r>
        <w:rPr>
          <w:rFonts w:ascii="宋体" w:hAnsi="宋体" w:eastAsia="宋体" w:cs="宋体"/>
          <w:spacing w:val="-2"/>
          <w:sz w:val="24"/>
          <w:szCs w:val="24"/>
        </w:rPr>
        <w:t>本项目养殖废水（猪只尿液、猪舍冲洗水）与猪只粪</w:t>
      </w:r>
      <w:r>
        <w:rPr>
          <w:rFonts w:ascii="宋体" w:hAnsi="宋体" w:eastAsia="宋体" w:cs="宋体"/>
          <w:spacing w:val="-3"/>
          <w:sz w:val="24"/>
          <w:szCs w:val="24"/>
        </w:rPr>
        <w:t>便一起收集，不单独收集，</w:t>
      </w:r>
      <w:r>
        <w:rPr>
          <w:rFonts w:ascii="宋体" w:hAnsi="宋体" w:eastAsia="宋体" w:cs="宋体"/>
          <w:sz w:val="24"/>
          <w:szCs w:val="24"/>
        </w:rPr>
        <w:t xml:space="preserve"> </w:t>
      </w:r>
      <w:r>
        <w:rPr>
          <w:rFonts w:ascii="宋体" w:hAnsi="宋体" w:eastAsia="宋体" w:cs="宋体"/>
          <w:spacing w:val="-2"/>
          <w:sz w:val="24"/>
          <w:szCs w:val="24"/>
        </w:rPr>
        <w:t>收集的粪污传至有机肥发酵处理系统进行好氧发酵成为有机肥半</w:t>
      </w:r>
      <w:r>
        <w:rPr>
          <w:rFonts w:ascii="宋体" w:hAnsi="宋体" w:eastAsia="宋体" w:cs="宋体"/>
          <w:spacing w:val="-3"/>
          <w:sz w:val="24"/>
          <w:szCs w:val="24"/>
        </w:rPr>
        <w:t>成品外售，不外排。</w:t>
      </w:r>
      <w:r>
        <w:rPr>
          <w:rFonts w:ascii="宋体" w:hAnsi="宋体" w:eastAsia="宋体" w:cs="宋体"/>
          <w:sz w:val="24"/>
          <w:szCs w:val="24"/>
        </w:rPr>
        <w:t xml:space="preserve"> </w:t>
      </w:r>
      <w:r>
        <w:rPr>
          <w:rFonts w:ascii="宋体" w:hAnsi="宋体" w:eastAsia="宋体" w:cs="宋体"/>
          <w:spacing w:val="3"/>
          <w:sz w:val="24"/>
          <w:szCs w:val="24"/>
        </w:rPr>
        <w:t>生活污水也经有机肥发酵处理系统进行好氧发酵成为有机肥半成品外售，不外排。</w:t>
      </w:r>
      <w:r>
        <w:rPr>
          <w:rFonts w:ascii="宋体" w:hAnsi="宋体" w:eastAsia="宋体" w:cs="宋体"/>
          <w:spacing w:val="1"/>
          <w:sz w:val="24"/>
          <w:szCs w:val="24"/>
        </w:rPr>
        <w:t xml:space="preserve"> </w:t>
      </w:r>
      <w:r>
        <w:rPr>
          <w:rFonts w:ascii="宋体" w:hAnsi="宋体" w:eastAsia="宋体" w:cs="宋体"/>
          <w:spacing w:val="-1"/>
          <w:sz w:val="24"/>
          <w:szCs w:val="24"/>
        </w:rPr>
        <w:t>因此本项目不会对区域地表水环境造成影响。</w:t>
      </w:r>
    </w:p>
    <w:p w14:paraId="10A1BD6D">
      <w:pPr>
        <w:spacing w:before="1" w:line="218" w:lineRule="auto"/>
        <w:ind w:left="482"/>
        <w:rPr>
          <w:rFonts w:ascii="宋体" w:hAnsi="宋体" w:eastAsia="宋体" w:cs="宋体"/>
          <w:sz w:val="24"/>
          <w:szCs w:val="24"/>
        </w:rPr>
      </w:pPr>
      <w:r>
        <w:rPr>
          <w:rFonts w:ascii="宋体" w:hAnsi="宋体" w:eastAsia="宋体" w:cs="宋体"/>
          <w:spacing w:val="-3"/>
          <w:sz w:val="24"/>
          <w:szCs w:val="24"/>
        </w:rPr>
        <w:t>有机肥发酵处理具体处理方案见“</w:t>
      </w:r>
      <w:r>
        <w:rPr>
          <w:rFonts w:ascii="宋体" w:hAnsi="宋体" w:eastAsia="宋体" w:cs="宋体"/>
          <w:spacing w:val="-77"/>
          <w:sz w:val="24"/>
          <w:szCs w:val="24"/>
        </w:rPr>
        <w:t xml:space="preserve"> </w:t>
      </w:r>
      <w:r>
        <w:rPr>
          <w:rFonts w:ascii="宋体" w:hAnsi="宋体" w:eastAsia="宋体" w:cs="宋体"/>
          <w:spacing w:val="-3"/>
          <w:sz w:val="24"/>
          <w:szCs w:val="24"/>
        </w:rPr>
        <w:t>固体废物环境影响评价</w:t>
      </w:r>
      <w:r>
        <w:rPr>
          <w:rFonts w:ascii="宋体" w:hAnsi="宋体" w:eastAsia="宋体" w:cs="宋体"/>
          <w:spacing w:val="-88"/>
          <w:sz w:val="24"/>
          <w:szCs w:val="24"/>
        </w:rPr>
        <w:t xml:space="preserve"> </w:t>
      </w:r>
      <w:r>
        <w:rPr>
          <w:rFonts w:ascii="宋体" w:hAnsi="宋体" w:eastAsia="宋体" w:cs="宋体"/>
          <w:spacing w:val="-3"/>
          <w:sz w:val="24"/>
          <w:szCs w:val="24"/>
        </w:rPr>
        <w:t>”章节。</w:t>
      </w:r>
    </w:p>
    <w:p w14:paraId="41EE0572">
      <w:pPr>
        <w:spacing w:line="218" w:lineRule="auto"/>
        <w:rPr>
          <w:rFonts w:ascii="宋体" w:hAnsi="宋体" w:eastAsia="宋体" w:cs="宋体"/>
          <w:sz w:val="24"/>
          <w:szCs w:val="24"/>
        </w:rPr>
        <w:sectPr>
          <w:footerReference r:id="rId129" w:type="default"/>
          <w:pgSz w:w="11906" w:h="16839"/>
          <w:pgMar w:top="400" w:right="1507" w:bottom="1485" w:left="1596" w:header="0" w:footer="1249" w:gutter="0"/>
          <w:cols w:space="720" w:num="1"/>
        </w:sectPr>
      </w:pPr>
    </w:p>
    <w:p w14:paraId="02FF742F">
      <w:pPr>
        <w:pStyle w:val="2"/>
        <w:spacing w:line="270" w:lineRule="auto"/>
      </w:pPr>
    </w:p>
    <w:p w14:paraId="572BE854">
      <w:pPr>
        <w:pStyle w:val="2"/>
        <w:spacing w:line="270" w:lineRule="auto"/>
      </w:pPr>
    </w:p>
    <w:p w14:paraId="00918F3A">
      <w:pPr>
        <w:pStyle w:val="2"/>
        <w:spacing w:line="270" w:lineRule="auto"/>
      </w:pPr>
    </w:p>
    <w:p w14:paraId="4936EAC1">
      <w:pPr>
        <w:pStyle w:val="2"/>
        <w:spacing w:line="271" w:lineRule="auto"/>
      </w:pPr>
    </w:p>
    <w:p w14:paraId="5606CE7F">
      <w:pPr>
        <w:pStyle w:val="2"/>
        <w:spacing w:line="271" w:lineRule="auto"/>
      </w:pPr>
    </w:p>
    <w:p w14:paraId="1F968CE1">
      <w:pPr>
        <w:spacing w:before="78" w:line="219" w:lineRule="auto"/>
        <w:ind w:left="1"/>
        <w:outlineLvl w:val="2"/>
        <w:rPr>
          <w:rFonts w:ascii="宋体" w:hAnsi="宋体" w:eastAsia="宋体" w:cs="宋体"/>
          <w:sz w:val="24"/>
          <w:szCs w:val="24"/>
        </w:rPr>
      </w:pPr>
      <w:r>
        <w:rPr>
          <w:rFonts w:ascii="Times New Roman" w:hAnsi="Times New Roman" w:eastAsia="Times New Roman" w:cs="Times New Roman"/>
          <w:b/>
          <w:bCs/>
          <w:spacing w:val="-2"/>
          <w:sz w:val="24"/>
          <w:szCs w:val="24"/>
        </w:rPr>
        <w:t>5.2.2</w:t>
      </w:r>
      <w:r>
        <w:rPr>
          <w:rFonts w:ascii="宋体" w:hAnsi="宋体" w:eastAsia="宋体" w:cs="宋体"/>
          <w:b/>
          <w:bCs/>
          <w:spacing w:val="-2"/>
          <w:sz w:val="24"/>
          <w:szCs w:val="24"/>
        </w:rPr>
        <w:t>地下水环境影响评价</w:t>
      </w:r>
    </w:p>
    <w:p w14:paraId="1601B39F">
      <w:pPr>
        <w:pStyle w:val="2"/>
        <w:spacing w:line="283" w:lineRule="auto"/>
      </w:pPr>
    </w:p>
    <w:p w14:paraId="4ACBD95A">
      <w:pPr>
        <w:spacing w:before="78" w:line="369" w:lineRule="auto"/>
        <w:ind w:left="1" w:right="120" w:firstLine="482"/>
        <w:jc w:val="both"/>
        <w:rPr>
          <w:rFonts w:ascii="宋体" w:hAnsi="宋体" w:eastAsia="宋体" w:cs="宋体"/>
          <w:sz w:val="24"/>
          <w:szCs w:val="24"/>
        </w:rPr>
      </w:pPr>
      <w:r>
        <w:rPr>
          <w:rFonts w:ascii="宋体" w:hAnsi="宋体" w:eastAsia="宋体" w:cs="宋体"/>
          <w:spacing w:val="2"/>
          <w:sz w:val="24"/>
          <w:szCs w:val="24"/>
        </w:rPr>
        <w:t>污染物对地下水的影响主要是由于降雨或废水等通过垂直渗透进入包气带，进</w:t>
      </w:r>
      <w:r>
        <w:rPr>
          <w:rFonts w:ascii="宋体" w:hAnsi="宋体" w:eastAsia="宋体" w:cs="宋体"/>
          <w:spacing w:val="8"/>
          <w:sz w:val="24"/>
          <w:szCs w:val="24"/>
        </w:rPr>
        <w:t xml:space="preserve"> </w:t>
      </w:r>
      <w:r>
        <w:rPr>
          <w:rFonts w:ascii="宋体" w:hAnsi="宋体" w:eastAsia="宋体" w:cs="宋体"/>
          <w:spacing w:val="2"/>
          <w:sz w:val="24"/>
          <w:szCs w:val="24"/>
        </w:rPr>
        <w:t>入包气带的污染物在物理、化学和生物作用下经吸附、转化、迁移和分解后输入地</w:t>
      </w:r>
      <w:r>
        <w:rPr>
          <w:rFonts w:ascii="宋体" w:hAnsi="宋体" w:eastAsia="宋体" w:cs="宋体"/>
          <w:spacing w:val="7"/>
          <w:sz w:val="24"/>
          <w:szCs w:val="24"/>
        </w:rPr>
        <w:t xml:space="preserve"> </w:t>
      </w:r>
      <w:r>
        <w:rPr>
          <w:rFonts w:ascii="宋体" w:hAnsi="宋体" w:eastAsia="宋体" w:cs="宋体"/>
          <w:spacing w:val="2"/>
          <w:sz w:val="24"/>
          <w:szCs w:val="24"/>
        </w:rPr>
        <w:t>下水。因此，包气带是连接地面污染物与地下含水层的主要通道和过渡带，既是污</w:t>
      </w:r>
      <w:r>
        <w:rPr>
          <w:rFonts w:ascii="宋体" w:hAnsi="宋体" w:eastAsia="宋体" w:cs="宋体"/>
          <w:spacing w:val="7"/>
          <w:sz w:val="24"/>
          <w:szCs w:val="24"/>
        </w:rPr>
        <w:t xml:space="preserve"> </w:t>
      </w:r>
      <w:r>
        <w:rPr>
          <w:rFonts w:ascii="宋体" w:hAnsi="宋体" w:eastAsia="宋体" w:cs="宋体"/>
          <w:spacing w:val="-1"/>
          <w:sz w:val="24"/>
          <w:szCs w:val="24"/>
        </w:rPr>
        <w:t>染物媒介体，又是污染物的净化场所和防护层。</w:t>
      </w:r>
    </w:p>
    <w:p w14:paraId="710935E0">
      <w:pPr>
        <w:spacing w:line="360" w:lineRule="exact"/>
        <w:ind w:left="501"/>
        <w:rPr>
          <w:rFonts w:ascii="宋体" w:hAnsi="宋体" w:eastAsia="宋体" w:cs="宋体"/>
          <w:sz w:val="24"/>
          <w:szCs w:val="24"/>
        </w:rPr>
      </w:pP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26"/>
          <w:position w:val="2"/>
          <w:sz w:val="24"/>
          <w:szCs w:val="24"/>
        </w:rPr>
        <w:t xml:space="preserve"> </w:t>
      </w:r>
      <w:r>
        <w:rPr>
          <w:rFonts w:ascii="宋体" w:hAnsi="宋体" w:eastAsia="宋体" w:cs="宋体"/>
          <w:spacing w:val="-4"/>
          <w:position w:val="2"/>
          <w:sz w:val="24"/>
          <w:szCs w:val="24"/>
        </w:rPr>
        <w:t>、废水回用对地下水污染影响分析</w:t>
      </w:r>
    </w:p>
    <w:p w14:paraId="0343C3E2">
      <w:pPr>
        <w:spacing w:before="129" w:line="360" w:lineRule="exact"/>
        <w:ind w:left="467"/>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）污染途径</w:t>
      </w:r>
    </w:p>
    <w:p w14:paraId="4EFB5AA1">
      <w:pPr>
        <w:spacing w:before="164" w:line="369" w:lineRule="auto"/>
        <w:ind w:firstLine="456"/>
        <w:rPr>
          <w:rFonts w:ascii="宋体" w:hAnsi="宋体" w:eastAsia="宋体" w:cs="宋体"/>
          <w:sz w:val="24"/>
          <w:szCs w:val="24"/>
        </w:rPr>
      </w:pPr>
      <w:r>
        <w:rPr>
          <w:rFonts w:ascii="宋体" w:hAnsi="宋体" w:eastAsia="宋体" w:cs="宋体"/>
          <w:spacing w:val="-1"/>
          <w:sz w:val="24"/>
          <w:szCs w:val="24"/>
        </w:rPr>
        <w:t>污染物从污染源进入地下水所经过路径称为地下水污染途径。地下水污染途径是</w:t>
      </w:r>
      <w:r>
        <w:rPr>
          <w:rFonts w:ascii="宋体" w:hAnsi="宋体" w:eastAsia="宋体" w:cs="宋体"/>
          <w:spacing w:val="17"/>
          <w:sz w:val="24"/>
          <w:szCs w:val="24"/>
        </w:rPr>
        <w:t xml:space="preserve"> </w:t>
      </w:r>
      <w:r>
        <w:rPr>
          <w:rFonts w:ascii="宋体" w:hAnsi="宋体" w:eastAsia="宋体" w:cs="宋体"/>
          <w:spacing w:val="-1"/>
          <w:sz w:val="24"/>
          <w:szCs w:val="24"/>
        </w:rPr>
        <w:t>多种多样的，根据项目所在区域的地质情况，项目可能对地下水造成污染的</w:t>
      </w:r>
      <w:r>
        <w:rPr>
          <w:rFonts w:ascii="宋体" w:hAnsi="宋体" w:eastAsia="宋体" w:cs="宋体"/>
          <w:spacing w:val="-2"/>
          <w:sz w:val="24"/>
          <w:szCs w:val="24"/>
        </w:rPr>
        <w:t>途径主要</w:t>
      </w:r>
      <w:r>
        <w:rPr>
          <w:rFonts w:ascii="宋体" w:hAnsi="宋体" w:eastAsia="宋体" w:cs="宋体"/>
          <w:sz w:val="24"/>
          <w:szCs w:val="24"/>
        </w:rPr>
        <w:t xml:space="preserve"> </w:t>
      </w:r>
      <w:r>
        <w:rPr>
          <w:rFonts w:ascii="宋体" w:hAnsi="宋体" w:eastAsia="宋体" w:cs="宋体"/>
          <w:spacing w:val="-1"/>
          <w:sz w:val="24"/>
          <w:szCs w:val="24"/>
        </w:rPr>
        <w:t>有大气降水后凹坑积水区域、有机肥发酵车间等未铺设水泥区域污水可能下</w:t>
      </w:r>
      <w:r>
        <w:rPr>
          <w:rFonts w:ascii="宋体" w:hAnsi="宋体" w:eastAsia="宋体" w:cs="宋体"/>
          <w:spacing w:val="-2"/>
          <w:sz w:val="24"/>
          <w:szCs w:val="24"/>
        </w:rPr>
        <w:t>渗对地下</w:t>
      </w:r>
      <w:r>
        <w:rPr>
          <w:rFonts w:ascii="宋体" w:hAnsi="宋体" w:eastAsia="宋体" w:cs="宋体"/>
          <w:sz w:val="24"/>
          <w:szCs w:val="24"/>
        </w:rPr>
        <w:t xml:space="preserve"> </w:t>
      </w:r>
      <w:r>
        <w:rPr>
          <w:rFonts w:ascii="宋体" w:hAnsi="宋体" w:eastAsia="宋体" w:cs="宋体"/>
          <w:spacing w:val="-2"/>
          <w:sz w:val="24"/>
          <w:szCs w:val="24"/>
        </w:rPr>
        <w:t>水造成的污染。</w:t>
      </w:r>
    </w:p>
    <w:p w14:paraId="23E0F2C3">
      <w:pPr>
        <w:spacing w:line="360" w:lineRule="exact"/>
        <w:ind w:left="467"/>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）地下水影响分析</w:t>
      </w:r>
    </w:p>
    <w:p w14:paraId="32351823">
      <w:pPr>
        <w:spacing w:before="167" w:line="369" w:lineRule="auto"/>
        <w:ind w:firstLine="456"/>
        <w:rPr>
          <w:rFonts w:ascii="宋体" w:hAnsi="宋体" w:eastAsia="宋体" w:cs="宋体"/>
          <w:sz w:val="24"/>
          <w:szCs w:val="24"/>
        </w:rPr>
      </w:pPr>
      <w:r>
        <w:rPr>
          <w:rFonts w:ascii="宋体" w:hAnsi="宋体" w:eastAsia="宋体" w:cs="宋体"/>
          <w:spacing w:val="-1"/>
          <w:sz w:val="24"/>
          <w:szCs w:val="24"/>
        </w:rPr>
        <w:t>本项目有机肥发酵车间及养殖区均均做了硬底化防渗处理，且本项目养殖废水不</w:t>
      </w:r>
      <w:r>
        <w:rPr>
          <w:rFonts w:ascii="宋体" w:hAnsi="宋体" w:eastAsia="宋体" w:cs="宋体"/>
          <w:spacing w:val="18"/>
          <w:sz w:val="24"/>
          <w:szCs w:val="24"/>
        </w:rPr>
        <w:t xml:space="preserve"> </w:t>
      </w:r>
      <w:r>
        <w:rPr>
          <w:rFonts w:ascii="宋体" w:hAnsi="宋体" w:eastAsia="宋体" w:cs="宋体"/>
          <w:spacing w:val="-1"/>
          <w:sz w:val="24"/>
          <w:szCs w:val="24"/>
        </w:rPr>
        <w:t>单独收集，与猪只粪便一起收集后，经异位发酵床高温好氧发酵成有机肥半成</w:t>
      </w:r>
      <w:r>
        <w:rPr>
          <w:rFonts w:ascii="宋体" w:hAnsi="宋体" w:eastAsia="宋体" w:cs="宋体"/>
          <w:spacing w:val="-2"/>
          <w:sz w:val="24"/>
          <w:szCs w:val="24"/>
        </w:rPr>
        <w:t>品后外</w:t>
      </w:r>
      <w:r>
        <w:rPr>
          <w:rFonts w:ascii="宋体" w:hAnsi="宋体" w:eastAsia="宋体" w:cs="宋体"/>
          <w:sz w:val="24"/>
          <w:szCs w:val="24"/>
        </w:rPr>
        <w:t xml:space="preserve"> </w:t>
      </w:r>
      <w:r>
        <w:rPr>
          <w:rFonts w:ascii="宋体" w:hAnsi="宋体" w:eastAsia="宋体" w:cs="宋体"/>
          <w:spacing w:val="-1"/>
          <w:sz w:val="24"/>
          <w:szCs w:val="24"/>
        </w:rPr>
        <w:t>售，不外排。根据以上分析，项目污水不会对深层地下水造成污染影响，不会</w:t>
      </w:r>
      <w:r>
        <w:rPr>
          <w:rFonts w:ascii="宋体" w:hAnsi="宋体" w:eastAsia="宋体" w:cs="宋体"/>
          <w:spacing w:val="-2"/>
          <w:sz w:val="24"/>
          <w:szCs w:val="24"/>
        </w:rPr>
        <w:t>对周围</w:t>
      </w:r>
      <w:r>
        <w:rPr>
          <w:rFonts w:ascii="宋体" w:hAnsi="宋体" w:eastAsia="宋体" w:cs="宋体"/>
          <w:sz w:val="24"/>
          <w:szCs w:val="24"/>
        </w:rPr>
        <w:t xml:space="preserve"> </w:t>
      </w:r>
      <w:r>
        <w:rPr>
          <w:rFonts w:ascii="宋体" w:hAnsi="宋体" w:eastAsia="宋体" w:cs="宋体"/>
          <w:spacing w:val="-1"/>
          <w:sz w:val="24"/>
          <w:szCs w:val="24"/>
        </w:rPr>
        <w:t>居民饮用水环境安全造成危害。</w:t>
      </w:r>
    </w:p>
    <w:p w14:paraId="2B12E77D">
      <w:pPr>
        <w:spacing w:line="360" w:lineRule="exact"/>
        <w:ind w:left="451"/>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3"/>
          <w:position w:val="2"/>
          <w:sz w:val="24"/>
          <w:szCs w:val="24"/>
        </w:rPr>
        <w:t>、项目现状监测资料分析</w:t>
      </w:r>
    </w:p>
    <w:p w14:paraId="1A69775B">
      <w:pPr>
        <w:spacing w:before="164" w:line="362" w:lineRule="auto"/>
        <w:ind w:left="13" w:right="14" w:firstLine="497"/>
        <w:rPr>
          <w:rFonts w:ascii="宋体" w:hAnsi="宋体" w:eastAsia="宋体" w:cs="宋体"/>
          <w:sz w:val="24"/>
          <w:szCs w:val="24"/>
        </w:rPr>
      </w:pPr>
      <w:r>
        <w:rPr>
          <w:rFonts w:ascii="宋体" w:hAnsi="宋体" w:eastAsia="宋体" w:cs="宋体"/>
          <w:spacing w:val="-2"/>
          <w:sz w:val="24"/>
          <w:szCs w:val="24"/>
        </w:rPr>
        <w:t>由监测数据分析，项目周边监测点现状监测数</w:t>
      </w:r>
      <w:r>
        <w:rPr>
          <w:rFonts w:ascii="宋体" w:hAnsi="宋体" w:eastAsia="宋体" w:cs="宋体"/>
          <w:spacing w:val="-3"/>
          <w:sz w:val="24"/>
          <w:szCs w:val="24"/>
        </w:rPr>
        <w:t>据均满足《地下水环境质量标准》</w:t>
      </w:r>
      <w:r>
        <w:rPr>
          <w:rFonts w:ascii="宋体" w:hAnsi="宋体" w:eastAsia="宋体" w:cs="宋体"/>
          <w:sz w:val="24"/>
          <w:szCs w:val="24"/>
        </w:rPr>
        <w:t xml:space="preserve"> （</w:t>
      </w:r>
      <w:r>
        <w:rPr>
          <w:rFonts w:ascii="Times New Roman" w:hAnsi="Times New Roman" w:eastAsia="Times New Roman" w:cs="Times New Roman"/>
          <w:sz w:val="24"/>
          <w:szCs w:val="24"/>
        </w:rPr>
        <w:t>GB/T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14848-93</w:t>
      </w:r>
      <w:r>
        <w:rPr>
          <w:rFonts w:ascii="宋体" w:hAnsi="宋体" w:eastAsia="宋体" w:cs="宋体"/>
          <w:sz w:val="24"/>
          <w:szCs w:val="24"/>
        </w:rPr>
        <w:t>）</w:t>
      </w:r>
      <w:r>
        <w:rPr>
          <w:rFonts w:ascii="Times New Roman" w:hAnsi="Times New Roman" w:eastAsia="Times New Roman" w:cs="Times New Roman"/>
          <w:sz w:val="24"/>
          <w:szCs w:val="24"/>
        </w:rPr>
        <w:t xml:space="preserve">III </w:t>
      </w:r>
      <w:r>
        <w:rPr>
          <w:rFonts w:ascii="宋体" w:hAnsi="宋体" w:eastAsia="宋体" w:cs="宋体"/>
          <w:sz w:val="24"/>
          <w:szCs w:val="24"/>
        </w:rPr>
        <w:t>类标准要求，说明本项目附近地</w:t>
      </w:r>
      <w:r>
        <w:rPr>
          <w:rFonts w:ascii="宋体" w:hAnsi="宋体" w:eastAsia="宋体" w:cs="宋体"/>
          <w:spacing w:val="-1"/>
          <w:sz w:val="24"/>
          <w:szCs w:val="24"/>
        </w:rPr>
        <w:t>下水的水环境质量现状良好。</w:t>
      </w:r>
      <w:r>
        <w:rPr>
          <w:rFonts w:ascii="宋体" w:hAnsi="宋体" w:eastAsia="宋体" w:cs="宋体"/>
          <w:sz w:val="24"/>
          <w:szCs w:val="24"/>
        </w:rPr>
        <w:t xml:space="preserve"> </w:t>
      </w:r>
      <w:r>
        <w:rPr>
          <w:rFonts w:ascii="宋体" w:hAnsi="宋体" w:eastAsia="宋体" w:cs="宋体"/>
          <w:spacing w:val="-2"/>
          <w:sz w:val="24"/>
          <w:szCs w:val="24"/>
        </w:rPr>
        <w:t>因此项目对周边地下水环境影响不大，项目污染物排放</w:t>
      </w:r>
      <w:r>
        <w:rPr>
          <w:rFonts w:ascii="宋体" w:hAnsi="宋体" w:eastAsia="宋体" w:cs="宋体"/>
          <w:spacing w:val="-3"/>
          <w:sz w:val="24"/>
          <w:szCs w:val="24"/>
        </w:rPr>
        <w:t>对周围的影响在可接纳范围。</w:t>
      </w:r>
    </w:p>
    <w:p w14:paraId="5FE1516A">
      <w:pPr>
        <w:spacing w:before="20" w:line="360" w:lineRule="exact"/>
        <w:ind w:left="456"/>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32"/>
          <w:position w:val="2"/>
          <w:sz w:val="24"/>
          <w:szCs w:val="24"/>
        </w:rPr>
        <w:t xml:space="preserve"> </w:t>
      </w:r>
      <w:r>
        <w:rPr>
          <w:rFonts w:ascii="宋体" w:hAnsi="宋体" w:eastAsia="宋体" w:cs="宋体"/>
          <w:spacing w:val="-3"/>
          <w:position w:val="2"/>
          <w:sz w:val="24"/>
          <w:szCs w:val="24"/>
        </w:rPr>
        <w:t>、粪污对地下水的影响分析</w:t>
      </w:r>
    </w:p>
    <w:p w14:paraId="70C0A832">
      <w:pPr>
        <w:spacing w:before="164" w:line="371" w:lineRule="auto"/>
        <w:ind w:left="2" w:right="120" w:firstLine="480"/>
        <w:rPr>
          <w:rFonts w:ascii="宋体" w:hAnsi="宋体" w:eastAsia="宋体" w:cs="宋体"/>
          <w:sz w:val="24"/>
          <w:szCs w:val="24"/>
        </w:rPr>
      </w:pPr>
      <w:r>
        <w:rPr>
          <w:rFonts w:ascii="宋体" w:hAnsi="宋体" w:eastAsia="宋体" w:cs="宋体"/>
          <w:spacing w:val="2"/>
          <w:sz w:val="24"/>
          <w:szCs w:val="24"/>
        </w:rPr>
        <w:t>猪只粪污中富含氮、磷等物质，运营期对地下水环境的影响主要是养殖场猪只</w:t>
      </w:r>
      <w:r>
        <w:rPr>
          <w:rFonts w:ascii="宋体" w:hAnsi="宋体" w:eastAsia="宋体" w:cs="宋体"/>
          <w:spacing w:val="10"/>
          <w:sz w:val="24"/>
          <w:szCs w:val="24"/>
        </w:rPr>
        <w:t xml:space="preserve"> </w:t>
      </w:r>
      <w:r>
        <w:rPr>
          <w:rFonts w:ascii="宋体" w:hAnsi="宋体" w:eastAsia="宋体" w:cs="宋体"/>
          <w:spacing w:val="2"/>
          <w:sz w:val="24"/>
          <w:szCs w:val="24"/>
        </w:rPr>
        <w:t>粪污事故性排放渗入地下可能造成地下水中的硝酸盐含量过高。本项目周边居民主</w:t>
      </w:r>
      <w:r>
        <w:rPr>
          <w:rFonts w:ascii="宋体" w:hAnsi="宋体" w:eastAsia="宋体" w:cs="宋体"/>
          <w:spacing w:val="6"/>
          <w:sz w:val="24"/>
          <w:szCs w:val="24"/>
        </w:rPr>
        <w:t xml:space="preserve"> </w:t>
      </w:r>
      <w:r>
        <w:rPr>
          <w:rFonts w:ascii="宋体" w:hAnsi="宋体" w:eastAsia="宋体" w:cs="宋体"/>
          <w:spacing w:val="2"/>
          <w:sz w:val="24"/>
          <w:szCs w:val="24"/>
        </w:rPr>
        <w:t>要是来源于地下井水，根据周边地表水流向可知，周围居民点的用水不途径本项目</w:t>
      </w:r>
      <w:r>
        <w:rPr>
          <w:rFonts w:ascii="宋体" w:hAnsi="宋体" w:eastAsia="宋体" w:cs="宋体"/>
          <w:spacing w:val="6"/>
          <w:sz w:val="24"/>
          <w:szCs w:val="24"/>
        </w:rPr>
        <w:t xml:space="preserve"> </w:t>
      </w:r>
      <w:r>
        <w:rPr>
          <w:rFonts w:ascii="宋体" w:hAnsi="宋体" w:eastAsia="宋体" w:cs="宋体"/>
          <w:spacing w:val="2"/>
          <w:sz w:val="24"/>
          <w:szCs w:val="24"/>
        </w:rPr>
        <w:t>位置，本项目对周边居民用水无影响。对此，本环评建议采取以下措施来避免此类</w:t>
      </w:r>
      <w:r>
        <w:rPr>
          <w:rFonts w:ascii="宋体" w:hAnsi="宋体" w:eastAsia="宋体" w:cs="宋体"/>
          <w:spacing w:val="6"/>
          <w:sz w:val="24"/>
          <w:szCs w:val="24"/>
        </w:rPr>
        <w:t xml:space="preserve"> </w:t>
      </w:r>
      <w:r>
        <w:rPr>
          <w:rFonts w:ascii="宋体" w:hAnsi="宋体" w:eastAsia="宋体" w:cs="宋体"/>
          <w:spacing w:val="-2"/>
          <w:sz w:val="24"/>
          <w:szCs w:val="24"/>
        </w:rPr>
        <w:t>现象的发生：</w:t>
      </w:r>
    </w:p>
    <w:p w14:paraId="72398030">
      <w:pPr>
        <w:spacing w:line="359" w:lineRule="exact"/>
        <w:ind w:left="493"/>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）猪只粪污传送渠按有关要求建设，有机肥发酵车间将采用水泥硬底化并防</w:t>
      </w:r>
    </w:p>
    <w:p w14:paraId="59F00F65">
      <w:pPr>
        <w:spacing w:line="359" w:lineRule="exact"/>
        <w:rPr>
          <w:rFonts w:ascii="宋体" w:hAnsi="宋体" w:eastAsia="宋体" w:cs="宋体"/>
          <w:sz w:val="24"/>
          <w:szCs w:val="24"/>
        </w:rPr>
        <w:sectPr>
          <w:footerReference r:id="rId130" w:type="default"/>
          <w:pgSz w:w="11906" w:h="16839"/>
          <w:pgMar w:top="400" w:right="1468" w:bottom="1485" w:left="1595" w:header="0" w:footer="1249" w:gutter="0"/>
          <w:cols w:space="720" w:num="1"/>
        </w:sectPr>
      </w:pPr>
    </w:p>
    <w:p w14:paraId="72541611">
      <w:pPr>
        <w:pStyle w:val="2"/>
        <w:spacing w:line="264" w:lineRule="auto"/>
      </w:pPr>
    </w:p>
    <w:p w14:paraId="4664D00C">
      <w:pPr>
        <w:pStyle w:val="2"/>
        <w:spacing w:line="264" w:lineRule="auto"/>
      </w:pPr>
    </w:p>
    <w:p w14:paraId="1CE43914">
      <w:pPr>
        <w:pStyle w:val="2"/>
        <w:spacing w:line="264" w:lineRule="auto"/>
      </w:pPr>
    </w:p>
    <w:p w14:paraId="5100532C">
      <w:pPr>
        <w:pStyle w:val="2"/>
        <w:spacing w:line="265" w:lineRule="auto"/>
      </w:pPr>
    </w:p>
    <w:p w14:paraId="67DD58B5">
      <w:pPr>
        <w:spacing w:before="78" w:line="219" w:lineRule="auto"/>
        <w:ind w:left="10"/>
        <w:rPr>
          <w:rFonts w:ascii="宋体" w:hAnsi="宋体" w:eastAsia="宋体" w:cs="宋体"/>
          <w:sz w:val="24"/>
          <w:szCs w:val="24"/>
        </w:rPr>
      </w:pPr>
      <w:r>
        <w:rPr>
          <w:rFonts w:ascii="宋体" w:hAnsi="宋体" w:eastAsia="宋体" w:cs="宋体"/>
          <w:spacing w:val="-1"/>
          <w:sz w:val="24"/>
          <w:szCs w:val="24"/>
        </w:rPr>
        <w:t>雨，猪舍全部采用水泥硬底化，防止渗滤液泄漏污染地下水。</w:t>
      </w:r>
    </w:p>
    <w:p w14:paraId="65289BFB">
      <w:pPr>
        <w:spacing w:before="204" w:line="220" w:lineRule="auto"/>
        <w:ind w:left="492"/>
        <w:rPr>
          <w:rFonts w:ascii="宋体" w:hAnsi="宋体" w:eastAsia="宋体" w:cs="宋体"/>
          <w:sz w:val="24"/>
          <w:szCs w:val="24"/>
        </w:rPr>
      </w:pPr>
      <w:r>
        <w:rPr>
          <w:rFonts w:ascii="宋体" w:hAnsi="宋体" w:eastAsia="宋体" w:cs="宋体"/>
          <w:spacing w:val="-1"/>
          <w:sz w:val="24"/>
          <w:szCs w:val="24"/>
        </w:rPr>
        <w:t>（2）养殖场的排水系统应实行雨水和污水收集输送系统分离。</w:t>
      </w:r>
    </w:p>
    <w:p w14:paraId="43CF0028">
      <w:pPr>
        <w:spacing w:before="204" w:line="378" w:lineRule="auto"/>
        <w:ind w:left="1" w:right="86" w:firstLine="498"/>
        <w:rPr>
          <w:rFonts w:ascii="宋体" w:hAnsi="宋体" w:eastAsia="宋体" w:cs="宋体"/>
          <w:sz w:val="24"/>
          <w:szCs w:val="24"/>
        </w:rPr>
      </w:pPr>
      <w:r>
        <w:rPr>
          <w:rFonts w:ascii="宋体" w:hAnsi="宋体" w:eastAsia="宋体" w:cs="宋体"/>
          <w:spacing w:val="2"/>
          <w:sz w:val="24"/>
          <w:szCs w:val="24"/>
        </w:rPr>
        <w:t>因此，在企业严格落实对污水明渠硬底化、环保处理设施</w:t>
      </w:r>
      <w:r>
        <w:rPr>
          <w:rFonts w:ascii="宋体" w:hAnsi="宋体" w:eastAsia="宋体" w:cs="宋体"/>
          <w:spacing w:val="1"/>
          <w:sz w:val="24"/>
          <w:szCs w:val="24"/>
        </w:rPr>
        <w:t>采用防渗漏措施以及</w:t>
      </w:r>
      <w:r>
        <w:rPr>
          <w:rFonts w:ascii="宋体" w:hAnsi="宋体" w:eastAsia="宋体" w:cs="宋体"/>
          <w:sz w:val="24"/>
          <w:szCs w:val="24"/>
        </w:rPr>
        <w:t xml:space="preserve"> </w:t>
      </w:r>
      <w:r>
        <w:rPr>
          <w:rFonts w:ascii="宋体" w:hAnsi="宋体" w:eastAsia="宋体" w:cs="宋体"/>
          <w:spacing w:val="-1"/>
          <w:sz w:val="24"/>
          <w:szCs w:val="24"/>
        </w:rPr>
        <w:t>加强管理下，可认为，本项目的建设对地下水的影响不大。</w:t>
      </w:r>
    </w:p>
    <w:p w14:paraId="53205C9C">
      <w:pPr>
        <w:spacing w:before="290"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5.2.3</w:t>
      </w:r>
      <w:r>
        <w:rPr>
          <w:rFonts w:ascii="宋体" w:hAnsi="宋体" w:eastAsia="宋体" w:cs="宋体"/>
          <w:b/>
          <w:bCs/>
          <w:spacing w:val="-2"/>
          <w:sz w:val="24"/>
          <w:szCs w:val="24"/>
        </w:rPr>
        <w:t>大气环境影响评价</w:t>
      </w:r>
    </w:p>
    <w:p w14:paraId="7DDB4E5E">
      <w:pPr>
        <w:pStyle w:val="2"/>
        <w:spacing w:line="246" w:lineRule="auto"/>
      </w:pPr>
    </w:p>
    <w:p w14:paraId="62E10401">
      <w:pPr>
        <w:spacing w:before="78" w:line="360" w:lineRule="exact"/>
        <w:ind w:left="473"/>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7"/>
          <w:position w:val="2"/>
          <w:sz w:val="24"/>
          <w:szCs w:val="24"/>
        </w:rPr>
        <w:t>、气象条件分析</w:t>
      </w:r>
    </w:p>
    <w:p w14:paraId="23AD0B54">
      <w:pPr>
        <w:spacing w:before="129" w:line="374" w:lineRule="auto"/>
        <w:ind w:left="1" w:right="81" w:firstLine="480"/>
        <w:rPr>
          <w:rFonts w:ascii="宋体" w:hAnsi="宋体" w:eastAsia="宋体" w:cs="宋体"/>
          <w:sz w:val="24"/>
          <w:szCs w:val="24"/>
        </w:rPr>
      </w:pPr>
      <w:r>
        <w:rPr>
          <w:rFonts w:ascii="宋体" w:hAnsi="宋体" w:eastAsia="宋体" w:cs="宋体"/>
          <w:spacing w:val="-2"/>
          <w:sz w:val="24"/>
          <w:szCs w:val="24"/>
        </w:rPr>
        <w:t>根据《环境影响评价技术导则大气环境》（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）要求，本报告</w:t>
      </w:r>
      <w:r>
        <w:rPr>
          <w:rFonts w:ascii="宋体" w:hAnsi="宋体" w:eastAsia="宋体" w:cs="宋体"/>
          <w:spacing w:val="-3"/>
          <w:sz w:val="24"/>
          <w:szCs w:val="24"/>
        </w:rPr>
        <w:t>收集了汕</w:t>
      </w:r>
      <w:r>
        <w:rPr>
          <w:rFonts w:ascii="宋体" w:hAnsi="宋体" w:eastAsia="宋体" w:cs="宋体"/>
          <w:sz w:val="24"/>
          <w:szCs w:val="24"/>
        </w:rPr>
        <w:t xml:space="preserve"> </w:t>
      </w:r>
      <w:r>
        <w:rPr>
          <w:rFonts w:ascii="宋体" w:hAnsi="宋体" w:eastAsia="宋体" w:cs="宋体"/>
          <w:spacing w:val="-2"/>
          <w:sz w:val="24"/>
          <w:szCs w:val="24"/>
        </w:rPr>
        <w:t>尾站近</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 </w:t>
      </w:r>
      <w:r>
        <w:rPr>
          <w:rFonts w:ascii="宋体" w:hAnsi="宋体" w:eastAsia="宋体" w:cs="宋体"/>
          <w:spacing w:val="-2"/>
          <w:sz w:val="24"/>
          <w:szCs w:val="24"/>
        </w:rPr>
        <w:t>年的主要气候统计资料（</w:t>
      </w:r>
      <w:r>
        <w:rPr>
          <w:rFonts w:ascii="Times New Roman" w:hAnsi="Times New Roman" w:eastAsia="Times New Roman" w:cs="Times New Roman"/>
          <w:spacing w:val="-2"/>
          <w:sz w:val="24"/>
          <w:szCs w:val="24"/>
        </w:rPr>
        <w:t xml:space="preserve">1997~2016 </w:t>
      </w:r>
      <w:r>
        <w:rPr>
          <w:rFonts w:ascii="宋体" w:hAnsi="宋体" w:eastAsia="宋体" w:cs="宋体"/>
          <w:spacing w:val="-2"/>
          <w:sz w:val="24"/>
          <w:szCs w:val="24"/>
        </w:rPr>
        <w:t>年</w:t>
      </w:r>
      <w:r>
        <w:rPr>
          <w:rFonts w:ascii="宋体" w:hAnsi="宋体" w:eastAsia="宋体" w:cs="宋体"/>
          <w:spacing w:val="-13"/>
          <w:sz w:val="24"/>
          <w:szCs w:val="24"/>
        </w:rPr>
        <w:t>），</w:t>
      </w:r>
      <w:r>
        <w:rPr>
          <w:rFonts w:ascii="宋体" w:hAnsi="宋体" w:eastAsia="宋体" w:cs="宋体"/>
          <w:spacing w:val="-2"/>
          <w:sz w:val="24"/>
          <w:szCs w:val="24"/>
        </w:rPr>
        <w:t>汕尾气象站（</w:t>
      </w:r>
      <w:r>
        <w:rPr>
          <w:rFonts w:ascii="Times New Roman" w:hAnsi="Times New Roman" w:eastAsia="Times New Roman" w:cs="Times New Roman"/>
          <w:spacing w:val="-2"/>
          <w:sz w:val="24"/>
          <w:szCs w:val="24"/>
        </w:rPr>
        <w:t>59501</w:t>
      </w:r>
      <w:r>
        <w:rPr>
          <w:rFonts w:ascii="宋体" w:hAnsi="宋体" w:eastAsia="宋体" w:cs="宋体"/>
          <w:spacing w:val="-2"/>
          <w:sz w:val="24"/>
          <w:szCs w:val="24"/>
        </w:rPr>
        <w:t>）位</w:t>
      </w:r>
      <w:r>
        <w:rPr>
          <w:rFonts w:ascii="宋体" w:hAnsi="宋体" w:eastAsia="宋体" w:cs="宋体"/>
          <w:spacing w:val="-3"/>
          <w:sz w:val="24"/>
          <w:szCs w:val="24"/>
        </w:rPr>
        <w:t>于广东</w:t>
      </w:r>
      <w:r>
        <w:rPr>
          <w:rFonts w:ascii="宋体" w:hAnsi="宋体" w:eastAsia="宋体" w:cs="宋体"/>
          <w:sz w:val="24"/>
          <w:szCs w:val="24"/>
        </w:rPr>
        <w:t xml:space="preserve"> </w:t>
      </w:r>
      <w:r>
        <w:rPr>
          <w:rFonts w:ascii="宋体" w:hAnsi="宋体" w:eastAsia="宋体" w:cs="宋体"/>
          <w:spacing w:val="-2"/>
          <w:sz w:val="24"/>
          <w:szCs w:val="24"/>
        </w:rPr>
        <w:t>省汕尾市，地理坐标为东经</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 xml:space="preserve">115.3667  </w:t>
      </w:r>
      <w:r>
        <w:rPr>
          <w:rFonts w:ascii="宋体" w:hAnsi="宋体" w:eastAsia="宋体" w:cs="宋体"/>
          <w:spacing w:val="-2"/>
          <w:sz w:val="24"/>
          <w:szCs w:val="24"/>
        </w:rPr>
        <w:t>度，北纬</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22.8 </w:t>
      </w:r>
      <w:r>
        <w:rPr>
          <w:rFonts w:ascii="宋体" w:hAnsi="宋体" w:eastAsia="宋体" w:cs="宋体"/>
          <w:spacing w:val="-2"/>
          <w:sz w:val="24"/>
          <w:szCs w:val="24"/>
        </w:rPr>
        <w:t>度，海拔高度</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17.3  </w:t>
      </w:r>
      <w:r>
        <w:rPr>
          <w:rFonts w:ascii="宋体" w:hAnsi="宋体" w:eastAsia="宋体" w:cs="宋体"/>
          <w:spacing w:val="-2"/>
          <w:sz w:val="24"/>
          <w:szCs w:val="24"/>
        </w:rPr>
        <w:t>米。</w:t>
      </w:r>
    </w:p>
    <w:p w14:paraId="1E633C14">
      <w:pPr>
        <w:spacing w:before="9"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）多年气象统计资料</w:t>
      </w:r>
    </w:p>
    <w:p w14:paraId="64FE18AD">
      <w:pPr>
        <w:spacing w:before="129" w:line="334" w:lineRule="exact"/>
        <w:ind w:left="499"/>
        <w:rPr>
          <w:rFonts w:ascii="宋体" w:hAnsi="宋体" w:eastAsia="宋体" w:cs="宋体"/>
          <w:sz w:val="24"/>
          <w:szCs w:val="24"/>
        </w:rPr>
      </w:pPr>
      <w:r>
        <w:rPr>
          <w:rFonts w:ascii="Times New Roman" w:hAnsi="Times New Roman" w:eastAsia="Times New Roman" w:cs="Times New Roman"/>
          <w:spacing w:val="-2"/>
          <w:position w:val="3"/>
          <w:sz w:val="24"/>
          <w:szCs w:val="24"/>
        </w:rPr>
        <w:t>1)</w:t>
      </w:r>
      <w:r>
        <w:rPr>
          <w:rFonts w:ascii="宋体" w:hAnsi="宋体" w:eastAsia="宋体" w:cs="宋体"/>
          <w:spacing w:val="-2"/>
          <w:position w:val="3"/>
          <w:sz w:val="24"/>
          <w:szCs w:val="24"/>
        </w:rPr>
        <w:t>汕尾气象站气象资料整编表如下表所示。</w:t>
      </w:r>
    </w:p>
    <w:p w14:paraId="670EF1A9">
      <w:pPr>
        <w:spacing w:before="206" w:line="228" w:lineRule="auto"/>
        <w:ind w:left="152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5.2-7 </w:t>
      </w:r>
      <w:r>
        <w:rPr>
          <w:rFonts w:ascii="宋体" w:hAnsi="宋体" w:eastAsia="宋体" w:cs="宋体"/>
          <w:b/>
          <w:bCs/>
          <w:spacing w:val="6"/>
          <w:sz w:val="20"/>
          <w:szCs w:val="20"/>
        </w:rPr>
        <w:t>汕尾气象站近</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 xml:space="preserve">20 </w:t>
      </w:r>
      <w:r>
        <w:rPr>
          <w:rFonts w:ascii="宋体" w:hAnsi="宋体" w:eastAsia="宋体" w:cs="宋体"/>
          <w:b/>
          <w:bCs/>
          <w:spacing w:val="6"/>
          <w:sz w:val="20"/>
          <w:szCs w:val="20"/>
        </w:rPr>
        <w:t>年（</w:t>
      </w:r>
      <w:r>
        <w:rPr>
          <w:rFonts w:ascii="Times New Roman" w:hAnsi="Times New Roman" w:eastAsia="Times New Roman" w:cs="Times New Roman"/>
          <w:b/>
          <w:bCs/>
          <w:spacing w:val="6"/>
          <w:sz w:val="20"/>
          <w:szCs w:val="20"/>
        </w:rPr>
        <w:t>1997</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 xml:space="preserve">2016 </w:t>
      </w:r>
      <w:r>
        <w:rPr>
          <w:rFonts w:ascii="宋体" w:hAnsi="宋体" w:eastAsia="宋体" w:cs="宋体"/>
          <w:b/>
          <w:bCs/>
          <w:spacing w:val="6"/>
          <w:sz w:val="20"/>
          <w:szCs w:val="20"/>
        </w:rPr>
        <w:t>年）主要气候资料统计表</w:t>
      </w:r>
    </w:p>
    <w:p w14:paraId="28651DA1">
      <w:pPr>
        <w:spacing w:before="202" w:line="5016" w:lineRule="exact"/>
        <w:ind w:firstLine="503"/>
      </w:pPr>
      <w:r>
        <w:rPr>
          <w:position w:val="-100"/>
        </w:rPr>
        <w:drawing>
          <wp:inline distT="0" distB="0" distL="0" distR="0">
            <wp:extent cx="5273040" cy="31845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27"/>
                    <a:stretch>
                      <a:fillRect/>
                    </a:stretch>
                  </pic:blipFill>
                  <pic:spPr>
                    <a:xfrm>
                      <a:off x="0" y="0"/>
                      <a:ext cx="5273040" cy="3185159"/>
                    </a:xfrm>
                    <a:prstGeom prst="rect">
                      <a:avLst/>
                    </a:prstGeom>
                  </pic:spPr>
                </pic:pic>
              </a:graphicData>
            </a:graphic>
          </wp:inline>
        </w:drawing>
      </w:r>
    </w:p>
    <w:p w14:paraId="3F821C71">
      <w:pPr>
        <w:spacing w:before="187" w:line="334" w:lineRule="exact"/>
        <w:ind w:left="476"/>
        <w:rPr>
          <w:rFonts w:ascii="宋体" w:hAnsi="宋体" w:eastAsia="宋体" w:cs="宋体"/>
          <w:sz w:val="24"/>
          <w:szCs w:val="24"/>
        </w:rPr>
      </w:pPr>
      <w:r>
        <w:rPr>
          <w:rFonts w:ascii="Times New Roman" w:hAnsi="Times New Roman" w:eastAsia="Times New Roman" w:cs="Times New Roman"/>
          <w:spacing w:val="-1"/>
          <w:position w:val="3"/>
          <w:sz w:val="24"/>
          <w:szCs w:val="24"/>
        </w:rPr>
        <w:t>2)</w:t>
      </w:r>
      <w:r>
        <w:rPr>
          <w:rFonts w:ascii="宋体" w:hAnsi="宋体" w:eastAsia="宋体" w:cs="宋体"/>
          <w:spacing w:val="-1"/>
          <w:position w:val="3"/>
          <w:sz w:val="24"/>
          <w:szCs w:val="24"/>
        </w:rPr>
        <w:t>气象站风观测数据统计</w:t>
      </w:r>
    </w:p>
    <w:p w14:paraId="6FE8E82F">
      <w:pPr>
        <w:spacing w:before="194" w:line="220" w:lineRule="auto"/>
        <w:ind w:left="480"/>
        <w:rPr>
          <w:rFonts w:ascii="宋体" w:hAnsi="宋体" w:eastAsia="宋体" w:cs="宋体"/>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、气象站温度分析</w:t>
      </w:r>
    </w:p>
    <w:p w14:paraId="193F1013">
      <w:pPr>
        <w:spacing w:before="165" w:line="374" w:lineRule="auto"/>
        <w:ind w:left="2" w:right="86" w:firstLine="481"/>
        <w:rPr>
          <w:rFonts w:ascii="宋体" w:hAnsi="宋体" w:eastAsia="宋体" w:cs="宋体"/>
          <w:sz w:val="24"/>
          <w:szCs w:val="24"/>
        </w:rPr>
      </w:pPr>
      <w:r>
        <w:rPr>
          <w:rFonts w:ascii="宋体" w:hAnsi="宋体" w:eastAsia="宋体" w:cs="宋体"/>
          <w:spacing w:val="-7"/>
          <w:sz w:val="24"/>
          <w:szCs w:val="24"/>
        </w:rPr>
        <w:t>汕尾气象站</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07</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月气温最高（</w:t>
      </w:r>
      <w:r>
        <w:rPr>
          <w:rFonts w:ascii="Times New Roman" w:hAnsi="Times New Roman" w:eastAsia="Times New Roman" w:cs="Times New Roman"/>
          <w:spacing w:val="-7"/>
          <w:sz w:val="24"/>
          <w:szCs w:val="24"/>
        </w:rPr>
        <w:t>28.49</w:t>
      </w:r>
      <w:r>
        <w:rPr>
          <w:rFonts w:ascii="宋体" w:hAnsi="宋体" w:eastAsia="宋体" w:cs="宋体"/>
          <w:spacing w:val="-7"/>
          <w:sz w:val="24"/>
          <w:szCs w:val="24"/>
        </w:rPr>
        <w:t>℃)</w:t>
      </w:r>
      <w:r>
        <w:rPr>
          <w:rFonts w:ascii="宋体" w:hAnsi="宋体" w:eastAsia="宋体" w:cs="宋体"/>
          <w:spacing w:val="27"/>
          <w:sz w:val="24"/>
          <w:szCs w:val="24"/>
        </w:rPr>
        <w:t xml:space="preserve"> </w:t>
      </w:r>
      <w:r>
        <w:rPr>
          <w:rFonts w:ascii="宋体" w:hAnsi="宋体" w:eastAsia="宋体" w:cs="宋体"/>
          <w:spacing w:val="-7"/>
          <w:sz w:val="24"/>
          <w:szCs w:val="24"/>
        </w:rPr>
        <w:t>,</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01</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月气温最低（</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10</w:t>
      </w:r>
      <w:r>
        <w:rPr>
          <w:rFonts w:ascii="宋体" w:hAnsi="宋体" w:eastAsia="宋体" w:cs="宋体"/>
          <w:spacing w:val="-8"/>
          <w:sz w:val="24"/>
          <w:szCs w:val="24"/>
        </w:rPr>
        <w:t>℃)</w:t>
      </w:r>
      <w:r>
        <w:rPr>
          <w:rFonts w:ascii="宋体" w:hAnsi="宋体" w:eastAsia="宋体" w:cs="宋体"/>
          <w:spacing w:val="25"/>
          <w:sz w:val="24"/>
          <w:szCs w:val="24"/>
        </w:rPr>
        <w:t xml:space="preserve"> </w:t>
      </w:r>
      <w:r>
        <w:rPr>
          <w:rFonts w:ascii="宋体" w:hAnsi="宋体" w:eastAsia="宋体" w:cs="宋体"/>
          <w:spacing w:val="-8"/>
          <w:sz w:val="24"/>
          <w:szCs w:val="24"/>
        </w:rPr>
        <w:t>,</w:t>
      </w:r>
      <w:r>
        <w:rPr>
          <w:rFonts w:ascii="宋体" w:hAnsi="宋体" w:eastAsia="宋体" w:cs="宋体"/>
          <w:spacing w:val="45"/>
          <w:sz w:val="24"/>
          <w:szCs w:val="24"/>
        </w:rPr>
        <w:t xml:space="preserve"> </w:t>
      </w:r>
      <w:r>
        <w:rPr>
          <w:rFonts w:ascii="宋体" w:hAnsi="宋体" w:eastAsia="宋体" w:cs="宋体"/>
          <w:spacing w:val="-8"/>
          <w:sz w:val="24"/>
          <w:szCs w:val="24"/>
        </w:rPr>
        <w:t>近</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20 </w:t>
      </w:r>
      <w:r>
        <w:rPr>
          <w:rFonts w:ascii="宋体" w:hAnsi="宋体" w:eastAsia="宋体" w:cs="宋体"/>
          <w:spacing w:val="-8"/>
          <w:sz w:val="24"/>
          <w:szCs w:val="24"/>
        </w:rPr>
        <w:t>年极</w:t>
      </w:r>
      <w:r>
        <w:rPr>
          <w:rFonts w:ascii="宋体" w:hAnsi="宋体" w:eastAsia="宋体" w:cs="宋体"/>
          <w:sz w:val="24"/>
          <w:szCs w:val="24"/>
        </w:rPr>
        <w:t xml:space="preserve"> </w:t>
      </w:r>
      <w:r>
        <w:rPr>
          <w:rFonts w:ascii="宋体" w:hAnsi="宋体" w:eastAsia="宋体" w:cs="宋体"/>
          <w:spacing w:val="-1"/>
          <w:sz w:val="24"/>
          <w:szCs w:val="24"/>
        </w:rPr>
        <w:t>端最高气温出现在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2005-07-18</w:t>
      </w:r>
      <w:r>
        <w:rPr>
          <w:rFonts w:ascii="宋体" w:hAnsi="宋体" w:eastAsia="宋体" w:cs="宋体"/>
          <w:spacing w:val="-1"/>
          <w:sz w:val="24"/>
          <w:szCs w:val="24"/>
        </w:rPr>
        <w:t>（</w:t>
      </w:r>
      <w:r>
        <w:rPr>
          <w:rFonts w:ascii="Times New Roman" w:hAnsi="Times New Roman" w:eastAsia="Times New Roman" w:cs="Times New Roman"/>
          <w:spacing w:val="-1"/>
          <w:sz w:val="24"/>
          <w:szCs w:val="24"/>
        </w:rPr>
        <w:t>38.0</w:t>
      </w:r>
      <w:r>
        <w:rPr>
          <w:rFonts w:ascii="宋体" w:hAnsi="宋体" w:eastAsia="宋体" w:cs="宋体"/>
          <w:spacing w:val="4"/>
          <w:sz w:val="24"/>
          <w:szCs w:val="24"/>
        </w:rPr>
        <w:t>），</w:t>
      </w:r>
      <w:r>
        <w:rPr>
          <w:rFonts w:ascii="宋体" w:hAnsi="宋体" w:eastAsia="宋体" w:cs="宋体"/>
          <w:spacing w:val="-1"/>
          <w:sz w:val="24"/>
          <w:szCs w:val="24"/>
        </w:rPr>
        <w:t>近</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年极端最低气温出</w:t>
      </w:r>
      <w:r>
        <w:rPr>
          <w:rFonts w:ascii="宋体" w:hAnsi="宋体" w:eastAsia="宋体" w:cs="宋体"/>
          <w:spacing w:val="-2"/>
          <w:sz w:val="24"/>
          <w:szCs w:val="24"/>
        </w:rPr>
        <w:t>现在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1999-12-23</w:t>
      </w:r>
      <w:r>
        <w:rPr>
          <w:rFonts w:ascii="宋体" w:hAnsi="宋体" w:eastAsia="宋体" w:cs="宋体"/>
          <w:spacing w:val="-2"/>
          <w:sz w:val="24"/>
          <w:szCs w:val="24"/>
        </w:rPr>
        <w:t>。</w:t>
      </w:r>
    </w:p>
    <w:p w14:paraId="5C035D32">
      <w:pPr>
        <w:spacing w:line="374" w:lineRule="auto"/>
        <w:rPr>
          <w:rFonts w:ascii="宋体" w:hAnsi="宋体" w:eastAsia="宋体" w:cs="宋体"/>
          <w:sz w:val="24"/>
          <w:szCs w:val="24"/>
        </w:rPr>
        <w:sectPr>
          <w:footerReference r:id="rId131" w:type="default"/>
          <w:pgSz w:w="11906" w:h="16839"/>
          <w:pgMar w:top="400" w:right="1501" w:bottom="1485" w:left="1596" w:header="0" w:footer="1249" w:gutter="0"/>
          <w:cols w:space="720" w:num="1"/>
        </w:sectPr>
      </w:pPr>
    </w:p>
    <w:p w14:paraId="7CD0995F">
      <w:pPr>
        <w:pStyle w:val="2"/>
        <w:spacing w:line="275" w:lineRule="auto"/>
      </w:pPr>
    </w:p>
    <w:p w14:paraId="3C9700D0">
      <w:pPr>
        <w:pStyle w:val="2"/>
        <w:spacing w:line="275" w:lineRule="auto"/>
      </w:pPr>
    </w:p>
    <w:p w14:paraId="7BC141A4">
      <w:pPr>
        <w:pStyle w:val="2"/>
        <w:spacing w:line="275" w:lineRule="auto"/>
      </w:pPr>
    </w:p>
    <w:p w14:paraId="1F1C233C">
      <w:pPr>
        <w:pStyle w:val="2"/>
        <w:spacing w:line="275" w:lineRule="auto"/>
      </w:pPr>
    </w:p>
    <w:p w14:paraId="6DCC2017">
      <w:pPr>
        <w:spacing w:line="5040" w:lineRule="exact"/>
        <w:ind w:firstLine="1346"/>
      </w:pPr>
      <w:r>
        <w:rPr>
          <w:position w:val="-100"/>
        </w:rPr>
        <w:drawing>
          <wp:inline distT="0" distB="0" distL="0" distR="0">
            <wp:extent cx="4159885" cy="32004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28"/>
                    <a:stretch>
                      <a:fillRect/>
                    </a:stretch>
                  </pic:blipFill>
                  <pic:spPr>
                    <a:xfrm>
                      <a:off x="0" y="0"/>
                      <a:ext cx="4160519" cy="3200400"/>
                    </a:xfrm>
                    <a:prstGeom prst="rect">
                      <a:avLst/>
                    </a:prstGeom>
                  </pic:spPr>
                </pic:pic>
              </a:graphicData>
            </a:graphic>
          </wp:inline>
        </w:drawing>
      </w:r>
    </w:p>
    <w:p w14:paraId="4FDEB909">
      <w:pPr>
        <w:spacing w:before="145" w:line="228" w:lineRule="auto"/>
        <w:ind w:left="2628"/>
        <w:rPr>
          <w:rFonts w:ascii="宋体" w:hAnsi="宋体" w:eastAsia="宋体" w:cs="宋体"/>
          <w:sz w:val="20"/>
          <w:szCs w:val="20"/>
        </w:rPr>
      </w:pPr>
      <w:r>
        <w:rPr>
          <w:rFonts w:ascii="宋体" w:hAnsi="宋体" w:eastAsia="宋体" w:cs="宋体"/>
          <w:b/>
          <w:bCs/>
          <w:spacing w:val="3"/>
          <w:sz w:val="20"/>
          <w:szCs w:val="20"/>
        </w:rPr>
        <w:t>图</w:t>
      </w:r>
      <w:r>
        <w:rPr>
          <w:rFonts w:ascii="宋体" w:hAnsi="宋体" w:eastAsia="宋体" w:cs="宋体"/>
          <w:spacing w:val="-38"/>
          <w:sz w:val="20"/>
          <w:szCs w:val="20"/>
        </w:rPr>
        <w:t xml:space="preserve"> </w:t>
      </w:r>
      <w:r>
        <w:rPr>
          <w:rFonts w:ascii="Times New Roman" w:hAnsi="Times New Roman" w:eastAsia="Times New Roman" w:cs="Times New Roman"/>
          <w:b/>
          <w:bCs/>
          <w:spacing w:val="3"/>
          <w:sz w:val="20"/>
          <w:szCs w:val="20"/>
        </w:rPr>
        <w:t xml:space="preserve">5.2-1  </w:t>
      </w:r>
      <w:r>
        <w:rPr>
          <w:rFonts w:ascii="宋体" w:hAnsi="宋体" w:eastAsia="宋体" w:cs="宋体"/>
          <w:b/>
          <w:bCs/>
          <w:spacing w:val="3"/>
          <w:sz w:val="20"/>
          <w:szCs w:val="20"/>
        </w:rPr>
        <w:t>汕尾月平均气温（单位：</w:t>
      </w:r>
      <w:r>
        <w:rPr>
          <w:rFonts w:ascii="宋体" w:hAnsi="宋体" w:eastAsia="宋体" w:cs="宋体"/>
          <w:spacing w:val="-65"/>
          <w:sz w:val="20"/>
          <w:szCs w:val="20"/>
        </w:rPr>
        <w:t xml:space="preserve"> </w:t>
      </w:r>
      <w:r>
        <w:rPr>
          <w:rFonts w:ascii="宋体" w:hAnsi="宋体" w:eastAsia="宋体" w:cs="宋体"/>
          <w:b/>
          <w:bCs/>
          <w:spacing w:val="2"/>
          <w:sz w:val="20"/>
          <w:szCs w:val="20"/>
        </w:rPr>
        <w:t>℃)</w:t>
      </w:r>
    </w:p>
    <w:p w14:paraId="5F0E9C33">
      <w:pPr>
        <w:pStyle w:val="2"/>
        <w:spacing w:line="258" w:lineRule="auto"/>
      </w:pPr>
    </w:p>
    <w:p w14:paraId="7AB8D95F">
      <w:pPr>
        <w:pStyle w:val="2"/>
        <w:spacing w:line="258" w:lineRule="auto"/>
      </w:pPr>
    </w:p>
    <w:p w14:paraId="5FA2EAE2">
      <w:pPr>
        <w:spacing w:before="78" w:line="360" w:lineRule="exact"/>
        <w:ind w:left="482"/>
        <w:rPr>
          <w:rFonts w:ascii="宋体" w:hAnsi="宋体" w:eastAsia="宋体" w:cs="宋体"/>
          <w:sz w:val="24"/>
          <w:szCs w:val="24"/>
        </w:rPr>
      </w:pPr>
      <w:r>
        <w:rPr>
          <w:rFonts w:ascii="Times New Roman" w:hAnsi="Times New Roman" w:eastAsia="Times New Roman" w:cs="Times New Roman"/>
          <w:spacing w:val="-4"/>
          <w:position w:val="2"/>
          <w:sz w:val="24"/>
          <w:szCs w:val="24"/>
        </w:rPr>
        <w:t>b</w:t>
      </w:r>
      <w:r>
        <w:rPr>
          <w:rFonts w:ascii="Times New Roman" w:hAnsi="Times New Roman" w:eastAsia="Times New Roman" w:cs="Times New Roman"/>
          <w:spacing w:val="-33"/>
          <w:position w:val="2"/>
          <w:sz w:val="24"/>
          <w:szCs w:val="24"/>
        </w:rPr>
        <w:t xml:space="preserve"> </w:t>
      </w:r>
      <w:r>
        <w:rPr>
          <w:rFonts w:ascii="宋体" w:hAnsi="宋体" w:eastAsia="宋体" w:cs="宋体"/>
          <w:spacing w:val="-4"/>
          <w:position w:val="2"/>
          <w:sz w:val="24"/>
          <w:szCs w:val="24"/>
        </w:rPr>
        <w:t>、月平均风速</w:t>
      </w:r>
    </w:p>
    <w:p w14:paraId="061344AC">
      <w:pPr>
        <w:spacing w:before="130" w:line="364" w:lineRule="auto"/>
        <w:ind w:left="12" w:firstLine="482"/>
        <w:rPr>
          <w:rFonts w:ascii="宋体" w:hAnsi="宋体" w:eastAsia="宋体" w:cs="宋体"/>
          <w:sz w:val="24"/>
          <w:szCs w:val="24"/>
        </w:rPr>
      </w:pPr>
      <w:r>
        <w:rPr>
          <w:rFonts w:ascii="宋体" w:hAnsi="宋体" w:eastAsia="宋体" w:cs="宋体"/>
          <w:spacing w:val="-7"/>
          <w:sz w:val="24"/>
          <w:szCs w:val="24"/>
        </w:rPr>
        <w:t>汕尾气象站月平均风速如表，</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月平均风速最大（</w:t>
      </w:r>
      <w:r>
        <w:rPr>
          <w:rFonts w:ascii="Times New Roman" w:hAnsi="Times New Roman" w:eastAsia="Times New Roman" w:cs="Times New Roman"/>
          <w:spacing w:val="-7"/>
          <w:sz w:val="24"/>
          <w:szCs w:val="24"/>
        </w:rPr>
        <w:t xml:space="preserve">2.76  </w:t>
      </w:r>
      <w:r>
        <w:rPr>
          <w:rFonts w:ascii="宋体" w:hAnsi="宋体" w:eastAsia="宋体" w:cs="宋体"/>
          <w:spacing w:val="-7"/>
          <w:sz w:val="24"/>
          <w:szCs w:val="24"/>
        </w:rPr>
        <w:t>米</w:t>
      </w:r>
      <w:r>
        <w:rPr>
          <w:rFonts w:ascii="Times New Roman" w:hAnsi="Times New Roman" w:eastAsia="Times New Roman" w:cs="Times New Roman"/>
          <w:spacing w:val="-7"/>
          <w:sz w:val="24"/>
          <w:szCs w:val="24"/>
        </w:rPr>
        <w:t>/</w:t>
      </w:r>
      <w:r>
        <w:rPr>
          <w:rFonts w:ascii="宋体" w:hAnsi="宋体" w:eastAsia="宋体" w:cs="宋体"/>
          <w:spacing w:val="-7"/>
          <w:sz w:val="24"/>
          <w:szCs w:val="24"/>
        </w:rPr>
        <w:t>秒</w:t>
      </w:r>
      <w:r>
        <w:rPr>
          <w:rFonts w:ascii="宋体" w:hAnsi="宋体" w:eastAsia="宋体" w:cs="宋体"/>
          <w:spacing w:val="-46"/>
          <w:sz w:val="24"/>
          <w:szCs w:val="24"/>
        </w:rPr>
        <w:t>），</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月风最小（</w:t>
      </w:r>
      <w:r>
        <w:rPr>
          <w:rFonts w:ascii="Times New Roman" w:hAnsi="Times New Roman" w:eastAsia="Times New Roman" w:cs="Times New Roman"/>
          <w:spacing w:val="-7"/>
          <w:sz w:val="24"/>
          <w:szCs w:val="24"/>
        </w:rPr>
        <w:t>2.33</w:t>
      </w:r>
      <w:r>
        <w:rPr>
          <w:rFonts w:ascii="Times New Roman" w:hAnsi="Times New Roman" w:eastAsia="Times New Roman" w:cs="Times New Roman"/>
          <w:sz w:val="24"/>
          <w:szCs w:val="24"/>
        </w:rPr>
        <w:t xml:space="preserve"> </w:t>
      </w:r>
      <w:r>
        <w:rPr>
          <w:rFonts w:ascii="宋体" w:hAnsi="宋体" w:eastAsia="宋体" w:cs="宋体"/>
          <w:spacing w:val="-3"/>
          <w:sz w:val="24"/>
          <w:szCs w:val="24"/>
        </w:rPr>
        <w:t>米</w:t>
      </w:r>
      <w:r>
        <w:rPr>
          <w:rFonts w:ascii="Times New Roman" w:hAnsi="Times New Roman" w:eastAsia="Times New Roman" w:cs="Times New Roman"/>
          <w:spacing w:val="-3"/>
          <w:sz w:val="24"/>
          <w:szCs w:val="24"/>
        </w:rPr>
        <w:t>/</w:t>
      </w:r>
      <w:r>
        <w:rPr>
          <w:rFonts w:ascii="宋体" w:hAnsi="宋体" w:eastAsia="宋体" w:cs="宋体"/>
          <w:spacing w:val="-3"/>
          <w:sz w:val="24"/>
          <w:szCs w:val="24"/>
        </w:rPr>
        <w:t>秒）。</w:t>
      </w:r>
    </w:p>
    <w:p w14:paraId="1E6BE50C">
      <w:pPr>
        <w:spacing w:before="1" w:line="228" w:lineRule="auto"/>
        <w:ind w:left="211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5.2-8  </w:t>
      </w:r>
      <w:r>
        <w:rPr>
          <w:rFonts w:ascii="宋体" w:hAnsi="宋体" w:eastAsia="宋体" w:cs="宋体"/>
          <w:b/>
          <w:bCs/>
          <w:spacing w:val="5"/>
          <w:sz w:val="20"/>
          <w:szCs w:val="20"/>
        </w:rPr>
        <w:t>汕尾气象站月平均风速统计（单位</w:t>
      </w:r>
      <w:r>
        <w:rPr>
          <w:rFonts w:ascii="宋体" w:hAnsi="宋体" w:eastAsia="宋体" w:cs="宋体"/>
          <w:spacing w:val="-37"/>
          <w:sz w:val="20"/>
          <w:szCs w:val="20"/>
        </w:rPr>
        <w:t xml:space="preserve"> </w:t>
      </w:r>
      <w:r>
        <w:rPr>
          <w:rFonts w:ascii="Times New Roman" w:hAnsi="Times New Roman" w:eastAsia="Times New Roman" w:cs="Times New Roman"/>
          <w:b/>
          <w:bCs/>
          <w:spacing w:val="5"/>
          <w:sz w:val="20"/>
          <w:szCs w:val="20"/>
        </w:rPr>
        <w:t>m/s</w:t>
      </w:r>
      <w:r>
        <w:rPr>
          <w:rFonts w:ascii="宋体" w:hAnsi="宋体" w:eastAsia="宋体" w:cs="宋体"/>
          <w:b/>
          <w:bCs/>
          <w:spacing w:val="5"/>
          <w:sz w:val="20"/>
          <w:szCs w:val="20"/>
        </w:rPr>
        <w:t>）</w:t>
      </w:r>
    </w:p>
    <w:p w14:paraId="20A717B5">
      <w:pPr>
        <w:spacing w:before="20" w:line="672" w:lineRule="exact"/>
        <w:ind w:firstLine="31"/>
      </w:pPr>
      <w:r>
        <w:rPr>
          <w:position w:val="-13"/>
        </w:rPr>
        <w:drawing>
          <wp:inline distT="0" distB="0" distL="0" distR="0">
            <wp:extent cx="5273040" cy="42672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29"/>
                    <a:stretch>
                      <a:fillRect/>
                    </a:stretch>
                  </pic:blipFill>
                  <pic:spPr>
                    <a:xfrm>
                      <a:off x="0" y="0"/>
                      <a:ext cx="5273040" cy="426720"/>
                    </a:xfrm>
                    <a:prstGeom prst="rect">
                      <a:avLst/>
                    </a:prstGeom>
                  </pic:spPr>
                </pic:pic>
              </a:graphicData>
            </a:graphic>
          </wp:inline>
        </w:drawing>
      </w:r>
    </w:p>
    <w:p w14:paraId="6B7002FD">
      <w:pPr>
        <w:spacing w:before="123" w:line="220" w:lineRule="auto"/>
        <w:ind w:left="491"/>
        <w:rPr>
          <w:rFonts w:ascii="宋体" w:hAnsi="宋体" w:eastAsia="宋体" w:cs="宋体"/>
          <w:sz w:val="24"/>
          <w:szCs w:val="24"/>
        </w:rPr>
      </w:pPr>
      <w:r>
        <w:rPr>
          <w:rFonts w:ascii="Times New Roman" w:hAnsi="Times New Roman" w:eastAsia="Times New Roman" w:cs="Times New Roman"/>
          <w:spacing w:val="-6"/>
          <w:sz w:val="24"/>
          <w:szCs w:val="24"/>
        </w:rPr>
        <w:t>c</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、风向特征</w:t>
      </w:r>
    </w:p>
    <w:p w14:paraId="526DB100">
      <w:pPr>
        <w:spacing w:before="169" w:line="372" w:lineRule="auto"/>
        <w:ind w:right="39" w:firstLine="491"/>
        <w:rPr>
          <w:rFonts w:ascii="宋体" w:hAnsi="宋体" w:eastAsia="宋体" w:cs="宋体"/>
          <w:sz w:val="24"/>
          <w:szCs w:val="24"/>
        </w:rPr>
      </w:pPr>
      <w:r>
        <w:rPr>
          <w:rFonts w:ascii="宋体" w:hAnsi="宋体" w:eastAsia="宋体" w:cs="宋体"/>
          <w:spacing w:val="2"/>
          <w:sz w:val="24"/>
          <w:szCs w:val="24"/>
        </w:rPr>
        <w:t>近</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20 </w:t>
      </w:r>
      <w:r>
        <w:rPr>
          <w:rFonts w:ascii="宋体" w:hAnsi="宋体" w:eastAsia="宋体" w:cs="宋体"/>
          <w:spacing w:val="2"/>
          <w:sz w:val="24"/>
          <w:szCs w:val="24"/>
        </w:rPr>
        <w:t>年资料分析的风向玫瑰图如图所示，汕尾气象站主要</w:t>
      </w:r>
      <w:r>
        <w:rPr>
          <w:rFonts w:ascii="宋体" w:hAnsi="宋体" w:eastAsia="宋体" w:cs="宋体"/>
          <w:spacing w:val="1"/>
          <w:sz w:val="24"/>
          <w:szCs w:val="24"/>
        </w:rPr>
        <w:t>风向为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E </w:t>
      </w:r>
      <w:r>
        <w:rPr>
          <w:rFonts w:ascii="宋体" w:hAnsi="宋体" w:eastAsia="宋体" w:cs="宋体"/>
          <w:spacing w:val="1"/>
          <w:sz w:val="24"/>
          <w:szCs w:val="24"/>
        </w:rPr>
        <w:t>和</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ENE</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NE</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ESE</w:t>
      </w:r>
      <w:r>
        <w:rPr>
          <w:rFonts w:ascii="宋体" w:hAnsi="宋体" w:eastAsia="宋体" w:cs="宋体"/>
          <w:spacing w:val="-3"/>
          <w:sz w:val="24"/>
          <w:szCs w:val="24"/>
        </w:rPr>
        <w:t>，占</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51.4</w:t>
      </w:r>
      <w:r>
        <w:rPr>
          <w:rFonts w:ascii="宋体" w:hAnsi="宋体" w:eastAsia="宋体" w:cs="宋体"/>
          <w:spacing w:val="7"/>
          <w:sz w:val="24"/>
          <w:szCs w:val="24"/>
        </w:rPr>
        <w:t>％，</w:t>
      </w:r>
      <w:r>
        <w:rPr>
          <w:rFonts w:ascii="宋体" w:hAnsi="宋体" w:eastAsia="宋体" w:cs="宋体"/>
          <w:spacing w:val="-3"/>
          <w:sz w:val="24"/>
          <w:szCs w:val="24"/>
        </w:rPr>
        <w:t>其中以</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E</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为主风向，占到全年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15.2</w:t>
      </w:r>
      <w:r>
        <w:rPr>
          <w:rFonts w:ascii="宋体" w:hAnsi="宋体" w:eastAsia="宋体" w:cs="宋体"/>
          <w:spacing w:val="-3"/>
          <w:sz w:val="24"/>
          <w:szCs w:val="24"/>
        </w:rPr>
        <w:t>％左右。</w:t>
      </w:r>
    </w:p>
    <w:p w14:paraId="4ECFD172">
      <w:pPr>
        <w:spacing w:line="372" w:lineRule="auto"/>
        <w:rPr>
          <w:rFonts w:ascii="宋体" w:hAnsi="宋体" w:eastAsia="宋体" w:cs="宋体"/>
          <w:sz w:val="24"/>
          <w:szCs w:val="24"/>
        </w:rPr>
        <w:sectPr>
          <w:footerReference r:id="rId132" w:type="default"/>
          <w:pgSz w:w="11906" w:h="16839"/>
          <w:pgMar w:top="400" w:right="1585" w:bottom="1485" w:left="1585" w:header="0" w:footer="1249" w:gutter="0"/>
          <w:cols w:space="720" w:num="1"/>
        </w:sectPr>
      </w:pPr>
    </w:p>
    <w:p w14:paraId="47693BFD">
      <w:pPr>
        <w:pStyle w:val="2"/>
        <w:spacing w:line="259" w:lineRule="auto"/>
      </w:pPr>
    </w:p>
    <w:p w14:paraId="1DE81242">
      <w:pPr>
        <w:pStyle w:val="2"/>
        <w:spacing w:line="259" w:lineRule="auto"/>
      </w:pPr>
    </w:p>
    <w:p w14:paraId="33D75AA3">
      <w:pPr>
        <w:pStyle w:val="2"/>
        <w:spacing w:line="260" w:lineRule="auto"/>
      </w:pPr>
    </w:p>
    <w:p w14:paraId="35AE88C2">
      <w:pPr>
        <w:pStyle w:val="2"/>
        <w:spacing w:line="260" w:lineRule="auto"/>
      </w:pPr>
    </w:p>
    <w:p w14:paraId="658A808B">
      <w:pPr>
        <w:spacing w:line="4186" w:lineRule="exact"/>
        <w:ind w:firstLine="1931"/>
      </w:pPr>
      <w:r>
        <w:rPr>
          <w:position w:val="-83"/>
        </w:rPr>
        <w:drawing>
          <wp:inline distT="0" distB="0" distL="0" distR="0">
            <wp:extent cx="2857500" cy="26574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30"/>
                    <a:stretch>
                      <a:fillRect/>
                    </a:stretch>
                  </pic:blipFill>
                  <pic:spPr>
                    <a:xfrm>
                      <a:off x="0" y="0"/>
                      <a:ext cx="2857500" cy="2657856"/>
                    </a:xfrm>
                    <a:prstGeom prst="rect">
                      <a:avLst/>
                    </a:prstGeom>
                  </pic:spPr>
                </pic:pic>
              </a:graphicData>
            </a:graphic>
          </wp:inline>
        </w:drawing>
      </w:r>
    </w:p>
    <w:p w14:paraId="6A3CA071">
      <w:pPr>
        <w:spacing w:before="83" w:line="228" w:lineRule="auto"/>
        <w:ind w:left="1662"/>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5.2-2  </w:t>
      </w:r>
      <w:r>
        <w:rPr>
          <w:rFonts w:ascii="宋体" w:hAnsi="宋体" w:eastAsia="宋体" w:cs="宋体"/>
          <w:b/>
          <w:bCs/>
          <w:spacing w:val="5"/>
          <w:sz w:val="20"/>
          <w:szCs w:val="20"/>
        </w:rPr>
        <w:t>汕尾气象站风向玫瑰图（统计年限：</w:t>
      </w:r>
      <w:r>
        <w:rPr>
          <w:rFonts w:ascii="Times New Roman" w:hAnsi="Times New Roman" w:eastAsia="Times New Roman" w:cs="Times New Roman"/>
          <w:b/>
          <w:bCs/>
          <w:spacing w:val="5"/>
          <w:sz w:val="20"/>
          <w:szCs w:val="20"/>
        </w:rPr>
        <w:t xml:space="preserve">1997-2016 </w:t>
      </w:r>
      <w:r>
        <w:rPr>
          <w:rFonts w:ascii="宋体" w:hAnsi="宋体" w:eastAsia="宋体" w:cs="宋体"/>
          <w:b/>
          <w:bCs/>
          <w:spacing w:val="5"/>
          <w:sz w:val="20"/>
          <w:szCs w:val="20"/>
        </w:rPr>
        <w:t>年）</w:t>
      </w:r>
    </w:p>
    <w:p w14:paraId="214E6A1B">
      <w:pPr>
        <w:spacing w:before="146" w:line="220" w:lineRule="auto"/>
        <w:ind w:left="295"/>
        <w:rPr>
          <w:rFonts w:ascii="宋体" w:hAnsi="宋体" w:eastAsia="宋体" w:cs="宋体"/>
          <w:sz w:val="24"/>
          <w:szCs w:val="24"/>
        </w:rPr>
      </w:pPr>
      <w:r>
        <w:rPr>
          <w:rFonts w:ascii="宋体" w:hAnsi="宋体" w:eastAsia="宋体" w:cs="宋体"/>
          <w:spacing w:val="-2"/>
          <w:sz w:val="24"/>
          <w:szCs w:val="24"/>
        </w:rPr>
        <w:t>各月风向频率如下：</w:t>
      </w:r>
    </w:p>
    <w:p w14:paraId="2D0D389C">
      <w:pPr>
        <w:spacing w:before="115" w:line="6444" w:lineRule="exact"/>
        <w:ind w:firstLine="926"/>
      </w:pPr>
      <w:r>
        <w:rPr>
          <w:position w:val="-128"/>
        </w:rPr>
        <w:drawing>
          <wp:inline distT="0" distB="0" distL="0" distR="0">
            <wp:extent cx="4434840" cy="40919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31"/>
                    <a:stretch>
                      <a:fillRect/>
                    </a:stretch>
                  </pic:blipFill>
                  <pic:spPr>
                    <a:xfrm>
                      <a:off x="0" y="0"/>
                      <a:ext cx="4434840" cy="4091940"/>
                    </a:xfrm>
                    <a:prstGeom prst="rect">
                      <a:avLst/>
                    </a:prstGeom>
                  </pic:spPr>
                </pic:pic>
              </a:graphicData>
            </a:graphic>
          </wp:inline>
        </w:drawing>
      </w:r>
    </w:p>
    <w:p w14:paraId="47370876">
      <w:pPr>
        <w:spacing w:line="6444" w:lineRule="exact"/>
        <w:sectPr>
          <w:footerReference r:id="rId133" w:type="default"/>
          <w:pgSz w:w="11906" w:h="16839"/>
          <w:pgMar w:top="400" w:right="1785" w:bottom="1485" w:left="1785" w:header="0" w:footer="1249" w:gutter="0"/>
          <w:cols w:space="720" w:num="1"/>
        </w:sectPr>
      </w:pPr>
    </w:p>
    <w:p w14:paraId="3837DC6D">
      <w:pPr>
        <w:pStyle w:val="2"/>
        <w:spacing w:line="267" w:lineRule="auto"/>
      </w:pPr>
    </w:p>
    <w:p w14:paraId="3FC06116">
      <w:pPr>
        <w:pStyle w:val="2"/>
        <w:spacing w:line="267" w:lineRule="auto"/>
      </w:pPr>
    </w:p>
    <w:p w14:paraId="4EA6243A">
      <w:pPr>
        <w:pStyle w:val="2"/>
        <w:spacing w:line="267" w:lineRule="auto"/>
      </w:pPr>
    </w:p>
    <w:p w14:paraId="20E5B572">
      <w:pPr>
        <w:pStyle w:val="2"/>
        <w:spacing w:line="268" w:lineRule="auto"/>
      </w:pPr>
    </w:p>
    <w:p w14:paraId="360E43AA">
      <w:pPr>
        <w:spacing w:line="6732" w:lineRule="exact"/>
        <w:ind w:firstLine="942"/>
      </w:pPr>
      <w:r>
        <w:rPr>
          <w:position w:val="-134"/>
        </w:rPr>
        <w:drawing>
          <wp:inline distT="0" distB="0" distL="0" distR="0">
            <wp:extent cx="4419600" cy="427482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32"/>
                    <a:stretch>
                      <a:fillRect/>
                    </a:stretch>
                  </pic:blipFill>
                  <pic:spPr>
                    <a:xfrm>
                      <a:off x="0" y="0"/>
                      <a:ext cx="4419600" cy="4274820"/>
                    </a:xfrm>
                    <a:prstGeom prst="rect">
                      <a:avLst/>
                    </a:prstGeom>
                  </pic:spPr>
                </pic:pic>
              </a:graphicData>
            </a:graphic>
          </wp:inline>
        </w:drawing>
      </w:r>
    </w:p>
    <w:p w14:paraId="660A44A6">
      <w:pPr>
        <w:spacing w:before="136" w:line="6360" w:lineRule="exact"/>
        <w:ind w:firstLine="777"/>
      </w:pPr>
      <w:r>
        <w:rPr>
          <w:position w:val="-127"/>
        </w:rPr>
        <w:drawing>
          <wp:inline distT="0" distB="0" distL="0" distR="0">
            <wp:extent cx="4625340" cy="40386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33"/>
                    <a:stretch>
                      <a:fillRect/>
                    </a:stretch>
                  </pic:blipFill>
                  <pic:spPr>
                    <a:xfrm>
                      <a:off x="0" y="0"/>
                      <a:ext cx="4625340" cy="4038600"/>
                    </a:xfrm>
                    <a:prstGeom prst="rect">
                      <a:avLst/>
                    </a:prstGeom>
                  </pic:spPr>
                </pic:pic>
              </a:graphicData>
            </a:graphic>
          </wp:inline>
        </w:drawing>
      </w:r>
    </w:p>
    <w:p w14:paraId="76889335">
      <w:pPr>
        <w:spacing w:before="138" w:line="228" w:lineRule="auto"/>
        <w:ind w:left="2953"/>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41"/>
          <w:sz w:val="20"/>
          <w:szCs w:val="20"/>
        </w:rPr>
        <w:t xml:space="preserve"> </w:t>
      </w:r>
      <w:r>
        <w:rPr>
          <w:rFonts w:ascii="Times New Roman" w:hAnsi="Times New Roman" w:eastAsia="Times New Roman" w:cs="Times New Roman"/>
          <w:b/>
          <w:bCs/>
          <w:spacing w:val="4"/>
          <w:sz w:val="20"/>
          <w:szCs w:val="20"/>
        </w:rPr>
        <w:t xml:space="preserve">5.2-3  </w:t>
      </w:r>
      <w:r>
        <w:rPr>
          <w:rFonts w:ascii="宋体" w:hAnsi="宋体" w:eastAsia="宋体" w:cs="宋体"/>
          <w:b/>
          <w:bCs/>
          <w:spacing w:val="4"/>
          <w:sz w:val="20"/>
          <w:szCs w:val="20"/>
        </w:rPr>
        <w:t>汕尾月风向玫瑰图</w:t>
      </w:r>
    </w:p>
    <w:p w14:paraId="7653174D">
      <w:pPr>
        <w:spacing w:line="228" w:lineRule="auto"/>
        <w:rPr>
          <w:rFonts w:ascii="宋体" w:hAnsi="宋体" w:eastAsia="宋体" w:cs="宋体"/>
          <w:sz w:val="20"/>
          <w:szCs w:val="20"/>
        </w:rPr>
        <w:sectPr>
          <w:footerReference r:id="rId134" w:type="default"/>
          <w:pgSz w:w="11906" w:h="16839"/>
          <w:pgMar w:top="400" w:right="1785" w:bottom="1485" w:left="1785" w:header="0" w:footer="1249" w:gutter="0"/>
          <w:cols w:space="720" w:num="1"/>
        </w:sectPr>
      </w:pPr>
    </w:p>
    <w:p w14:paraId="4494222D">
      <w:pPr>
        <w:pStyle w:val="2"/>
        <w:spacing w:line="264" w:lineRule="auto"/>
      </w:pPr>
    </w:p>
    <w:p w14:paraId="518A10C3">
      <w:pPr>
        <w:pStyle w:val="2"/>
        <w:spacing w:line="264" w:lineRule="auto"/>
      </w:pPr>
    </w:p>
    <w:p w14:paraId="039FDECE">
      <w:pPr>
        <w:pStyle w:val="2"/>
        <w:spacing w:line="264" w:lineRule="auto"/>
      </w:pPr>
    </w:p>
    <w:p w14:paraId="095F04F4">
      <w:pPr>
        <w:pStyle w:val="2"/>
        <w:spacing w:line="265" w:lineRule="auto"/>
      </w:pPr>
    </w:p>
    <w:p w14:paraId="56B035BE">
      <w:pPr>
        <w:spacing w:before="78" w:line="221" w:lineRule="auto"/>
        <w:ind w:left="476"/>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3"/>
          <w:sz w:val="24"/>
          <w:szCs w:val="24"/>
        </w:rPr>
        <w:t xml:space="preserve"> </w:t>
      </w:r>
      <w:r>
        <w:rPr>
          <w:rFonts w:ascii="宋体" w:hAnsi="宋体" w:eastAsia="宋体" w:cs="宋体"/>
          <w:b/>
          <w:bCs/>
          <w:spacing w:val="-5"/>
          <w:sz w:val="24"/>
          <w:szCs w:val="24"/>
        </w:rPr>
        <w:t>、大气环境影响预测</w:t>
      </w:r>
    </w:p>
    <w:p w14:paraId="165397E4">
      <w:pPr>
        <w:spacing w:before="202" w:line="376" w:lineRule="auto"/>
        <w:ind w:firstLine="480"/>
        <w:jc w:val="both"/>
        <w:rPr>
          <w:rFonts w:ascii="宋体" w:hAnsi="宋体" w:eastAsia="宋体" w:cs="宋体"/>
          <w:sz w:val="24"/>
          <w:szCs w:val="24"/>
        </w:rPr>
      </w:pPr>
      <w:r>
        <w:rPr>
          <w:rFonts w:ascii="宋体" w:hAnsi="宋体" w:eastAsia="宋体" w:cs="宋体"/>
          <w:spacing w:val="2"/>
          <w:sz w:val="24"/>
          <w:szCs w:val="24"/>
        </w:rPr>
        <w:t>本项目建设有猪舍、有机肥发酵车间，运营过程中会产生臭气，均为无组织排</w:t>
      </w:r>
      <w:r>
        <w:rPr>
          <w:rFonts w:ascii="宋体" w:hAnsi="宋体" w:eastAsia="宋体" w:cs="宋体"/>
          <w:spacing w:val="9"/>
          <w:sz w:val="24"/>
          <w:szCs w:val="24"/>
        </w:rPr>
        <w:t xml:space="preserve"> </w:t>
      </w:r>
      <w:r>
        <w:rPr>
          <w:rFonts w:ascii="宋体" w:hAnsi="宋体" w:eastAsia="宋体" w:cs="宋体"/>
          <w:spacing w:val="-7"/>
          <w:sz w:val="24"/>
          <w:szCs w:val="24"/>
        </w:rPr>
        <w:t xml:space="preserve">放，其特征污染物为 </w:t>
      </w:r>
      <w:r>
        <w:rPr>
          <w:rFonts w:ascii="Times New Roman" w:hAnsi="Times New Roman" w:eastAsia="Times New Roman" w:cs="Times New Roman"/>
          <w:spacing w:val="-7"/>
          <w:sz w:val="24"/>
          <w:szCs w:val="24"/>
        </w:rPr>
        <w:t>NH</w:t>
      </w:r>
      <w:r>
        <w:rPr>
          <w:rFonts w:ascii="Times New Roman" w:hAnsi="Times New Roman" w:eastAsia="Times New Roman" w:cs="Times New Roman"/>
          <w:spacing w:val="-7"/>
          <w:position w:val="-1"/>
          <w:sz w:val="15"/>
          <w:szCs w:val="15"/>
        </w:rPr>
        <w:t>3</w:t>
      </w:r>
      <w:r>
        <w:rPr>
          <w:rFonts w:ascii="宋体" w:hAnsi="宋体" w:eastAsia="宋体" w:cs="宋体"/>
          <w:spacing w:val="-7"/>
          <w:sz w:val="24"/>
          <w:szCs w:val="24"/>
        </w:rPr>
        <w:t>、</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sz w:val="24"/>
          <w:szCs w:val="24"/>
        </w:rPr>
        <w:t>S</w:t>
      </w:r>
      <w:r>
        <w:rPr>
          <w:rFonts w:ascii="宋体" w:hAnsi="宋体" w:eastAsia="宋体" w:cs="宋体"/>
          <w:spacing w:val="-7"/>
          <w:sz w:val="24"/>
          <w:szCs w:val="24"/>
        </w:rPr>
        <w:t>；饲料加工过程会产生颗粒物，</w:t>
      </w:r>
      <w:r>
        <w:rPr>
          <w:rFonts w:ascii="宋体" w:hAnsi="宋体" w:eastAsia="宋体" w:cs="宋体"/>
          <w:spacing w:val="-8"/>
          <w:sz w:val="24"/>
          <w:szCs w:val="24"/>
        </w:rPr>
        <w:t>为无组织排放。综上，</w:t>
      </w:r>
      <w:r>
        <w:rPr>
          <w:rFonts w:ascii="宋体" w:hAnsi="宋体" w:eastAsia="宋体" w:cs="宋体"/>
          <w:sz w:val="24"/>
          <w:szCs w:val="24"/>
        </w:rPr>
        <w:t xml:space="preserve"> </w:t>
      </w:r>
      <w:r>
        <w:rPr>
          <w:rFonts w:ascii="宋体" w:hAnsi="宋体" w:eastAsia="宋体" w:cs="宋体"/>
          <w:spacing w:val="-4"/>
          <w:sz w:val="24"/>
          <w:szCs w:val="24"/>
        </w:rPr>
        <w:t xml:space="preserve">本报告选取 </w:t>
      </w:r>
      <w:r>
        <w:rPr>
          <w:rFonts w:ascii="Times New Roman" w:hAnsi="Times New Roman" w:eastAsia="Times New Roman" w:cs="Times New Roman"/>
          <w:spacing w:val="-4"/>
          <w:sz w:val="24"/>
          <w:szCs w:val="24"/>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4"/>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TSP</w:t>
      </w:r>
      <w:r>
        <w:rPr>
          <w:rFonts w:ascii="宋体" w:hAnsi="宋体" w:eastAsia="宋体" w:cs="宋体"/>
          <w:spacing w:val="-4"/>
          <w:sz w:val="24"/>
          <w:szCs w:val="24"/>
        </w:rPr>
        <w:t>。</w:t>
      </w:r>
    </w:p>
    <w:p w14:paraId="1768D8B6">
      <w:pPr>
        <w:spacing w:line="218" w:lineRule="auto"/>
        <w:ind w:left="480"/>
        <w:rPr>
          <w:rFonts w:ascii="宋体" w:hAnsi="宋体" w:eastAsia="宋体" w:cs="宋体"/>
          <w:sz w:val="24"/>
          <w:szCs w:val="24"/>
        </w:rPr>
      </w:pPr>
      <w:r>
        <w:rPr>
          <w:rFonts w:ascii="宋体" w:hAnsi="宋体" w:eastAsia="宋体" w:cs="宋体"/>
          <w:spacing w:val="-1"/>
          <w:sz w:val="24"/>
          <w:szCs w:val="24"/>
        </w:rPr>
        <w:t>作于预测因子进行预测评价。预测内容包括：</w:t>
      </w:r>
    </w:p>
    <w:p w14:paraId="033529BF">
      <w:pPr>
        <w:spacing w:before="205" w:line="220" w:lineRule="auto"/>
        <w:ind w:left="491"/>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）预测模型</w:t>
      </w:r>
    </w:p>
    <w:p w14:paraId="4B79222D">
      <w:pPr>
        <w:spacing w:before="164" w:line="368" w:lineRule="auto"/>
        <w:ind w:left="1" w:right="65" w:firstLine="479"/>
        <w:rPr>
          <w:rFonts w:ascii="宋体" w:hAnsi="宋体" w:eastAsia="宋体" w:cs="宋体"/>
          <w:sz w:val="24"/>
          <w:szCs w:val="24"/>
        </w:rPr>
      </w:pPr>
      <w:r>
        <w:rPr>
          <w:rFonts w:ascii="宋体" w:hAnsi="宋体" w:eastAsia="宋体" w:cs="宋体"/>
          <w:spacing w:val="3"/>
          <w:sz w:val="24"/>
          <w:szCs w:val="24"/>
        </w:rPr>
        <w:t>本报告选用《环境影响评价技术导则大气环</w:t>
      </w:r>
      <w:r>
        <w:rPr>
          <w:rFonts w:ascii="宋体" w:hAnsi="宋体" w:eastAsia="宋体" w:cs="宋体"/>
          <w:spacing w:val="2"/>
          <w:sz w:val="24"/>
          <w:szCs w:val="24"/>
        </w:rPr>
        <w:t>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）附录</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推荐估</w:t>
      </w:r>
      <w:r>
        <w:rPr>
          <w:rFonts w:ascii="宋体" w:hAnsi="宋体" w:eastAsia="宋体" w:cs="宋体"/>
          <w:sz w:val="24"/>
          <w:szCs w:val="24"/>
        </w:rPr>
        <w:t xml:space="preserve"> </w:t>
      </w:r>
      <w:r>
        <w:rPr>
          <w:rFonts w:ascii="宋体" w:hAnsi="宋体" w:eastAsia="宋体" w:cs="宋体"/>
          <w:spacing w:val="-1"/>
          <w:sz w:val="24"/>
          <w:szCs w:val="24"/>
        </w:rPr>
        <w:t>算模型</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AERSCREEN </w:t>
      </w:r>
      <w:r>
        <w:rPr>
          <w:rFonts w:ascii="宋体" w:hAnsi="宋体" w:eastAsia="宋体" w:cs="宋体"/>
          <w:spacing w:val="-1"/>
          <w:sz w:val="24"/>
          <w:szCs w:val="24"/>
        </w:rPr>
        <w:t>进行大气环境影响估算。</w:t>
      </w:r>
    </w:p>
    <w:p w14:paraId="1248556C">
      <w:pPr>
        <w:spacing w:before="59" w:line="220" w:lineRule="auto"/>
        <w:ind w:left="491"/>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）预测参数</w:t>
      </w:r>
    </w:p>
    <w:p w14:paraId="23B6A842">
      <w:pPr>
        <w:spacing w:before="204" w:line="218" w:lineRule="auto"/>
        <w:ind w:left="479"/>
        <w:rPr>
          <w:rFonts w:ascii="宋体" w:hAnsi="宋体" w:eastAsia="宋体" w:cs="宋体"/>
          <w:sz w:val="24"/>
          <w:szCs w:val="24"/>
        </w:rPr>
      </w:pPr>
      <w:r>
        <w:rPr>
          <w:rFonts w:ascii="宋体" w:hAnsi="宋体" w:eastAsia="宋体" w:cs="宋体"/>
          <w:spacing w:val="-2"/>
          <w:sz w:val="24"/>
          <w:szCs w:val="24"/>
        </w:rPr>
        <w:t>①污染源强</w:t>
      </w:r>
    </w:p>
    <w:p w14:paraId="18600329">
      <w:pPr>
        <w:spacing w:before="168" w:line="361" w:lineRule="exact"/>
        <w:ind w:left="483"/>
        <w:rPr>
          <w:rFonts w:ascii="宋体" w:hAnsi="宋体" w:eastAsia="宋体" w:cs="宋体"/>
          <w:sz w:val="24"/>
          <w:szCs w:val="24"/>
        </w:rPr>
      </w:pPr>
      <w:r>
        <w:rPr>
          <w:rFonts w:ascii="宋体" w:hAnsi="宋体" w:eastAsia="宋体" w:cs="宋体"/>
          <w:spacing w:val="-2"/>
          <w:position w:val="2"/>
          <w:sz w:val="24"/>
          <w:szCs w:val="24"/>
        </w:rPr>
        <w:t>项目排放污染源参数见表</w:t>
      </w:r>
      <w:r>
        <w:rPr>
          <w:rFonts w:ascii="宋体" w:hAnsi="宋体" w:eastAsia="宋体" w:cs="宋体"/>
          <w:spacing w:val="-41"/>
          <w:position w:val="2"/>
          <w:sz w:val="24"/>
          <w:szCs w:val="24"/>
        </w:rPr>
        <w:t xml:space="preserve"> </w:t>
      </w:r>
      <w:r>
        <w:rPr>
          <w:rFonts w:ascii="Times New Roman" w:hAnsi="Times New Roman" w:eastAsia="Times New Roman" w:cs="Times New Roman"/>
          <w:spacing w:val="-2"/>
          <w:position w:val="2"/>
          <w:sz w:val="24"/>
          <w:szCs w:val="24"/>
        </w:rPr>
        <w:t>5.2-9</w:t>
      </w:r>
      <w:r>
        <w:rPr>
          <w:rFonts w:ascii="宋体" w:hAnsi="宋体" w:eastAsia="宋体" w:cs="宋体"/>
          <w:spacing w:val="-2"/>
          <w:position w:val="2"/>
          <w:sz w:val="24"/>
          <w:szCs w:val="24"/>
        </w:rPr>
        <w:t>。</w:t>
      </w:r>
    </w:p>
    <w:p w14:paraId="5E001304">
      <w:pPr>
        <w:spacing w:line="361" w:lineRule="exact"/>
        <w:rPr>
          <w:rFonts w:ascii="宋体" w:hAnsi="宋体" w:eastAsia="宋体" w:cs="宋体"/>
          <w:sz w:val="24"/>
          <w:szCs w:val="24"/>
        </w:rPr>
        <w:sectPr>
          <w:footerReference r:id="rId135" w:type="default"/>
          <w:pgSz w:w="11906" w:h="16839"/>
          <w:pgMar w:top="400" w:right="1520" w:bottom="1485" w:left="1598" w:header="0" w:footer="1249" w:gutter="0"/>
          <w:cols w:space="720" w:num="1"/>
        </w:sectPr>
      </w:pPr>
    </w:p>
    <w:p w14:paraId="479D27F2">
      <w:pPr>
        <w:pStyle w:val="2"/>
        <w:spacing w:line="250" w:lineRule="auto"/>
      </w:pPr>
    </w:p>
    <w:p w14:paraId="29FD9A94">
      <w:pPr>
        <w:pStyle w:val="2"/>
        <w:spacing w:line="251" w:lineRule="auto"/>
      </w:pPr>
    </w:p>
    <w:p w14:paraId="1EADC612">
      <w:pPr>
        <w:pStyle w:val="2"/>
        <w:spacing w:line="251" w:lineRule="auto"/>
      </w:pPr>
    </w:p>
    <w:p w14:paraId="6525409D">
      <w:pPr>
        <w:pStyle w:val="2"/>
        <w:spacing w:line="251" w:lineRule="auto"/>
      </w:pPr>
    </w:p>
    <w:p w14:paraId="4B60C82B">
      <w:pPr>
        <w:pStyle w:val="2"/>
        <w:spacing w:line="251" w:lineRule="auto"/>
      </w:pPr>
    </w:p>
    <w:p w14:paraId="79FF3A90">
      <w:pPr>
        <w:spacing w:before="65" w:line="228" w:lineRule="auto"/>
        <w:ind w:left="6300"/>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4"/>
          <w:sz w:val="20"/>
          <w:szCs w:val="20"/>
        </w:rPr>
        <w:t xml:space="preserve">5.2-9 </w:t>
      </w:r>
      <w:r>
        <w:rPr>
          <w:rFonts w:ascii="宋体" w:hAnsi="宋体" w:eastAsia="宋体" w:cs="宋体"/>
          <w:b/>
          <w:bCs/>
          <w:spacing w:val="4"/>
          <w:sz w:val="20"/>
          <w:szCs w:val="20"/>
        </w:rPr>
        <w:t>面源参数表</w:t>
      </w:r>
    </w:p>
    <w:p w14:paraId="21FBEFC0">
      <w:pPr>
        <w:spacing w:line="102" w:lineRule="exact"/>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623"/>
        <w:gridCol w:w="993"/>
        <w:gridCol w:w="1132"/>
        <w:gridCol w:w="1135"/>
        <w:gridCol w:w="1134"/>
        <w:gridCol w:w="1135"/>
        <w:gridCol w:w="1134"/>
        <w:gridCol w:w="1134"/>
        <w:gridCol w:w="1134"/>
        <w:gridCol w:w="1132"/>
        <w:gridCol w:w="1135"/>
        <w:gridCol w:w="928"/>
      </w:tblGrid>
      <w:tr w14:paraId="77F0E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473" w:type="dxa"/>
            <w:vMerge w:val="restart"/>
            <w:tcBorders>
              <w:bottom w:val="nil"/>
            </w:tcBorders>
            <w:textDirection w:val="tbRlV"/>
            <w:vAlign w:val="top"/>
          </w:tcPr>
          <w:p w14:paraId="7D7281C3">
            <w:pPr>
              <w:pStyle w:val="6"/>
              <w:spacing w:before="144" w:line="206" w:lineRule="auto"/>
              <w:ind w:left="260"/>
              <w:rPr>
                <w:sz w:val="18"/>
                <w:szCs w:val="18"/>
              </w:rPr>
            </w:pPr>
            <w:r>
              <w:rPr>
                <w:b/>
                <w:bCs/>
                <w:spacing w:val="-2"/>
                <w:sz w:val="18"/>
                <w:szCs w:val="18"/>
              </w:rPr>
              <w:t>编</w:t>
            </w:r>
            <w:r>
              <w:rPr>
                <w:spacing w:val="53"/>
                <w:sz w:val="18"/>
                <w:szCs w:val="18"/>
              </w:rPr>
              <w:t xml:space="preserve"> </w:t>
            </w:r>
            <w:r>
              <w:rPr>
                <w:b/>
                <w:bCs/>
                <w:spacing w:val="-2"/>
                <w:sz w:val="18"/>
                <w:szCs w:val="18"/>
              </w:rPr>
              <w:t>号</w:t>
            </w:r>
          </w:p>
        </w:tc>
        <w:tc>
          <w:tcPr>
            <w:tcW w:w="1623" w:type="dxa"/>
            <w:vMerge w:val="restart"/>
            <w:tcBorders>
              <w:bottom w:val="nil"/>
            </w:tcBorders>
            <w:vAlign w:val="top"/>
          </w:tcPr>
          <w:p w14:paraId="3BF9F1A3">
            <w:pPr>
              <w:spacing w:line="360" w:lineRule="auto"/>
              <w:rPr>
                <w:rFonts w:ascii="Arial"/>
                <w:sz w:val="21"/>
              </w:rPr>
            </w:pPr>
          </w:p>
          <w:p w14:paraId="54BFD146">
            <w:pPr>
              <w:pStyle w:val="6"/>
              <w:spacing w:before="59" w:line="222" w:lineRule="auto"/>
              <w:ind w:left="635"/>
              <w:rPr>
                <w:sz w:val="18"/>
                <w:szCs w:val="18"/>
              </w:rPr>
            </w:pPr>
            <w:r>
              <w:rPr>
                <w:b/>
                <w:bCs/>
                <w:spacing w:val="-7"/>
                <w:sz w:val="18"/>
                <w:szCs w:val="18"/>
              </w:rPr>
              <w:t>名称</w:t>
            </w:r>
          </w:p>
        </w:tc>
        <w:tc>
          <w:tcPr>
            <w:tcW w:w="2125" w:type="dxa"/>
            <w:gridSpan w:val="2"/>
            <w:vAlign w:val="top"/>
          </w:tcPr>
          <w:p w14:paraId="424B53E4">
            <w:pPr>
              <w:pStyle w:val="6"/>
              <w:spacing w:before="207" w:line="221" w:lineRule="auto"/>
              <w:ind w:left="427"/>
              <w:rPr>
                <w:rFonts w:ascii="Times New Roman" w:hAnsi="Times New Roman" w:eastAsia="Times New Roman" w:cs="Times New Roman"/>
                <w:sz w:val="18"/>
                <w:szCs w:val="18"/>
              </w:rPr>
            </w:pPr>
            <w:r>
              <w:rPr>
                <w:b/>
                <w:bCs/>
                <w:spacing w:val="-3"/>
                <w:sz w:val="18"/>
                <w:szCs w:val="18"/>
              </w:rPr>
              <w:t>面源起点坐标</w:t>
            </w:r>
            <w:r>
              <w:rPr>
                <w:rFonts w:ascii="Times New Roman" w:hAnsi="Times New Roman" w:eastAsia="Times New Roman" w:cs="Times New Roman"/>
                <w:b/>
                <w:bCs/>
                <w:spacing w:val="-3"/>
                <w:sz w:val="18"/>
                <w:szCs w:val="18"/>
              </w:rPr>
              <w:t>/m</w:t>
            </w:r>
          </w:p>
        </w:tc>
        <w:tc>
          <w:tcPr>
            <w:tcW w:w="1135" w:type="dxa"/>
            <w:vMerge w:val="restart"/>
            <w:tcBorders>
              <w:bottom w:val="nil"/>
            </w:tcBorders>
            <w:vAlign w:val="top"/>
          </w:tcPr>
          <w:p w14:paraId="7B5B5B7C">
            <w:pPr>
              <w:pStyle w:val="6"/>
              <w:spacing w:before="260" w:line="221" w:lineRule="auto"/>
              <w:ind w:left="210"/>
              <w:rPr>
                <w:sz w:val="18"/>
                <w:szCs w:val="18"/>
              </w:rPr>
            </w:pPr>
            <w:r>
              <w:rPr>
                <w:b/>
                <w:bCs/>
                <w:spacing w:val="-4"/>
                <w:sz w:val="18"/>
                <w:szCs w:val="18"/>
              </w:rPr>
              <w:t>面源长度</w:t>
            </w:r>
          </w:p>
          <w:p w14:paraId="605E8DC9">
            <w:pPr>
              <w:spacing w:before="139" w:line="188" w:lineRule="auto"/>
              <w:ind w:left="464"/>
              <w:rPr>
                <w:rFonts w:ascii="Times New Roman" w:hAnsi="Times New Roman" w:eastAsia="Times New Roman" w:cs="Times New Roman"/>
                <w:sz w:val="18"/>
                <w:szCs w:val="18"/>
              </w:rPr>
            </w:pPr>
            <w:r>
              <w:rPr>
                <w:rFonts w:ascii="Times New Roman" w:hAnsi="Times New Roman" w:eastAsia="Times New Roman" w:cs="Times New Roman"/>
                <w:b/>
                <w:bCs/>
                <w:sz w:val="18"/>
                <w:szCs w:val="18"/>
              </w:rPr>
              <w:t>/m</w:t>
            </w:r>
          </w:p>
        </w:tc>
        <w:tc>
          <w:tcPr>
            <w:tcW w:w="1134" w:type="dxa"/>
            <w:vMerge w:val="restart"/>
            <w:tcBorders>
              <w:bottom w:val="nil"/>
            </w:tcBorders>
            <w:vAlign w:val="top"/>
          </w:tcPr>
          <w:p w14:paraId="19803697">
            <w:pPr>
              <w:pStyle w:val="6"/>
              <w:spacing w:before="260" w:line="221" w:lineRule="auto"/>
              <w:ind w:left="210"/>
              <w:rPr>
                <w:sz w:val="18"/>
                <w:szCs w:val="18"/>
              </w:rPr>
            </w:pPr>
            <w:r>
              <w:rPr>
                <w:b/>
                <w:bCs/>
                <w:spacing w:val="-4"/>
                <w:sz w:val="18"/>
                <w:szCs w:val="18"/>
              </w:rPr>
              <w:t>面源宽度</w:t>
            </w:r>
          </w:p>
          <w:p w14:paraId="3571B8A4">
            <w:pPr>
              <w:spacing w:before="139" w:line="188" w:lineRule="auto"/>
              <w:ind w:left="464"/>
              <w:rPr>
                <w:rFonts w:ascii="Times New Roman" w:hAnsi="Times New Roman" w:eastAsia="Times New Roman" w:cs="Times New Roman"/>
                <w:sz w:val="18"/>
                <w:szCs w:val="18"/>
              </w:rPr>
            </w:pPr>
            <w:r>
              <w:rPr>
                <w:rFonts w:ascii="Times New Roman" w:hAnsi="Times New Roman" w:eastAsia="Times New Roman" w:cs="Times New Roman"/>
                <w:b/>
                <w:bCs/>
                <w:sz w:val="18"/>
                <w:szCs w:val="18"/>
              </w:rPr>
              <w:t>/m</w:t>
            </w:r>
          </w:p>
        </w:tc>
        <w:tc>
          <w:tcPr>
            <w:tcW w:w="1135" w:type="dxa"/>
            <w:vMerge w:val="restart"/>
            <w:tcBorders>
              <w:bottom w:val="nil"/>
            </w:tcBorders>
            <w:vAlign w:val="top"/>
          </w:tcPr>
          <w:p w14:paraId="614C619D">
            <w:pPr>
              <w:pStyle w:val="6"/>
              <w:spacing w:before="260" w:line="221" w:lineRule="auto"/>
              <w:ind w:left="123"/>
              <w:rPr>
                <w:sz w:val="18"/>
                <w:szCs w:val="18"/>
              </w:rPr>
            </w:pPr>
            <w:r>
              <w:rPr>
                <w:b/>
                <w:bCs/>
                <w:spacing w:val="-4"/>
                <w:sz w:val="18"/>
                <w:szCs w:val="18"/>
              </w:rPr>
              <w:t>与正北向夹</w:t>
            </w:r>
          </w:p>
          <w:p w14:paraId="365E7466">
            <w:pPr>
              <w:pStyle w:val="6"/>
              <w:spacing w:before="109" w:line="219" w:lineRule="auto"/>
              <w:ind w:left="422"/>
              <w:rPr>
                <w:rFonts w:ascii="Times New Roman" w:hAnsi="Times New Roman" w:eastAsia="Times New Roman" w:cs="Times New Roman"/>
                <w:sz w:val="18"/>
                <w:szCs w:val="18"/>
              </w:rPr>
            </w:pPr>
            <w:r>
              <w:rPr>
                <w:b/>
                <w:bCs/>
                <w:spacing w:val="-4"/>
                <w:sz w:val="18"/>
                <w:szCs w:val="18"/>
              </w:rPr>
              <w:t>角</w:t>
            </w:r>
            <w:r>
              <w:rPr>
                <w:rFonts w:ascii="Times New Roman" w:hAnsi="Times New Roman" w:eastAsia="Times New Roman" w:cs="Times New Roman"/>
                <w:b/>
                <w:bCs/>
                <w:spacing w:val="-4"/>
                <w:sz w:val="18"/>
                <w:szCs w:val="18"/>
              </w:rPr>
              <w:t>/°</w:t>
            </w:r>
          </w:p>
        </w:tc>
        <w:tc>
          <w:tcPr>
            <w:tcW w:w="1134" w:type="dxa"/>
            <w:vMerge w:val="restart"/>
            <w:tcBorders>
              <w:bottom w:val="nil"/>
            </w:tcBorders>
            <w:vAlign w:val="top"/>
          </w:tcPr>
          <w:p w14:paraId="47450033">
            <w:pPr>
              <w:pStyle w:val="6"/>
              <w:spacing w:before="260" w:line="221" w:lineRule="auto"/>
              <w:ind w:left="120"/>
              <w:rPr>
                <w:sz w:val="18"/>
                <w:szCs w:val="18"/>
              </w:rPr>
            </w:pPr>
            <w:r>
              <w:rPr>
                <w:b/>
                <w:bCs/>
                <w:spacing w:val="-3"/>
                <w:sz w:val="18"/>
                <w:szCs w:val="18"/>
              </w:rPr>
              <w:t>面源有效排</w:t>
            </w:r>
          </w:p>
          <w:p w14:paraId="249C85F5">
            <w:pPr>
              <w:pStyle w:val="6"/>
              <w:spacing w:before="108" w:line="220" w:lineRule="auto"/>
              <w:ind w:left="201"/>
              <w:rPr>
                <w:rFonts w:ascii="Times New Roman" w:hAnsi="Times New Roman" w:eastAsia="Times New Roman" w:cs="Times New Roman"/>
                <w:sz w:val="18"/>
                <w:szCs w:val="18"/>
              </w:rPr>
            </w:pPr>
            <w:r>
              <w:rPr>
                <w:b/>
                <w:bCs/>
                <w:spacing w:val="-2"/>
                <w:sz w:val="18"/>
                <w:szCs w:val="18"/>
              </w:rPr>
              <w:t>放高度</w:t>
            </w:r>
            <w:r>
              <w:rPr>
                <w:rFonts w:ascii="Times New Roman" w:hAnsi="Times New Roman" w:eastAsia="Times New Roman" w:cs="Times New Roman"/>
                <w:b/>
                <w:bCs/>
                <w:spacing w:val="-2"/>
                <w:sz w:val="18"/>
                <w:szCs w:val="18"/>
              </w:rPr>
              <w:t>/m</w:t>
            </w:r>
          </w:p>
        </w:tc>
        <w:tc>
          <w:tcPr>
            <w:tcW w:w="1134" w:type="dxa"/>
            <w:vMerge w:val="restart"/>
            <w:tcBorders>
              <w:bottom w:val="nil"/>
            </w:tcBorders>
            <w:vAlign w:val="top"/>
          </w:tcPr>
          <w:p w14:paraId="381E29BA">
            <w:pPr>
              <w:pStyle w:val="6"/>
              <w:spacing w:before="260" w:line="220" w:lineRule="auto"/>
              <w:ind w:left="121"/>
              <w:rPr>
                <w:sz w:val="18"/>
                <w:szCs w:val="18"/>
              </w:rPr>
            </w:pPr>
            <w:r>
              <w:rPr>
                <w:b/>
                <w:bCs/>
                <w:spacing w:val="-3"/>
                <w:sz w:val="18"/>
                <w:szCs w:val="18"/>
              </w:rPr>
              <w:t>年排放小时</w:t>
            </w:r>
          </w:p>
          <w:p w14:paraId="2709B892">
            <w:pPr>
              <w:pStyle w:val="6"/>
              <w:spacing w:before="109" w:line="220" w:lineRule="auto"/>
              <w:ind w:left="408"/>
              <w:rPr>
                <w:rFonts w:ascii="Times New Roman" w:hAnsi="Times New Roman" w:eastAsia="Times New Roman" w:cs="Times New Roman"/>
                <w:sz w:val="18"/>
                <w:szCs w:val="18"/>
              </w:rPr>
            </w:pPr>
            <w:r>
              <w:rPr>
                <w:b/>
                <w:bCs/>
                <w:spacing w:val="-4"/>
                <w:sz w:val="18"/>
                <w:szCs w:val="18"/>
              </w:rPr>
              <w:t>数</w:t>
            </w:r>
            <w:r>
              <w:rPr>
                <w:rFonts w:ascii="Times New Roman" w:hAnsi="Times New Roman" w:eastAsia="Times New Roman" w:cs="Times New Roman"/>
                <w:b/>
                <w:bCs/>
                <w:spacing w:val="-4"/>
                <w:sz w:val="18"/>
                <w:szCs w:val="18"/>
              </w:rPr>
              <w:t>/h</w:t>
            </w:r>
          </w:p>
        </w:tc>
        <w:tc>
          <w:tcPr>
            <w:tcW w:w="1134" w:type="dxa"/>
            <w:vMerge w:val="restart"/>
            <w:tcBorders>
              <w:bottom w:val="nil"/>
            </w:tcBorders>
            <w:vAlign w:val="top"/>
          </w:tcPr>
          <w:p w14:paraId="142CC32D">
            <w:pPr>
              <w:spacing w:line="360" w:lineRule="auto"/>
              <w:rPr>
                <w:rFonts w:ascii="Arial"/>
                <w:sz w:val="21"/>
              </w:rPr>
            </w:pPr>
          </w:p>
          <w:p w14:paraId="69199F4B">
            <w:pPr>
              <w:pStyle w:val="6"/>
              <w:spacing w:before="58" w:line="221" w:lineRule="auto"/>
              <w:ind w:left="213"/>
              <w:rPr>
                <w:sz w:val="18"/>
                <w:szCs w:val="18"/>
              </w:rPr>
            </w:pPr>
            <w:r>
              <w:rPr>
                <w:b/>
                <w:bCs/>
                <w:spacing w:val="-4"/>
                <w:sz w:val="18"/>
                <w:szCs w:val="18"/>
              </w:rPr>
              <w:t>排放工况</w:t>
            </w:r>
          </w:p>
        </w:tc>
        <w:tc>
          <w:tcPr>
            <w:tcW w:w="3195" w:type="dxa"/>
            <w:gridSpan w:val="3"/>
            <w:vAlign w:val="top"/>
          </w:tcPr>
          <w:p w14:paraId="14E96936">
            <w:pPr>
              <w:pStyle w:val="6"/>
              <w:spacing w:before="207" w:line="212" w:lineRule="auto"/>
              <w:ind w:left="777"/>
              <w:rPr>
                <w:rFonts w:ascii="Times New Roman" w:hAnsi="Times New Roman" w:eastAsia="Times New Roman" w:cs="Times New Roman"/>
                <w:sz w:val="18"/>
                <w:szCs w:val="18"/>
              </w:rPr>
            </w:pPr>
            <w:r>
              <w:rPr>
                <w:b/>
                <w:bCs/>
                <w:spacing w:val="-2"/>
                <w:sz w:val="18"/>
                <w:szCs w:val="18"/>
              </w:rPr>
              <w:t>污染物排放速率</w:t>
            </w:r>
            <w:r>
              <w:rPr>
                <w:rFonts w:ascii="Times New Roman" w:hAnsi="Times New Roman" w:eastAsia="Times New Roman" w:cs="Times New Roman"/>
                <w:b/>
                <w:bCs/>
                <w:spacing w:val="-2"/>
                <w:sz w:val="18"/>
                <w:szCs w:val="18"/>
              </w:rPr>
              <w:t>/kg/h</w:t>
            </w:r>
          </w:p>
        </w:tc>
      </w:tr>
      <w:tr w14:paraId="7CFE7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73" w:type="dxa"/>
            <w:vMerge w:val="continue"/>
            <w:tcBorders>
              <w:top w:val="nil"/>
            </w:tcBorders>
            <w:textDirection w:val="tbRlV"/>
            <w:vAlign w:val="top"/>
          </w:tcPr>
          <w:p w14:paraId="3110ABFB">
            <w:pPr>
              <w:rPr>
                <w:rFonts w:ascii="Arial"/>
                <w:sz w:val="21"/>
              </w:rPr>
            </w:pPr>
          </w:p>
        </w:tc>
        <w:tc>
          <w:tcPr>
            <w:tcW w:w="1623" w:type="dxa"/>
            <w:vMerge w:val="continue"/>
            <w:tcBorders>
              <w:top w:val="nil"/>
            </w:tcBorders>
            <w:vAlign w:val="top"/>
          </w:tcPr>
          <w:p w14:paraId="7A8D4FA5">
            <w:pPr>
              <w:rPr>
                <w:rFonts w:ascii="Arial"/>
                <w:sz w:val="21"/>
              </w:rPr>
            </w:pPr>
          </w:p>
        </w:tc>
        <w:tc>
          <w:tcPr>
            <w:tcW w:w="993" w:type="dxa"/>
            <w:vAlign w:val="top"/>
          </w:tcPr>
          <w:p w14:paraId="0F70D6E6">
            <w:pPr>
              <w:spacing w:before="153" w:line="185" w:lineRule="auto"/>
              <w:ind w:left="427"/>
              <w:rPr>
                <w:rFonts w:ascii="Times New Roman" w:hAnsi="Times New Roman" w:eastAsia="Times New Roman" w:cs="Times New Roman"/>
                <w:sz w:val="18"/>
                <w:szCs w:val="18"/>
              </w:rPr>
            </w:pPr>
            <w:r>
              <w:rPr>
                <w:rFonts w:ascii="Times New Roman" w:hAnsi="Times New Roman" w:eastAsia="Times New Roman" w:cs="Times New Roman"/>
                <w:b/>
                <w:bCs/>
                <w:sz w:val="18"/>
                <w:szCs w:val="18"/>
              </w:rPr>
              <w:t>X</w:t>
            </w:r>
          </w:p>
        </w:tc>
        <w:tc>
          <w:tcPr>
            <w:tcW w:w="1132" w:type="dxa"/>
            <w:vAlign w:val="top"/>
          </w:tcPr>
          <w:p w14:paraId="356BA901">
            <w:pPr>
              <w:spacing w:before="153" w:line="185" w:lineRule="auto"/>
              <w:ind w:left="498"/>
              <w:rPr>
                <w:rFonts w:ascii="Times New Roman" w:hAnsi="Times New Roman" w:eastAsia="Times New Roman" w:cs="Times New Roman"/>
                <w:sz w:val="18"/>
                <w:szCs w:val="18"/>
              </w:rPr>
            </w:pPr>
            <w:r>
              <w:rPr>
                <w:rFonts w:ascii="Times New Roman" w:hAnsi="Times New Roman" w:eastAsia="Times New Roman" w:cs="Times New Roman"/>
                <w:b/>
                <w:bCs/>
                <w:sz w:val="18"/>
                <w:szCs w:val="18"/>
              </w:rPr>
              <w:t>Y</w:t>
            </w:r>
          </w:p>
        </w:tc>
        <w:tc>
          <w:tcPr>
            <w:tcW w:w="1135" w:type="dxa"/>
            <w:vMerge w:val="continue"/>
            <w:tcBorders>
              <w:top w:val="nil"/>
            </w:tcBorders>
            <w:vAlign w:val="top"/>
          </w:tcPr>
          <w:p w14:paraId="7ACA120F">
            <w:pPr>
              <w:rPr>
                <w:rFonts w:ascii="Arial"/>
                <w:sz w:val="21"/>
              </w:rPr>
            </w:pPr>
          </w:p>
        </w:tc>
        <w:tc>
          <w:tcPr>
            <w:tcW w:w="1134" w:type="dxa"/>
            <w:vMerge w:val="continue"/>
            <w:tcBorders>
              <w:top w:val="nil"/>
            </w:tcBorders>
            <w:vAlign w:val="top"/>
          </w:tcPr>
          <w:p w14:paraId="2F0C5555">
            <w:pPr>
              <w:rPr>
                <w:rFonts w:ascii="Arial"/>
                <w:sz w:val="21"/>
              </w:rPr>
            </w:pPr>
          </w:p>
        </w:tc>
        <w:tc>
          <w:tcPr>
            <w:tcW w:w="1135" w:type="dxa"/>
            <w:vMerge w:val="continue"/>
            <w:tcBorders>
              <w:top w:val="nil"/>
            </w:tcBorders>
            <w:vAlign w:val="top"/>
          </w:tcPr>
          <w:p w14:paraId="388FA688">
            <w:pPr>
              <w:rPr>
                <w:rFonts w:ascii="Arial"/>
                <w:sz w:val="21"/>
              </w:rPr>
            </w:pPr>
          </w:p>
        </w:tc>
        <w:tc>
          <w:tcPr>
            <w:tcW w:w="1134" w:type="dxa"/>
            <w:vMerge w:val="continue"/>
            <w:tcBorders>
              <w:top w:val="nil"/>
            </w:tcBorders>
            <w:vAlign w:val="top"/>
          </w:tcPr>
          <w:p w14:paraId="02A2F0D8">
            <w:pPr>
              <w:rPr>
                <w:rFonts w:ascii="Arial"/>
                <w:sz w:val="21"/>
              </w:rPr>
            </w:pPr>
          </w:p>
        </w:tc>
        <w:tc>
          <w:tcPr>
            <w:tcW w:w="1134" w:type="dxa"/>
            <w:vMerge w:val="continue"/>
            <w:tcBorders>
              <w:top w:val="nil"/>
            </w:tcBorders>
            <w:vAlign w:val="top"/>
          </w:tcPr>
          <w:p w14:paraId="3756B85D">
            <w:pPr>
              <w:rPr>
                <w:rFonts w:ascii="Arial"/>
                <w:sz w:val="21"/>
              </w:rPr>
            </w:pPr>
          </w:p>
        </w:tc>
        <w:tc>
          <w:tcPr>
            <w:tcW w:w="1134" w:type="dxa"/>
            <w:vMerge w:val="continue"/>
            <w:tcBorders>
              <w:top w:val="nil"/>
            </w:tcBorders>
            <w:vAlign w:val="top"/>
          </w:tcPr>
          <w:p w14:paraId="3DDBD8C0">
            <w:pPr>
              <w:rPr>
                <w:rFonts w:ascii="Arial"/>
                <w:sz w:val="21"/>
              </w:rPr>
            </w:pPr>
          </w:p>
        </w:tc>
        <w:tc>
          <w:tcPr>
            <w:tcW w:w="1132" w:type="dxa"/>
            <w:vAlign w:val="top"/>
          </w:tcPr>
          <w:p w14:paraId="60F4AFA6">
            <w:pPr>
              <w:spacing w:before="145" w:line="241" w:lineRule="exact"/>
              <w:ind w:left="377"/>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NH</w:t>
            </w:r>
            <w:r>
              <w:rPr>
                <w:rFonts w:ascii="Times New Roman" w:hAnsi="Times New Roman" w:eastAsia="Times New Roman" w:cs="Times New Roman"/>
                <w:spacing w:val="6"/>
                <w:position w:val="1"/>
                <w:sz w:val="13"/>
                <w:szCs w:val="13"/>
              </w:rPr>
              <w:t>3</w:t>
            </w:r>
          </w:p>
        </w:tc>
        <w:tc>
          <w:tcPr>
            <w:tcW w:w="1135" w:type="dxa"/>
            <w:vAlign w:val="top"/>
          </w:tcPr>
          <w:p w14:paraId="160088F9">
            <w:pPr>
              <w:spacing w:before="142" w:line="243"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928" w:type="dxa"/>
            <w:vAlign w:val="top"/>
          </w:tcPr>
          <w:p w14:paraId="2A4A2115">
            <w:pPr>
              <w:spacing w:before="9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r>
      <w:tr w14:paraId="3733B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73" w:type="dxa"/>
            <w:vAlign w:val="top"/>
          </w:tcPr>
          <w:p w14:paraId="3E8D4B8A">
            <w:pPr>
              <w:spacing w:before="56"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M1</w:t>
            </w:r>
          </w:p>
        </w:tc>
        <w:tc>
          <w:tcPr>
            <w:tcW w:w="1623" w:type="dxa"/>
            <w:vAlign w:val="top"/>
          </w:tcPr>
          <w:p w14:paraId="3EE4488A">
            <w:pPr>
              <w:pStyle w:val="6"/>
              <w:spacing w:before="82" w:line="221" w:lineRule="auto"/>
              <w:ind w:left="633"/>
              <w:rPr>
                <w:sz w:val="18"/>
                <w:szCs w:val="18"/>
              </w:rPr>
            </w:pPr>
            <w:r>
              <w:rPr>
                <w:spacing w:val="-4"/>
                <w:sz w:val="18"/>
                <w:szCs w:val="18"/>
              </w:rPr>
              <w:t>猪舍</w:t>
            </w:r>
          </w:p>
        </w:tc>
        <w:tc>
          <w:tcPr>
            <w:tcW w:w="993" w:type="dxa"/>
            <w:vAlign w:val="top"/>
          </w:tcPr>
          <w:p w14:paraId="35D242DB">
            <w:pPr>
              <w:spacing w:before="56" w:line="236" w:lineRule="exact"/>
              <w:ind w:left="44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tc>
        <w:tc>
          <w:tcPr>
            <w:tcW w:w="1132" w:type="dxa"/>
            <w:vAlign w:val="top"/>
          </w:tcPr>
          <w:p w14:paraId="4D40DFD9">
            <w:pPr>
              <w:spacing w:before="56" w:line="236" w:lineRule="exact"/>
              <w:ind w:left="44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-61</w:t>
            </w:r>
          </w:p>
        </w:tc>
        <w:tc>
          <w:tcPr>
            <w:tcW w:w="1135" w:type="dxa"/>
            <w:vAlign w:val="top"/>
          </w:tcPr>
          <w:p w14:paraId="7B01211D">
            <w:pPr>
              <w:spacing w:before="56" w:line="236" w:lineRule="exact"/>
              <w:ind w:left="453"/>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110</w:t>
            </w:r>
          </w:p>
        </w:tc>
        <w:tc>
          <w:tcPr>
            <w:tcW w:w="1134" w:type="dxa"/>
            <w:vAlign w:val="top"/>
          </w:tcPr>
          <w:p w14:paraId="21D9A600">
            <w:pPr>
              <w:spacing w:before="56" w:line="236" w:lineRule="exact"/>
              <w:ind w:left="4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tc>
        <w:tc>
          <w:tcPr>
            <w:tcW w:w="1135" w:type="dxa"/>
            <w:vAlign w:val="top"/>
          </w:tcPr>
          <w:p w14:paraId="45B4F3FC">
            <w:pPr>
              <w:spacing w:before="56" w:line="236" w:lineRule="exact"/>
              <w:ind w:left="45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-45</w:t>
            </w:r>
          </w:p>
        </w:tc>
        <w:tc>
          <w:tcPr>
            <w:tcW w:w="1134" w:type="dxa"/>
            <w:vAlign w:val="top"/>
          </w:tcPr>
          <w:p w14:paraId="4B268B55">
            <w:pPr>
              <w:spacing w:before="56" w:line="236" w:lineRule="exact"/>
              <w:ind w:left="5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tc>
        <w:tc>
          <w:tcPr>
            <w:tcW w:w="1134" w:type="dxa"/>
            <w:vAlign w:val="top"/>
          </w:tcPr>
          <w:p w14:paraId="63E9C944">
            <w:pPr>
              <w:spacing w:before="56" w:line="236" w:lineRule="exact"/>
              <w:ind w:left="3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8760</w:t>
            </w:r>
          </w:p>
        </w:tc>
        <w:tc>
          <w:tcPr>
            <w:tcW w:w="1134" w:type="dxa"/>
            <w:vAlign w:val="top"/>
          </w:tcPr>
          <w:p w14:paraId="525B12C5">
            <w:pPr>
              <w:pStyle w:val="6"/>
              <w:spacing w:before="82" w:line="221" w:lineRule="auto"/>
              <w:ind w:left="397"/>
              <w:rPr>
                <w:sz w:val="18"/>
                <w:szCs w:val="18"/>
              </w:rPr>
            </w:pPr>
            <w:r>
              <w:rPr>
                <w:spacing w:val="-6"/>
                <w:sz w:val="18"/>
                <w:szCs w:val="18"/>
              </w:rPr>
              <w:t>正常</w:t>
            </w:r>
          </w:p>
        </w:tc>
        <w:tc>
          <w:tcPr>
            <w:tcW w:w="1132" w:type="dxa"/>
            <w:vAlign w:val="top"/>
          </w:tcPr>
          <w:p w14:paraId="3D138B6A">
            <w:pPr>
              <w:spacing w:before="56" w:line="236" w:lineRule="exact"/>
              <w:ind w:left="37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0.002</w:t>
            </w:r>
          </w:p>
        </w:tc>
        <w:tc>
          <w:tcPr>
            <w:tcW w:w="1135" w:type="dxa"/>
            <w:vAlign w:val="top"/>
          </w:tcPr>
          <w:p w14:paraId="0578C529">
            <w:pPr>
              <w:spacing w:before="56" w:line="236" w:lineRule="exact"/>
              <w:ind w:left="32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w:t>
            </w:r>
          </w:p>
        </w:tc>
        <w:tc>
          <w:tcPr>
            <w:tcW w:w="928" w:type="dxa"/>
            <w:vAlign w:val="top"/>
          </w:tcPr>
          <w:p w14:paraId="7BAA35C4">
            <w:pPr>
              <w:spacing w:before="49" w:line="236" w:lineRule="exact"/>
              <w:ind w:left="4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EED7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73" w:type="dxa"/>
            <w:vAlign w:val="top"/>
          </w:tcPr>
          <w:p w14:paraId="5A628280">
            <w:pPr>
              <w:spacing w:before="57"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M2</w:t>
            </w:r>
          </w:p>
        </w:tc>
        <w:tc>
          <w:tcPr>
            <w:tcW w:w="1623" w:type="dxa"/>
            <w:vAlign w:val="top"/>
          </w:tcPr>
          <w:p w14:paraId="165B9A6C">
            <w:pPr>
              <w:pStyle w:val="6"/>
              <w:spacing w:before="84" w:line="219" w:lineRule="auto"/>
              <w:ind w:left="185"/>
              <w:rPr>
                <w:sz w:val="18"/>
                <w:szCs w:val="18"/>
              </w:rPr>
            </w:pPr>
            <w:r>
              <w:rPr>
                <w:spacing w:val="-2"/>
                <w:sz w:val="18"/>
                <w:szCs w:val="18"/>
              </w:rPr>
              <w:t>有机肥发酵车间</w:t>
            </w:r>
          </w:p>
        </w:tc>
        <w:tc>
          <w:tcPr>
            <w:tcW w:w="993" w:type="dxa"/>
            <w:vAlign w:val="top"/>
          </w:tcPr>
          <w:p w14:paraId="672FFA53">
            <w:pPr>
              <w:spacing w:before="118" w:line="185"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c>
        <w:tc>
          <w:tcPr>
            <w:tcW w:w="1132" w:type="dxa"/>
            <w:vAlign w:val="top"/>
          </w:tcPr>
          <w:p w14:paraId="35283A92">
            <w:pPr>
              <w:spacing w:before="57" w:line="237" w:lineRule="exact"/>
              <w:ind w:left="493"/>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tc>
        <w:tc>
          <w:tcPr>
            <w:tcW w:w="1135" w:type="dxa"/>
            <w:vAlign w:val="top"/>
          </w:tcPr>
          <w:p w14:paraId="7B8D7CD8">
            <w:pPr>
              <w:spacing w:before="57" w:line="237" w:lineRule="exact"/>
              <w:ind w:left="4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tc>
        <w:tc>
          <w:tcPr>
            <w:tcW w:w="1134" w:type="dxa"/>
            <w:vAlign w:val="top"/>
          </w:tcPr>
          <w:p w14:paraId="38947F16">
            <w:pPr>
              <w:spacing w:before="57" w:line="237" w:lineRule="exact"/>
              <w:ind w:left="4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tc>
        <w:tc>
          <w:tcPr>
            <w:tcW w:w="1135" w:type="dxa"/>
            <w:vAlign w:val="top"/>
          </w:tcPr>
          <w:p w14:paraId="360DD1C6">
            <w:pPr>
              <w:spacing w:before="57" w:line="237" w:lineRule="exact"/>
              <w:ind w:left="45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-45</w:t>
            </w:r>
          </w:p>
        </w:tc>
        <w:tc>
          <w:tcPr>
            <w:tcW w:w="1134" w:type="dxa"/>
            <w:vAlign w:val="top"/>
          </w:tcPr>
          <w:p w14:paraId="4743C1AB">
            <w:pPr>
              <w:spacing w:before="57" w:line="237" w:lineRule="exact"/>
              <w:ind w:left="52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tc>
        <w:tc>
          <w:tcPr>
            <w:tcW w:w="1134" w:type="dxa"/>
            <w:vAlign w:val="top"/>
          </w:tcPr>
          <w:p w14:paraId="4CD4AB6D">
            <w:pPr>
              <w:spacing w:before="57" w:line="237" w:lineRule="exact"/>
              <w:ind w:left="3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8760</w:t>
            </w:r>
          </w:p>
        </w:tc>
        <w:tc>
          <w:tcPr>
            <w:tcW w:w="1134" w:type="dxa"/>
            <w:vAlign w:val="top"/>
          </w:tcPr>
          <w:p w14:paraId="772A3BAF">
            <w:pPr>
              <w:pStyle w:val="6"/>
              <w:spacing w:before="84" w:line="221" w:lineRule="auto"/>
              <w:ind w:left="397"/>
              <w:rPr>
                <w:sz w:val="18"/>
                <w:szCs w:val="18"/>
              </w:rPr>
            </w:pPr>
            <w:r>
              <w:rPr>
                <w:spacing w:val="-6"/>
                <w:sz w:val="18"/>
                <w:szCs w:val="18"/>
              </w:rPr>
              <w:t>正常</w:t>
            </w:r>
          </w:p>
        </w:tc>
        <w:tc>
          <w:tcPr>
            <w:tcW w:w="1132" w:type="dxa"/>
            <w:vAlign w:val="top"/>
          </w:tcPr>
          <w:p w14:paraId="39569442">
            <w:pPr>
              <w:spacing w:before="57" w:line="237" w:lineRule="exact"/>
              <w:ind w:left="32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0.0014</w:t>
            </w:r>
          </w:p>
        </w:tc>
        <w:tc>
          <w:tcPr>
            <w:tcW w:w="1135" w:type="dxa"/>
            <w:vAlign w:val="top"/>
          </w:tcPr>
          <w:p w14:paraId="3586EC49">
            <w:pPr>
              <w:spacing w:before="57" w:line="237" w:lineRule="exact"/>
              <w:ind w:left="32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0.0006</w:t>
            </w:r>
          </w:p>
        </w:tc>
        <w:tc>
          <w:tcPr>
            <w:tcW w:w="928" w:type="dxa"/>
            <w:vAlign w:val="top"/>
          </w:tcPr>
          <w:p w14:paraId="18A9D014">
            <w:pPr>
              <w:spacing w:before="50" w:line="236" w:lineRule="exact"/>
              <w:ind w:left="4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5511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73" w:type="dxa"/>
            <w:vAlign w:val="top"/>
          </w:tcPr>
          <w:p w14:paraId="5D2114C3">
            <w:pPr>
              <w:spacing w:before="56"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M3</w:t>
            </w:r>
          </w:p>
        </w:tc>
        <w:tc>
          <w:tcPr>
            <w:tcW w:w="1623" w:type="dxa"/>
            <w:vAlign w:val="top"/>
          </w:tcPr>
          <w:p w14:paraId="156B797F">
            <w:pPr>
              <w:pStyle w:val="6"/>
              <w:spacing w:before="85" w:line="221" w:lineRule="auto"/>
              <w:ind w:left="363"/>
              <w:rPr>
                <w:sz w:val="18"/>
                <w:szCs w:val="18"/>
              </w:rPr>
            </w:pPr>
            <w:r>
              <w:rPr>
                <w:spacing w:val="-2"/>
                <w:sz w:val="18"/>
                <w:szCs w:val="18"/>
              </w:rPr>
              <w:t>饲料加工房</w:t>
            </w:r>
          </w:p>
        </w:tc>
        <w:tc>
          <w:tcPr>
            <w:tcW w:w="993" w:type="dxa"/>
            <w:vAlign w:val="top"/>
          </w:tcPr>
          <w:p w14:paraId="7565928A">
            <w:pPr>
              <w:spacing w:before="56" w:line="237" w:lineRule="exact"/>
              <w:ind w:left="38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-26</w:t>
            </w:r>
          </w:p>
        </w:tc>
        <w:tc>
          <w:tcPr>
            <w:tcW w:w="1132" w:type="dxa"/>
            <w:vAlign w:val="top"/>
          </w:tcPr>
          <w:p w14:paraId="53E9FC61">
            <w:pPr>
              <w:spacing w:before="56" w:line="237" w:lineRule="exact"/>
              <w:ind w:left="44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-64</w:t>
            </w:r>
          </w:p>
        </w:tc>
        <w:tc>
          <w:tcPr>
            <w:tcW w:w="1135" w:type="dxa"/>
            <w:vAlign w:val="top"/>
          </w:tcPr>
          <w:p w14:paraId="673FC7E8">
            <w:pPr>
              <w:spacing w:before="56" w:line="237" w:lineRule="exact"/>
              <w:ind w:left="47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tc>
        <w:tc>
          <w:tcPr>
            <w:tcW w:w="1134" w:type="dxa"/>
            <w:vAlign w:val="top"/>
          </w:tcPr>
          <w:p w14:paraId="76C87355">
            <w:pPr>
              <w:spacing w:before="56" w:line="237" w:lineRule="exact"/>
              <w:ind w:left="49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tc>
        <w:tc>
          <w:tcPr>
            <w:tcW w:w="1135" w:type="dxa"/>
            <w:vAlign w:val="top"/>
          </w:tcPr>
          <w:p w14:paraId="562080A8">
            <w:pPr>
              <w:spacing w:before="56" w:line="237" w:lineRule="exact"/>
              <w:ind w:left="45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-45</w:t>
            </w:r>
          </w:p>
        </w:tc>
        <w:tc>
          <w:tcPr>
            <w:tcW w:w="1134" w:type="dxa"/>
            <w:vAlign w:val="top"/>
          </w:tcPr>
          <w:p w14:paraId="7908E206">
            <w:pPr>
              <w:spacing w:before="56" w:line="237" w:lineRule="exact"/>
              <w:ind w:left="5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tc>
        <w:tc>
          <w:tcPr>
            <w:tcW w:w="1134" w:type="dxa"/>
            <w:vAlign w:val="top"/>
          </w:tcPr>
          <w:p w14:paraId="32557A33">
            <w:pPr>
              <w:spacing w:before="56" w:line="237" w:lineRule="exact"/>
              <w:ind w:left="406"/>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1460</w:t>
            </w:r>
          </w:p>
        </w:tc>
        <w:tc>
          <w:tcPr>
            <w:tcW w:w="1134" w:type="dxa"/>
            <w:vAlign w:val="top"/>
          </w:tcPr>
          <w:p w14:paraId="09810FF9">
            <w:pPr>
              <w:pStyle w:val="6"/>
              <w:spacing w:before="85" w:line="221" w:lineRule="auto"/>
              <w:ind w:left="397"/>
              <w:rPr>
                <w:sz w:val="18"/>
                <w:szCs w:val="18"/>
              </w:rPr>
            </w:pPr>
            <w:r>
              <w:rPr>
                <w:spacing w:val="-6"/>
                <w:sz w:val="18"/>
                <w:szCs w:val="18"/>
              </w:rPr>
              <w:t>正常</w:t>
            </w:r>
          </w:p>
        </w:tc>
        <w:tc>
          <w:tcPr>
            <w:tcW w:w="1132" w:type="dxa"/>
            <w:vAlign w:val="top"/>
          </w:tcPr>
          <w:p w14:paraId="1EEFEFAC">
            <w:pPr>
              <w:spacing w:before="56" w:line="237" w:lineRule="exact"/>
              <w:ind w:left="5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35" w:type="dxa"/>
            <w:vAlign w:val="top"/>
          </w:tcPr>
          <w:p w14:paraId="3D10C539">
            <w:pPr>
              <w:spacing w:before="56" w:line="237" w:lineRule="exact"/>
              <w:ind w:left="5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928" w:type="dxa"/>
            <w:vAlign w:val="top"/>
          </w:tcPr>
          <w:p w14:paraId="31F59A19">
            <w:pPr>
              <w:spacing w:before="49" w:line="236" w:lineRule="exact"/>
              <w:ind w:left="2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0.005</w:t>
            </w:r>
          </w:p>
        </w:tc>
      </w:tr>
    </w:tbl>
    <w:p w14:paraId="72DBBF66">
      <w:pPr>
        <w:spacing w:before="74" w:line="220" w:lineRule="auto"/>
        <w:ind w:left="480"/>
        <w:rPr>
          <w:rFonts w:ascii="宋体" w:hAnsi="宋体" w:eastAsia="宋体" w:cs="宋体"/>
          <w:sz w:val="18"/>
          <w:szCs w:val="18"/>
        </w:rPr>
      </w:pPr>
      <w:r>
        <w:rPr>
          <w:rFonts w:ascii="宋体" w:hAnsi="宋体" w:eastAsia="宋体" w:cs="宋体"/>
          <w:b/>
          <w:bCs/>
          <w:spacing w:val="-1"/>
          <w:sz w:val="18"/>
          <w:szCs w:val="18"/>
        </w:rPr>
        <w:t>注：原点坐标位置为项目中心位置。项目无组织排</w:t>
      </w:r>
      <w:r>
        <w:rPr>
          <w:rFonts w:ascii="宋体" w:hAnsi="宋体" w:eastAsia="宋体" w:cs="宋体"/>
          <w:b/>
          <w:bCs/>
          <w:spacing w:val="-2"/>
          <w:sz w:val="18"/>
          <w:szCs w:val="18"/>
        </w:rPr>
        <w:t>放主要为门窗逸散，排放高度取门窗高度。</w:t>
      </w:r>
    </w:p>
    <w:p w14:paraId="1B37B0E2">
      <w:pPr>
        <w:spacing w:line="220" w:lineRule="auto"/>
        <w:rPr>
          <w:rFonts w:ascii="宋体" w:hAnsi="宋体" w:eastAsia="宋体" w:cs="宋体"/>
          <w:sz w:val="18"/>
          <w:szCs w:val="18"/>
        </w:rPr>
        <w:sectPr>
          <w:footerReference r:id="rId136" w:type="default"/>
          <w:pgSz w:w="16839" w:h="11906"/>
          <w:pgMar w:top="400" w:right="1305" w:bottom="1485" w:left="1305" w:header="0" w:footer="1249" w:gutter="0"/>
          <w:cols w:space="720" w:num="1"/>
        </w:sectPr>
      </w:pPr>
    </w:p>
    <w:p w14:paraId="2CD5A148">
      <w:pPr>
        <w:pStyle w:val="2"/>
        <w:spacing w:line="264" w:lineRule="auto"/>
      </w:pPr>
    </w:p>
    <w:p w14:paraId="6126D319">
      <w:pPr>
        <w:pStyle w:val="2"/>
        <w:spacing w:line="264" w:lineRule="auto"/>
      </w:pPr>
    </w:p>
    <w:p w14:paraId="0DD50E32">
      <w:pPr>
        <w:pStyle w:val="2"/>
        <w:spacing w:line="264" w:lineRule="auto"/>
      </w:pPr>
    </w:p>
    <w:p w14:paraId="4E0A9569">
      <w:pPr>
        <w:pStyle w:val="2"/>
        <w:spacing w:line="265" w:lineRule="auto"/>
      </w:pPr>
    </w:p>
    <w:p w14:paraId="301625EC">
      <w:pPr>
        <w:spacing w:before="78" w:line="218" w:lineRule="auto"/>
        <w:ind w:left="601"/>
        <w:rPr>
          <w:rFonts w:ascii="宋体" w:hAnsi="宋体" w:eastAsia="宋体" w:cs="宋体"/>
          <w:sz w:val="24"/>
          <w:szCs w:val="24"/>
        </w:rPr>
      </w:pPr>
      <w:r>
        <w:rPr>
          <w:rFonts w:ascii="宋体" w:hAnsi="宋体" w:eastAsia="宋体" w:cs="宋体"/>
          <w:spacing w:val="-1"/>
          <w:sz w:val="24"/>
          <w:szCs w:val="24"/>
        </w:rPr>
        <w:t>②估算模式参数表</w:t>
      </w:r>
    </w:p>
    <w:p w14:paraId="5D1547AC">
      <w:pPr>
        <w:spacing w:before="112" w:line="227" w:lineRule="auto"/>
        <w:ind w:left="3531"/>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b/>
          <w:bCs/>
          <w:spacing w:val="5"/>
          <w:sz w:val="20"/>
          <w:szCs w:val="20"/>
        </w:rPr>
        <w:t xml:space="preserve">5.2-10 </w:t>
      </w:r>
      <w:r>
        <w:rPr>
          <w:rFonts w:ascii="宋体" w:hAnsi="宋体" w:eastAsia="宋体" w:cs="宋体"/>
          <w:b/>
          <w:bCs/>
          <w:spacing w:val="5"/>
          <w:sz w:val="20"/>
          <w:szCs w:val="20"/>
        </w:rPr>
        <w:t>估算模式参数表</w:t>
      </w:r>
    </w:p>
    <w:p w14:paraId="5D56E0FB">
      <w:pPr>
        <w:spacing w:line="13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9"/>
        <w:gridCol w:w="3313"/>
        <w:gridCol w:w="3158"/>
      </w:tblGrid>
      <w:tr w14:paraId="3F1E5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5792" w:type="dxa"/>
            <w:gridSpan w:val="2"/>
            <w:vAlign w:val="top"/>
          </w:tcPr>
          <w:p w14:paraId="38E29674">
            <w:pPr>
              <w:pStyle w:val="6"/>
              <w:spacing w:before="97" w:line="228" w:lineRule="auto"/>
              <w:ind w:left="2693"/>
            </w:pPr>
            <w:r>
              <w:rPr>
                <w:spacing w:val="3"/>
              </w:rPr>
              <w:t>参数</w:t>
            </w:r>
          </w:p>
        </w:tc>
        <w:tc>
          <w:tcPr>
            <w:tcW w:w="3158" w:type="dxa"/>
            <w:vAlign w:val="top"/>
          </w:tcPr>
          <w:p w14:paraId="57E3F3CC">
            <w:pPr>
              <w:pStyle w:val="6"/>
              <w:spacing w:before="97" w:line="228" w:lineRule="auto"/>
              <w:ind w:left="1376"/>
            </w:pPr>
            <w:r>
              <w:rPr>
                <w:spacing w:val="3"/>
              </w:rPr>
              <w:t>取值</w:t>
            </w:r>
          </w:p>
        </w:tc>
      </w:tr>
      <w:tr w14:paraId="798A4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79" w:type="dxa"/>
            <w:vMerge w:val="restart"/>
            <w:tcBorders>
              <w:bottom w:val="nil"/>
            </w:tcBorders>
            <w:vAlign w:val="top"/>
          </w:tcPr>
          <w:p w14:paraId="0E7C978E">
            <w:pPr>
              <w:pStyle w:val="6"/>
              <w:spacing w:before="210" w:line="274" w:lineRule="exact"/>
              <w:ind w:left="587"/>
            </w:pPr>
            <w:r>
              <w:rPr>
                <w:spacing w:val="7"/>
                <w:position w:val="1"/>
              </w:rPr>
              <w:t>城市</w:t>
            </w:r>
            <w:r>
              <w:rPr>
                <w:rFonts w:ascii="Times New Roman" w:hAnsi="Times New Roman" w:eastAsia="Times New Roman" w:cs="Times New Roman"/>
                <w:spacing w:val="7"/>
                <w:position w:val="1"/>
              </w:rPr>
              <w:t>/</w:t>
            </w:r>
            <w:r>
              <w:rPr>
                <w:spacing w:val="7"/>
                <w:position w:val="1"/>
              </w:rPr>
              <w:t>农村选项</w:t>
            </w:r>
          </w:p>
        </w:tc>
        <w:tc>
          <w:tcPr>
            <w:tcW w:w="3313" w:type="dxa"/>
            <w:vAlign w:val="top"/>
          </w:tcPr>
          <w:p w14:paraId="12E5ED01">
            <w:pPr>
              <w:pStyle w:val="6"/>
              <w:spacing w:before="35" w:line="274" w:lineRule="exact"/>
              <w:ind w:left="1213"/>
            </w:pPr>
            <w:r>
              <w:rPr>
                <w:spacing w:val="6"/>
                <w:position w:val="1"/>
              </w:rPr>
              <w:t>城市</w:t>
            </w:r>
            <w:r>
              <w:rPr>
                <w:rFonts w:ascii="Times New Roman" w:hAnsi="Times New Roman" w:eastAsia="Times New Roman" w:cs="Times New Roman"/>
                <w:spacing w:val="6"/>
                <w:position w:val="1"/>
              </w:rPr>
              <w:t>/</w:t>
            </w:r>
            <w:r>
              <w:rPr>
                <w:spacing w:val="6"/>
                <w:position w:val="1"/>
              </w:rPr>
              <w:t>农村</w:t>
            </w:r>
          </w:p>
        </w:tc>
        <w:tc>
          <w:tcPr>
            <w:tcW w:w="3158" w:type="dxa"/>
            <w:vAlign w:val="top"/>
          </w:tcPr>
          <w:p w14:paraId="188A5B6B">
            <w:pPr>
              <w:pStyle w:val="6"/>
              <w:spacing w:before="66" w:line="228" w:lineRule="auto"/>
              <w:ind w:left="1373"/>
            </w:pPr>
            <w:r>
              <w:rPr>
                <w:spacing w:val="4"/>
              </w:rPr>
              <w:t>城市</w:t>
            </w:r>
          </w:p>
        </w:tc>
      </w:tr>
      <w:tr w14:paraId="44180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79" w:type="dxa"/>
            <w:vMerge w:val="continue"/>
            <w:tcBorders>
              <w:top w:val="nil"/>
            </w:tcBorders>
            <w:vAlign w:val="top"/>
          </w:tcPr>
          <w:p w14:paraId="6B59E0AE">
            <w:pPr>
              <w:rPr>
                <w:rFonts w:ascii="Arial"/>
                <w:sz w:val="21"/>
              </w:rPr>
            </w:pPr>
          </w:p>
        </w:tc>
        <w:tc>
          <w:tcPr>
            <w:tcW w:w="3313" w:type="dxa"/>
            <w:vAlign w:val="top"/>
          </w:tcPr>
          <w:p w14:paraId="3FE04C0C">
            <w:pPr>
              <w:pStyle w:val="6"/>
              <w:spacing w:before="67" w:line="228" w:lineRule="auto"/>
              <w:ind w:left="613"/>
            </w:pPr>
            <w:r>
              <w:rPr>
                <w:spacing w:val="7"/>
              </w:rPr>
              <w:t>人口数（城市选项时）</w:t>
            </w:r>
          </w:p>
        </w:tc>
        <w:tc>
          <w:tcPr>
            <w:tcW w:w="3158" w:type="dxa"/>
            <w:vAlign w:val="top"/>
          </w:tcPr>
          <w:p w14:paraId="1B2B171F">
            <w:pPr>
              <w:pStyle w:val="6"/>
              <w:spacing w:before="36" w:line="274" w:lineRule="exact"/>
              <w:ind w:left="1181"/>
            </w:pPr>
            <w:r>
              <w:rPr>
                <w:rFonts w:ascii="Times New Roman" w:hAnsi="Times New Roman" w:eastAsia="Times New Roman" w:cs="Times New Roman"/>
                <w:position w:val="2"/>
              </w:rPr>
              <w:t>119.83</w:t>
            </w:r>
            <w:r>
              <w:rPr>
                <w:rFonts w:ascii="Times New Roman" w:hAnsi="Times New Roman" w:eastAsia="Times New Roman" w:cs="Times New Roman"/>
                <w:spacing w:val="18"/>
                <w:w w:val="101"/>
                <w:position w:val="2"/>
              </w:rPr>
              <w:t xml:space="preserve"> </w:t>
            </w:r>
            <w:r>
              <w:rPr>
                <w:position w:val="2"/>
              </w:rPr>
              <w:t>万</w:t>
            </w:r>
          </w:p>
        </w:tc>
      </w:tr>
      <w:tr w14:paraId="35B6D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92" w:type="dxa"/>
            <w:gridSpan w:val="2"/>
            <w:vAlign w:val="top"/>
          </w:tcPr>
          <w:p w14:paraId="211AFF2F">
            <w:pPr>
              <w:pStyle w:val="6"/>
              <w:spacing w:before="35" w:line="274" w:lineRule="exact"/>
              <w:ind w:left="2142"/>
            </w:pPr>
            <w:r>
              <w:rPr>
                <w:spacing w:val="7"/>
                <w:position w:val="1"/>
              </w:rPr>
              <w:t>最高环境温度</w:t>
            </w:r>
            <w:r>
              <w:rPr>
                <w:rFonts w:ascii="Times New Roman" w:hAnsi="Times New Roman" w:eastAsia="Times New Roman" w:cs="Times New Roman"/>
                <w:spacing w:val="7"/>
                <w:position w:val="1"/>
              </w:rPr>
              <w:t>/</w:t>
            </w:r>
            <w:r>
              <w:rPr>
                <w:spacing w:val="7"/>
                <w:position w:val="1"/>
              </w:rPr>
              <w:t>℃</w:t>
            </w:r>
          </w:p>
        </w:tc>
        <w:tc>
          <w:tcPr>
            <w:tcW w:w="3158" w:type="dxa"/>
            <w:vAlign w:val="top"/>
          </w:tcPr>
          <w:p w14:paraId="5563F134">
            <w:pPr>
              <w:spacing w:before="35" w:line="274" w:lineRule="exact"/>
              <w:ind w:left="14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r>
      <w:tr w14:paraId="3C60E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92" w:type="dxa"/>
            <w:gridSpan w:val="2"/>
            <w:vAlign w:val="top"/>
          </w:tcPr>
          <w:p w14:paraId="4AC58C7B">
            <w:pPr>
              <w:pStyle w:val="6"/>
              <w:spacing w:before="37" w:line="274" w:lineRule="exact"/>
              <w:ind w:left="2142"/>
            </w:pPr>
            <w:r>
              <w:rPr>
                <w:spacing w:val="7"/>
                <w:position w:val="1"/>
              </w:rPr>
              <w:t>最低环境温度</w:t>
            </w:r>
            <w:r>
              <w:rPr>
                <w:rFonts w:ascii="Times New Roman" w:hAnsi="Times New Roman" w:eastAsia="Times New Roman" w:cs="Times New Roman"/>
                <w:spacing w:val="7"/>
                <w:position w:val="1"/>
              </w:rPr>
              <w:t>/</w:t>
            </w:r>
            <w:r>
              <w:rPr>
                <w:spacing w:val="7"/>
                <w:position w:val="1"/>
              </w:rPr>
              <w:t>℃</w:t>
            </w:r>
          </w:p>
        </w:tc>
        <w:tc>
          <w:tcPr>
            <w:tcW w:w="3158" w:type="dxa"/>
            <w:vAlign w:val="top"/>
          </w:tcPr>
          <w:p w14:paraId="0983BD76">
            <w:pPr>
              <w:spacing w:before="37" w:line="274" w:lineRule="exact"/>
              <w:ind w:left="14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r>
      <w:tr w14:paraId="4B173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92" w:type="dxa"/>
            <w:gridSpan w:val="2"/>
            <w:vAlign w:val="top"/>
          </w:tcPr>
          <w:p w14:paraId="4708B6D6">
            <w:pPr>
              <w:pStyle w:val="6"/>
              <w:spacing w:before="69" w:line="228" w:lineRule="auto"/>
              <w:ind w:left="2272"/>
            </w:pPr>
            <w:r>
              <w:rPr>
                <w:spacing w:val="8"/>
              </w:rPr>
              <w:t>土地利用类型</w:t>
            </w:r>
          </w:p>
        </w:tc>
        <w:tc>
          <w:tcPr>
            <w:tcW w:w="3158" w:type="dxa"/>
            <w:vAlign w:val="top"/>
          </w:tcPr>
          <w:p w14:paraId="0D4CFF66">
            <w:pPr>
              <w:pStyle w:val="6"/>
              <w:spacing w:before="69" w:line="228" w:lineRule="auto"/>
              <w:ind w:left="1269"/>
            </w:pPr>
            <w:r>
              <w:rPr>
                <w:spacing w:val="6"/>
              </w:rPr>
              <w:t>落叶林</w:t>
            </w:r>
          </w:p>
        </w:tc>
      </w:tr>
      <w:tr w14:paraId="6A62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92" w:type="dxa"/>
            <w:gridSpan w:val="2"/>
            <w:vAlign w:val="top"/>
          </w:tcPr>
          <w:p w14:paraId="538C88E1">
            <w:pPr>
              <w:pStyle w:val="6"/>
              <w:spacing w:before="70" w:line="228" w:lineRule="auto"/>
              <w:ind w:left="2287"/>
            </w:pPr>
            <w:r>
              <w:rPr>
                <w:spacing w:val="5"/>
              </w:rPr>
              <w:t>区域湿度条件</w:t>
            </w:r>
          </w:p>
        </w:tc>
        <w:tc>
          <w:tcPr>
            <w:tcW w:w="3158" w:type="dxa"/>
            <w:vAlign w:val="top"/>
          </w:tcPr>
          <w:p w14:paraId="6F3205D9">
            <w:pPr>
              <w:pStyle w:val="6"/>
              <w:spacing w:before="70" w:line="228" w:lineRule="auto"/>
              <w:ind w:left="1372"/>
            </w:pPr>
            <w:r>
              <w:rPr>
                <w:spacing w:val="5"/>
              </w:rPr>
              <w:t>潮湿</w:t>
            </w:r>
          </w:p>
        </w:tc>
      </w:tr>
      <w:tr w14:paraId="4BC9E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restart"/>
            <w:tcBorders>
              <w:bottom w:val="nil"/>
            </w:tcBorders>
            <w:vAlign w:val="top"/>
          </w:tcPr>
          <w:p w14:paraId="74D984BF">
            <w:pPr>
              <w:pStyle w:val="6"/>
              <w:spacing w:before="244" w:line="228" w:lineRule="auto"/>
              <w:ind w:left="619"/>
            </w:pPr>
            <w:r>
              <w:rPr>
                <w:spacing w:val="7"/>
              </w:rPr>
              <w:t>是否考虑地形</w:t>
            </w:r>
          </w:p>
        </w:tc>
        <w:tc>
          <w:tcPr>
            <w:tcW w:w="3313" w:type="dxa"/>
            <w:vAlign w:val="top"/>
          </w:tcPr>
          <w:p w14:paraId="3413266D">
            <w:pPr>
              <w:pStyle w:val="6"/>
              <w:spacing w:before="69" w:line="228" w:lineRule="auto"/>
              <w:ind w:left="1242"/>
            </w:pPr>
            <w:r>
              <w:rPr>
                <w:spacing w:val="7"/>
              </w:rPr>
              <w:t>考虑地形</w:t>
            </w:r>
          </w:p>
        </w:tc>
        <w:tc>
          <w:tcPr>
            <w:tcW w:w="3158" w:type="dxa"/>
            <w:vAlign w:val="top"/>
          </w:tcPr>
          <w:p w14:paraId="507022E5">
            <w:pPr>
              <w:pStyle w:val="6"/>
              <w:spacing w:before="70" w:line="232" w:lineRule="auto"/>
              <w:ind w:left="1482"/>
            </w:pPr>
            <w:r>
              <w:t>是</w:t>
            </w:r>
          </w:p>
        </w:tc>
      </w:tr>
      <w:tr w14:paraId="33A32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continue"/>
            <w:tcBorders>
              <w:top w:val="nil"/>
            </w:tcBorders>
            <w:vAlign w:val="top"/>
          </w:tcPr>
          <w:p w14:paraId="4A8E4D33">
            <w:pPr>
              <w:rPr>
                <w:rFonts w:ascii="Arial"/>
                <w:sz w:val="21"/>
              </w:rPr>
            </w:pPr>
          </w:p>
        </w:tc>
        <w:tc>
          <w:tcPr>
            <w:tcW w:w="3313" w:type="dxa"/>
            <w:vAlign w:val="top"/>
          </w:tcPr>
          <w:p w14:paraId="54F99C2F">
            <w:pPr>
              <w:pStyle w:val="6"/>
              <w:spacing w:before="70" w:line="228" w:lineRule="auto"/>
              <w:ind w:left="925"/>
            </w:pPr>
            <w:r>
              <w:rPr>
                <w:spacing w:val="8"/>
              </w:rPr>
              <w:t>地形数据分辨率</w:t>
            </w:r>
          </w:p>
        </w:tc>
        <w:tc>
          <w:tcPr>
            <w:tcW w:w="3158" w:type="dxa"/>
            <w:vAlign w:val="top"/>
          </w:tcPr>
          <w:p w14:paraId="7B37C908">
            <w:pPr>
              <w:spacing w:before="39" w:line="274" w:lineRule="exact"/>
              <w:ind w:left="1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90m</w:t>
            </w:r>
          </w:p>
        </w:tc>
      </w:tr>
      <w:tr w14:paraId="0A541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restart"/>
            <w:tcBorders>
              <w:bottom w:val="nil"/>
            </w:tcBorders>
            <w:vAlign w:val="top"/>
          </w:tcPr>
          <w:p w14:paraId="5B605AB4">
            <w:pPr>
              <w:spacing w:line="351" w:lineRule="auto"/>
              <w:rPr>
                <w:rFonts w:ascii="Arial"/>
                <w:sz w:val="21"/>
              </w:rPr>
            </w:pPr>
          </w:p>
          <w:p w14:paraId="56F253C4">
            <w:pPr>
              <w:pStyle w:val="6"/>
              <w:spacing w:before="65" w:line="228" w:lineRule="auto"/>
              <w:ind w:left="304"/>
            </w:pPr>
            <w:r>
              <w:rPr>
                <w:spacing w:val="8"/>
              </w:rPr>
              <w:t>是否考虑海岸线熏烟</w:t>
            </w:r>
          </w:p>
        </w:tc>
        <w:tc>
          <w:tcPr>
            <w:tcW w:w="3313" w:type="dxa"/>
            <w:vAlign w:val="top"/>
          </w:tcPr>
          <w:p w14:paraId="227AF6DC">
            <w:pPr>
              <w:pStyle w:val="6"/>
              <w:spacing w:before="68" w:line="228" w:lineRule="auto"/>
              <w:ind w:left="1031"/>
            </w:pPr>
            <w:r>
              <w:rPr>
                <w:spacing w:val="8"/>
              </w:rPr>
              <w:t>考虑岸线熏烟</w:t>
            </w:r>
          </w:p>
        </w:tc>
        <w:tc>
          <w:tcPr>
            <w:tcW w:w="3158" w:type="dxa"/>
            <w:vAlign w:val="top"/>
          </w:tcPr>
          <w:p w14:paraId="3E440C7B">
            <w:pPr>
              <w:pStyle w:val="6"/>
              <w:spacing w:before="68" w:line="229" w:lineRule="auto"/>
              <w:ind w:left="1485"/>
            </w:pPr>
            <w:r>
              <w:t>否</w:t>
            </w:r>
          </w:p>
        </w:tc>
      </w:tr>
      <w:tr w14:paraId="58D9B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continue"/>
            <w:tcBorders>
              <w:top w:val="nil"/>
              <w:bottom w:val="nil"/>
            </w:tcBorders>
            <w:vAlign w:val="top"/>
          </w:tcPr>
          <w:p w14:paraId="0EBCA803">
            <w:pPr>
              <w:rPr>
                <w:rFonts w:ascii="Arial"/>
                <w:sz w:val="21"/>
              </w:rPr>
            </w:pPr>
          </w:p>
        </w:tc>
        <w:tc>
          <w:tcPr>
            <w:tcW w:w="3313" w:type="dxa"/>
            <w:vAlign w:val="top"/>
          </w:tcPr>
          <w:p w14:paraId="39A5C6C8">
            <w:pPr>
              <w:pStyle w:val="6"/>
              <w:spacing w:before="38" w:line="274" w:lineRule="exact"/>
              <w:ind w:left="1025"/>
              <w:rPr>
                <w:rFonts w:ascii="Times New Roman" w:hAnsi="Times New Roman" w:eastAsia="Times New Roman" w:cs="Times New Roman"/>
              </w:rPr>
            </w:pPr>
            <w:r>
              <w:rPr>
                <w:spacing w:val="7"/>
                <w:position w:val="1"/>
              </w:rPr>
              <w:t>海岸线距离</w:t>
            </w:r>
            <w:r>
              <w:rPr>
                <w:rFonts w:ascii="Times New Roman" w:hAnsi="Times New Roman" w:eastAsia="Times New Roman" w:cs="Times New Roman"/>
                <w:spacing w:val="7"/>
                <w:position w:val="1"/>
              </w:rPr>
              <w:t>/m</w:t>
            </w:r>
          </w:p>
        </w:tc>
        <w:tc>
          <w:tcPr>
            <w:tcW w:w="3158" w:type="dxa"/>
            <w:vAlign w:val="top"/>
          </w:tcPr>
          <w:p w14:paraId="467660E1">
            <w:pPr>
              <w:spacing w:before="38" w:line="274" w:lineRule="exact"/>
              <w:ind w:left="15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553D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479" w:type="dxa"/>
            <w:vMerge w:val="continue"/>
            <w:tcBorders>
              <w:top w:val="nil"/>
            </w:tcBorders>
            <w:vAlign w:val="top"/>
          </w:tcPr>
          <w:p w14:paraId="34BB390F">
            <w:pPr>
              <w:rPr>
                <w:rFonts w:ascii="Arial"/>
                <w:sz w:val="21"/>
              </w:rPr>
            </w:pPr>
          </w:p>
        </w:tc>
        <w:tc>
          <w:tcPr>
            <w:tcW w:w="3313" w:type="dxa"/>
            <w:vAlign w:val="top"/>
          </w:tcPr>
          <w:p w14:paraId="06A4FF6E">
            <w:pPr>
              <w:pStyle w:val="6"/>
              <w:spacing w:before="38" w:line="274" w:lineRule="exact"/>
              <w:ind w:left="1066"/>
              <w:rPr>
                <w:rFonts w:ascii="Times New Roman" w:hAnsi="Times New Roman" w:eastAsia="Times New Roman" w:cs="Times New Roman"/>
              </w:rPr>
            </w:pPr>
            <w:r>
              <w:rPr>
                <w:spacing w:val="6"/>
                <w:position w:val="1"/>
              </w:rPr>
              <w:t>海岸线方向</w:t>
            </w:r>
            <w:r>
              <w:rPr>
                <w:rFonts w:ascii="Times New Roman" w:hAnsi="Times New Roman" w:eastAsia="Times New Roman" w:cs="Times New Roman"/>
                <w:spacing w:val="6"/>
                <w:position w:val="1"/>
              </w:rPr>
              <w:t>/°</w:t>
            </w:r>
          </w:p>
        </w:tc>
        <w:tc>
          <w:tcPr>
            <w:tcW w:w="3158" w:type="dxa"/>
            <w:vAlign w:val="top"/>
          </w:tcPr>
          <w:p w14:paraId="28D97CE3">
            <w:pPr>
              <w:spacing w:before="38" w:line="274" w:lineRule="exact"/>
              <w:ind w:left="15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5C529494">
      <w:pPr>
        <w:pStyle w:val="2"/>
        <w:spacing w:line="265" w:lineRule="auto"/>
      </w:pPr>
    </w:p>
    <w:p w14:paraId="3B509CE1">
      <w:pPr>
        <w:pStyle w:val="2"/>
        <w:spacing w:line="265" w:lineRule="auto"/>
      </w:pPr>
    </w:p>
    <w:p w14:paraId="5CA6B734">
      <w:pPr>
        <w:spacing w:before="78" w:line="218" w:lineRule="auto"/>
        <w:ind w:left="601"/>
        <w:rPr>
          <w:rFonts w:ascii="宋体" w:hAnsi="宋体" w:eastAsia="宋体" w:cs="宋体"/>
          <w:sz w:val="24"/>
          <w:szCs w:val="24"/>
        </w:rPr>
      </w:pPr>
      <w:r>
        <w:rPr>
          <w:rFonts w:ascii="宋体" w:hAnsi="宋体" w:eastAsia="宋体" w:cs="宋体"/>
          <w:spacing w:val="-1"/>
          <w:sz w:val="24"/>
          <w:szCs w:val="24"/>
        </w:rPr>
        <w:t>③评价因子及评价标准</w:t>
      </w:r>
    </w:p>
    <w:p w14:paraId="2D6617A9">
      <w:pPr>
        <w:spacing w:before="221" w:line="227" w:lineRule="auto"/>
        <w:ind w:left="3353"/>
        <w:rPr>
          <w:rFonts w:ascii="宋体" w:hAnsi="宋体" w:eastAsia="宋体" w:cs="宋体"/>
          <w:sz w:val="20"/>
          <w:szCs w:val="20"/>
        </w:rPr>
      </w:pPr>
      <w:r>
        <w:rPr>
          <w:rFonts w:ascii="Times New Roman" w:hAnsi="Times New Roman" w:eastAsia="Times New Roman" w:cs="Times New Roman"/>
          <w:b/>
          <w:bCs/>
          <w:spacing w:val="5"/>
          <w:sz w:val="20"/>
          <w:szCs w:val="20"/>
        </w:rPr>
        <w:t xml:space="preserve">5.2-11 </w:t>
      </w:r>
      <w:r>
        <w:rPr>
          <w:rFonts w:ascii="宋体" w:hAnsi="宋体" w:eastAsia="宋体" w:cs="宋体"/>
          <w:b/>
          <w:bCs/>
          <w:spacing w:val="5"/>
          <w:sz w:val="20"/>
          <w:szCs w:val="20"/>
        </w:rPr>
        <w:t>评价因子和评价标准表</w:t>
      </w:r>
    </w:p>
    <w:p w14:paraId="25E56A1D">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3"/>
        <w:gridCol w:w="1552"/>
        <w:gridCol w:w="1972"/>
        <w:gridCol w:w="3193"/>
      </w:tblGrid>
      <w:tr w14:paraId="2751E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33" w:type="dxa"/>
            <w:vAlign w:val="top"/>
          </w:tcPr>
          <w:p w14:paraId="5BB5A39F">
            <w:pPr>
              <w:pStyle w:val="6"/>
              <w:spacing w:before="61" w:line="227" w:lineRule="auto"/>
              <w:ind w:left="701"/>
            </w:pPr>
            <w:r>
              <w:rPr>
                <w:b/>
                <w:bCs/>
                <w:spacing w:val="6"/>
              </w:rPr>
              <w:t>评价因子</w:t>
            </w:r>
          </w:p>
        </w:tc>
        <w:tc>
          <w:tcPr>
            <w:tcW w:w="1552" w:type="dxa"/>
            <w:vAlign w:val="top"/>
          </w:tcPr>
          <w:p w14:paraId="062B3765">
            <w:pPr>
              <w:pStyle w:val="6"/>
              <w:spacing w:before="61" w:line="229" w:lineRule="auto"/>
              <w:ind w:left="359"/>
            </w:pPr>
            <w:r>
              <w:rPr>
                <w:b/>
                <w:bCs/>
                <w:spacing w:val="6"/>
              </w:rPr>
              <w:t>平均时段</w:t>
            </w:r>
          </w:p>
        </w:tc>
        <w:tc>
          <w:tcPr>
            <w:tcW w:w="1972" w:type="dxa"/>
            <w:vAlign w:val="top"/>
          </w:tcPr>
          <w:p w14:paraId="6D9500B7">
            <w:pPr>
              <w:pStyle w:val="6"/>
              <w:spacing w:before="61" w:line="221" w:lineRule="auto"/>
              <w:ind w:left="179"/>
            </w:pPr>
            <w:r>
              <w:rPr>
                <w:b/>
                <w:bCs/>
                <w:spacing w:val="6"/>
              </w:rPr>
              <w:t>标准值（</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b/>
                <w:bCs/>
                <w:spacing w:val="6"/>
              </w:rPr>
              <w:t>）</w:t>
            </w:r>
          </w:p>
        </w:tc>
        <w:tc>
          <w:tcPr>
            <w:tcW w:w="3193" w:type="dxa"/>
            <w:vAlign w:val="top"/>
          </w:tcPr>
          <w:p w14:paraId="05E42C0A">
            <w:pPr>
              <w:pStyle w:val="6"/>
              <w:spacing w:before="61" w:line="228" w:lineRule="auto"/>
              <w:ind w:left="1183"/>
            </w:pPr>
            <w:r>
              <w:rPr>
                <w:b/>
                <w:bCs/>
                <w:spacing w:val="6"/>
              </w:rPr>
              <w:t>标准来源</w:t>
            </w:r>
          </w:p>
        </w:tc>
      </w:tr>
      <w:tr w14:paraId="56850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3" w:type="dxa"/>
            <w:vAlign w:val="top"/>
          </w:tcPr>
          <w:p w14:paraId="044F04D0">
            <w:pPr>
              <w:spacing w:before="96" w:line="233" w:lineRule="auto"/>
              <w:ind w:left="92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552" w:type="dxa"/>
            <w:vAlign w:val="top"/>
          </w:tcPr>
          <w:p w14:paraId="480C58DF">
            <w:pPr>
              <w:pStyle w:val="6"/>
              <w:spacing w:before="26" w:line="274" w:lineRule="exact"/>
              <w:ind w:left="508"/>
            </w:pPr>
            <w:r>
              <w:rPr>
                <w:rFonts w:ascii="Times New Roman" w:hAnsi="Times New Roman" w:eastAsia="Times New Roman" w:cs="Times New Roman"/>
                <w:spacing w:val="-6"/>
                <w:position w:val="1"/>
              </w:rPr>
              <w:t>1</w:t>
            </w:r>
            <w:r>
              <w:rPr>
                <w:rFonts w:ascii="Times New Roman" w:hAnsi="Times New Roman" w:eastAsia="Times New Roman" w:cs="Times New Roman"/>
                <w:spacing w:val="18"/>
                <w:w w:val="101"/>
                <w:position w:val="1"/>
              </w:rPr>
              <w:t xml:space="preserve"> </w:t>
            </w:r>
            <w:r>
              <w:rPr>
                <w:spacing w:val="-6"/>
                <w:position w:val="1"/>
              </w:rPr>
              <w:t>小时</w:t>
            </w:r>
          </w:p>
        </w:tc>
        <w:tc>
          <w:tcPr>
            <w:tcW w:w="1972" w:type="dxa"/>
            <w:vAlign w:val="top"/>
          </w:tcPr>
          <w:p w14:paraId="73A9776C">
            <w:pPr>
              <w:spacing w:before="26"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3193" w:type="dxa"/>
            <w:vMerge w:val="restart"/>
            <w:tcBorders>
              <w:bottom w:val="nil"/>
            </w:tcBorders>
            <w:vAlign w:val="top"/>
          </w:tcPr>
          <w:p w14:paraId="68B60CD3">
            <w:pPr>
              <w:pStyle w:val="6"/>
              <w:spacing w:before="61" w:line="274" w:lineRule="auto"/>
              <w:ind w:left="326" w:right="126" w:hanging="189"/>
              <w:rPr>
                <w:rFonts w:ascii="Times New Roman" w:hAnsi="Times New Roman" w:eastAsia="Times New Roman" w:cs="Times New Roman"/>
              </w:rPr>
            </w:pPr>
            <w:r>
              <w:rPr>
                <w:spacing w:val="8"/>
              </w:rPr>
              <w:t>《环境影响评价技术导则大气环</w:t>
            </w:r>
            <w:r>
              <w:rPr>
                <w:spacing w:val="11"/>
              </w:rPr>
              <w:t xml:space="preserve"> </w:t>
            </w:r>
            <w:r>
              <w:rPr>
                <w:spacing w:val="4"/>
              </w:rPr>
              <w:t>境》（</w:t>
            </w:r>
            <w:r>
              <w:rPr>
                <w:rFonts w:ascii="Times New Roman" w:hAnsi="Times New Roman" w:eastAsia="Times New Roman" w:cs="Times New Roman"/>
              </w:rPr>
              <w:t>HJ</w:t>
            </w:r>
            <w:r>
              <w:rPr>
                <w:rFonts w:ascii="Times New Roman" w:hAnsi="Times New Roman" w:eastAsia="Times New Roman" w:cs="Times New Roman"/>
                <w:spacing w:val="4"/>
              </w:rPr>
              <w:t>2.2-2018</w:t>
            </w:r>
            <w:r>
              <w:rPr>
                <w:rFonts w:ascii="Times New Roman" w:hAnsi="Times New Roman" w:eastAsia="Times New Roman" w:cs="Times New Roman"/>
                <w:spacing w:val="21"/>
                <w:w w:val="101"/>
              </w:rPr>
              <w:t xml:space="preserve">  </w:t>
            </w:r>
            <w:r>
              <w:rPr>
                <w:spacing w:val="4"/>
              </w:rPr>
              <w:t>）附录</w:t>
            </w:r>
            <w:r>
              <w:rPr>
                <w:spacing w:val="-43"/>
              </w:rPr>
              <w:t xml:space="preserve"> </w:t>
            </w:r>
            <w:r>
              <w:rPr>
                <w:rFonts w:ascii="Times New Roman" w:hAnsi="Times New Roman" w:eastAsia="Times New Roman" w:cs="Times New Roman"/>
                <w:spacing w:val="4"/>
              </w:rPr>
              <w:t>D</w:t>
            </w:r>
          </w:p>
        </w:tc>
      </w:tr>
      <w:tr w14:paraId="65218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3" w:type="dxa"/>
            <w:vAlign w:val="top"/>
          </w:tcPr>
          <w:p w14:paraId="528DE847">
            <w:pPr>
              <w:spacing w:before="94" w:line="235" w:lineRule="auto"/>
              <w:ind w:left="9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552" w:type="dxa"/>
            <w:vAlign w:val="top"/>
          </w:tcPr>
          <w:p w14:paraId="447289D5">
            <w:pPr>
              <w:pStyle w:val="6"/>
              <w:spacing w:before="27" w:line="274" w:lineRule="exact"/>
              <w:ind w:left="508"/>
            </w:pPr>
            <w:r>
              <w:rPr>
                <w:rFonts w:ascii="Times New Roman" w:hAnsi="Times New Roman" w:eastAsia="Times New Roman" w:cs="Times New Roman"/>
                <w:spacing w:val="-6"/>
                <w:position w:val="1"/>
              </w:rPr>
              <w:t>1</w:t>
            </w:r>
            <w:r>
              <w:rPr>
                <w:rFonts w:ascii="Times New Roman" w:hAnsi="Times New Roman" w:eastAsia="Times New Roman" w:cs="Times New Roman"/>
                <w:spacing w:val="18"/>
                <w:w w:val="101"/>
                <w:position w:val="1"/>
              </w:rPr>
              <w:t xml:space="preserve"> </w:t>
            </w:r>
            <w:r>
              <w:rPr>
                <w:spacing w:val="-6"/>
                <w:position w:val="1"/>
              </w:rPr>
              <w:t>小时</w:t>
            </w:r>
          </w:p>
        </w:tc>
        <w:tc>
          <w:tcPr>
            <w:tcW w:w="1972" w:type="dxa"/>
            <w:vAlign w:val="top"/>
          </w:tcPr>
          <w:p w14:paraId="345EB040">
            <w:pPr>
              <w:spacing w:before="27" w:line="274" w:lineRule="exact"/>
              <w:ind w:left="8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3193" w:type="dxa"/>
            <w:vMerge w:val="continue"/>
            <w:tcBorders>
              <w:top w:val="nil"/>
            </w:tcBorders>
            <w:vAlign w:val="top"/>
          </w:tcPr>
          <w:p w14:paraId="31A3F9F2">
            <w:pPr>
              <w:rPr>
                <w:rFonts w:ascii="Arial"/>
                <w:sz w:val="21"/>
              </w:rPr>
            </w:pPr>
          </w:p>
        </w:tc>
      </w:tr>
      <w:tr w14:paraId="272F1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233" w:type="dxa"/>
            <w:vAlign w:val="top"/>
          </w:tcPr>
          <w:p w14:paraId="3020A183">
            <w:pPr>
              <w:spacing w:line="361" w:lineRule="auto"/>
              <w:rPr>
                <w:rFonts w:ascii="Arial"/>
                <w:sz w:val="21"/>
              </w:rPr>
            </w:pPr>
          </w:p>
          <w:p w14:paraId="6B4861DB">
            <w:pPr>
              <w:spacing w:before="58" w:line="195" w:lineRule="auto"/>
              <w:ind w:left="9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552" w:type="dxa"/>
            <w:vAlign w:val="top"/>
          </w:tcPr>
          <w:p w14:paraId="7A1C3124">
            <w:pPr>
              <w:spacing w:line="288" w:lineRule="auto"/>
              <w:rPr>
                <w:rFonts w:ascii="Arial"/>
                <w:sz w:val="21"/>
              </w:rPr>
            </w:pPr>
          </w:p>
          <w:p w14:paraId="3EE8B875">
            <w:pPr>
              <w:pStyle w:val="6"/>
              <w:spacing w:before="65" w:line="274" w:lineRule="exact"/>
              <w:ind w:left="435"/>
            </w:pPr>
            <w:r>
              <w:rPr>
                <w:rFonts w:ascii="Times New Roman" w:hAnsi="Times New Roman" w:eastAsia="Times New Roman" w:cs="Times New Roman"/>
                <w:spacing w:val="2"/>
                <w:position w:val="1"/>
              </w:rPr>
              <w:t>24</w:t>
            </w:r>
            <w:r>
              <w:rPr>
                <w:rFonts w:ascii="Times New Roman" w:hAnsi="Times New Roman" w:eastAsia="Times New Roman" w:cs="Times New Roman"/>
                <w:spacing w:val="16"/>
                <w:position w:val="1"/>
              </w:rPr>
              <w:t xml:space="preserve"> </w:t>
            </w:r>
            <w:r>
              <w:rPr>
                <w:spacing w:val="2"/>
                <w:position w:val="1"/>
              </w:rPr>
              <w:t>小时</w:t>
            </w:r>
          </w:p>
        </w:tc>
        <w:tc>
          <w:tcPr>
            <w:tcW w:w="1972" w:type="dxa"/>
            <w:vAlign w:val="top"/>
          </w:tcPr>
          <w:p w14:paraId="20FB9275">
            <w:pPr>
              <w:spacing w:line="295" w:lineRule="auto"/>
              <w:rPr>
                <w:rFonts w:ascii="Arial"/>
                <w:sz w:val="21"/>
              </w:rPr>
            </w:pPr>
          </w:p>
          <w:p w14:paraId="1B05DAFD">
            <w:pPr>
              <w:spacing w:before="58"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3193" w:type="dxa"/>
            <w:vAlign w:val="top"/>
          </w:tcPr>
          <w:p w14:paraId="5530ECAD">
            <w:pPr>
              <w:pStyle w:val="6"/>
              <w:spacing w:before="59" w:line="229" w:lineRule="auto"/>
              <w:ind w:left="557"/>
            </w:pPr>
            <w:r>
              <w:rPr>
                <w:spacing w:val="7"/>
              </w:rPr>
              <w:t>《环境空气质量标准》</w:t>
            </w:r>
          </w:p>
          <w:p w14:paraId="2A3EB227">
            <w:pPr>
              <w:pStyle w:val="6"/>
              <w:spacing w:before="47" w:line="274" w:lineRule="exact"/>
              <w:ind w:left="125"/>
            </w:pPr>
            <w:r>
              <w:rPr>
                <w:spacing w:val="5"/>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5"/>
                <w:position w:val="1"/>
              </w:rPr>
              <w:t>3095-2012</w:t>
            </w:r>
            <w:r>
              <w:rPr>
                <w:spacing w:val="5"/>
                <w:position w:val="1"/>
              </w:rPr>
              <w:t>）及其</w:t>
            </w:r>
            <w:r>
              <w:rPr>
                <w:spacing w:val="-40"/>
                <w:position w:val="1"/>
              </w:rPr>
              <w:t xml:space="preserve"> </w:t>
            </w:r>
            <w:r>
              <w:rPr>
                <w:rFonts w:ascii="Times New Roman" w:hAnsi="Times New Roman" w:eastAsia="Times New Roman" w:cs="Times New Roman"/>
                <w:spacing w:val="5"/>
                <w:position w:val="1"/>
              </w:rPr>
              <w:t xml:space="preserve">2018 </w:t>
            </w:r>
            <w:r>
              <w:rPr>
                <w:spacing w:val="5"/>
                <w:position w:val="1"/>
              </w:rPr>
              <w:t>年修</w:t>
            </w:r>
          </w:p>
          <w:p w14:paraId="23B63242">
            <w:pPr>
              <w:pStyle w:val="6"/>
              <w:spacing w:before="83" w:line="228" w:lineRule="auto"/>
              <w:ind w:left="979"/>
            </w:pPr>
            <w:r>
              <w:rPr>
                <w:spacing w:val="7"/>
              </w:rPr>
              <w:t>改单二级标准</w:t>
            </w:r>
          </w:p>
        </w:tc>
      </w:tr>
    </w:tbl>
    <w:p w14:paraId="5DFBFEE4">
      <w:pPr>
        <w:spacing w:before="190" w:line="299" w:lineRule="auto"/>
        <w:ind w:left="121" w:right="110" w:firstLine="420"/>
        <w:jc w:val="both"/>
        <w:rPr>
          <w:rFonts w:ascii="宋体" w:hAnsi="宋体" w:eastAsia="宋体" w:cs="宋体"/>
          <w:sz w:val="20"/>
          <w:szCs w:val="20"/>
        </w:rPr>
      </w:pPr>
      <w:r>
        <w:rPr>
          <w:rFonts w:ascii="宋体" w:hAnsi="宋体" w:eastAsia="宋体" w:cs="宋体"/>
          <w:spacing w:val="9"/>
          <w:sz w:val="20"/>
          <w:szCs w:val="20"/>
        </w:rPr>
        <w:t>注：根据《环境影响评价技术导则—— 大气环境》</w:t>
      </w:r>
      <w:r>
        <w:rPr>
          <w:rFonts w:ascii="宋体" w:hAnsi="宋体" w:eastAsia="宋体" w:cs="宋体"/>
          <w:spacing w:val="-80"/>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9"/>
          <w:sz w:val="20"/>
          <w:szCs w:val="20"/>
        </w:rPr>
        <w:t>2.2-2018</w:t>
      </w:r>
      <w:r>
        <w:rPr>
          <w:rFonts w:ascii="Times New Roman" w:hAnsi="Times New Roman" w:eastAsia="Times New Roman" w:cs="Times New Roman"/>
          <w:spacing w:val="20"/>
          <w:sz w:val="20"/>
          <w:szCs w:val="20"/>
        </w:rPr>
        <w:t xml:space="preserve">  </w:t>
      </w:r>
      <w:r>
        <w:rPr>
          <w:rFonts w:ascii="宋体" w:hAnsi="宋体" w:eastAsia="宋体" w:cs="宋体"/>
          <w:spacing w:val="1"/>
          <w:sz w:val="20"/>
          <w:szCs w:val="20"/>
        </w:rPr>
        <w:t>），</w:t>
      </w:r>
      <w:r>
        <w:rPr>
          <w:rFonts w:ascii="宋体" w:hAnsi="宋体" w:eastAsia="宋体" w:cs="宋体"/>
          <w:spacing w:val="9"/>
          <w:sz w:val="20"/>
          <w:szCs w:val="20"/>
        </w:rPr>
        <w:t xml:space="preserve">对仅有 </w:t>
      </w:r>
      <w:r>
        <w:rPr>
          <w:rFonts w:ascii="Times New Roman" w:hAnsi="Times New Roman" w:eastAsia="Times New Roman" w:cs="Times New Roman"/>
          <w:spacing w:val="9"/>
          <w:sz w:val="20"/>
          <w:szCs w:val="20"/>
        </w:rPr>
        <w:t xml:space="preserve">8h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平均质</w:t>
      </w:r>
      <w:r>
        <w:rPr>
          <w:rFonts w:ascii="宋体" w:hAnsi="宋体" w:eastAsia="宋体" w:cs="宋体"/>
          <w:sz w:val="20"/>
          <w:szCs w:val="20"/>
        </w:rPr>
        <w:t xml:space="preserve"> </w:t>
      </w:r>
      <w:r>
        <w:rPr>
          <w:rFonts w:ascii="宋体" w:hAnsi="宋体" w:eastAsia="宋体" w:cs="宋体"/>
          <w:spacing w:val="6"/>
          <w:sz w:val="20"/>
          <w:szCs w:val="20"/>
        </w:rPr>
        <w:t xml:space="preserve">量浓度限值、日平均质量浓度限值或年平均质量浓度限值的，可分别按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倍、</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倍、</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倍折</w:t>
      </w:r>
      <w:r>
        <w:rPr>
          <w:rFonts w:ascii="宋体" w:hAnsi="宋体" w:eastAsia="宋体" w:cs="宋体"/>
          <w:spacing w:val="4"/>
          <w:sz w:val="20"/>
          <w:szCs w:val="20"/>
        </w:rPr>
        <w:t xml:space="preserve"> </w:t>
      </w:r>
      <w:r>
        <w:rPr>
          <w:rFonts w:ascii="宋体" w:hAnsi="宋体" w:eastAsia="宋体" w:cs="宋体"/>
          <w:spacing w:val="-1"/>
          <w:sz w:val="20"/>
          <w:szCs w:val="20"/>
        </w:rPr>
        <w:t>算为</w:t>
      </w:r>
      <w:r>
        <w:rPr>
          <w:rFonts w:ascii="宋体" w:hAnsi="宋体" w:eastAsia="宋体" w:cs="宋体"/>
          <w:spacing w:val="29"/>
          <w:sz w:val="20"/>
          <w:szCs w:val="20"/>
        </w:rPr>
        <w:t xml:space="preserve"> </w:t>
      </w:r>
      <w:r>
        <w:rPr>
          <w:rFonts w:ascii="Times New Roman" w:hAnsi="Times New Roman" w:eastAsia="Times New Roman" w:cs="Times New Roman"/>
          <w:spacing w:val="-1"/>
          <w:sz w:val="20"/>
          <w:szCs w:val="20"/>
        </w:rPr>
        <w:t>1h</w:t>
      </w:r>
      <w:r>
        <w:rPr>
          <w:rFonts w:ascii="Times New Roman" w:hAnsi="Times New Roman" w:eastAsia="Times New Roman" w:cs="Times New Roman"/>
          <w:spacing w:val="4"/>
          <w:sz w:val="20"/>
          <w:szCs w:val="20"/>
        </w:rPr>
        <w:t xml:space="preserve">  </w:t>
      </w:r>
      <w:r>
        <w:rPr>
          <w:rFonts w:ascii="宋体" w:hAnsi="宋体" w:eastAsia="宋体" w:cs="宋体"/>
          <w:spacing w:val="-1"/>
          <w:sz w:val="20"/>
          <w:szCs w:val="20"/>
        </w:rPr>
        <w:t>。</w:t>
      </w:r>
    </w:p>
    <w:p w14:paraId="3C146830">
      <w:pPr>
        <w:spacing w:line="299" w:lineRule="auto"/>
        <w:rPr>
          <w:rFonts w:ascii="宋体" w:hAnsi="宋体" w:eastAsia="宋体" w:cs="宋体"/>
          <w:sz w:val="20"/>
          <w:szCs w:val="20"/>
        </w:rPr>
        <w:sectPr>
          <w:footerReference r:id="rId137" w:type="default"/>
          <w:pgSz w:w="11906" w:h="16839"/>
          <w:pgMar w:top="400" w:right="1475" w:bottom="1485" w:left="1475" w:header="0" w:footer="1249" w:gutter="0"/>
          <w:cols w:space="720" w:num="1"/>
        </w:sectPr>
      </w:pPr>
    </w:p>
    <w:p w14:paraId="6D345CB1">
      <w:pPr>
        <w:pStyle w:val="2"/>
        <w:spacing w:line="245" w:lineRule="auto"/>
      </w:pPr>
    </w:p>
    <w:p w14:paraId="1AFB6A99">
      <w:pPr>
        <w:pStyle w:val="2"/>
        <w:spacing w:line="245" w:lineRule="auto"/>
      </w:pPr>
    </w:p>
    <w:p w14:paraId="7F9FFBEE">
      <w:pPr>
        <w:pStyle w:val="2"/>
        <w:spacing w:line="245" w:lineRule="auto"/>
      </w:pPr>
    </w:p>
    <w:p w14:paraId="659647E1">
      <w:pPr>
        <w:pStyle w:val="2"/>
        <w:spacing w:line="245" w:lineRule="auto"/>
      </w:pPr>
    </w:p>
    <w:p w14:paraId="6068ACD4">
      <w:pPr>
        <w:pStyle w:val="2"/>
        <w:spacing w:line="246" w:lineRule="auto"/>
      </w:pPr>
    </w:p>
    <w:p w14:paraId="6D8D405A">
      <w:pPr>
        <w:spacing w:before="78" w:line="221" w:lineRule="auto"/>
        <w:ind w:left="616"/>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）预测结果</w:t>
      </w:r>
    </w:p>
    <w:p w14:paraId="72EA57DD">
      <w:pPr>
        <w:spacing w:before="159" w:line="227" w:lineRule="auto"/>
        <w:ind w:left="509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5.2-12  </w:t>
      </w:r>
      <w:r>
        <w:rPr>
          <w:rFonts w:ascii="宋体" w:hAnsi="宋体" w:eastAsia="宋体" w:cs="宋体"/>
          <w:b/>
          <w:bCs/>
          <w:spacing w:val="6"/>
          <w:sz w:val="20"/>
          <w:szCs w:val="20"/>
        </w:rPr>
        <w:t>主要污染源估算模型计结果表（面源）</w:t>
      </w:r>
    </w:p>
    <w:p w14:paraId="759D4AEF">
      <w:pPr>
        <w:spacing w:line="48" w:lineRule="exact"/>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0"/>
        <w:gridCol w:w="1228"/>
        <w:gridCol w:w="1228"/>
        <w:gridCol w:w="1228"/>
        <w:gridCol w:w="1299"/>
        <w:gridCol w:w="1174"/>
        <w:gridCol w:w="1227"/>
        <w:gridCol w:w="1228"/>
        <w:gridCol w:w="1228"/>
        <w:gridCol w:w="1228"/>
        <w:gridCol w:w="1214"/>
      </w:tblGrid>
      <w:tr w14:paraId="1B9BA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40" w:type="dxa"/>
            <w:vMerge w:val="restart"/>
            <w:tcBorders>
              <w:bottom w:val="nil"/>
            </w:tcBorders>
            <w:vAlign w:val="top"/>
          </w:tcPr>
          <w:p w14:paraId="69110FA2">
            <w:pPr>
              <w:pStyle w:val="6"/>
              <w:spacing w:before="236" w:line="229" w:lineRule="auto"/>
              <w:ind w:left="134"/>
            </w:pPr>
            <w:r>
              <w:rPr>
                <w:b/>
                <w:bCs/>
                <w:spacing w:val="7"/>
              </w:rPr>
              <w:t>距源中心下风向距</w:t>
            </w:r>
          </w:p>
          <w:p w14:paraId="6310E4D8">
            <w:pPr>
              <w:pStyle w:val="6"/>
              <w:spacing w:before="78" w:line="229" w:lineRule="auto"/>
              <w:ind w:left="448"/>
            </w:pPr>
            <w:r>
              <w:rPr>
                <w:b/>
                <w:bCs/>
                <w:spacing w:val="-6"/>
              </w:rPr>
              <w:t>离</w:t>
            </w:r>
            <w:r>
              <w:rPr>
                <w:spacing w:val="13"/>
              </w:rPr>
              <w:t xml:space="preserve"> </w:t>
            </w:r>
            <w:r>
              <w:rPr>
                <w:rFonts w:ascii="Times New Roman" w:hAnsi="Times New Roman" w:eastAsia="Times New Roman" w:cs="Times New Roman"/>
                <w:b/>
                <w:bCs/>
                <w:spacing w:val="-6"/>
              </w:rPr>
              <w:t>D</w:t>
            </w:r>
            <w:r>
              <w:rPr>
                <w:b/>
                <w:bCs/>
                <w:spacing w:val="-6"/>
              </w:rPr>
              <w:t>（</w:t>
            </w:r>
            <w:r>
              <w:rPr>
                <w:spacing w:val="-60"/>
              </w:rPr>
              <w:t xml:space="preserve"> </w:t>
            </w:r>
            <w:r>
              <w:rPr>
                <w:rFonts w:ascii="Times New Roman" w:hAnsi="Times New Roman" w:eastAsia="Times New Roman" w:cs="Times New Roman"/>
                <w:b/>
                <w:bCs/>
                <w:spacing w:val="-6"/>
              </w:rPr>
              <w:t>m</w:t>
            </w:r>
            <w:r>
              <w:rPr>
                <w:b/>
                <w:bCs/>
                <w:spacing w:val="-6"/>
              </w:rPr>
              <w:t>）</w:t>
            </w:r>
          </w:p>
        </w:tc>
        <w:tc>
          <w:tcPr>
            <w:tcW w:w="4983" w:type="dxa"/>
            <w:gridSpan w:val="4"/>
            <w:vAlign w:val="top"/>
          </w:tcPr>
          <w:p w14:paraId="66D81DE7">
            <w:pPr>
              <w:pStyle w:val="6"/>
              <w:spacing w:before="63" w:line="229" w:lineRule="auto"/>
              <w:ind w:left="2285"/>
            </w:pPr>
            <w:r>
              <w:rPr>
                <w:b/>
                <w:bCs/>
                <w:spacing w:val="3"/>
              </w:rPr>
              <w:t>猪舍</w:t>
            </w:r>
          </w:p>
        </w:tc>
        <w:tc>
          <w:tcPr>
            <w:tcW w:w="4857" w:type="dxa"/>
            <w:gridSpan w:val="4"/>
            <w:vAlign w:val="top"/>
          </w:tcPr>
          <w:p w14:paraId="388689AE">
            <w:pPr>
              <w:pStyle w:val="6"/>
              <w:spacing w:before="63" w:line="228" w:lineRule="auto"/>
              <w:ind w:left="1699"/>
            </w:pPr>
            <w:r>
              <w:rPr>
                <w:b/>
                <w:bCs/>
                <w:spacing w:val="7"/>
              </w:rPr>
              <w:t>有机肥发酵车间</w:t>
            </w:r>
          </w:p>
        </w:tc>
        <w:tc>
          <w:tcPr>
            <w:tcW w:w="2442" w:type="dxa"/>
            <w:gridSpan w:val="2"/>
            <w:vAlign w:val="top"/>
          </w:tcPr>
          <w:p w14:paraId="19E42963">
            <w:pPr>
              <w:pStyle w:val="6"/>
              <w:spacing w:before="63" w:line="229" w:lineRule="auto"/>
              <w:ind w:left="700"/>
            </w:pPr>
            <w:r>
              <w:rPr>
                <w:b/>
                <w:bCs/>
                <w:spacing w:val="6"/>
              </w:rPr>
              <w:t>饲料加工房</w:t>
            </w:r>
          </w:p>
        </w:tc>
      </w:tr>
      <w:tr w14:paraId="4AA0B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Merge w:val="continue"/>
            <w:tcBorders>
              <w:top w:val="nil"/>
              <w:bottom w:val="nil"/>
            </w:tcBorders>
            <w:vAlign w:val="top"/>
          </w:tcPr>
          <w:p w14:paraId="76093A86">
            <w:pPr>
              <w:rPr>
                <w:rFonts w:ascii="Arial"/>
                <w:sz w:val="21"/>
              </w:rPr>
            </w:pPr>
          </w:p>
        </w:tc>
        <w:tc>
          <w:tcPr>
            <w:tcW w:w="2456" w:type="dxa"/>
            <w:gridSpan w:val="2"/>
            <w:vAlign w:val="top"/>
          </w:tcPr>
          <w:p w14:paraId="2BD5ED54">
            <w:pPr>
              <w:spacing w:before="98" w:line="199" w:lineRule="auto"/>
              <w:ind w:left="1036"/>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2527" w:type="dxa"/>
            <w:gridSpan w:val="2"/>
            <w:vAlign w:val="top"/>
          </w:tcPr>
          <w:p w14:paraId="0FA68FA5">
            <w:pPr>
              <w:spacing w:before="95" w:line="202" w:lineRule="auto"/>
              <w:ind w:left="109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3"/>
                <w:sz w:val="20"/>
                <w:szCs w:val="20"/>
              </w:rPr>
              <w:t>S</w:t>
            </w:r>
          </w:p>
        </w:tc>
        <w:tc>
          <w:tcPr>
            <w:tcW w:w="2401" w:type="dxa"/>
            <w:gridSpan w:val="2"/>
            <w:vAlign w:val="top"/>
          </w:tcPr>
          <w:p w14:paraId="6806D0A7">
            <w:pPr>
              <w:spacing w:before="98" w:line="199" w:lineRule="auto"/>
              <w:ind w:left="1009"/>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2456" w:type="dxa"/>
            <w:gridSpan w:val="2"/>
            <w:vAlign w:val="top"/>
          </w:tcPr>
          <w:p w14:paraId="362E7B35">
            <w:pPr>
              <w:spacing w:before="95" w:line="202" w:lineRule="auto"/>
              <w:ind w:left="105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3"/>
                <w:sz w:val="20"/>
                <w:szCs w:val="20"/>
              </w:rPr>
              <w:t>S</w:t>
            </w:r>
          </w:p>
        </w:tc>
        <w:tc>
          <w:tcPr>
            <w:tcW w:w="2442" w:type="dxa"/>
            <w:gridSpan w:val="2"/>
            <w:vAlign w:val="top"/>
          </w:tcPr>
          <w:p w14:paraId="536A1A16">
            <w:pPr>
              <w:spacing w:before="95" w:line="195" w:lineRule="auto"/>
              <w:ind w:left="103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TSP</w:t>
            </w:r>
          </w:p>
        </w:tc>
      </w:tr>
      <w:tr w14:paraId="023C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Merge w:val="continue"/>
            <w:tcBorders>
              <w:top w:val="nil"/>
            </w:tcBorders>
            <w:vAlign w:val="top"/>
          </w:tcPr>
          <w:p w14:paraId="2A916213">
            <w:pPr>
              <w:rPr>
                <w:rFonts w:ascii="Arial"/>
                <w:sz w:val="21"/>
              </w:rPr>
            </w:pPr>
          </w:p>
        </w:tc>
        <w:tc>
          <w:tcPr>
            <w:tcW w:w="1228" w:type="dxa"/>
            <w:vAlign w:val="top"/>
          </w:tcPr>
          <w:p w14:paraId="405F383B">
            <w:pPr>
              <w:spacing w:before="96" w:line="195" w:lineRule="auto"/>
              <w:ind w:left="51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28" w:type="dxa"/>
            <w:vAlign w:val="top"/>
          </w:tcPr>
          <w:p w14:paraId="2ADDB470">
            <w:pPr>
              <w:spacing w:before="96" w:line="195" w:lineRule="auto"/>
              <w:ind w:left="52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228" w:type="dxa"/>
            <w:vAlign w:val="top"/>
          </w:tcPr>
          <w:p w14:paraId="19B2A8C4">
            <w:pPr>
              <w:spacing w:before="96" w:line="195" w:lineRule="auto"/>
              <w:ind w:left="51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99" w:type="dxa"/>
            <w:vAlign w:val="top"/>
          </w:tcPr>
          <w:p w14:paraId="4B0C070A">
            <w:pPr>
              <w:spacing w:before="96" w:line="195" w:lineRule="auto"/>
              <w:ind w:left="55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174" w:type="dxa"/>
            <w:vAlign w:val="top"/>
          </w:tcPr>
          <w:p w14:paraId="35E1BF3D">
            <w:pPr>
              <w:spacing w:before="96" w:line="195" w:lineRule="auto"/>
              <w:ind w:left="48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27" w:type="dxa"/>
            <w:vAlign w:val="top"/>
          </w:tcPr>
          <w:p w14:paraId="35F68C39">
            <w:pPr>
              <w:spacing w:before="96" w:line="195" w:lineRule="auto"/>
              <w:ind w:left="522"/>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228" w:type="dxa"/>
            <w:vAlign w:val="top"/>
          </w:tcPr>
          <w:p w14:paraId="6F441F81">
            <w:pPr>
              <w:spacing w:before="96" w:line="195" w:lineRule="auto"/>
              <w:ind w:left="51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28" w:type="dxa"/>
            <w:vAlign w:val="top"/>
          </w:tcPr>
          <w:p w14:paraId="0686E6D3">
            <w:pPr>
              <w:spacing w:before="96" w:line="195" w:lineRule="auto"/>
              <w:ind w:left="52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228" w:type="dxa"/>
            <w:vAlign w:val="top"/>
          </w:tcPr>
          <w:p w14:paraId="4F96276C">
            <w:pPr>
              <w:spacing w:before="96" w:line="195" w:lineRule="auto"/>
              <w:ind w:left="51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14" w:type="dxa"/>
            <w:vAlign w:val="top"/>
          </w:tcPr>
          <w:p w14:paraId="1C902EF9">
            <w:pPr>
              <w:spacing w:before="96" w:line="195" w:lineRule="auto"/>
              <w:ind w:left="51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r>
      <w:tr w14:paraId="4FB3C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5553660E">
            <w:pPr>
              <w:spacing w:before="30" w:line="274" w:lineRule="exact"/>
              <w:ind w:left="8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228" w:type="dxa"/>
            <w:vAlign w:val="top"/>
          </w:tcPr>
          <w:p w14:paraId="320BD327">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1.47E-03</w:t>
            </w:r>
          </w:p>
        </w:tc>
        <w:tc>
          <w:tcPr>
            <w:tcW w:w="1228" w:type="dxa"/>
            <w:vAlign w:val="top"/>
          </w:tcPr>
          <w:p w14:paraId="2DA932B6">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0.73</w:t>
            </w:r>
          </w:p>
        </w:tc>
        <w:tc>
          <w:tcPr>
            <w:tcW w:w="1228" w:type="dxa"/>
            <w:vAlign w:val="top"/>
          </w:tcPr>
          <w:p w14:paraId="12AC1C79">
            <w:pPr>
              <w:spacing w:before="30"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1.47E-04</w:t>
            </w:r>
          </w:p>
        </w:tc>
        <w:tc>
          <w:tcPr>
            <w:tcW w:w="1299" w:type="dxa"/>
            <w:vAlign w:val="top"/>
          </w:tcPr>
          <w:p w14:paraId="659F27E9">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1.47</w:t>
            </w:r>
          </w:p>
        </w:tc>
        <w:tc>
          <w:tcPr>
            <w:tcW w:w="1174" w:type="dxa"/>
            <w:vAlign w:val="top"/>
          </w:tcPr>
          <w:p w14:paraId="76B9BCD4">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1.55E-03</w:t>
            </w:r>
          </w:p>
        </w:tc>
        <w:tc>
          <w:tcPr>
            <w:tcW w:w="1227" w:type="dxa"/>
            <w:vAlign w:val="top"/>
          </w:tcPr>
          <w:p w14:paraId="76037396">
            <w:pPr>
              <w:spacing w:before="30"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0.77</w:t>
            </w:r>
          </w:p>
        </w:tc>
        <w:tc>
          <w:tcPr>
            <w:tcW w:w="1228" w:type="dxa"/>
            <w:vAlign w:val="top"/>
          </w:tcPr>
          <w:p w14:paraId="3014A1C5">
            <w:pPr>
              <w:spacing w:before="30"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6.64E-04</w:t>
            </w:r>
          </w:p>
        </w:tc>
        <w:tc>
          <w:tcPr>
            <w:tcW w:w="1228" w:type="dxa"/>
            <w:vAlign w:val="top"/>
          </w:tcPr>
          <w:p w14:paraId="2FE4F72F">
            <w:pPr>
              <w:spacing w:before="30"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6.64</w:t>
            </w:r>
          </w:p>
        </w:tc>
        <w:tc>
          <w:tcPr>
            <w:tcW w:w="1228" w:type="dxa"/>
            <w:vAlign w:val="top"/>
          </w:tcPr>
          <w:p w14:paraId="4E054F24">
            <w:pPr>
              <w:spacing w:before="30"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1.10E-02</w:t>
            </w:r>
          </w:p>
        </w:tc>
        <w:tc>
          <w:tcPr>
            <w:tcW w:w="1214" w:type="dxa"/>
            <w:vAlign w:val="top"/>
          </w:tcPr>
          <w:p w14:paraId="23048642">
            <w:pPr>
              <w:spacing w:before="30"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1.22</w:t>
            </w:r>
          </w:p>
        </w:tc>
      </w:tr>
      <w:tr w14:paraId="4E4E4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DB3DF21">
            <w:pPr>
              <w:spacing w:before="30" w:line="274" w:lineRule="exact"/>
              <w:ind w:left="8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228" w:type="dxa"/>
            <w:vAlign w:val="top"/>
          </w:tcPr>
          <w:p w14:paraId="2A98C2F1">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1.60E-03</w:t>
            </w:r>
          </w:p>
        </w:tc>
        <w:tc>
          <w:tcPr>
            <w:tcW w:w="1228" w:type="dxa"/>
            <w:vAlign w:val="top"/>
          </w:tcPr>
          <w:p w14:paraId="167E1C5F">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0.80</w:t>
            </w:r>
          </w:p>
        </w:tc>
        <w:tc>
          <w:tcPr>
            <w:tcW w:w="1228" w:type="dxa"/>
            <w:vAlign w:val="top"/>
          </w:tcPr>
          <w:p w14:paraId="25945BBE">
            <w:pPr>
              <w:spacing w:before="30"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1.60E-04</w:t>
            </w:r>
          </w:p>
        </w:tc>
        <w:tc>
          <w:tcPr>
            <w:tcW w:w="1299" w:type="dxa"/>
            <w:vAlign w:val="top"/>
          </w:tcPr>
          <w:p w14:paraId="183B521E">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1.60</w:t>
            </w:r>
          </w:p>
        </w:tc>
        <w:tc>
          <w:tcPr>
            <w:tcW w:w="1174" w:type="dxa"/>
            <w:vAlign w:val="top"/>
          </w:tcPr>
          <w:p w14:paraId="3DAFE869">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1.85E-03</w:t>
            </w:r>
          </w:p>
        </w:tc>
        <w:tc>
          <w:tcPr>
            <w:tcW w:w="1227" w:type="dxa"/>
            <w:vAlign w:val="top"/>
          </w:tcPr>
          <w:p w14:paraId="0E7E9BFA">
            <w:pPr>
              <w:spacing w:before="30"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0.93</w:t>
            </w:r>
          </w:p>
        </w:tc>
        <w:tc>
          <w:tcPr>
            <w:tcW w:w="1228" w:type="dxa"/>
            <w:vAlign w:val="top"/>
          </w:tcPr>
          <w:p w14:paraId="430EC1FF">
            <w:pPr>
              <w:spacing w:before="30"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7.93E-04</w:t>
            </w:r>
          </w:p>
        </w:tc>
        <w:tc>
          <w:tcPr>
            <w:tcW w:w="1228" w:type="dxa"/>
            <w:vAlign w:val="top"/>
          </w:tcPr>
          <w:p w14:paraId="294B7EE7">
            <w:pPr>
              <w:spacing w:before="30"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7.93</w:t>
            </w:r>
          </w:p>
        </w:tc>
        <w:tc>
          <w:tcPr>
            <w:tcW w:w="1228" w:type="dxa"/>
            <w:vAlign w:val="top"/>
          </w:tcPr>
          <w:p w14:paraId="70B803D9">
            <w:pPr>
              <w:spacing w:before="30"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8.47E-03</w:t>
            </w:r>
          </w:p>
        </w:tc>
        <w:tc>
          <w:tcPr>
            <w:tcW w:w="1214" w:type="dxa"/>
            <w:vAlign w:val="top"/>
          </w:tcPr>
          <w:p w14:paraId="118AF09D">
            <w:pPr>
              <w:spacing w:before="30"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0.94</w:t>
            </w:r>
          </w:p>
        </w:tc>
      </w:tr>
      <w:tr w14:paraId="08944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Align w:val="top"/>
          </w:tcPr>
          <w:p w14:paraId="1E3CE441">
            <w:pPr>
              <w:spacing w:before="30" w:line="274" w:lineRule="exact"/>
              <w:ind w:left="8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228" w:type="dxa"/>
            <w:vAlign w:val="top"/>
          </w:tcPr>
          <w:p w14:paraId="45704AD6">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1.79E-03</w:t>
            </w:r>
          </w:p>
        </w:tc>
        <w:tc>
          <w:tcPr>
            <w:tcW w:w="1228" w:type="dxa"/>
            <w:vAlign w:val="top"/>
          </w:tcPr>
          <w:p w14:paraId="4F5028EB">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0.89</w:t>
            </w:r>
          </w:p>
        </w:tc>
        <w:tc>
          <w:tcPr>
            <w:tcW w:w="1228" w:type="dxa"/>
            <w:vAlign w:val="top"/>
          </w:tcPr>
          <w:p w14:paraId="683DBECD">
            <w:pPr>
              <w:spacing w:before="30"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1.79E-04</w:t>
            </w:r>
          </w:p>
        </w:tc>
        <w:tc>
          <w:tcPr>
            <w:tcW w:w="1299" w:type="dxa"/>
            <w:vAlign w:val="top"/>
          </w:tcPr>
          <w:p w14:paraId="1F7F04A3">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1.79</w:t>
            </w:r>
          </w:p>
        </w:tc>
        <w:tc>
          <w:tcPr>
            <w:tcW w:w="1174" w:type="dxa"/>
            <w:vAlign w:val="top"/>
          </w:tcPr>
          <w:p w14:paraId="148BA26C">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1.28E-03</w:t>
            </w:r>
          </w:p>
        </w:tc>
        <w:tc>
          <w:tcPr>
            <w:tcW w:w="1227" w:type="dxa"/>
            <w:vAlign w:val="top"/>
          </w:tcPr>
          <w:p w14:paraId="2E640762">
            <w:pPr>
              <w:spacing w:before="30"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0.64</w:t>
            </w:r>
          </w:p>
        </w:tc>
        <w:tc>
          <w:tcPr>
            <w:tcW w:w="1228" w:type="dxa"/>
            <w:vAlign w:val="top"/>
          </w:tcPr>
          <w:p w14:paraId="024A0169">
            <w:pPr>
              <w:spacing w:before="30"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5.49E-04</w:t>
            </w:r>
          </w:p>
        </w:tc>
        <w:tc>
          <w:tcPr>
            <w:tcW w:w="1228" w:type="dxa"/>
            <w:vAlign w:val="top"/>
          </w:tcPr>
          <w:p w14:paraId="512D460E">
            <w:pPr>
              <w:spacing w:before="30"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5.49</w:t>
            </w:r>
          </w:p>
        </w:tc>
        <w:tc>
          <w:tcPr>
            <w:tcW w:w="1228" w:type="dxa"/>
            <w:vAlign w:val="top"/>
          </w:tcPr>
          <w:p w14:paraId="67CA430E">
            <w:pPr>
              <w:spacing w:before="30"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3.88E-03</w:t>
            </w:r>
          </w:p>
        </w:tc>
        <w:tc>
          <w:tcPr>
            <w:tcW w:w="1214" w:type="dxa"/>
            <w:vAlign w:val="top"/>
          </w:tcPr>
          <w:p w14:paraId="64ADEE75">
            <w:pPr>
              <w:spacing w:before="30"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r>
      <w:tr w14:paraId="4C5DC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Align w:val="top"/>
          </w:tcPr>
          <w:p w14:paraId="6D726E1B">
            <w:pPr>
              <w:spacing w:before="31" w:line="274" w:lineRule="exact"/>
              <w:ind w:left="8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228" w:type="dxa"/>
            <w:vAlign w:val="top"/>
          </w:tcPr>
          <w:p w14:paraId="7383BADF">
            <w:pPr>
              <w:spacing w:before="31"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7.99E-04</w:t>
            </w:r>
          </w:p>
        </w:tc>
        <w:tc>
          <w:tcPr>
            <w:tcW w:w="1228" w:type="dxa"/>
            <w:vAlign w:val="top"/>
          </w:tcPr>
          <w:p w14:paraId="483B7E31">
            <w:pPr>
              <w:spacing w:before="31"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c>
          <w:tcPr>
            <w:tcW w:w="1228" w:type="dxa"/>
            <w:vAlign w:val="top"/>
          </w:tcPr>
          <w:p w14:paraId="3FF36936">
            <w:pPr>
              <w:spacing w:before="31"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7.99E-05</w:t>
            </w:r>
          </w:p>
        </w:tc>
        <w:tc>
          <w:tcPr>
            <w:tcW w:w="1299" w:type="dxa"/>
            <w:vAlign w:val="top"/>
          </w:tcPr>
          <w:p w14:paraId="18C06797">
            <w:pPr>
              <w:spacing w:before="31"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0.80</w:t>
            </w:r>
          </w:p>
        </w:tc>
        <w:tc>
          <w:tcPr>
            <w:tcW w:w="1174" w:type="dxa"/>
            <w:vAlign w:val="top"/>
          </w:tcPr>
          <w:p w14:paraId="3FB23300">
            <w:pPr>
              <w:spacing w:before="31" w:line="274"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4.69E-04</w:t>
            </w:r>
          </w:p>
        </w:tc>
        <w:tc>
          <w:tcPr>
            <w:tcW w:w="1227" w:type="dxa"/>
            <w:vAlign w:val="top"/>
          </w:tcPr>
          <w:p w14:paraId="62E129B7">
            <w:pPr>
              <w:spacing w:before="31"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0.23</w:t>
            </w:r>
          </w:p>
        </w:tc>
        <w:tc>
          <w:tcPr>
            <w:tcW w:w="1228" w:type="dxa"/>
            <w:vAlign w:val="top"/>
          </w:tcPr>
          <w:p w14:paraId="559A0200">
            <w:pPr>
              <w:spacing w:before="31"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2.01E-04</w:t>
            </w:r>
          </w:p>
        </w:tc>
        <w:tc>
          <w:tcPr>
            <w:tcW w:w="1228" w:type="dxa"/>
            <w:vAlign w:val="top"/>
          </w:tcPr>
          <w:p w14:paraId="1A17980A">
            <w:pPr>
              <w:spacing w:before="31"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2.01</w:t>
            </w:r>
          </w:p>
        </w:tc>
        <w:tc>
          <w:tcPr>
            <w:tcW w:w="1228" w:type="dxa"/>
            <w:vAlign w:val="top"/>
          </w:tcPr>
          <w:p w14:paraId="5D97D3EF">
            <w:pPr>
              <w:spacing w:before="31"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1.54E-03</w:t>
            </w:r>
          </w:p>
        </w:tc>
        <w:tc>
          <w:tcPr>
            <w:tcW w:w="1214" w:type="dxa"/>
            <w:vAlign w:val="top"/>
          </w:tcPr>
          <w:p w14:paraId="0373CC40">
            <w:pPr>
              <w:spacing w:before="31"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0.17</w:t>
            </w:r>
          </w:p>
        </w:tc>
      </w:tr>
      <w:tr w14:paraId="11749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FFC0188">
            <w:pPr>
              <w:spacing w:before="32" w:line="27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228" w:type="dxa"/>
            <w:vAlign w:val="top"/>
          </w:tcPr>
          <w:p w14:paraId="2B4A2F35">
            <w:pPr>
              <w:spacing w:before="32"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3.03E-04</w:t>
            </w:r>
          </w:p>
        </w:tc>
        <w:tc>
          <w:tcPr>
            <w:tcW w:w="1228" w:type="dxa"/>
            <w:vAlign w:val="top"/>
          </w:tcPr>
          <w:p w14:paraId="31099078">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1228" w:type="dxa"/>
            <w:vAlign w:val="top"/>
          </w:tcPr>
          <w:p w14:paraId="4840263D">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3.03E-05</w:t>
            </w:r>
          </w:p>
        </w:tc>
        <w:tc>
          <w:tcPr>
            <w:tcW w:w="1299" w:type="dxa"/>
            <w:vAlign w:val="top"/>
          </w:tcPr>
          <w:p w14:paraId="563DB486">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0.30</w:t>
            </w:r>
          </w:p>
        </w:tc>
        <w:tc>
          <w:tcPr>
            <w:tcW w:w="1174" w:type="dxa"/>
            <w:vAlign w:val="top"/>
          </w:tcPr>
          <w:p w14:paraId="2E780A53">
            <w:pPr>
              <w:spacing w:before="32"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1.76E-04</w:t>
            </w:r>
          </w:p>
        </w:tc>
        <w:tc>
          <w:tcPr>
            <w:tcW w:w="1227" w:type="dxa"/>
            <w:vAlign w:val="top"/>
          </w:tcPr>
          <w:p w14:paraId="55AFF251">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228" w:type="dxa"/>
            <w:vAlign w:val="top"/>
          </w:tcPr>
          <w:p w14:paraId="5FD4A011">
            <w:pPr>
              <w:spacing w:before="32"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7.56E-05</w:t>
            </w:r>
          </w:p>
        </w:tc>
        <w:tc>
          <w:tcPr>
            <w:tcW w:w="1228" w:type="dxa"/>
            <w:vAlign w:val="top"/>
          </w:tcPr>
          <w:p w14:paraId="0DF749D0">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0.76</w:t>
            </w:r>
          </w:p>
        </w:tc>
        <w:tc>
          <w:tcPr>
            <w:tcW w:w="1228" w:type="dxa"/>
            <w:vAlign w:val="top"/>
          </w:tcPr>
          <w:p w14:paraId="6E0D228A">
            <w:pPr>
              <w:spacing w:before="32"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5.96E-04</w:t>
            </w:r>
          </w:p>
        </w:tc>
        <w:tc>
          <w:tcPr>
            <w:tcW w:w="1214" w:type="dxa"/>
            <w:vAlign w:val="top"/>
          </w:tcPr>
          <w:p w14:paraId="4F3095EE">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r>
      <w:tr w14:paraId="1AEA2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3374234F">
            <w:pPr>
              <w:spacing w:before="32" w:line="27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228" w:type="dxa"/>
            <w:vAlign w:val="top"/>
          </w:tcPr>
          <w:p w14:paraId="32815852">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28" w:type="dxa"/>
            <w:vAlign w:val="top"/>
          </w:tcPr>
          <w:p w14:paraId="1C0ED2C5">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228" w:type="dxa"/>
            <w:vAlign w:val="top"/>
          </w:tcPr>
          <w:p w14:paraId="4F91887B">
            <w:pPr>
              <w:spacing w:before="32"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99" w:type="dxa"/>
            <w:vAlign w:val="top"/>
          </w:tcPr>
          <w:p w14:paraId="6E9718F9">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0.18</w:t>
            </w:r>
          </w:p>
        </w:tc>
        <w:tc>
          <w:tcPr>
            <w:tcW w:w="1174" w:type="dxa"/>
            <w:vAlign w:val="top"/>
          </w:tcPr>
          <w:p w14:paraId="09980516">
            <w:pPr>
              <w:spacing w:before="32"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1.04E-04</w:t>
            </w:r>
          </w:p>
        </w:tc>
        <w:tc>
          <w:tcPr>
            <w:tcW w:w="1227" w:type="dxa"/>
            <w:vAlign w:val="top"/>
          </w:tcPr>
          <w:p w14:paraId="46A05AB6">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228" w:type="dxa"/>
            <w:vAlign w:val="top"/>
          </w:tcPr>
          <w:p w14:paraId="460B64D6">
            <w:pPr>
              <w:spacing w:before="32"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4.47E-05</w:t>
            </w:r>
          </w:p>
        </w:tc>
        <w:tc>
          <w:tcPr>
            <w:tcW w:w="1228" w:type="dxa"/>
            <w:vAlign w:val="top"/>
          </w:tcPr>
          <w:p w14:paraId="3597428C">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0.45</w:t>
            </w:r>
          </w:p>
        </w:tc>
        <w:tc>
          <w:tcPr>
            <w:tcW w:w="1228" w:type="dxa"/>
            <w:vAlign w:val="top"/>
          </w:tcPr>
          <w:p w14:paraId="05BE88A7">
            <w:pPr>
              <w:spacing w:before="32"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3.55E-04</w:t>
            </w:r>
          </w:p>
        </w:tc>
        <w:tc>
          <w:tcPr>
            <w:tcW w:w="1214" w:type="dxa"/>
            <w:vAlign w:val="top"/>
          </w:tcPr>
          <w:p w14:paraId="532DDCEA">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CA51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69586C43">
            <w:pPr>
              <w:spacing w:before="32"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1228" w:type="dxa"/>
            <w:vAlign w:val="top"/>
          </w:tcPr>
          <w:p w14:paraId="41C7E4CF">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1.17E-04</w:t>
            </w:r>
          </w:p>
        </w:tc>
        <w:tc>
          <w:tcPr>
            <w:tcW w:w="1228" w:type="dxa"/>
            <w:vAlign w:val="top"/>
          </w:tcPr>
          <w:p w14:paraId="67A31EB4">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228" w:type="dxa"/>
            <w:vAlign w:val="top"/>
          </w:tcPr>
          <w:p w14:paraId="789BF384">
            <w:pPr>
              <w:spacing w:before="32"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1.17E-05</w:t>
            </w:r>
          </w:p>
        </w:tc>
        <w:tc>
          <w:tcPr>
            <w:tcW w:w="1299" w:type="dxa"/>
            <w:vAlign w:val="top"/>
          </w:tcPr>
          <w:p w14:paraId="004F53F1">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1174" w:type="dxa"/>
            <w:vAlign w:val="top"/>
          </w:tcPr>
          <w:p w14:paraId="09FB4E1F">
            <w:pPr>
              <w:spacing w:before="32"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6.74E-05</w:t>
            </w:r>
          </w:p>
        </w:tc>
        <w:tc>
          <w:tcPr>
            <w:tcW w:w="1227" w:type="dxa"/>
            <w:vAlign w:val="top"/>
          </w:tcPr>
          <w:p w14:paraId="2EC34132">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228" w:type="dxa"/>
            <w:vAlign w:val="top"/>
          </w:tcPr>
          <w:p w14:paraId="71F674FE">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2.89E-05</w:t>
            </w:r>
          </w:p>
        </w:tc>
        <w:tc>
          <w:tcPr>
            <w:tcW w:w="1228" w:type="dxa"/>
            <w:vAlign w:val="top"/>
          </w:tcPr>
          <w:p w14:paraId="25F79CBD">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c>
          <w:tcPr>
            <w:tcW w:w="1228" w:type="dxa"/>
            <w:vAlign w:val="top"/>
          </w:tcPr>
          <w:p w14:paraId="0C83A575">
            <w:pPr>
              <w:spacing w:before="32"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2.30E-04</w:t>
            </w:r>
          </w:p>
        </w:tc>
        <w:tc>
          <w:tcPr>
            <w:tcW w:w="1214" w:type="dxa"/>
            <w:vAlign w:val="top"/>
          </w:tcPr>
          <w:p w14:paraId="54FE1800">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r>
      <w:tr w14:paraId="3FF0F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C83E7E6">
            <w:pPr>
              <w:spacing w:before="32" w:line="274" w:lineRule="exact"/>
              <w:ind w:left="8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600</w:t>
            </w:r>
          </w:p>
        </w:tc>
        <w:tc>
          <w:tcPr>
            <w:tcW w:w="1228" w:type="dxa"/>
            <w:vAlign w:val="top"/>
          </w:tcPr>
          <w:p w14:paraId="25C810FB">
            <w:pPr>
              <w:spacing w:before="32"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6.72E-05</w:t>
            </w:r>
          </w:p>
        </w:tc>
        <w:tc>
          <w:tcPr>
            <w:tcW w:w="1228" w:type="dxa"/>
            <w:vAlign w:val="top"/>
          </w:tcPr>
          <w:p w14:paraId="24869EC9">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228" w:type="dxa"/>
            <w:vAlign w:val="top"/>
          </w:tcPr>
          <w:p w14:paraId="19BA884A">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6.72E-06</w:t>
            </w:r>
          </w:p>
        </w:tc>
        <w:tc>
          <w:tcPr>
            <w:tcW w:w="1299" w:type="dxa"/>
            <w:vAlign w:val="top"/>
          </w:tcPr>
          <w:p w14:paraId="16726629">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174" w:type="dxa"/>
            <w:vAlign w:val="top"/>
          </w:tcPr>
          <w:p w14:paraId="718ED3FC">
            <w:pPr>
              <w:spacing w:before="32"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3.86E-05</w:t>
            </w:r>
          </w:p>
        </w:tc>
        <w:tc>
          <w:tcPr>
            <w:tcW w:w="1227" w:type="dxa"/>
            <w:vAlign w:val="top"/>
          </w:tcPr>
          <w:p w14:paraId="25E91408">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28" w:type="dxa"/>
            <w:vAlign w:val="top"/>
          </w:tcPr>
          <w:p w14:paraId="2418F833">
            <w:pPr>
              <w:spacing w:before="32"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1.66E-05</w:t>
            </w:r>
          </w:p>
        </w:tc>
        <w:tc>
          <w:tcPr>
            <w:tcW w:w="1228" w:type="dxa"/>
            <w:vAlign w:val="top"/>
          </w:tcPr>
          <w:p w14:paraId="6D82C8DC">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0.17</w:t>
            </w:r>
          </w:p>
        </w:tc>
        <w:tc>
          <w:tcPr>
            <w:tcW w:w="1228" w:type="dxa"/>
            <w:vAlign w:val="top"/>
          </w:tcPr>
          <w:p w14:paraId="6FF55AF4">
            <w:pPr>
              <w:spacing w:before="32"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1.32E-04</w:t>
            </w:r>
          </w:p>
        </w:tc>
        <w:tc>
          <w:tcPr>
            <w:tcW w:w="1214" w:type="dxa"/>
            <w:vAlign w:val="top"/>
          </w:tcPr>
          <w:p w14:paraId="2AE246DF">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r>
      <w:tr w14:paraId="6EAFB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7BF14AC7">
            <w:pPr>
              <w:spacing w:before="32" w:line="274" w:lineRule="exact"/>
              <w:ind w:left="8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800</w:t>
            </w:r>
          </w:p>
        </w:tc>
        <w:tc>
          <w:tcPr>
            <w:tcW w:w="1228" w:type="dxa"/>
            <w:vAlign w:val="top"/>
          </w:tcPr>
          <w:p w14:paraId="0BED1884">
            <w:pPr>
              <w:spacing w:before="32"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4.53E-05</w:t>
            </w:r>
          </w:p>
        </w:tc>
        <w:tc>
          <w:tcPr>
            <w:tcW w:w="1228" w:type="dxa"/>
            <w:vAlign w:val="top"/>
          </w:tcPr>
          <w:p w14:paraId="39CFD541">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28" w:type="dxa"/>
            <w:vAlign w:val="top"/>
          </w:tcPr>
          <w:p w14:paraId="31C193D8">
            <w:pPr>
              <w:spacing w:before="32"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4.53E-06</w:t>
            </w:r>
          </w:p>
        </w:tc>
        <w:tc>
          <w:tcPr>
            <w:tcW w:w="1299" w:type="dxa"/>
            <w:vAlign w:val="top"/>
          </w:tcPr>
          <w:p w14:paraId="061A9F65">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174" w:type="dxa"/>
            <w:vAlign w:val="top"/>
          </w:tcPr>
          <w:p w14:paraId="60B28775">
            <w:pPr>
              <w:spacing w:before="32"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7" w:type="dxa"/>
            <w:vAlign w:val="top"/>
          </w:tcPr>
          <w:p w14:paraId="048EF746">
            <w:pPr>
              <w:spacing w:before="32"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1CBC0C8F">
            <w:pPr>
              <w:spacing w:before="32" w:line="274" w:lineRule="exact"/>
              <w:ind w:left="5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553532A3">
            <w:pPr>
              <w:spacing w:before="32" w:line="274" w:lineRule="exact"/>
              <w:ind w:left="5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3BAEA8C5">
            <w:pPr>
              <w:spacing w:before="32"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8.88E-05</w:t>
            </w:r>
          </w:p>
        </w:tc>
        <w:tc>
          <w:tcPr>
            <w:tcW w:w="1214" w:type="dxa"/>
            <w:vAlign w:val="top"/>
          </w:tcPr>
          <w:p w14:paraId="2812CC84">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r>
      <w:tr w14:paraId="7F256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3ECE3E6F">
            <w:pPr>
              <w:spacing w:before="32"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1000</w:t>
            </w:r>
          </w:p>
        </w:tc>
        <w:tc>
          <w:tcPr>
            <w:tcW w:w="1228" w:type="dxa"/>
            <w:vAlign w:val="top"/>
          </w:tcPr>
          <w:p w14:paraId="0AC81AE1">
            <w:pPr>
              <w:spacing w:before="32"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3.34E-05</w:t>
            </w:r>
          </w:p>
        </w:tc>
        <w:tc>
          <w:tcPr>
            <w:tcW w:w="1228" w:type="dxa"/>
            <w:vAlign w:val="top"/>
          </w:tcPr>
          <w:p w14:paraId="311FEE9D">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28" w:type="dxa"/>
            <w:vAlign w:val="top"/>
          </w:tcPr>
          <w:p w14:paraId="3F35ABC4">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3.34E-06</w:t>
            </w:r>
          </w:p>
        </w:tc>
        <w:tc>
          <w:tcPr>
            <w:tcW w:w="1299" w:type="dxa"/>
            <w:vAlign w:val="top"/>
          </w:tcPr>
          <w:p w14:paraId="2292320D">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174" w:type="dxa"/>
            <w:vAlign w:val="top"/>
          </w:tcPr>
          <w:p w14:paraId="24F806F9">
            <w:pPr>
              <w:spacing w:before="32"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7" w:type="dxa"/>
            <w:vAlign w:val="top"/>
          </w:tcPr>
          <w:p w14:paraId="576D1E5A">
            <w:pPr>
              <w:spacing w:before="32"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6170D496">
            <w:pPr>
              <w:spacing w:before="32" w:line="274" w:lineRule="exact"/>
              <w:ind w:left="5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565C4C46">
            <w:pPr>
              <w:spacing w:before="32" w:line="274" w:lineRule="exact"/>
              <w:ind w:left="5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69C0E8F3">
            <w:pPr>
              <w:spacing w:before="32"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6.54E-05</w:t>
            </w:r>
          </w:p>
        </w:tc>
        <w:tc>
          <w:tcPr>
            <w:tcW w:w="1214" w:type="dxa"/>
            <w:vAlign w:val="top"/>
          </w:tcPr>
          <w:p w14:paraId="1725FC0C">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r>
      <w:tr w14:paraId="3777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53EFF7B">
            <w:pPr>
              <w:pStyle w:val="6"/>
              <w:spacing w:before="63" w:line="228" w:lineRule="auto"/>
              <w:ind w:left="663"/>
            </w:pPr>
            <w:r>
              <w:rPr>
                <w:spacing w:val="6"/>
              </w:rPr>
              <w:t>最大值</w:t>
            </w:r>
          </w:p>
        </w:tc>
        <w:tc>
          <w:tcPr>
            <w:tcW w:w="1228" w:type="dxa"/>
            <w:vAlign w:val="top"/>
          </w:tcPr>
          <w:p w14:paraId="3515A095">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28" w:type="dxa"/>
            <w:vAlign w:val="top"/>
          </w:tcPr>
          <w:p w14:paraId="3B0C6580">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0.91</w:t>
            </w:r>
          </w:p>
        </w:tc>
        <w:tc>
          <w:tcPr>
            <w:tcW w:w="1228" w:type="dxa"/>
            <w:vAlign w:val="top"/>
          </w:tcPr>
          <w:p w14:paraId="21C1951C">
            <w:pPr>
              <w:spacing w:before="32"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99" w:type="dxa"/>
            <w:vAlign w:val="top"/>
          </w:tcPr>
          <w:p w14:paraId="1CE282D8">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w:t>
            </w:r>
          </w:p>
        </w:tc>
        <w:tc>
          <w:tcPr>
            <w:tcW w:w="1174" w:type="dxa"/>
            <w:vAlign w:val="top"/>
          </w:tcPr>
          <w:p w14:paraId="0A9AB418">
            <w:pPr>
              <w:spacing w:before="32"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1.94E-03</w:t>
            </w:r>
          </w:p>
        </w:tc>
        <w:tc>
          <w:tcPr>
            <w:tcW w:w="1227" w:type="dxa"/>
            <w:vAlign w:val="top"/>
          </w:tcPr>
          <w:p w14:paraId="314FE9BA">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c>
          <w:tcPr>
            <w:tcW w:w="1228" w:type="dxa"/>
            <w:vAlign w:val="top"/>
          </w:tcPr>
          <w:p w14:paraId="30CB0DD9">
            <w:pPr>
              <w:spacing w:before="32" w:line="274" w:lineRule="exact"/>
              <w:ind w:left="2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8.33E-04</w:t>
            </w:r>
          </w:p>
        </w:tc>
        <w:tc>
          <w:tcPr>
            <w:tcW w:w="1228" w:type="dxa"/>
            <w:vAlign w:val="top"/>
          </w:tcPr>
          <w:p w14:paraId="348D6994">
            <w:pPr>
              <w:spacing w:before="32"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c>
          <w:tcPr>
            <w:tcW w:w="1228" w:type="dxa"/>
            <w:vAlign w:val="top"/>
          </w:tcPr>
          <w:p w14:paraId="46711647">
            <w:pPr>
              <w:spacing w:before="32"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1.17E-02</w:t>
            </w:r>
          </w:p>
        </w:tc>
        <w:tc>
          <w:tcPr>
            <w:tcW w:w="1214" w:type="dxa"/>
            <w:vAlign w:val="top"/>
          </w:tcPr>
          <w:p w14:paraId="6EC9FF19">
            <w:pPr>
              <w:spacing w:before="32"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w:t>
            </w:r>
          </w:p>
        </w:tc>
      </w:tr>
      <w:tr w14:paraId="553A2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6FFB4134">
            <w:pPr>
              <w:pStyle w:val="6"/>
              <w:spacing w:before="63" w:line="228" w:lineRule="auto"/>
              <w:ind w:left="243"/>
            </w:pPr>
            <w:r>
              <w:rPr>
                <w:spacing w:val="8"/>
              </w:rPr>
              <w:t>最大值所在位置</w:t>
            </w:r>
          </w:p>
        </w:tc>
        <w:tc>
          <w:tcPr>
            <w:tcW w:w="2456" w:type="dxa"/>
            <w:gridSpan w:val="2"/>
            <w:vAlign w:val="top"/>
          </w:tcPr>
          <w:p w14:paraId="662839C2">
            <w:pPr>
              <w:spacing w:before="32" w:line="274" w:lineRule="exact"/>
              <w:ind w:left="1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2527" w:type="dxa"/>
            <w:gridSpan w:val="2"/>
            <w:vAlign w:val="top"/>
          </w:tcPr>
          <w:p w14:paraId="1A01DA0B">
            <w:pPr>
              <w:spacing w:before="32" w:line="274" w:lineRule="exact"/>
              <w:ind w:left="11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2401" w:type="dxa"/>
            <w:gridSpan w:val="2"/>
            <w:vAlign w:val="top"/>
          </w:tcPr>
          <w:p w14:paraId="74FC6DC6">
            <w:pPr>
              <w:spacing w:before="32" w:line="274" w:lineRule="exact"/>
              <w:ind w:left="11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c>
        <w:tc>
          <w:tcPr>
            <w:tcW w:w="2456" w:type="dxa"/>
            <w:gridSpan w:val="2"/>
            <w:vAlign w:val="top"/>
          </w:tcPr>
          <w:p w14:paraId="2B288B7D">
            <w:pPr>
              <w:spacing w:before="32" w:line="274" w:lineRule="exact"/>
              <w:ind w:left="11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c>
        <w:tc>
          <w:tcPr>
            <w:tcW w:w="2442" w:type="dxa"/>
            <w:gridSpan w:val="2"/>
            <w:vAlign w:val="top"/>
          </w:tcPr>
          <w:p w14:paraId="180B5A7A">
            <w:pPr>
              <w:spacing w:before="32" w:line="274" w:lineRule="exact"/>
              <w:ind w:left="113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r>
      <w:tr w14:paraId="2E6B5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40" w:type="dxa"/>
            <w:vAlign w:val="top"/>
          </w:tcPr>
          <w:p w14:paraId="68274369">
            <w:pPr>
              <w:pStyle w:val="6"/>
              <w:spacing w:before="32" w:line="274" w:lineRule="exact"/>
              <w:ind w:left="411"/>
            </w:pPr>
            <w:r>
              <w:rPr>
                <w:rFonts w:ascii="Times New Roman" w:hAnsi="Times New Roman" w:eastAsia="Times New Roman" w:cs="Times New Roman"/>
                <w:spacing w:val="1"/>
                <w:position w:val="1"/>
              </w:rPr>
              <w:t>D</w:t>
            </w:r>
            <w:r>
              <w:rPr>
                <w:rFonts w:ascii="Times New Roman" w:hAnsi="Times New Roman" w:eastAsia="Times New Roman" w:cs="Times New Roman"/>
                <w:spacing w:val="-20"/>
                <w:position w:val="1"/>
              </w:rPr>
              <w:t xml:space="preserve"> </w:t>
            </w:r>
            <w:r>
              <w:rPr>
                <w:rFonts w:ascii="Times New Roman" w:hAnsi="Times New Roman" w:eastAsia="Times New Roman" w:cs="Times New Roman"/>
                <w:spacing w:val="1"/>
                <w:position w:val="1"/>
              </w:rPr>
              <w:t>10%</w:t>
            </w:r>
            <w:r>
              <w:rPr>
                <w:spacing w:val="1"/>
                <w:position w:val="1"/>
              </w:rPr>
              <w:t>（</w:t>
            </w:r>
            <w:r>
              <w:rPr>
                <w:rFonts w:ascii="Times New Roman" w:hAnsi="Times New Roman" w:eastAsia="Times New Roman" w:cs="Times New Roman"/>
                <w:spacing w:val="1"/>
                <w:position w:val="1"/>
              </w:rPr>
              <w:t>m</w:t>
            </w:r>
            <w:r>
              <w:rPr>
                <w:spacing w:val="1"/>
                <w:position w:val="1"/>
              </w:rPr>
              <w:t>）</w:t>
            </w:r>
          </w:p>
        </w:tc>
        <w:tc>
          <w:tcPr>
            <w:tcW w:w="2456" w:type="dxa"/>
            <w:gridSpan w:val="2"/>
            <w:vAlign w:val="top"/>
          </w:tcPr>
          <w:p w14:paraId="570E30AF">
            <w:pPr>
              <w:spacing w:before="32" w:line="274" w:lineRule="exact"/>
              <w:ind w:left="1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527" w:type="dxa"/>
            <w:gridSpan w:val="2"/>
            <w:vAlign w:val="top"/>
          </w:tcPr>
          <w:p w14:paraId="2A8D2B85">
            <w:pPr>
              <w:spacing w:before="32" w:line="274" w:lineRule="exact"/>
              <w:ind w:left="12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01" w:type="dxa"/>
            <w:gridSpan w:val="2"/>
            <w:vAlign w:val="top"/>
          </w:tcPr>
          <w:p w14:paraId="060B1C92">
            <w:pPr>
              <w:spacing w:before="32" w:line="274" w:lineRule="exact"/>
              <w:ind w:left="116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56" w:type="dxa"/>
            <w:gridSpan w:val="2"/>
            <w:vAlign w:val="top"/>
          </w:tcPr>
          <w:p w14:paraId="531A915C">
            <w:pPr>
              <w:spacing w:before="32" w:line="274" w:lineRule="exact"/>
              <w:ind w:left="11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42" w:type="dxa"/>
            <w:gridSpan w:val="2"/>
            <w:vAlign w:val="top"/>
          </w:tcPr>
          <w:p w14:paraId="585BEC65">
            <w:pPr>
              <w:spacing w:before="32" w:line="274" w:lineRule="exact"/>
              <w:ind w:left="11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27DE44AA">
      <w:pPr>
        <w:pStyle w:val="2"/>
      </w:pPr>
    </w:p>
    <w:p w14:paraId="4BE4F123">
      <w:pPr>
        <w:sectPr>
          <w:footerReference r:id="rId138" w:type="default"/>
          <w:pgSz w:w="16839" w:h="11906"/>
          <w:pgMar w:top="400" w:right="1305" w:bottom="1485" w:left="1305" w:header="0" w:footer="1249" w:gutter="0"/>
          <w:cols w:space="720" w:num="1"/>
        </w:sectPr>
      </w:pPr>
    </w:p>
    <w:p w14:paraId="61578EC1">
      <w:pPr>
        <w:pStyle w:val="2"/>
        <w:spacing w:line="257" w:lineRule="auto"/>
      </w:pPr>
    </w:p>
    <w:p w14:paraId="5D49D9FA">
      <w:pPr>
        <w:pStyle w:val="2"/>
        <w:spacing w:line="257" w:lineRule="auto"/>
      </w:pPr>
    </w:p>
    <w:p w14:paraId="74F3EBE6">
      <w:pPr>
        <w:pStyle w:val="2"/>
        <w:spacing w:line="258" w:lineRule="auto"/>
      </w:pPr>
    </w:p>
    <w:p w14:paraId="5C13B891">
      <w:pPr>
        <w:pStyle w:val="2"/>
        <w:spacing w:line="258" w:lineRule="auto"/>
      </w:pPr>
    </w:p>
    <w:p w14:paraId="486B8635">
      <w:pPr>
        <w:spacing w:before="65" w:line="228" w:lineRule="auto"/>
        <w:ind w:left="1224"/>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b/>
          <w:bCs/>
          <w:spacing w:val="7"/>
          <w:sz w:val="20"/>
          <w:szCs w:val="20"/>
        </w:rPr>
        <w:t xml:space="preserve">5.2-13 </w:t>
      </w:r>
      <w:r>
        <w:rPr>
          <w:rFonts w:ascii="宋体" w:hAnsi="宋体" w:eastAsia="宋体" w:cs="宋体"/>
          <w:b/>
          <w:bCs/>
          <w:spacing w:val="7"/>
          <w:sz w:val="20"/>
          <w:szCs w:val="20"/>
        </w:rPr>
        <w:t>正常工况项目废气污染物排放下风向最大地面浓度及占标率统计表</w:t>
      </w:r>
    </w:p>
    <w:p w14:paraId="0A1930A7">
      <w:pPr>
        <w:spacing w:before="226"/>
      </w:pPr>
    </w:p>
    <w:tbl>
      <w:tblPr>
        <w:tblStyle w:val="5"/>
        <w:tblW w:w="8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955"/>
        <w:gridCol w:w="1039"/>
        <w:gridCol w:w="1087"/>
        <w:gridCol w:w="1465"/>
        <w:gridCol w:w="1275"/>
        <w:gridCol w:w="1418"/>
      </w:tblGrid>
      <w:tr w14:paraId="0B10F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711" w:type="dxa"/>
            <w:vAlign w:val="top"/>
          </w:tcPr>
          <w:p w14:paraId="7E07FD52">
            <w:pPr>
              <w:pStyle w:val="6"/>
              <w:spacing w:before="227" w:line="229" w:lineRule="auto"/>
              <w:ind w:left="545"/>
            </w:pPr>
            <w:r>
              <w:rPr>
                <w:b/>
                <w:bCs/>
                <w:spacing w:val="5"/>
              </w:rPr>
              <w:t>污染源</w:t>
            </w:r>
          </w:p>
        </w:tc>
        <w:tc>
          <w:tcPr>
            <w:tcW w:w="955" w:type="dxa"/>
            <w:vAlign w:val="top"/>
          </w:tcPr>
          <w:p w14:paraId="3DBF97FD">
            <w:pPr>
              <w:pStyle w:val="6"/>
              <w:spacing w:before="227" w:line="228" w:lineRule="auto"/>
              <w:ind w:left="267"/>
            </w:pPr>
            <w:r>
              <w:rPr>
                <w:b/>
                <w:bCs/>
                <w:spacing w:val="3"/>
              </w:rPr>
              <w:t>类型</w:t>
            </w:r>
          </w:p>
        </w:tc>
        <w:tc>
          <w:tcPr>
            <w:tcW w:w="1039" w:type="dxa"/>
            <w:vAlign w:val="top"/>
          </w:tcPr>
          <w:p w14:paraId="40CB4126">
            <w:pPr>
              <w:pStyle w:val="6"/>
              <w:spacing w:before="227" w:line="229" w:lineRule="auto"/>
              <w:ind w:left="207"/>
            </w:pPr>
            <w:r>
              <w:rPr>
                <w:b/>
                <w:bCs/>
                <w:spacing w:val="5"/>
              </w:rPr>
              <w:t>污染物</w:t>
            </w:r>
          </w:p>
        </w:tc>
        <w:tc>
          <w:tcPr>
            <w:tcW w:w="1087" w:type="dxa"/>
            <w:vAlign w:val="top"/>
          </w:tcPr>
          <w:p w14:paraId="54D42BD7">
            <w:pPr>
              <w:pStyle w:val="6"/>
              <w:spacing w:before="64" w:line="231" w:lineRule="auto"/>
              <w:ind w:left="334"/>
            </w:pPr>
            <w:r>
              <w:rPr>
                <w:b/>
                <w:bCs/>
                <w:spacing w:val="4"/>
              </w:rPr>
              <w:t>源强</w:t>
            </w:r>
          </w:p>
          <w:p w14:paraId="62A38ABC">
            <w:pPr>
              <w:pStyle w:val="6"/>
              <w:spacing w:before="75" w:line="221" w:lineRule="auto"/>
              <w:ind w:left="148"/>
            </w:pPr>
            <w:r>
              <w:rPr>
                <w:b/>
                <w:bCs/>
              </w:rPr>
              <w:t>（</w:t>
            </w:r>
            <w:r>
              <w:rPr>
                <w:rFonts w:ascii="Times New Roman" w:hAnsi="Times New Roman" w:eastAsia="Times New Roman" w:cs="Times New Roman"/>
                <w:b/>
                <w:bCs/>
              </w:rPr>
              <w:t>kg/h</w:t>
            </w:r>
            <w:r>
              <w:rPr>
                <w:b/>
                <w:bCs/>
              </w:rPr>
              <w:t>）</w:t>
            </w:r>
          </w:p>
        </w:tc>
        <w:tc>
          <w:tcPr>
            <w:tcW w:w="1465" w:type="dxa"/>
            <w:vAlign w:val="top"/>
          </w:tcPr>
          <w:p w14:paraId="0ABEE62B">
            <w:pPr>
              <w:pStyle w:val="6"/>
              <w:spacing w:before="63" w:line="271" w:lineRule="auto"/>
              <w:ind w:left="130" w:right="137" w:firstLine="82"/>
            </w:pPr>
            <w:r>
              <w:rPr>
                <w:b/>
                <w:bCs/>
                <w:spacing w:val="6"/>
              </w:rPr>
              <w:t>最大落地浓</w:t>
            </w:r>
            <w:r>
              <w:t xml:space="preserve"> </w:t>
            </w:r>
            <w:r>
              <w:rPr>
                <w:b/>
                <w:bCs/>
                <w:spacing w:val="-2"/>
              </w:rPr>
              <w:t>度（</w:t>
            </w:r>
            <w:r>
              <w:rPr>
                <w:spacing w:val="-59"/>
              </w:rPr>
              <w:t xml:space="preserve"> </w:t>
            </w:r>
            <w:r>
              <w:rPr>
                <w:rFonts w:ascii="Times New Roman" w:hAnsi="Times New Roman" w:eastAsia="Times New Roman" w:cs="Times New Roman"/>
                <w:b/>
                <w:bCs/>
                <w:spacing w:val="-2"/>
              </w:rPr>
              <w:t>mg/m</w:t>
            </w:r>
            <w:r>
              <w:rPr>
                <w:rFonts w:ascii="Times New Roman" w:hAnsi="Times New Roman" w:eastAsia="Times New Roman" w:cs="Times New Roman"/>
                <w:b/>
                <w:bCs/>
                <w:spacing w:val="-2"/>
                <w:position w:val="6"/>
                <w:sz w:val="13"/>
                <w:szCs w:val="13"/>
              </w:rPr>
              <w:t>3</w:t>
            </w:r>
            <w:r>
              <w:rPr>
                <w:b/>
                <w:bCs/>
                <w:spacing w:val="-2"/>
              </w:rPr>
              <w:t>）</w:t>
            </w:r>
          </w:p>
        </w:tc>
        <w:tc>
          <w:tcPr>
            <w:tcW w:w="1275" w:type="dxa"/>
            <w:vAlign w:val="top"/>
          </w:tcPr>
          <w:p w14:paraId="68A81D25">
            <w:pPr>
              <w:pStyle w:val="6"/>
              <w:spacing w:before="64" w:line="228" w:lineRule="auto"/>
              <w:ind w:left="225"/>
            </w:pPr>
            <w:r>
              <w:rPr>
                <w:b/>
                <w:bCs/>
                <w:spacing w:val="6"/>
              </w:rPr>
              <w:t>标准限值</w:t>
            </w:r>
          </w:p>
          <w:p w14:paraId="270CE6BB">
            <w:pPr>
              <w:pStyle w:val="6"/>
              <w:spacing w:before="78" w:line="221" w:lineRule="auto"/>
              <w:ind w:left="155"/>
            </w:pPr>
            <w:r>
              <w:rPr>
                <w:b/>
                <w:bCs/>
                <w:spacing w:val="2"/>
              </w:rPr>
              <w:t>（</w:t>
            </w:r>
            <w:r>
              <w:rPr>
                <w:rFonts w:ascii="Times New Roman" w:hAnsi="Times New Roman" w:eastAsia="Times New Roman" w:cs="Times New Roman"/>
                <w:b/>
                <w:bCs/>
              </w:rPr>
              <w:t>mg</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b/>
                <w:bCs/>
                <w:spacing w:val="2"/>
              </w:rPr>
              <w:t>）</w:t>
            </w:r>
          </w:p>
        </w:tc>
        <w:tc>
          <w:tcPr>
            <w:tcW w:w="1418" w:type="dxa"/>
            <w:vAlign w:val="top"/>
          </w:tcPr>
          <w:p w14:paraId="327377AC">
            <w:pPr>
              <w:pStyle w:val="6"/>
              <w:spacing w:before="226" w:line="241" w:lineRule="auto"/>
              <w:ind w:left="139"/>
            </w:pPr>
            <w:r>
              <w:rPr>
                <w:rFonts w:ascii="Times New Roman" w:hAnsi="Times New Roman" w:eastAsia="Times New Roman" w:cs="Times New Roman"/>
                <w:b/>
                <w:bCs/>
              </w:rPr>
              <w:t>Pmax</w:t>
            </w:r>
            <w:r>
              <w:rPr>
                <w:b/>
                <w:bCs/>
                <w:spacing w:val="11"/>
              </w:rPr>
              <w:t>（</w:t>
            </w:r>
            <w:r>
              <w:rPr>
                <w:rFonts w:ascii="Times New Roman" w:hAnsi="Times New Roman" w:eastAsia="Times New Roman" w:cs="Times New Roman"/>
                <w:b/>
                <w:bCs/>
                <w:spacing w:val="11"/>
              </w:rPr>
              <w:t>%</w:t>
            </w:r>
            <w:r>
              <w:rPr>
                <w:b/>
                <w:bCs/>
                <w:spacing w:val="11"/>
              </w:rPr>
              <w:t>）</w:t>
            </w:r>
          </w:p>
        </w:tc>
      </w:tr>
      <w:tr w14:paraId="1855E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restart"/>
            <w:tcBorders>
              <w:bottom w:val="nil"/>
            </w:tcBorders>
            <w:vAlign w:val="top"/>
          </w:tcPr>
          <w:p w14:paraId="7D13924A">
            <w:pPr>
              <w:pStyle w:val="6"/>
              <w:spacing w:before="228" w:line="229" w:lineRule="auto"/>
              <w:ind w:left="649"/>
            </w:pPr>
            <w:r>
              <w:rPr>
                <w:spacing w:val="4"/>
              </w:rPr>
              <w:t>猪舍</w:t>
            </w:r>
          </w:p>
        </w:tc>
        <w:tc>
          <w:tcPr>
            <w:tcW w:w="955" w:type="dxa"/>
            <w:vMerge w:val="restart"/>
            <w:tcBorders>
              <w:bottom w:val="nil"/>
            </w:tcBorders>
            <w:vAlign w:val="top"/>
          </w:tcPr>
          <w:p w14:paraId="1E8EF918">
            <w:pPr>
              <w:pStyle w:val="6"/>
              <w:spacing w:before="228" w:line="230" w:lineRule="auto"/>
              <w:ind w:left="268"/>
            </w:pPr>
            <w:r>
              <w:rPr>
                <w:spacing w:val="4"/>
              </w:rPr>
              <w:t>面源</w:t>
            </w:r>
          </w:p>
        </w:tc>
        <w:tc>
          <w:tcPr>
            <w:tcW w:w="1039" w:type="dxa"/>
            <w:vAlign w:val="top"/>
          </w:tcPr>
          <w:p w14:paraId="7DF40A2E">
            <w:pPr>
              <w:spacing w:before="99" w:line="229"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087" w:type="dxa"/>
            <w:vAlign w:val="top"/>
          </w:tcPr>
          <w:p w14:paraId="63EEB6FC">
            <w:pPr>
              <w:spacing w:before="29"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465" w:type="dxa"/>
            <w:vAlign w:val="top"/>
          </w:tcPr>
          <w:p w14:paraId="463C7AEB">
            <w:pPr>
              <w:spacing w:before="29"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75" w:type="dxa"/>
            <w:vAlign w:val="top"/>
          </w:tcPr>
          <w:p w14:paraId="22D6DED1">
            <w:pPr>
              <w:spacing w:before="29"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30362FAE">
            <w:pPr>
              <w:spacing w:before="29"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0.91</w:t>
            </w:r>
          </w:p>
        </w:tc>
      </w:tr>
      <w:tr w14:paraId="0BEA2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continue"/>
            <w:tcBorders>
              <w:top w:val="nil"/>
            </w:tcBorders>
            <w:vAlign w:val="top"/>
          </w:tcPr>
          <w:p w14:paraId="5B8B6478">
            <w:pPr>
              <w:rPr>
                <w:rFonts w:ascii="Arial"/>
                <w:sz w:val="21"/>
              </w:rPr>
            </w:pPr>
          </w:p>
        </w:tc>
        <w:tc>
          <w:tcPr>
            <w:tcW w:w="955" w:type="dxa"/>
            <w:vMerge w:val="continue"/>
            <w:tcBorders>
              <w:top w:val="nil"/>
            </w:tcBorders>
            <w:vAlign w:val="top"/>
          </w:tcPr>
          <w:p w14:paraId="2B0E4425">
            <w:pPr>
              <w:rPr>
                <w:rFonts w:ascii="Arial"/>
                <w:sz w:val="21"/>
              </w:rPr>
            </w:pPr>
          </w:p>
        </w:tc>
        <w:tc>
          <w:tcPr>
            <w:tcW w:w="1039" w:type="dxa"/>
            <w:vAlign w:val="top"/>
          </w:tcPr>
          <w:p w14:paraId="4019EABF">
            <w:pPr>
              <w:spacing w:before="97" w:line="232"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65E529E1">
            <w:pPr>
              <w:spacing w:before="31"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c>
          <w:tcPr>
            <w:tcW w:w="1465" w:type="dxa"/>
            <w:vAlign w:val="top"/>
          </w:tcPr>
          <w:p w14:paraId="3832DD3D">
            <w:pPr>
              <w:spacing w:before="31"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75" w:type="dxa"/>
            <w:vAlign w:val="top"/>
          </w:tcPr>
          <w:p w14:paraId="5B2C3752">
            <w:pPr>
              <w:spacing w:before="31"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6A215D6D">
            <w:pPr>
              <w:spacing w:before="31"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w:t>
            </w:r>
          </w:p>
        </w:tc>
      </w:tr>
      <w:tr w14:paraId="596B1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restart"/>
            <w:tcBorders>
              <w:bottom w:val="nil"/>
            </w:tcBorders>
            <w:vAlign w:val="top"/>
          </w:tcPr>
          <w:p w14:paraId="03370FF1">
            <w:pPr>
              <w:pStyle w:val="6"/>
              <w:spacing w:before="232" w:line="228" w:lineRule="auto"/>
              <w:ind w:left="124"/>
            </w:pPr>
            <w:r>
              <w:rPr>
                <w:spacing w:val="8"/>
              </w:rPr>
              <w:t>有机肥发酵车间</w:t>
            </w:r>
          </w:p>
        </w:tc>
        <w:tc>
          <w:tcPr>
            <w:tcW w:w="955" w:type="dxa"/>
            <w:vMerge w:val="restart"/>
            <w:tcBorders>
              <w:bottom w:val="nil"/>
            </w:tcBorders>
            <w:vAlign w:val="top"/>
          </w:tcPr>
          <w:p w14:paraId="03C9A791">
            <w:pPr>
              <w:pStyle w:val="6"/>
              <w:spacing w:before="233" w:line="230" w:lineRule="auto"/>
              <w:ind w:left="268"/>
            </w:pPr>
            <w:r>
              <w:rPr>
                <w:spacing w:val="4"/>
              </w:rPr>
              <w:t>面源</w:t>
            </w:r>
          </w:p>
        </w:tc>
        <w:tc>
          <w:tcPr>
            <w:tcW w:w="1039" w:type="dxa"/>
            <w:vAlign w:val="top"/>
          </w:tcPr>
          <w:p w14:paraId="02A4D3B9">
            <w:pPr>
              <w:spacing w:before="101" w:line="227"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087" w:type="dxa"/>
            <w:vAlign w:val="top"/>
          </w:tcPr>
          <w:p w14:paraId="330F7CF9">
            <w:pPr>
              <w:spacing w:before="3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w:t>
            </w:r>
          </w:p>
        </w:tc>
        <w:tc>
          <w:tcPr>
            <w:tcW w:w="1465" w:type="dxa"/>
            <w:vAlign w:val="top"/>
          </w:tcPr>
          <w:p w14:paraId="6247726D">
            <w:pPr>
              <w:spacing w:before="32"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1.94E-03</w:t>
            </w:r>
          </w:p>
        </w:tc>
        <w:tc>
          <w:tcPr>
            <w:tcW w:w="1275" w:type="dxa"/>
            <w:vAlign w:val="top"/>
          </w:tcPr>
          <w:p w14:paraId="258AACE3">
            <w:pPr>
              <w:spacing w:before="32"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5E662B77">
            <w:pPr>
              <w:spacing w:before="32"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r>
      <w:tr w14:paraId="5D6B5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continue"/>
            <w:tcBorders>
              <w:top w:val="nil"/>
            </w:tcBorders>
            <w:vAlign w:val="top"/>
          </w:tcPr>
          <w:p w14:paraId="41D3F7E4">
            <w:pPr>
              <w:rPr>
                <w:rFonts w:ascii="Arial"/>
                <w:sz w:val="21"/>
              </w:rPr>
            </w:pPr>
          </w:p>
        </w:tc>
        <w:tc>
          <w:tcPr>
            <w:tcW w:w="955" w:type="dxa"/>
            <w:vMerge w:val="continue"/>
            <w:tcBorders>
              <w:top w:val="nil"/>
            </w:tcBorders>
            <w:vAlign w:val="top"/>
          </w:tcPr>
          <w:p w14:paraId="162ACBD9">
            <w:pPr>
              <w:rPr>
                <w:rFonts w:ascii="Arial"/>
                <w:sz w:val="21"/>
              </w:rPr>
            </w:pPr>
          </w:p>
        </w:tc>
        <w:tc>
          <w:tcPr>
            <w:tcW w:w="1039" w:type="dxa"/>
            <w:vAlign w:val="top"/>
          </w:tcPr>
          <w:p w14:paraId="30EBEB13">
            <w:pPr>
              <w:spacing w:before="100" w:line="229"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722C4E00">
            <w:pPr>
              <w:spacing w:before="33" w:line="275"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465" w:type="dxa"/>
            <w:vAlign w:val="top"/>
          </w:tcPr>
          <w:p w14:paraId="749C7551">
            <w:pPr>
              <w:spacing w:before="33" w:line="275"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8.33E-04</w:t>
            </w:r>
          </w:p>
        </w:tc>
        <w:tc>
          <w:tcPr>
            <w:tcW w:w="1275" w:type="dxa"/>
            <w:vAlign w:val="top"/>
          </w:tcPr>
          <w:p w14:paraId="3ADFE6CF">
            <w:pPr>
              <w:spacing w:before="33" w:line="275"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72B87906">
            <w:pPr>
              <w:spacing w:before="33" w:line="275"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r>
      <w:tr w14:paraId="2FC6D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711" w:type="dxa"/>
            <w:vAlign w:val="top"/>
          </w:tcPr>
          <w:p w14:paraId="537399D1">
            <w:pPr>
              <w:pStyle w:val="6"/>
              <w:spacing w:before="65" w:line="229" w:lineRule="auto"/>
              <w:ind w:left="331"/>
            </w:pPr>
            <w:r>
              <w:rPr>
                <w:spacing w:val="8"/>
              </w:rPr>
              <w:t>饲料加工房</w:t>
            </w:r>
          </w:p>
        </w:tc>
        <w:tc>
          <w:tcPr>
            <w:tcW w:w="955" w:type="dxa"/>
            <w:vAlign w:val="top"/>
          </w:tcPr>
          <w:p w14:paraId="23844679">
            <w:pPr>
              <w:pStyle w:val="6"/>
              <w:spacing w:before="65" w:line="230" w:lineRule="auto"/>
              <w:ind w:left="268"/>
            </w:pPr>
            <w:r>
              <w:rPr>
                <w:spacing w:val="4"/>
              </w:rPr>
              <w:t>面源</w:t>
            </w:r>
          </w:p>
        </w:tc>
        <w:tc>
          <w:tcPr>
            <w:tcW w:w="1039" w:type="dxa"/>
            <w:vAlign w:val="top"/>
          </w:tcPr>
          <w:p w14:paraId="01A158EE">
            <w:pPr>
              <w:spacing w:before="101"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087" w:type="dxa"/>
            <w:vAlign w:val="top"/>
          </w:tcPr>
          <w:p w14:paraId="092B2655">
            <w:pPr>
              <w:spacing w:before="3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1465" w:type="dxa"/>
            <w:vAlign w:val="top"/>
          </w:tcPr>
          <w:p w14:paraId="4D33EE3E">
            <w:pPr>
              <w:spacing w:before="34"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1.17E-02</w:t>
            </w:r>
          </w:p>
        </w:tc>
        <w:tc>
          <w:tcPr>
            <w:tcW w:w="1275" w:type="dxa"/>
            <w:vAlign w:val="top"/>
          </w:tcPr>
          <w:p w14:paraId="70ECF7E4">
            <w:pPr>
              <w:spacing w:before="34"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1418" w:type="dxa"/>
            <w:vAlign w:val="top"/>
          </w:tcPr>
          <w:p w14:paraId="52356E1B">
            <w:pPr>
              <w:spacing w:before="34"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w:t>
            </w:r>
          </w:p>
        </w:tc>
      </w:tr>
    </w:tbl>
    <w:p w14:paraId="5FD51FA5">
      <w:pPr>
        <w:spacing w:before="124" w:line="368" w:lineRule="auto"/>
        <w:ind w:left="125" w:right="113" w:firstLine="480"/>
        <w:jc w:val="both"/>
        <w:rPr>
          <w:rFonts w:ascii="宋体" w:hAnsi="宋体" w:eastAsia="宋体" w:cs="宋体"/>
          <w:sz w:val="24"/>
          <w:szCs w:val="24"/>
        </w:rPr>
      </w:pPr>
      <w:r>
        <w:rPr>
          <w:rFonts w:ascii="宋体" w:hAnsi="宋体" w:eastAsia="宋体" w:cs="宋体"/>
          <w:spacing w:val="2"/>
          <w:sz w:val="24"/>
          <w:szCs w:val="24"/>
        </w:rPr>
        <w:t>根据估算模式预测结果可知：项目恶臭废气、饲料加工房粉尘废气正常工况下</w:t>
      </w:r>
      <w:r>
        <w:rPr>
          <w:rFonts w:ascii="宋体" w:hAnsi="宋体" w:eastAsia="宋体" w:cs="宋体"/>
          <w:spacing w:val="12"/>
          <w:sz w:val="24"/>
          <w:szCs w:val="24"/>
        </w:rPr>
        <w:t xml:space="preserve"> </w:t>
      </w:r>
      <w:r>
        <w:rPr>
          <w:rFonts w:ascii="宋体" w:hAnsi="宋体" w:eastAsia="宋体" w:cs="宋体"/>
          <w:sz w:val="24"/>
          <w:szCs w:val="24"/>
        </w:rPr>
        <w:t>排放，</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z w:val="24"/>
          <w:szCs w:val="24"/>
        </w:rPr>
        <w:t>排放浓度最大占标率为</w:t>
      </w:r>
      <w:r>
        <w:rPr>
          <w:rFonts w:ascii="Times New Roman" w:hAnsi="Times New Roman" w:eastAsia="Times New Roman" w:cs="Times New Roman"/>
          <w:sz w:val="24"/>
          <w:szCs w:val="24"/>
        </w:rPr>
        <w:t>0.97%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排放浓度最大占标率为</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8.33%</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TSP</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排放浓度最大占标率为</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1.29%</w:t>
      </w:r>
      <w:r>
        <w:rPr>
          <w:rFonts w:ascii="宋体" w:hAnsi="宋体" w:eastAsia="宋体" w:cs="宋体"/>
          <w:spacing w:val="-4"/>
          <w:sz w:val="24"/>
          <w:szCs w:val="24"/>
        </w:rPr>
        <w:t>，项目评价等级为二级，不进行进一步预测与评价。且</w:t>
      </w:r>
      <w:r>
        <w:rPr>
          <w:rFonts w:ascii="宋体" w:hAnsi="宋体" w:eastAsia="宋体" w:cs="宋体"/>
          <w:sz w:val="24"/>
          <w:szCs w:val="24"/>
        </w:rPr>
        <w:t xml:space="preserve"> </w:t>
      </w:r>
      <w:r>
        <w:rPr>
          <w:rFonts w:ascii="宋体" w:hAnsi="宋体" w:eastAsia="宋体" w:cs="宋体"/>
          <w:spacing w:val="2"/>
          <w:sz w:val="24"/>
          <w:szCs w:val="24"/>
        </w:rPr>
        <w:t>根据评价区的现状监测结果可知，区域大气环境质量较好。因此项目正常工况下排</w:t>
      </w:r>
      <w:r>
        <w:rPr>
          <w:rFonts w:ascii="宋体" w:hAnsi="宋体" w:eastAsia="宋体" w:cs="宋体"/>
          <w:spacing w:val="6"/>
          <w:sz w:val="24"/>
          <w:szCs w:val="24"/>
        </w:rPr>
        <w:t xml:space="preserve"> </w:t>
      </w:r>
      <w:r>
        <w:rPr>
          <w:rFonts w:ascii="宋体" w:hAnsi="宋体" w:eastAsia="宋体" w:cs="宋体"/>
          <w:spacing w:val="-1"/>
          <w:sz w:val="24"/>
          <w:szCs w:val="24"/>
        </w:rPr>
        <w:t>放的大气污染物对大气环境影响较小。</w:t>
      </w:r>
    </w:p>
    <w:p w14:paraId="3383C59B">
      <w:pPr>
        <w:spacing w:before="20" w:line="366" w:lineRule="auto"/>
        <w:ind w:left="126" w:right="49" w:firstLine="480"/>
        <w:jc w:val="both"/>
        <w:rPr>
          <w:rFonts w:ascii="宋体" w:hAnsi="宋体" w:eastAsia="宋体" w:cs="宋体"/>
          <w:sz w:val="24"/>
          <w:szCs w:val="24"/>
        </w:rPr>
      </w:pPr>
      <w:r>
        <w:rPr>
          <w:rFonts w:ascii="宋体" w:hAnsi="宋体" w:eastAsia="宋体" w:cs="宋体"/>
          <w:sz w:val="24"/>
          <w:szCs w:val="24"/>
        </w:rPr>
        <w:t>本项目柴油发电机房使用时间短暂，且使用含硫量低于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的柴油，项目设</w:t>
      </w:r>
      <w:r>
        <w:rPr>
          <w:rFonts w:ascii="宋体" w:hAnsi="宋体" w:eastAsia="宋体" w:cs="宋体"/>
          <w:sz w:val="24"/>
          <w:szCs w:val="24"/>
        </w:rPr>
        <w:t xml:space="preserve"> </w:t>
      </w:r>
      <w:r>
        <w:rPr>
          <w:rFonts w:ascii="宋体" w:hAnsi="宋体" w:eastAsia="宋体" w:cs="宋体"/>
          <w:spacing w:val="-5"/>
          <w:sz w:val="24"/>
          <w:szCs w:val="24"/>
        </w:rPr>
        <w:t>有尾气收集设备，柴油发电机尾气收集后引至高空排放（建</w:t>
      </w:r>
      <w:r>
        <w:rPr>
          <w:rFonts w:ascii="宋体" w:hAnsi="宋体" w:eastAsia="宋体" w:cs="宋体"/>
          <w:spacing w:val="-6"/>
          <w:sz w:val="24"/>
          <w:szCs w:val="24"/>
        </w:rPr>
        <w:t>议排放高度不低于</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15m</w:t>
      </w:r>
      <w:r>
        <w:rPr>
          <w:rFonts w:ascii="宋体" w:hAnsi="宋体" w:eastAsia="宋体" w:cs="宋体"/>
          <w:spacing w:val="-54"/>
          <w:w w:val="85"/>
          <w:sz w:val="24"/>
          <w:szCs w:val="24"/>
        </w:rPr>
        <w:t>），</w:t>
      </w:r>
      <w:r>
        <w:rPr>
          <w:rFonts w:ascii="宋体" w:hAnsi="宋体" w:eastAsia="宋体" w:cs="宋体"/>
          <w:sz w:val="24"/>
          <w:szCs w:val="24"/>
        </w:rPr>
        <w:t xml:space="preserve"> </w:t>
      </w:r>
      <w:r>
        <w:rPr>
          <w:rFonts w:ascii="宋体" w:hAnsi="宋体" w:eastAsia="宋体" w:cs="宋体"/>
          <w:spacing w:val="2"/>
          <w:sz w:val="24"/>
          <w:szCs w:val="24"/>
        </w:rPr>
        <w:t>其污染物浓度能够达到广东省《大气污染物排放限值》（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w:t>
      </w:r>
      <w:r>
        <w:rPr>
          <w:rFonts w:ascii="宋体" w:hAnsi="宋体" w:eastAsia="宋体" w:cs="宋体"/>
          <w:sz w:val="24"/>
          <w:szCs w:val="24"/>
        </w:rPr>
        <w:t xml:space="preserve"> 二级标准限值，因此，本项目备用发电机尾</w:t>
      </w:r>
      <w:r>
        <w:rPr>
          <w:rFonts w:ascii="宋体" w:hAnsi="宋体" w:eastAsia="宋体" w:cs="宋体"/>
          <w:spacing w:val="-1"/>
          <w:sz w:val="24"/>
          <w:szCs w:val="24"/>
        </w:rPr>
        <w:t>气对周围环境的影响较小。</w:t>
      </w:r>
    </w:p>
    <w:p w14:paraId="591963CD">
      <w:pPr>
        <w:spacing w:before="87" w:line="219" w:lineRule="auto"/>
        <w:ind w:left="608"/>
        <w:rPr>
          <w:rFonts w:ascii="宋体" w:hAnsi="宋体" w:eastAsia="宋体" w:cs="宋体"/>
          <w:sz w:val="24"/>
          <w:szCs w:val="24"/>
        </w:rPr>
      </w:pPr>
      <w:r>
        <w:rPr>
          <w:rFonts w:ascii="宋体" w:hAnsi="宋体" w:eastAsia="宋体" w:cs="宋体"/>
          <w:spacing w:val="-1"/>
          <w:sz w:val="24"/>
          <w:szCs w:val="24"/>
        </w:rPr>
        <w:t>综上，本项目废气产生的环境影响在可接受范围内。</w:t>
      </w:r>
    </w:p>
    <w:p w14:paraId="1B5C112F">
      <w:pPr>
        <w:spacing w:before="167" w:line="360" w:lineRule="exact"/>
        <w:ind w:left="605"/>
        <w:rPr>
          <w:rFonts w:ascii="宋体" w:hAnsi="宋体" w:eastAsia="宋体" w:cs="宋体"/>
          <w:sz w:val="24"/>
          <w:szCs w:val="24"/>
        </w:rPr>
      </w:pPr>
      <w:r>
        <w:rPr>
          <w:rFonts w:ascii="Times New Roman" w:hAnsi="Times New Roman" w:eastAsia="Times New Roman" w:cs="Times New Roman"/>
          <w:spacing w:val="-2"/>
          <w:position w:val="2"/>
          <w:sz w:val="24"/>
          <w:szCs w:val="24"/>
        </w:rPr>
        <w:t>3</w:t>
      </w:r>
      <w:r>
        <w:rPr>
          <w:rFonts w:ascii="Times New Roman" w:hAnsi="Times New Roman" w:eastAsia="Times New Roman" w:cs="Times New Roman"/>
          <w:spacing w:val="-29"/>
          <w:position w:val="2"/>
          <w:sz w:val="24"/>
          <w:szCs w:val="24"/>
        </w:rPr>
        <w:t xml:space="preserve"> </w:t>
      </w:r>
      <w:r>
        <w:rPr>
          <w:rFonts w:ascii="宋体" w:hAnsi="宋体" w:eastAsia="宋体" w:cs="宋体"/>
          <w:spacing w:val="-2"/>
          <w:position w:val="2"/>
          <w:sz w:val="24"/>
          <w:szCs w:val="24"/>
        </w:rPr>
        <w:t>、大气污染物排放对周边近距离敏感点的影响</w:t>
      </w:r>
    </w:p>
    <w:p w14:paraId="3940B6C6">
      <w:pPr>
        <w:spacing w:before="132" w:line="373" w:lineRule="auto"/>
        <w:ind w:left="126" w:right="110" w:firstLine="480"/>
        <w:rPr>
          <w:rFonts w:ascii="宋体" w:hAnsi="宋体" w:eastAsia="宋体" w:cs="宋体"/>
          <w:sz w:val="24"/>
          <w:szCs w:val="24"/>
        </w:rPr>
      </w:pPr>
      <w:r>
        <w:rPr>
          <w:rFonts w:ascii="宋体" w:hAnsi="宋体" w:eastAsia="宋体" w:cs="宋体"/>
          <w:spacing w:val="4"/>
          <w:sz w:val="24"/>
          <w:szCs w:val="24"/>
        </w:rPr>
        <w:t>本项目周围最近的环境敏感点是项目东北侧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处的龙岗村。项目产生的废</w:t>
      </w:r>
      <w:r>
        <w:rPr>
          <w:rFonts w:ascii="宋体" w:hAnsi="宋体" w:eastAsia="宋体" w:cs="宋体"/>
          <w:sz w:val="24"/>
          <w:szCs w:val="24"/>
        </w:rPr>
        <w:t xml:space="preserve"> 气污染物主要为</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8"/>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TSP</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0"/>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 </w:t>
      </w:r>
      <w:r>
        <w:rPr>
          <w:rFonts w:ascii="宋体" w:hAnsi="宋体" w:eastAsia="宋体" w:cs="宋体"/>
          <w:sz w:val="24"/>
          <w:szCs w:val="24"/>
        </w:rPr>
        <w:t>废气经喷</w:t>
      </w:r>
      <w:r>
        <w:rPr>
          <w:rFonts w:ascii="宋体" w:hAnsi="宋体" w:eastAsia="宋体" w:cs="宋体"/>
          <w:spacing w:val="-1"/>
          <w:sz w:val="24"/>
          <w:szCs w:val="24"/>
        </w:rPr>
        <w:t>洒除臭剂等措施处理后无组</w:t>
      </w:r>
      <w:r>
        <w:rPr>
          <w:rFonts w:ascii="宋体" w:hAnsi="宋体" w:eastAsia="宋体" w:cs="宋体"/>
          <w:sz w:val="24"/>
          <w:szCs w:val="24"/>
        </w:rPr>
        <w:t xml:space="preserve"> </w:t>
      </w:r>
      <w:r>
        <w:rPr>
          <w:rFonts w:ascii="宋体" w:hAnsi="宋体" w:eastAsia="宋体" w:cs="宋体"/>
          <w:spacing w:val="1"/>
          <w:sz w:val="24"/>
          <w:szCs w:val="24"/>
        </w:rPr>
        <w:t>织排放。废气经治理后能够达到《恶臭污染物排放标准</w:t>
      </w:r>
      <w:r>
        <w:rPr>
          <w:rFonts w:ascii="宋体" w:hAnsi="宋体" w:eastAsia="宋体" w:cs="宋体"/>
          <w:sz w:val="24"/>
          <w:szCs w:val="24"/>
        </w:rPr>
        <w:t>》（</w:t>
      </w:r>
      <w:r>
        <w:rPr>
          <w:rFonts w:ascii="Times New Roman" w:hAnsi="Times New Roman" w:eastAsia="Times New Roman" w:cs="Times New Roman"/>
          <w:sz w:val="24"/>
          <w:szCs w:val="24"/>
        </w:rPr>
        <w:t>GB14554-93</w:t>
      </w:r>
      <w:r>
        <w:rPr>
          <w:rFonts w:ascii="宋体" w:hAnsi="宋体" w:eastAsia="宋体" w:cs="宋体"/>
          <w:sz w:val="24"/>
          <w:szCs w:val="24"/>
        </w:rPr>
        <w:t xml:space="preserve">）中的厂界 </w:t>
      </w:r>
      <w:r>
        <w:rPr>
          <w:rFonts w:ascii="宋体" w:hAnsi="宋体" w:eastAsia="宋体" w:cs="宋体"/>
          <w:spacing w:val="-6"/>
          <w:sz w:val="24"/>
          <w:szCs w:val="24"/>
        </w:rPr>
        <w:t>二级标准。饲料加工房</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 xml:space="preserve">TSP </w:t>
      </w:r>
      <w:r>
        <w:rPr>
          <w:rFonts w:ascii="宋体" w:hAnsi="宋体" w:eastAsia="宋体" w:cs="宋体"/>
          <w:spacing w:val="-6"/>
          <w:sz w:val="24"/>
          <w:szCs w:val="24"/>
        </w:rPr>
        <w:t>产生量较少，呈无组织排放，其排放能够达到广东省《大</w:t>
      </w:r>
      <w:r>
        <w:rPr>
          <w:rFonts w:ascii="宋体" w:hAnsi="宋体" w:eastAsia="宋体" w:cs="宋体"/>
          <w:sz w:val="24"/>
          <w:szCs w:val="24"/>
        </w:rPr>
        <w:t xml:space="preserve"> </w:t>
      </w:r>
      <w:r>
        <w:rPr>
          <w:rFonts w:ascii="宋体" w:hAnsi="宋体" w:eastAsia="宋体" w:cs="宋体"/>
          <w:spacing w:val="2"/>
          <w:sz w:val="24"/>
          <w:szCs w:val="24"/>
        </w:rPr>
        <w:t>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）第二时段无组织排放周界外浓度最高</w:t>
      </w:r>
      <w:r>
        <w:rPr>
          <w:rFonts w:ascii="宋体" w:hAnsi="宋体" w:eastAsia="宋体" w:cs="宋体"/>
          <w:spacing w:val="1"/>
          <w:sz w:val="24"/>
          <w:szCs w:val="24"/>
        </w:rPr>
        <w:t>点监控</w:t>
      </w:r>
      <w:r>
        <w:rPr>
          <w:rFonts w:ascii="宋体" w:hAnsi="宋体" w:eastAsia="宋体" w:cs="宋体"/>
          <w:sz w:val="24"/>
          <w:szCs w:val="24"/>
        </w:rPr>
        <w:t xml:space="preserve"> </w:t>
      </w:r>
      <w:r>
        <w:rPr>
          <w:rFonts w:ascii="宋体" w:hAnsi="宋体" w:eastAsia="宋体" w:cs="宋体"/>
          <w:spacing w:val="-4"/>
          <w:sz w:val="24"/>
          <w:szCs w:val="24"/>
        </w:rPr>
        <w:t>限值。</w:t>
      </w:r>
    </w:p>
    <w:p w14:paraId="3316B93B">
      <w:pPr>
        <w:spacing w:before="23" w:line="374" w:lineRule="auto"/>
        <w:ind w:left="125" w:right="32" w:firstLine="480"/>
        <w:jc w:val="both"/>
        <w:rPr>
          <w:rFonts w:ascii="宋体" w:hAnsi="宋体" w:eastAsia="宋体" w:cs="宋体"/>
          <w:sz w:val="24"/>
          <w:szCs w:val="24"/>
        </w:rPr>
      </w:pPr>
      <w:r>
        <w:rPr>
          <w:rFonts w:ascii="宋体" w:hAnsi="宋体" w:eastAsia="宋体" w:cs="宋体"/>
          <w:spacing w:val="1"/>
          <w:sz w:val="24"/>
          <w:szCs w:val="24"/>
        </w:rPr>
        <w:t>根据前文预测分析，</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TSP</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在下风向</w:t>
      </w:r>
      <w:r>
        <w:rPr>
          <w:rFonts w:ascii="Times New Roman" w:hAnsi="Times New Roman" w:eastAsia="Times New Roman" w:cs="Times New Roman"/>
          <w:spacing w:val="1"/>
          <w:sz w:val="24"/>
          <w:szCs w:val="24"/>
        </w:rPr>
        <w:t>292m</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处的最大落地浓度分别为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1.82E-03mg/m</w:t>
      </w:r>
      <w:r>
        <w:rPr>
          <w:rFonts w:ascii="Times New Roman" w:hAnsi="Times New Roman" w:eastAsia="Times New Roman" w:cs="Times New Roman"/>
          <w:spacing w:val="-1"/>
          <w:position w:val="7"/>
          <w:sz w:val="15"/>
          <w:szCs w:val="15"/>
        </w:rPr>
        <w:t>3</w:t>
      </w:r>
      <w:r>
        <w:rPr>
          <w:rFonts w:ascii="宋体" w:hAnsi="宋体" w:eastAsia="宋体" w:cs="宋体"/>
          <w:spacing w:val="-9"/>
          <w:sz w:val="24"/>
          <w:szCs w:val="24"/>
        </w:rPr>
        <w:t>，</w:t>
      </w:r>
      <w:r>
        <w:rPr>
          <w:rFonts w:ascii="Times New Roman" w:hAnsi="Times New Roman" w:eastAsia="Times New Roman" w:cs="Times New Roman"/>
          <w:spacing w:val="-9"/>
          <w:sz w:val="24"/>
          <w:szCs w:val="24"/>
        </w:rPr>
        <w:t>4.47E-05mg/m</w:t>
      </w:r>
      <w:r>
        <w:rPr>
          <w:rFonts w:ascii="Times New Roman" w:hAnsi="Times New Roman" w:eastAsia="Times New Roman" w:cs="Times New Roman"/>
          <w:spacing w:val="10"/>
          <w:position w:val="7"/>
          <w:sz w:val="15"/>
          <w:szCs w:val="15"/>
        </w:rPr>
        <w:t>3</w:t>
      </w:r>
      <w:r>
        <w:rPr>
          <w:rFonts w:ascii="宋体" w:hAnsi="宋体" w:eastAsia="宋体" w:cs="宋体"/>
          <w:spacing w:val="-9"/>
          <w:sz w:val="24"/>
          <w:szCs w:val="24"/>
        </w:rPr>
        <w:t>、</w:t>
      </w:r>
      <w:r>
        <w:rPr>
          <w:rFonts w:ascii="Times New Roman" w:hAnsi="Times New Roman" w:eastAsia="Times New Roman" w:cs="Times New Roman"/>
          <w:spacing w:val="-9"/>
          <w:sz w:val="24"/>
          <w:szCs w:val="24"/>
        </w:rPr>
        <w:t>3.55E-04 mg/m</w:t>
      </w:r>
      <w:r>
        <w:rPr>
          <w:rFonts w:ascii="Times New Roman" w:hAnsi="Times New Roman" w:eastAsia="Times New Roman" w:cs="Times New Roman"/>
          <w:spacing w:val="13"/>
          <w:position w:val="7"/>
          <w:sz w:val="15"/>
          <w:szCs w:val="15"/>
        </w:rPr>
        <w:t>3</w:t>
      </w:r>
      <w:r>
        <w:rPr>
          <w:rFonts w:ascii="宋体" w:hAnsi="宋体" w:eastAsia="宋体" w:cs="宋体"/>
          <w:spacing w:val="-16"/>
          <w:sz w:val="24"/>
          <w:szCs w:val="24"/>
        </w:rPr>
        <w:t>，占标率分别为</w:t>
      </w:r>
      <w:r>
        <w:rPr>
          <w:rFonts w:ascii="宋体" w:hAnsi="宋体" w:eastAsia="宋体" w:cs="宋体"/>
          <w:spacing w:val="-48"/>
          <w:sz w:val="24"/>
          <w:szCs w:val="24"/>
        </w:rPr>
        <w:t xml:space="preserve"> </w:t>
      </w:r>
      <w:r>
        <w:rPr>
          <w:rFonts w:ascii="Times New Roman" w:hAnsi="Times New Roman" w:eastAsia="Times New Roman" w:cs="Times New Roman"/>
          <w:spacing w:val="-16"/>
          <w:sz w:val="24"/>
          <w:szCs w:val="24"/>
        </w:rPr>
        <w:t>0.09%</w:t>
      </w:r>
      <w:r>
        <w:rPr>
          <w:rFonts w:ascii="宋体" w:hAnsi="宋体" w:eastAsia="宋体" w:cs="宋体"/>
          <w:spacing w:val="-16"/>
          <w:sz w:val="24"/>
          <w:szCs w:val="24"/>
        </w:rPr>
        <w:t>，</w:t>
      </w:r>
      <w:r>
        <w:rPr>
          <w:rFonts w:ascii="Times New Roman" w:hAnsi="Times New Roman" w:eastAsia="Times New Roman" w:cs="Times New Roman"/>
          <w:spacing w:val="-16"/>
          <w:sz w:val="24"/>
          <w:szCs w:val="24"/>
        </w:rPr>
        <w:t>0.45%</w:t>
      </w:r>
      <w:r>
        <w:rPr>
          <w:rFonts w:ascii="宋体" w:hAnsi="宋体" w:eastAsia="宋体" w:cs="宋体"/>
          <w:spacing w:val="-16"/>
          <w:sz w:val="24"/>
          <w:szCs w:val="24"/>
        </w:rPr>
        <w:t>、</w:t>
      </w:r>
      <w:r>
        <w:rPr>
          <w:rFonts w:ascii="Times New Roman" w:hAnsi="Times New Roman" w:eastAsia="Times New Roman" w:cs="Times New Roman"/>
          <w:spacing w:val="-16"/>
          <w:sz w:val="24"/>
          <w:szCs w:val="24"/>
        </w:rPr>
        <w:t>0.0</w:t>
      </w:r>
      <w:r>
        <w:rPr>
          <w:rFonts w:ascii="Times New Roman" w:hAnsi="Times New Roman" w:eastAsia="Times New Roman" w:cs="Times New Roman"/>
          <w:spacing w:val="-17"/>
          <w:sz w:val="24"/>
          <w:szCs w:val="24"/>
        </w:rPr>
        <w:t>4%</w:t>
      </w:r>
      <w:r>
        <w:rPr>
          <w:rFonts w:ascii="宋体" w:hAnsi="宋体" w:eastAsia="宋体" w:cs="宋体"/>
          <w:spacing w:val="-17"/>
          <w:sz w:val="24"/>
          <w:szCs w:val="24"/>
        </w:rPr>
        <w:t>，</w:t>
      </w:r>
      <w:r>
        <w:rPr>
          <w:rFonts w:ascii="宋体" w:hAnsi="宋体" w:eastAsia="宋体" w:cs="宋体"/>
          <w:sz w:val="24"/>
          <w:szCs w:val="24"/>
        </w:rPr>
        <w:t xml:space="preserve"> </w:t>
      </w:r>
      <w:r>
        <w:rPr>
          <w:rFonts w:ascii="宋体" w:hAnsi="宋体" w:eastAsia="宋体" w:cs="宋体"/>
          <w:spacing w:val="2"/>
          <w:sz w:val="24"/>
          <w:szCs w:val="24"/>
        </w:rPr>
        <w:t>可见项目废气经过大气的扩散稀释，在最近敏感点处落地浓度已非常小，对敏感点</w:t>
      </w:r>
      <w:r>
        <w:rPr>
          <w:rFonts w:ascii="宋体" w:hAnsi="宋体" w:eastAsia="宋体" w:cs="宋体"/>
          <w:spacing w:val="6"/>
          <w:sz w:val="24"/>
          <w:szCs w:val="24"/>
        </w:rPr>
        <w:t xml:space="preserve"> </w:t>
      </w:r>
      <w:r>
        <w:rPr>
          <w:rFonts w:ascii="宋体" w:hAnsi="宋体" w:eastAsia="宋体" w:cs="宋体"/>
          <w:spacing w:val="-2"/>
          <w:sz w:val="24"/>
          <w:szCs w:val="24"/>
        </w:rPr>
        <w:t>影响很小。</w:t>
      </w:r>
    </w:p>
    <w:p w14:paraId="3DA13FFC">
      <w:pPr>
        <w:spacing w:before="47" w:line="219" w:lineRule="auto"/>
        <w:ind w:left="624"/>
        <w:rPr>
          <w:rFonts w:ascii="宋体" w:hAnsi="宋体" w:eastAsia="宋体" w:cs="宋体"/>
          <w:sz w:val="24"/>
          <w:szCs w:val="24"/>
        </w:rPr>
      </w:pPr>
      <w:r>
        <w:rPr>
          <w:rFonts w:ascii="宋体" w:hAnsi="宋体" w:eastAsia="宋体" w:cs="宋体"/>
          <w:spacing w:val="-1"/>
          <w:sz w:val="24"/>
          <w:szCs w:val="24"/>
        </w:rPr>
        <w:t>因此，本项目的投产、运营对周围环境敏感点</w:t>
      </w:r>
      <w:r>
        <w:rPr>
          <w:rFonts w:ascii="宋体" w:hAnsi="宋体" w:eastAsia="宋体" w:cs="宋体"/>
          <w:spacing w:val="-2"/>
          <w:sz w:val="24"/>
          <w:szCs w:val="24"/>
        </w:rPr>
        <w:t>影响很小。</w:t>
      </w:r>
    </w:p>
    <w:p w14:paraId="116DFAAA">
      <w:pPr>
        <w:spacing w:line="219" w:lineRule="auto"/>
        <w:rPr>
          <w:rFonts w:ascii="宋体" w:hAnsi="宋体" w:eastAsia="宋体" w:cs="宋体"/>
          <w:sz w:val="24"/>
          <w:szCs w:val="24"/>
        </w:rPr>
        <w:sectPr>
          <w:footerReference r:id="rId139" w:type="default"/>
          <w:pgSz w:w="11906" w:h="16839"/>
          <w:pgMar w:top="400" w:right="1472" w:bottom="1485" w:left="1472" w:header="0" w:footer="1249" w:gutter="0"/>
          <w:cols w:space="720" w:num="1"/>
        </w:sectPr>
      </w:pPr>
    </w:p>
    <w:p w14:paraId="04ED5520">
      <w:pPr>
        <w:pStyle w:val="2"/>
        <w:spacing w:line="255" w:lineRule="auto"/>
      </w:pPr>
    </w:p>
    <w:p w14:paraId="5B669D7B">
      <w:pPr>
        <w:pStyle w:val="2"/>
        <w:spacing w:line="255" w:lineRule="auto"/>
      </w:pPr>
    </w:p>
    <w:p w14:paraId="289ECF2D">
      <w:pPr>
        <w:pStyle w:val="2"/>
        <w:spacing w:line="256" w:lineRule="auto"/>
      </w:pPr>
    </w:p>
    <w:p w14:paraId="32061682">
      <w:pPr>
        <w:pStyle w:val="2"/>
        <w:spacing w:line="256" w:lineRule="auto"/>
      </w:pPr>
    </w:p>
    <w:p w14:paraId="4E90B109">
      <w:pPr>
        <w:spacing w:before="78" w:line="360" w:lineRule="exact"/>
        <w:ind w:left="630"/>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、污染物排放量核算</w:t>
      </w:r>
    </w:p>
    <w:p w14:paraId="23F79DD6">
      <w:pPr>
        <w:spacing w:before="129" w:line="359" w:lineRule="exact"/>
        <w:ind w:left="636"/>
        <w:rPr>
          <w:rFonts w:ascii="宋体" w:hAnsi="宋体" w:eastAsia="宋体" w:cs="宋体"/>
          <w:sz w:val="24"/>
          <w:szCs w:val="24"/>
        </w:rPr>
      </w:pPr>
      <w:r>
        <w:rPr>
          <w:rFonts w:ascii="宋体" w:hAnsi="宋体" w:eastAsia="宋体" w:cs="宋体"/>
          <w:spacing w:val="-1"/>
          <w:position w:val="2"/>
          <w:sz w:val="24"/>
          <w:szCs w:val="24"/>
        </w:rPr>
        <w:t>本项目正常工况下大气污染物排放量核算表详见表</w:t>
      </w:r>
      <w:r>
        <w:rPr>
          <w:rFonts w:ascii="宋体" w:hAnsi="宋体" w:eastAsia="宋体" w:cs="宋体"/>
          <w:spacing w:val="-48"/>
          <w:position w:val="2"/>
          <w:sz w:val="24"/>
          <w:szCs w:val="24"/>
        </w:rPr>
        <w:t xml:space="preserve"> </w:t>
      </w:r>
      <w:r>
        <w:rPr>
          <w:rFonts w:ascii="Times New Roman" w:hAnsi="Times New Roman" w:eastAsia="Times New Roman" w:cs="Times New Roman"/>
          <w:spacing w:val="-1"/>
          <w:position w:val="2"/>
          <w:sz w:val="24"/>
          <w:szCs w:val="24"/>
        </w:rPr>
        <w:t>5.2-14~</w:t>
      </w:r>
      <w:r>
        <w:rPr>
          <w:rFonts w:ascii="宋体" w:hAnsi="宋体" w:eastAsia="宋体" w:cs="宋体"/>
          <w:spacing w:val="-1"/>
          <w:position w:val="2"/>
          <w:sz w:val="24"/>
          <w:szCs w:val="24"/>
        </w:rPr>
        <w:t>表</w:t>
      </w:r>
      <w:r>
        <w:rPr>
          <w:rFonts w:ascii="宋体" w:hAnsi="宋体" w:eastAsia="宋体" w:cs="宋体"/>
          <w:spacing w:val="-49"/>
          <w:position w:val="2"/>
          <w:sz w:val="24"/>
          <w:szCs w:val="24"/>
        </w:rPr>
        <w:t xml:space="preserve"> </w:t>
      </w:r>
      <w:r>
        <w:rPr>
          <w:rFonts w:ascii="Times New Roman" w:hAnsi="Times New Roman" w:eastAsia="Times New Roman" w:cs="Times New Roman"/>
          <w:spacing w:val="-1"/>
          <w:position w:val="2"/>
          <w:sz w:val="24"/>
          <w:szCs w:val="24"/>
        </w:rPr>
        <w:t>5.2-16</w:t>
      </w:r>
      <w:r>
        <w:rPr>
          <w:rFonts w:ascii="宋体" w:hAnsi="宋体" w:eastAsia="宋体" w:cs="宋体"/>
          <w:spacing w:val="-1"/>
          <w:position w:val="2"/>
          <w:sz w:val="24"/>
          <w:szCs w:val="24"/>
        </w:rPr>
        <w:t>。</w:t>
      </w:r>
    </w:p>
    <w:p w14:paraId="48075CD1">
      <w:pPr>
        <w:spacing w:before="179" w:line="228" w:lineRule="auto"/>
        <w:ind w:left="248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6"/>
          <w:sz w:val="20"/>
          <w:szCs w:val="20"/>
        </w:rPr>
        <w:t xml:space="preserve">5.2-14  </w:t>
      </w:r>
      <w:r>
        <w:rPr>
          <w:rFonts w:ascii="宋体" w:hAnsi="宋体" w:eastAsia="宋体" w:cs="宋体"/>
          <w:b/>
          <w:bCs/>
          <w:spacing w:val="6"/>
          <w:sz w:val="20"/>
          <w:szCs w:val="20"/>
        </w:rPr>
        <w:t>本项目大气污染物有组织排放量核算表</w:t>
      </w:r>
    </w:p>
    <w:p w14:paraId="13FA9B2D">
      <w:pPr>
        <w:spacing w:line="113" w:lineRule="exact"/>
      </w:pPr>
    </w:p>
    <w:tbl>
      <w:tblPr>
        <w:tblStyle w:val="5"/>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
        <w:gridCol w:w="1182"/>
        <w:gridCol w:w="793"/>
        <w:gridCol w:w="2254"/>
        <w:gridCol w:w="2135"/>
        <w:gridCol w:w="1986"/>
      </w:tblGrid>
      <w:tr w14:paraId="406D3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03" w:type="dxa"/>
            <w:vAlign w:val="top"/>
          </w:tcPr>
          <w:p w14:paraId="4DE73F8D">
            <w:pPr>
              <w:pStyle w:val="6"/>
              <w:spacing w:before="225" w:line="230" w:lineRule="auto"/>
              <w:ind w:left="207"/>
            </w:pPr>
            <w:r>
              <w:rPr>
                <w:b/>
                <w:bCs/>
                <w:spacing w:val="-3"/>
              </w:rPr>
              <w:t>号</w:t>
            </w:r>
          </w:p>
        </w:tc>
        <w:tc>
          <w:tcPr>
            <w:tcW w:w="1182" w:type="dxa"/>
            <w:vAlign w:val="top"/>
          </w:tcPr>
          <w:p w14:paraId="6C9DBF51">
            <w:pPr>
              <w:pStyle w:val="6"/>
              <w:spacing w:before="64" w:line="228" w:lineRule="auto"/>
              <w:ind w:left="175"/>
            </w:pPr>
            <w:r>
              <w:rPr>
                <w:b/>
                <w:bCs/>
                <w:spacing w:val="6"/>
              </w:rPr>
              <w:t>排放口编</w:t>
            </w:r>
          </w:p>
          <w:p w14:paraId="36BACFC5">
            <w:pPr>
              <w:pStyle w:val="6"/>
              <w:spacing w:before="76" w:line="230" w:lineRule="auto"/>
              <w:ind w:left="494"/>
            </w:pPr>
            <w:r>
              <w:rPr>
                <w:b/>
                <w:bCs/>
                <w:spacing w:val="-3"/>
              </w:rPr>
              <w:t>号</w:t>
            </w:r>
          </w:p>
        </w:tc>
        <w:tc>
          <w:tcPr>
            <w:tcW w:w="793" w:type="dxa"/>
            <w:vAlign w:val="top"/>
          </w:tcPr>
          <w:p w14:paraId="79D67188">
            <w:pPr>
              <w:pStyle w:val="6"/>
              <w:spacing w:before="63" w:line="271" w:lineRule="auto"/>
              <w:ind w:left="295" w:right="184" w:hanging="103"/>
            </w:pPr>
            <w:r>
              <w:rPr>
                <w:b/>
                <w:bCs/>
                <w:spacing w:val="3"/>
              </w:rPr>
              <w:t>污染</w:t>
            </w:r>
            <w:r>
              <w:t xml:space="preserve"> </w:t>
            </w:r>
            <w:r>
              <w:rPr>
                <w:b/>
                <w:bCs/>
                <w:spacing w:val="-2"/>
              </w:rPr>
              <w:t>物</w:t>
            </w:r>
          </w:p>
        </w:tc>
        <w:tc>
          <w:tcPr>
            <w:tcW w:w="2254" w:type="dxa"/>
            <w:vAlign w:val="top"/>
          </w:tcPr>
          <w:p w14:paraId="5C461A67">
            <w:pPr>
              <w:pStyle w:val="6"/>
              <w:spacing w:before="225" w:line="221" w:lineRule="auto"/>
              <w:ind w:right="5"/>
              <w:jc w:val="right"/>
            </w:pPr>
            <w:r>
              <w:rPr>
                <w:b/>
                <w:bCs/>
                <w:spacing w:val="8"/>
              </w:rPr>
              <w:t>核算排放浓度(</w:t>
            </w:r>
            <w:r>
              <w:rPr>
                <w:rFonts w:ascii="Times New Roman" w:hAnsi="Times New Roman" w:eastAsia="Times New Roman" w:cs="Times New Roman"/>
                <w:b/>
                <w:bCs/>
                <w:spacing w:val="8"/>
              </w:rPr>
              <w:t>μg/m</w:t>
            </w:r>
            <w:r>
              <w:rPr>
                <w:rFonts w:ascii="Times New Roman" w:hAnsi="Times New Roman" w:eastAsia="Times New Roman" w:cs="Times New Roman"/>
                <w:b/>
                <w:bCs/>
                <w:spacing w:val="8"/>
                <w:position w:val="6"/>
                <w:sz w:val="13"/>
                <w:szCs w:val="13"/>
              </w:rPr>
              <w:t>3</w:t>
            </w:r>
            <w:r>
              <w:rPr>
                <w:b/>
                <w:bCs/>
                <w:spacing w:val="8"/>
              </w:rPr>
              <w:t>）</w:t>
            </w:r>
          </w:p>
        </w:tc>
        <w:tc>
          <w:tcPr>
            <w:tcW w:w="2135" w:type="dxa"/>
            <w:vAlign w:val="top"/>
          </w:tcPr>
          <w:p w14:paraId="776B4194">
            <w:pPr>
              <w:pStyle w:val="6"/>
              <w:spacing w:before="225" w:line="221" w:lineRule="auto"/>
              <w:ind w:right="7"/>
              <w:jc w:val="right"/>
            </w:pPr>
            <w:r>
              <w:rPr>
                <w:b/>
                <w:bCs/>
              </w:rPr>
              <w:t>核算排放速率（</w:t>
            </w:r>
            <w:r>
              <w:rPr>
                <w:rFonts w:ascii="Times New Roman" w:hAnsi="Times New Roman" w:eastAsia="Times New Roman" w:cs="Times New Roman"/>
                <w:b/>
                <w:bCs/>
              </w:rPr>
              <w:t>kg/h</w:t>
            </w:r>
            <w:r>
              <w:rPr>
                <w:b/>
                <w:bCs/>
              </w:rPr>
              <w:t>）</w:t>
            </w:r>
          </w:p>
        </w:tc>
        <w:tc>
          <w:tcPr>
            <w:tcW w:w="1986" w:type="dxa"/>
            <w:vAlign w:val="top"/>
          </w:tcPr>
          <w:p w14:paraId="4AA9B8A6">
            <w:pPr>
              <w:pStyle w:val="6"/>
              <w:spacing w:before="225" w:line="228" w:lineRule="auto"/>
              <w:ind w:right="10"/>
              <w:jc w:val="right"/>
            </w:pPr>
            <w:r>
              <w:rPr>
                <w:b/>
                <w:bCs/>
              </w:rPr>
              <w:t>核算年排放量（</w:t>
            </w:r>
            <w:r>
              <w:rPr>
                <w:rFonts w:ascii="Times New Roman" w:hAnsi="Times New Roman" w:eastAsia="Times New Roman" w:cs="Times New Roman"/>
                <w:b/>
                <w:bCs/>
              </w:rPr>
              <w:t>t/a</w:t>
            </w:r>
            <w:r>
              <w:rPr>
                <w:b/>
                <w:bCs/>
              </w:rPr>
              <w:t>）</w:t>
            </w:r>
          </w:p>
        </w:tc>
      </w:tr>
      <w:tr w14:paraId="08656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53" w:type="dxa"/>
            <w:gridSpan w:val="6"/>
            <w:vAlign w:val="top"/>
          </w:tcPr>
          <w:p w14:paraId="5101C3E9">
            <w:pPr>
              <w:pStyle w:val="6"/>
              <w:spacing w:before="65" w:line="230" w:lineRule="auto"/>
              <w:ind w:left="4199"/>
            </w:pPr>
            <w:r>
              <w:rPr>
                <w:spacing w:val="7"/>
              </w:rPr>
              <w:t>一般排放口</w:t>
            </w:r>
          </w:p>
        </w:tc>
      </w:tr>
      <w:tr w14:paraId="5867B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3" w:type="dxa"/>
            <w:vMerge w:val="restart"/>
            <w:tcBorders>
              <w:bottom w:val="nil"/>
            </w:tcBorders>
            <w:vAlign w:val="top"/>
          </w:tcPr>
          <w:p w14:paraId="2DFF40D7">
            <w:pPr>
              <w:spacing w:line="244" w:lineRule="auto"/>
              <w:rPr>
                <w:rFonts w:ascii="Arial"/>
                <w:sz w:val="21"/>
              </w:rPr>
            </w:pPr>
          </w:p>
          <w:p w14:paraId="0DF53ED6">
            <w:pPr>
              <w:spacing w:line="245" w:lineRule="auto"/>
              <w:rPr>
                <w:rFonts w:ascii="Arial"/>
                <w:sz w:val="21"/>
              </w:rPr>
            </w:pPr>
          </w:p>
          <w:p w14:paraId="0B3DB68E">
            <w:pPr>
              <w:spacing w:before="57" w:line="275" w:lineRule="exact"/>
              <w:ind w:left="27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82" w:type="dxa"/>
            <w:vMerge w:val="restart"/>
            <w:tcBorders>
              <w:bottom w:val="nil"/>
            </w:tcBorders>
            <w:vAlign w:val="top"/>
          </w:tcPr>
          <w:p w14:paraId="4394E2D6">
            <w:pPr>
              <w:spacing w:line="319" w:lineRule="auto"/>
              <w:rPr>
                <w:rFonts w:ascii="Arial"/>
                <w:sz w:val="21"/>
              </w:rPr>
            </w:pPr>
          </w:p>
          <w:p w14:paraId="2C4E6A0F">
            <w:pPr>
              <w:pStyle w:val="6"/>
              <w:spacing w:before="65" w:line="274" w:lineRule="exact"/>
              <w:ind w:left="125"/>
              <w:rPr>
                <w:rFonts w:ascii="Times New Roman" w:hAnsi="Times New Roman" w:eastAsia="Times New Roman" w:cs="Times New Roman"/>
              </w:rPr>
            </w:pPr>
            <w:r>
              <w:rPr>
                <w:spacing w:val="3"/>
                <w:position w:val="1"/>
              </w:rPr>
              <w:t>排气筒</w:t>
            </w:r>
            <w:r>
              <w:rPr>
                <w:spacing w:val="-37"/>
                <w:position w:val="1"/>
              </w:rPr>
              <w:t xml:space="preserve"> </w:t>
            </w:r>
            <w:r>
              <w:rPr>
                <w:rFonts w:ascii="Times New Roman" w:hAnsi="Times New Roman" w:eastAsia="Times New Roman" w:cs="Times New Roman"/>
                <w:spacing w:val="3"/>
                <w:position w:val="1"/>
              </w:rPr>
              <w:t>G</w:t>
            </w:r>
            <w:r>
              <w:rPr>
                <w:rFonts w:ascii="Times New Roman" w:hAnsi="Times New Roman" w:eastAsia="Times New Roman" w:cs="Times New Roman"/>
                <w:spacing w:val="-25"/>
                <w:position w:val="1"/>
              </w:rPr>
              <w:t xml:space="preserve"> </w:t>
            </w:r>
            <w:r>
              <w:rPr>
                <w:rFonts w:ascii="Times New Roman" w:hAnsi="Times New Roman" w:eastAsia="Times New Roman" w:cs="Times New Roman"/>
                <w:spacing w:val="3"/>
                <w:position w:val="1"/>
              </w:rPr>
              <w:t>1</w:t>
            </w:r>
          </w:p>
        </w:tc>
        <w:tc>
          <w:tcPr>
            <w:tcW w:w="793" w:type="dxa"/>
            <w:vAlign w:val="top"/>
          </w:tcPr>
          <w:p w14:paraId="0F805F21">
            <w:pPr>
              <w:spacing w:before="103" w:line="241" w:lineRule="auto"/>
              <w:ind w:left="23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2254" w:type="dxa"/>
            <w:vAlign w:val="top"/>
          </w:tcPr>
          <w:p w14:paraId="5977AD55">
            <w:pPr>
              <w:spacing w:line="262" w:lineRule="exact"/>
              <w:ind w:left="10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35</w:t>
            </w:r>
          </w:p>
        </w:tc>
        <w:tc>
          <w:tcPr>
            <w:tcW w:w="2135" w:type="dxa"/>
            <w:vAlign w:val="top"/>
          </w:tcPr>
          <w:p w14:paraId="3C0E1FF3">
            <w:pPr>
              <w:spacing w:before="36" w:line="274" w:lineRule="exact"/>
              <w:ind w:left="8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0.056</w:t>
            </w:r>
          </w:p>
        </w:tc>
        <w:tc>
          <w:tcPr>
            <w:tcW w:w="1986" w:type="dxa"/>
            <w:vAlign w:val="top"/>
          </w:tcPr>
          <w:p w14:paraId="661281DC">
            <w:pPr>
              <w:spacing w:before="19"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A11F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3" w:type="dxa"/>
            <w:vMerge w:val="continue"/>
            <w:tcBorders>
              <w:top w:val="nil"/>
              <w:bottom w:val="nil"/>
            </w:tcBorders>
            <w:vAlign w:val="top"/>
          </w:tcPr>
          <w:p w14:paraId="091C6D0B">
            <w:pPr>
              <w:rPr>
                <w:rFonts w:ascii="Arial"/>
                <w:sz w:val="21"/>
              </w:rPr>
            </w:pPr>
          </w:p>
        </w:tc>
        <w:tc>
          <w:tcPr>
            <w:tcW w:w="1182" w:type="dxa"/>
            <w:vMerge w:val="continue"/>
            <w:tcBorders>
              <w:top w:val="nil"/>
              <w:bottom w:val="nil"/>
            </w:tcBorders>
            <w:vAlign w:val="top"/>
          </w:tcPr>
          <w:p w14:paraId="76DFD685">
            <w:pPr>
              <w:rPr>
                <w:rFonts w:ascii="Arial"/>
                <w:sz w:val="21"/>
              </w:rPr>
            </w:pPr>
          </w:p>
        </w:tc>
        <w:tc>
          <w:tcPr>
            <w:tcW w:w="793" w:type="dxa"/>
            <w:vAlign w:val="top"/>
          </w:tcPr>
          <w:p w14:paraId="45BA8196">
            <w:pPr>
              <w:spacing w:before="104" w:line="202" w:lineRule="auto"/>
              <w:ind w:left="190"/>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254" w:type="dxa"/>
            <w:vAlign w:val="top"/>
          </w:tcPr>
          <w:p w14:paraId="14D6D18D">
            <w:pPr>
              <w:spacing w:line="263" w:lineRule="exact"/>
              <w:ind w:left="10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83</w:t>
            </w:r>
          </w:p>
        </w:tc>
        <w:tc>
          <w:tcPr>
            <w:tcW w:w="2135" w:type="dxa"/>
            <w:vAlign w:val="top"/>
          </w:tcPr>
          <w:p w14:paraId="52CB7ABF">
            <w:pPr>
              <w:spacing w:before="37" w:line="274" w:lineRule="exact"/>
              <w:ind w:left="8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0.133</w:t>
            </w:r>
          </w:p>
        </w:tc>
        <w:tc>
          <w:tcPr>
            <w:tcW w:w="1986" w:type="dxa"/>
            <w:vAlign w:val="top"/>
          </w:tcPr>
          <w:p w14:paraId="04FFC96F">
            <w:pPr>
              <w:spacing w:before="18"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5C11D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3" w:type="dxa"/>
            <w:vMerge w:val="continue"/>
            <w:tcBorders>
              <w:top w:val="nil"/>
            </w:tcBorders>
            <w:vAlign w:val="top"/>
          </w:tcPr>
          <w:p w14:paraId="22AD7A1F">
            <w:pPr>
              <w:rPr>
                <w:rFonts w:ascii="Arial"/>
                <w:sz w:val="21"/>
              </w:rPr>
            </w:pPr>
          </w:p>
        </w:tc>
        <w:tc>
          <w:tcPr>
            <w:tcW w:w="1182" w:type="dxa"/>
            <w:vMerge w:val="continue"/>
            <w:tcBorders>
              <w:top w:val="nil"/>
            </w:tcBorders>
            <w:vAlign w:val="top"/>
          </w:tcPr>
          <w:p w14:paraId="14CFD970">
            <w:pPr>
              <w:rPr>
                <w:rFonts w:ascii="Arial"/>
                <w:sz w:val="21"/>
              </w:rPr>
            </w:pPr>
          </w:p>
        </w:tc>
        <w:tc>
          <w:tcPr>
            <w:tcW w:w="793" w:type="dxa"/>
            <w:vAlign w:val="top"/>
          </w:tcPr>
          <w:p w14:paraId="2B78D9C6">
            <w:pPr>
              <w:pStyle w:val="6"/>
              <w:spacing w:before="69" w:line="230" w:lineRule="auto"/>
              <w:ind w:left="191"/>
            </w:pPr>
            <w:r>
              <w:rPr>
                <w:spacing w:val="4"/>
              </w:rPr>
              <w:t>烟尘</w:t>
            </w:r>
          </w:p>
        </w:tc>
        <w:tc>
          <w:tcPr>
            <w:tcW w:w="2254" w:type="dxa"/>
            <w:vAlign w:val="top"/>
          </w:tcPr>
          <w:p w14:paraId="78EB2020">
            <w:pPr>
              <w:spacing w:before="58" w:line="192" w:lineRule="auto"/>
              <w:ind w:left="10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5" w:type="dxa"/>
            <w:vAlign w:val="top"/>
          </w:tcPr>
          <w:p w14:paraId="74A7D432">
            <w:pPr>
              <w:spacing w:before="39" w:line="274" w:lineRule="exact"/>
              <w:ind w:left="8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986" w:type="dxa"/>
            <w:vAlign w:val="top"/>
          </w:tcPr>
          <w:p w14:paraId="1A2D86B8">
            <w:pPr>
              <w:spacing w:before="19" w:line="275"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r w14:paraId="722DD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restart"/>
            <w:tcBorders>
              <w:bottom w:val="nil"/>
            </w:tcBorders>
            <w:vAlign w:val="top"/>
          </w:tcPr>
          <w:p w14:paraId="38CC5019">
            <w:pPr>
              <w:pStyle w:val="6"/>
              <w:spacing w:before="245" w:line="230" w:lineRule="auto"/>
              <w:ind w:left="167"/>
            </w:pPr>
            <w:r>
              <w:rPr>
                <w:spacing w:val="8"/>
              </w:rPr>
              <w:t>一般排放口合计</w:t>
            </w:r>
          </w:p>
        </w:tc>
        <w:tc>
          <w:tcPr>
            <w:tcW w:w="5182" w:type="dxa"/>
            <w:gridSpan w:val="3"/>
            <w:vAlign w:val="top"/>
          </w:tcPr>
          <w:p w14:paraId="56274D52">
            <w:pPr>
              <w:spacing w:before="105" w:line="239" w:lineRule="auto"/>
              <w:ind w:left="2435"/>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1986" w:type="dxa"/>
            <w:vAlign w:val="top"/>
          </w:tcPr>
          <w:p w14:paraId="1AF9A04E">
            <w:pPr>
              <w:spacing w:before="20"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857C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continue"/>
            <w:tcBorders>
              <w:top w:val="nil"/>
            </w:tcBorders>
            <w:vAlign w:val="top"/>
          </w:tcPr>
          <w:p w14:paraId="05B6C2D2">
            <w:pPr>
              <w:rPr>
                <w:rFonts w:ascii="Arial"/>
                <w:sz w:val="21"/>
              </w:rPr>
            </w:pPr>
          </w:p>
        </w:tc>
        <w:tc>
          <w:tcPr>
            <w:tcW w:w="5182" w:type="dxa"/>
            <w:gridSpan w:val="3"/>
            <w:vAlign w:val="top"/>
          </w:tcPr>
          <w:p w14:paraId="014581CE">
            <w:pPr>
              <w:spacing w:before="103" w:line="205" w:lineRule="auto"/>
              <w:ind w:left="2386"/>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986" w:type="dxa"/>
            <w:vAlign w:val="top"/>
          </w:tcPr>
          <w:p w14:paraId="0A4ACE94">
            <w:pPr>
              <w:spacing w:before="20"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77D18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785" w:type="dxa"/>
            <w:gridSpan w:val="2"/>
            <w:vAlign w:val="top"/>
          </w:tcPr>
          <w:p w14:paraId="1E74B31C">
            <w:pPr>
              <w:rPr>
                <w:rFonts w:ascii="Arial"/>
                <w:sz w:val="21"/>
              </w:rPr>
            </w:pPr>
          </w:p>
        </w:tc>
        <w:tc>
          <w:tcPr>
            <w:tcW w:w="5182" w:type="dxa"/>
            <w:gridSpan w:val="3"/>
            <w:vAlign w:val="top"/>
          </w:tcPr>
          <w:p w14:paraId="0E6B662C">
            <w:pPr>
              <w:pStyle w:val="6"/>
              <w:spacing w:before="142" w:line="230" w:lineRule="auto"/>
              <w:ind w:left="2387"/>
            </w:pPr>
            <w:r>
              <w:rPr>
                <w:spacing w:val="4"/>
              </w:rPr>
              <w:t>烟尘</w:t>
            </w:r>
          </w:p>
        </w:tc>
        <w:tc>
          <w:tcPr>
            <w:tcW w:w="1986" w:type="dxa"/>
            <w:vAlign w:val="top"/>
          </w:tcPr>
          <w:p w14:paraId="5F12489A">
            <w:pPr>
              <w:spacing w:before="95"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r w14:paraId="004B3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53" w:type="dxa"/>
            <w:gridSpan w:val="6"/>
            <w:vAlign w:val="top"/>
          </w:tcPr>
          <w:p w14:paraId="297CD4D8">
            <w:pPr>
              <w:pStyle w:val="6"/>
              <w:spacing w:before="69" w:line="229" w:lineRule="auto"/>
              <w:ind w:left="3988"/>
            </w:pPr>
            <w:r>
              <w:rPr>
                <w:spacing w:val="8"/>
              </w:rPr>
              <w:t>有组织排放总计</w:t>
            </w:r>
          </w:p>
        </w:tc>
      </w:tr>
      <w:tr w14:paraId="7E2A6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restart"/>
            <w:tcBorders>
              <w:bottom w:val="nil"/>
            </w:tcBorders>
            <w:vAlign w:val="top"/>
          </w:tcPr>
          <w:p w14:paraId="38F5A296">
            <w:pPr>
              <w:pStyle w:val="6"/>
              <w:spacing w:before="245" w:line="229" w:lineRule="auto"/>
              <w:ind w:left="164"/>
            </w:pPr>
            <w:r>
              <w:rPr>
                <w:spacing w:val="8"/>
              </w:rPr>
              <w:t>有组织排放总计</w:t>
            </w:r>
          </w:p>
        </w:tc>
        <w:tc>
          <w:tcPr>
            <w:tcW w:w="5182" w:type="dxa"/>
            <w:gridSpan w:val="3"/>
            <w:vAlign w:val="top"/>
          </w:tcPr>
          <w:p w14:paraId="0C5FE3AB">
            <w:pPr>
              <w:spacing w:before="105" w:line="239" w:lineRule="auto"/>
              <w:ind w:left="2435"/>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1986" w:type="dxa"/>
            <w:vAlign w:val="top"/>
          </w:tcPr>
          <w:p w14:paraId="2A85F5ED">
            <w:pPr>
              <w:spacing w:before="22"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547F3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continue"/>
            <w:tcBorders>
              <w:top w:val="nil"/>
            </w:tcBorders>
            <w:vAlign w:val="top"/>
          </w:tcPr>
          <w:p w14:paraId="42E0395B">
            <w:pPr>
              <w:rPr>
                <w:rFonts w:ascii="Arial"/>
                <w:sz w:val="21"/>
              </w:rPr>
            </w:pPr>
          </w:p>
        </w:tc>
        <w:tc>
          <w:tcPr>
            <w:tcW w:w="5182" w:type="dxa"/>
            <w:gridSpan w:val="3"/>
            <w:vAlign w:val="top"/>
          </w:tcPr>
          <w:p w14:paraId="63A5D6AD">
            <w:pPr>
              <w:spacing w:before="106" w:line="202" w:lineRule="auto"/>
              <w:ind w:left="2386"/>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986" w:type="dxa"/>
            <w:vAlign w:val="top"/>
          </w:tcPr>
          <w:p w14:paraId="56FB198C">
            <w:pPr>
              <w:spacing w:before="20"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2497D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785" w:type="dxa"/>
            <w:gridSpan w:val="2"/>
            <w:vAlign w:val="top"/>
          </w:tcPr>
          <w:p w14:paraId="4A9717FC">
            <w:pPr>
              <w:rPr>
                <w:rFonts w:ascii="Arial"/>
                <w:sz w:val="21"/>
              </w:rPr>
            </w:pPr>
          </w:p>
        </w:tc>
        <w:tc>
          <w:tcPr>
            <w:tcW w:w="5182" w:type="dxa"/>
            <w:gridSpan w:val="3"/>
            <w:vAlign w:val="top"/>
          </w:tcPr>
          <w:p w14:paraId="0F07D48C">
            <w:pPr>
              <w:pStyle w:val="6"/>
              <w:spacing w:before="145" w:line="230" w:lineRule="auto"/>
              <w:ind w:left="2387"/>
            </w:pPr>
            <w:r>
              <w:rPr>
                <w:spacing w:val="4"/>
              </w:rPr>
              <w:t>烟尘</w:t>
            </w:r>
          </w:p>
        </w:tc>
        <w:tc>
          <w:tcPr>
            <w:tcW w:w="1986" w:type="dxa"/>
            <w:vAlign w:val="top"/>
          </w:tcPr>
          <w:p w14:paraId="4AFD8005">
            <w:pPr>
              <w:spacing w:before="95"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bl>
    <w:p w14:paraId="68A3B2AF">
      <w:pPr>
        <w:spacing w:before="141" w:line="228" w:lineRule="auto"/>
        <w:ind w:left="272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5.2-15 </w:t>
      </w:r>
      <w:r>
        <w:rPr>
          <w:rFonts w:ascii="宋体" w:hAnsi="宋体" w:eastAsia="宋体" w:cs="宋体"/>
          <w:b/>
          <w:bCs/>
          <w:spacing w:val="6"/>
          <w:sz w:val="20"/>
          <w:szCs w:val="20"/>
        </w:rPr>
        <w:t>本项目大气污染物无组织排放量核算表</w:t>
      </w:r>
    </w:p>
    <w:p w14:paraId="4D58F129">
      <w:pPr>
        <w:spacing w:line="103" w:lineRule="exact"/>
      </w:pPr>
    </w:p>
    <w:tbl>
      <w:tblPr>
        <w:tblStyle w:val="5"/>
        <w:tblW w:w="8950"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
        <w:gridCol w:w="849"/>
        <w:gridCol w:w="983"/>
        <w:gridCol w:w="651"/>
        <w:gridCol w:w="1344"/>
        <w:gridCol w:w="2264"/>
        <w:gridCol w:w="1275"/>
        <w:gridCol w:w="1158"/>
      </w:tblGrid>
      <w:tr w14:paraId="49D5B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26" w:type="dxa"/>
            <w:vMerge w:val="restart"/>
            <w:tcBorders>
              <w:bottom w:val="nil"/>
            </w:tcBorders>
            <w:textDirection w:val="tbRlV"/>
            <w:vAlign w:val="top"/>
          </w:tcPr>
          <w:p w14:paraId="33F3326B">
            <w:pPr>
              <w:pStyle w:val="6"/>
              <w:spacing w:before="103" w:line="218" w:lineRule="auto"/>
              <w:ind w:left="209"/>
            </w:pPr>
            <w:r>
              <w:rPr>
                <w:b/>
                <w:bCs/>
                <w:spacing w:val="7"/>
              </w:rPr>
              <w:t>序</w:t>
            </w:r>
            <w:r>
              <w:rPr>
                <w:spacing w:val="-36"/>
              </w:rPr>
              <w:t xml:space="preserve"> </w:t>
            </w:r>
            <w:r>
              <w:rPr>
                <w:b/>
                <w:bCs/>
                <w:spacing w:val="7"/>
              </w:rPr>
              <w:t>号</w:t>
            </w:r>
          </w:p>
        </w:tc>
        <w:tc>
          <w:tcPr>
            <w:tcW w:w="849" w:type="dxa"/>
            <w:vMerge w:val="restart"/>
            <w:tcBorders>
              <w:bottom w:val="nil"/>
            </w:tcBorders>
            <w:vAlign w:val="top"/>
          </w:tcPr>
          <w:p w14:paraId="35CA2750">
            <w:pPr>
              <w:pStyle w:val="6"/>
              <w:spacing w:before="209" w:line="254" w:lineRule="auto"/>
              <w:ind w:left="220" w:right="107" w:hanging="107"/>
            </w:pPr>
            <w:r>
              <w:rPr>
                <w:b/>
                <w:bCs/>
                <w:spacing w:val="5"/>
              </w:rPr>
              <w:t>排放口</w:t>
            </w:r>
            <w:r>
              <w:t xml:space="preserve"> </w:t>
            </w:r>
            <w:r>
              <w:rPr>
                <w:b/>
                <w:bCs/>
                <w:spacing w:val="3"/>
              </w:rPr>
              <w:t>编号</w:t>
            </w:r>
          </w:p>
        </w:tc>
        <w:tc>
          <w:tcPr>
            <w:tcW w:w="983" w:type="dxa"/>
            <w:vMerge w:val="restart"/>
            <w:tcBorders>
              <w:bottom w:val="nil"/>
            </w:tcBorders>
            <w:vAlign w:val="top"/>
          </w:tcPr>
          <w:p w14:paraId="5B62FD77">
            <w:pPr>
              <w:pStyle w:val="6"/>
              <w:spacing w:before="210" w:line="254" w:lineRule="auto"/>
              <w:ind w:left="388" w:right="173" w:hanging="208"/>
            </w:pPr>
            <w:r>
              <w:rPr>
                <w:b/>
                <w:bCs/>
                <w:spacing w:val="5"/>
              </w:rPr>
              <w:t>产污环</w:t>
            </w:r>
            <w:r>
              <w:t xml:space="preserve"> </w:t>
            </w:r>
            <w:r>
              <w:rPr>
                <w:b/>
                <w:bCs/>
                <w:spacing w:val="-2"/>
              </w:rPr>
              <w:t>节</w:t>
            </w:r>
          </w:p>
        </w:tc>
        <w:tc>
          <w:tcPr>
            <w:tcW w:w="651" w:type="dxa"/>
            <w:vMerge w:val="restart"/>
            <w:tcBorders>
              <w:bottom w:val="nil"/>
            </w:tcBorders>
            <w:vAlign w:val="top"/>
          </w:tcPr>
          <w:p w14:paraId="78F71D2F">
            <w:pPr>
              <w:pStyle w:val="6"/>
              <w:spacing w:before="208" w:line="255" w:lineRule="auto"/>
              <w:ind w:left="224" w:right="114" w:hanging="103"/>
            </w:pPr>
            <w:r>
              <w:rPr>
                <w:b/>
                <w:bCs/>
                <w:spacing w:val="3"/>
              </w:rPr>
              <w:t>污染</w:t>
            </w:r>
            <w:r>
              <w:t xml:space="preserve"> </w:t>
            </w:r>
            <w:r>
              <w:rPr>
                <w:b/>
                <w:bCs/>
                <w:spacing w:val="-2"/>
              </w:rPr>
              <w:t>物</w:t>
            </w:r>
          </w:p>
        </w:tc>
        <w:tc>
          <w:tcPr>
            <w:tcW w:w="1344" w:type="dxa"/>
            <w:vMerge w:val="restart"/>
            <w:tcBorders>
              <w:bottom w:val="nil"/>
            </w:tcBorders>
            <w:vAlign w:val="top"/>
          </w:tcPr>
          <w:p w14:paraId="1B540313">
            <w:pPr>
              <w:pStyle w:val="6"/>
              <w:spacing w:before="209" w:line="229" w:lineRule="auto"/>
              <w:ind w:left="154"/>
            </w:pPr>
            <w:r>
              <w:rPr>
                <w:b/>
                <w:bCs/>
                <w:spacing w:val="6"/>
              </w:rPr>
              <w:t>主要污染防</w:t>
            </w:r>
          </w:p>
          <w:p w14:paraId="21FA0FDF">
            <w:pPr>
              <w:pStyle w:val="6"/>
              <w:spacing w:before="25" w:line="229" w:lineRule="auto"/>
              <w:ind w:left="366"/>
            </w:pPr>
            <w:r>
              <w:rPr>
                <w:b/>
                <w:bCs/>
                <w:spacing w:val="3"/>
              </w:rPr>
              <w:t>治措施</w:t>
            </w:r>
          </w:p>
        </w:tc>
        <w:tc>
          <w:tcPr>
            <w:tcW w:w="3539" w:type="dxa"/>
            <w:gridSpan w:val="2"/>
            <w:vAlign w:val="top"/>
          </w:tcPr>
          <w:p w14:paraId="34274FA5">
            <w:pPr>
              <w:pStyle w:val="6"/>
              <w:spacing w:before="70" w:line="229" w:lineRule="auto"/>
              <w:ind w:left="535"/>
            </w:pPr>
            <w:r>
              <w:rPr>
                <w:b/>
                <w:bCs/>
                <w:spacing w:val="6"/>
              </w:rPr>
              <w:t>国家或地方污染物排放标准</w:t>
            </w:r>
          </w:p>
        </w:tc>
        <w:tc>
          <w:tcPr>
            <w:tcW w:w="1158" w:type="dxa"/>
            <w:vMerge w:val="restart"/>
            <w:tcBorders>
              <w:bottom w:val="nil"/>
            </w:tcBorders>
            <w:vAlign w:val="top"/>
          </w:tcPr>
          <w:p w14:paraId="5B10F51D">
            <w:pPr>
              <w:pStyle w:val="6"/>
              <w:spacing w:before="210" w:line="228" w:lineRule="auto"/>
              <w:ind w:left="166"/>
            </w:pPr>
            <w:r>
              <w:rPr>
                <w:b/>
                <w:bCs/>
                <w:spacing w:val="6"/>
              </w:rPr>
              <w:t>年排放量</w:t>
            </w:r>
          </w:p>
          <w:p w14:paraId="3A97CBEF">
            <w:pPr>
              <w:pStyle w:val="6"/>
              <w:spacing w:before="25" w:line="241" w:lineRule="auto"/>
              <w:ind w:left="269"/>
            </w:pPr>
            <w:r>
              <w:rPr>
                <w:b/>
                <w:bCs/>
                <w:spacing w:val="-1"/>
              </w:rPr>
              <w:t>（</w:t>
            </w:r>
            <w:r>
              <w:rPr>
                <w:rFonts w:ascii="Times New Roman" w:hAnsi="Times New Roman" w:eastAsia="Times New Roman" w:cs="Times New Roman"/>
                <w:b/>
                <w:bCs/>
                <w:spacing w:val="-1"/>
              </w:rPr>
              <w:t>t/a</w:t>
            </w:r>
            <w:r>
              <w:rPr>
                <w:b/>
                <w:bCs/>
                <w:spacing w:val="-1"/>
              </w:rPr>
              <w:t>）</w:t>
            </w:r>
          </w:p>
        </w:tc>
      </w:tr>
      <w:tr w14:paraId="34D0C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26" w:type="dxa"/>
            <w:vMerge w:val="continue"/>
            <w:tcBorders>
              <w:top w:val="nil"/>
            </w:tcBorders>
            <w:textDirection w:val="tbRlV"/>
            <w:vAlign w:val="top"/>
          </w:tcPr>
          <w:p w14:paraId="1ED66D5D">
            <w:pPr>
              <w:rPr>
                <w:rFonts w:ascii="Arial"/>
                <w:sz w:val="21"/>
              </w:rPr>
            </w:pPr>
          </w:p>
        </w:tc>
        <w:tc>
          <w:tcPr>
            <w:tcW w:w="849" w:type="dxa"/>
            <w:vMerge w:val="continue"/>
            <w:tcBorders>
              <w:top w:val="nil"/>
            </w:tcBorders>
            <w:vAlign w:val="top"/>
          </w:tcPr>
          <w:p w14:paraId="664C4490">
            <w:pPr>
              <w:rPr>
                <w:rFonts w:ascii="Arial"/>
                <w:sz w:val="21"/>
              </w:rPr>
            </w:pPr>
          </w:p>
        </w:tc>
        <w:tc>
          <w:tcPr>
            <w:tcW w:w="983" w:type="dxa"/>
            <w:vMerge w:val="continue"/>
            <w:tcBorders>
              <w:top w:val="nil"/>
            </w:tcBorders>
            <w:vAlign w:val="top"/>
          </w:tcPr>
          <w:p w14:paraId="15608D3D">
            <w:pPr>
              <w:rPr>
                <w:rFonts w:ascii="Arial"/>
                <w:sz w:val="21"/>
              </w:rPr>
            </w:pPr>
          </w:p>
        </w:tc>
        <w:tc>
          <w:tcPr>
            <w:tcW w:w="651" w:type="dxa"/>
            <w:vMerge w:val="continue"/>
            <w:tcBorders>
              <w:top w:val="nil"/>
            </w:tcBorders>
            <w:vAlign w:val="top"/>
          </w:tcPr>
          <w:p w14:paraId="1F10B934">
            <w:pPr>
              <w:rPr>
                <w:rFonts w:ascii="Arial"/>
                <w:sz w:val="21"/>
              </w:rPr>
            </w:pPr>
          </w:p>
        </w:tc>
        <w:tc>
          <w:tcPr>
            <w:tcW w:w="1344" w:type="dxa"/>
            <w:vMerge w:val="continue"/>
            <w:tcBorders>
              <w:top w:val="nil"/>
            </w:tcBorders>
            <w:vAlign w:val="top"/>
          </w:tcPr>
          <w:p w14:paraId="77BE9C42">
            <w:pPr>
              <w:rPr>
                <w:rFonts w:ascii="Arial"/>
                <w:sz w:val="21"/>
              </w:rPr>
            </w:pPr>
          </w:p>
        </w:tc>
        <w:tc>
          <w:tcPr>
            <w:tcW w:w="2264" w:type="dxa"/>
            <w:vAlign w:val="top"/>
          </w:tcPr>
          <w:p w14:paraId="65770489">
            <w:pPr>
              <w:pStyle w:val="6"/>
              <w:spacing w:before="167" w:line="229" w:lineRule="auto"/>
              <w:ind w:left="719"/>
            </w:pPr>
            <w:r>
              <w:rPr>
                <w:b/>
                <w:bCs/>
                <w:spacing w:val="6"/>
              </w:rPr>
              <w:t>标准名称</w:t>
            </w:r>
          </w:p>
        </w:tc>
        <w:tc>
          <w:tcPr>
            <w:tcW w:w="1275" w:type="dxa"/>
            <w:vAlign w:val="top"/>
          </w:tcPr>
          <w:p w14:paraId="49742601">
            <w:pPr>
              <w:pStyle w:val="6"/>
              <w:spacing w:before="33" w:line="228" w:lineRule="auto"/>
              <w:ind w:left="223"/>
            </w:pPr>
            <w:r>
              <w:rPr>
                <w:b/>
                <w:bCs/>
                <w:spacing w:val="6"/>
              </w:rPr>
              <w:t>浓度限值</w:t>
            </w:r>
          </w:p>
          <w:p w14:paraId="3E0C2061">
            <w:pPr>
              <w:pStyle w:val="6"/>
              <w:spacing w:before="24" w:line="216" w:lineRule="auto"/>
              <w:ind w:left="283"/>
            </w:pPr>
            <w:r>
              <w:rPr>
                <w:b/>
                <w:bCs/>
                <w:spacing w:val="1"/>
              </w:rPr>
              <w:t>(</w:t>
            </w:r>
            <w:r>
              <w:rPr>
                <w:rFonts w:ascii="Times New Roman" w:hAnsi="Times New Roman" w:eastAsia="Times New Roman" w:cs="Times New Roman"/>
                <w:b/>
                <w:bCs/>
                <w:spacing w:val="1"/>
              </w:rPr>
              <w:t>μg/m</w:t>
            </w:r>
            <w:r>
              <w:rPr>
                <w:rFonts w:ascii="Times New Roman" w:hAnsi="Times New Roman" w:eastAsia="Times New Roman" w:cs="Times New Roman"/>
                <w:b/>
                <w:bCs/>
                <w:spacing w:val="1"/>
                <w:position w:val="6"/>
                <w:sz w:val="13"/>
                <w:szCs w:val="13"/>
              </w:rPr>
              <w:t>3</w:t>
            </w:r>
            <w:r>
              <w:rPr>
                <w:b/>
                <w:bCs/>
                <w:spacing w:val="1"/>
              </w:rPr>
              <w:t>）</w:t>
            </w:r>
          </w:p>
        </w:tc>
        <w:tc>
          <w:tcPr>
            <w:tcW w:w="1158" w:type="dxa"/>
            <w:vMerge w:val="continue"/>
            <w:tcBorders>
              <w:top w:val="nil"/>
            </w:tcBorders>
            <w:vAlign w:val="top"/>
          </w:tcPr>
          <w:p w14:paraId="7EA9FD9D">
            <w:pPr>
              <w:rPr>
                <w:rFonts w:ascii="Arial"/>
                <w:sz w:val="21"/>
              </w:rPr>
            </w:pPr>
          </w:p>
        </w:tc>
      </w:tr>
      <w:tr w14:paraId="78BB1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26" w:type="dxa"/>
            <w:vMerge w:val="restart"/>
            <w:tcBorders>
              <w:bottom w:val="nil"/>
            </w:tcBorders>
            <w:vAlign w:val="top"/>
          </w:tcPr>
          <w:p w14:paraId="444E3E5C">
            <w:pPr>
              <w:spacing w:before="211" w:line="274" w:lineRule="exact"/>
              <w:ind w:left="18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849" w:type="dxa"/>
            <w:vMerge w:val="restart"/>
            <w:tcBorders>
              <w:bottom w:val="nil"/>
            </w:tcBorders>
            <w:vAlign w:val="top"/>
          </w:tcPr>
          <w:p w14:paraId="000AF82C">
            <w:pPr>
              <w:spacing w:before="211"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3" w:type="dxa"/>
            <w:vMerge w:val="restart"/>
            <w:tcBorders>
              <w:bottom w:val="nil"/>
            </w:tcBorders>
            <w:vAlign w:val="top"/>
          </w:tcPr>
          <w:p w14:paraId="62876D8F">
            <w:pPr>
              <w:pStyle w:val="6"/>
              <w:spacing w:before="240" w:line="228" w:lineRule="auto"/>
              <w:ind w:left="287"/>
            </w:pPr>
            <w:r>
              <w:rPr>
                <w:spacing w:val="4"/>
              </w:rPr>
              <w:t>养猪</w:t>
            </w:r>
          </w:p>
        </w:tc>
        <w:tc>
          <w:tcPr>
            <w:tcW w:w="651" w:type="dxa"/>
            <w:vAlign w:val="top"/>
          </w:tcPr>
          <w:p w14:paraId="63528951">
            <w:pPr>
              <w:spacing w:before="105" w:line="238" w:lineRule="auto"/>
              <w:ind w:left="135"/>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344" w:type="dxa"/>
            <w:vMerge w:val="restart"/>
            <w:tcBorders>
              <w:bottom w:val="nil"/>
            </w:tcBorders>
            <w:vAlign w:val="top"/>
          </w:tcPr>
          <w:p w14:paraId="29B15CC4">
            <w:pPr>
              <w:pStyle w:val="6"/>
              <w:spacing w:before="239" w:line="228" w:lineRule="auto"/>
              <w:ind w:left="160"/>
            </w:pPr>
            <w:r>
              <w:rPr>
                <w:spacing w:val="6"/>
              </w:rPr>
              <w:t>喷洒除臭剂</w:t>
            </w:r>
          </w:p>
        </w:tc>
        <w:tc>
          <w:tcPr>
            <w:tcW w:w="2264" w:type="dxa"/>
            <w:vMerge w:val="restart"/>
            <w:tcBorders>
              <w:bottom w:val="nil"/>
            </w:tcBorders>
            <w:vAlign w:val="top"/>
          </w:tcPr>
          <w:p w14:paraId="4D807BB8">
            <w:pPr>
              <w:spacing w:line="293" w:lineRule="auto"/>
              <w:rPr>
                <w:rFonts w:ascii="Arial"/>
                <w:sz w:val="21"/>
              </w:rPr>
            </w:pPr>
          </w:p>
          <w:p w14:paraId="0C32CF79">
            <w:pPr>
              <w:pStyle w:val="6"/>
              <w:spacing w:before="65" w:line="222" w:lineRule="auto"/>
              <w:ind w:left="198"/>
            </w:pPr>
            <w:r>
              <w:rPr>
                <w:spacing w:val="8"/>
              </w:rPr>
              <w:t>《恶臭污染物排放标</w:t>
            </w:r>
          </w:p>
          <w:p w14:paraId="3DC1196E">
            <w:pPr>
              <w:pStyle w:val="6"/>
              <w:spacing w:line="274" w:lineRule="exact"/>
              <w:ind w:left="115"/>
            </w:pPr>
            <w:r>
              <w:rPr>
                <w:spacing w:val="1"/>
                <w:position w:val="1"/>
              </w:rPr>
              <w:t>准》（</w:t>
            </w:r>
            <w:r>
              <w:rPr>
                <w:rFonts w:ascii="Times New Roman" w:hAnsi="Times New Roman" w:eastAsia="Times New Roman" w:cs="Times New Roman"/>
                <w:position w:val="1"/>
              </w:rPr>
              <w:t>GB</w:t>
            </w:r>
            <w:r>
              <w:rPr>
                <w:rFonts w:ascii="Times New Roman" w:hAnsi="Times New Roman" w:eastAsia="Times New Roman" w:cs="Times New Roman"/>
                <w:spacing w:val="1"/>
                <w:position w:val="1"/>
              </w:rPr>
              <w:t>14554-93</w:t>
            </w:r>
            <w:r>
              <w:rPr>
                <w:spacing w:val="1"/>
                <w:position w:val="1"/>
              </w:rPr>
              <w:t>）中</w:t>
            </w:r>
          </w:p>
          <w:p w14:paraId="630B754E">
            <w:pPr>
              <w:pStyle w:val="6"/>
              <w:spacing w:before="30" w:line="229" w:lineRule="auto"/>
              <w:ind w:left="419"/>
            </w:pPr>
            <w:r>
              <w:rPr>
                <w:spacing w:val="6"/>
              </w:rPr>
              <w:t>的厂界二级标准</w:t>
            </w:r>
          </w:p>
        </w:tc>
        <w:tc>
          <w:tcPr>
            <w:tcW w:w="1275" w:type="dxa"/>
            <w:vAlign w:val="top"/>
          </w:tcPr>
          <w:p w14:paraId="3BD3B13E">
            <w:pPr>
              <w:spacing w:before="36" w:line="274" w:lineRule="exact"/>
              <w:ind w:left="4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1158" w:type="dxa"/>
            <w:vAlign w:val="top"/>
          </w:tcPr>
          <w:p w14:paraId="3C305DEA">
            <w:pPr>
              <w:spacing w:before="36"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73F4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26" w:type="dxa"/>
            <w:vMerge w:val="continue"/>
            <w:tcBorders>
              <w:top w:val="nil"/>
            </w:tcBorders>
            <w:vAlign w:val="top"/>
          </w:tcPr>
          <w:p w14:paraId="7D0E9806">
            <w:pPr>
              <w:rPr>
                <w:rFonts w:ascii="Arial"/>
                <w:sz w:val="21"/>
              </w:rPr>
            </w:pPr>
          </w:p>
        </w:tc>
        <w:tc>
          <w:tcPr>
            <w:tcW w:w="849" w:type="dxa"/>
            <w:vMerge w:val="continue"/>
            <w:tcBorders>
              <w:top w:val="nil"/>
            </w:tcBorders>
            <w:vAlign w:val="top"/>
          </w:tcPr>
          <w:p w14:paraId="042DB4F6">
            <w:pPr>
              <w:rPr>
                <w:rFonts w:ascii="Arial"/>
                <w:sz w:val="21"/>
              </w:rPr>
            </w:pPr>
          </w:p>
        </w:tc>
        <w:tc>
          <w:tcPr>
            <w:tcW w:w="983" w:type="dxa"/>
            <w:vMerge w:val="continue"/>
            <w:tcBorders>
              <w:top w:val="nil"/>
            </w:tcBorders>
            <w:vAlign w:val="top"/>
          </w:tcPr>
          <w:p w14:paraId="2709230D">
            <w:pPr>
              <w:rPr>
                <w:rFonts w:ascii="Arial"/>
                <w:sz w:val="21"/>
              </w:rPr>
            </w:pPr>
          </w:p>
        </w:tc>
        <w:tc>
          <w:tcPr>
            <w:tcW w:w="651" w:type="dxa"/>
            <w:vAlign w:val="top"/>
          </w:tcPr>
          <w:p w14:paraId="3BCFB9B6">
            <w:pPr>
              <w:spacing w:before="102" w:line="232"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position w:val="1"/>
                <w:sz w:val="20"/>
                <w:szCs w:val="20"/>
              </w:rPr>
              <w:t>S</w:t>
            </w:r>
          </w:p>
        </w:tc>
        <w:tc>
          <w:tcPr>
            <w:tcW w:w="1344" w:type="dxa"/>
            <w:vMerge w:val="continue"/>
            <w:tcBorders>
              <w:top w:val="nil"/>
            </w:tcBorders>
            <w:vAlign w:val="top"/>
          </w:tcPr>
          <w:p w14:paraId="6CB0C150">
            <w:pPr>
              <w:rPr>
                <w:rFonts w:ascii="Arial"/>
                <w:sz w:val="21"/>
              </w:rPr>
            </w:pPr>
          </w:p>
        </w:tc>
        <w:tc>
          <w:tcPr>
            <w:tcW w:w="2264" w:type="dxa"/>
            <w:vMerge w:val="continue"/>
            <w:tcBorders>
              <w:top w:val="nil"/>
              <w:bottom w:val="nil"/>
            </w:tcBorders>
            <w:vAlign w:val="top"/>
          </w:tcPr>
          <w:p w14:paraId="2A8500A9">
            <w:pPr>
              <w:rPr>
                <w:rFonts w:ascii="Arial"/>
                <w:sz w:val="21"/>
              </w:rPr>
            </w:pPr>
          </w:p>
        </w:tc>
        <w:tc>
          <w:tcPr>
            <w:tcW w:w="1275" w:type="dxa"/>
            <w:vAlign w:val="top"/>
          </w:tcPr>
          <w:p w14:paraId="6AE0FD46">
            <w:pPr>
              <w:spacing w:before="35" w:line="274" w:lineRule="exact"/>
              <w:ind w:left="5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158" w:type="dxa"/>
            <w:vAlign w:val="top"/>
          </w:tcPr>
          <w:p w14:paraId="7263833F">
            <w:pPr>
              <w:spacing w:before="35"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r>
      <w:tr w14:paraId="3DFE7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26" w:type="dxa"/>
            <w:vMerge w:val="restart"/>
            <w:tcBorders>
              <w:bottom w:val="nil"/>
            </w:tcBorders>
            <w:vAlign w:val="top"/>
          </w:tcPr>
          <w:p w14:paraId="58CA9570">
            <w:pPr>
              <w:spacing w:before="25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849" w:type="dxa"/>
            <w:vMerge w:val="restart"/>
            <w:tcBorders>
              <w:bottom w:val="nil"/>
            </w:tcBorders>
            <w:vAlign w:val="top"/>
          </w:tcPr>
          <w:p w14:paraId="753AF9E2">
            <w:pPr>
              <w:spacing w:before="254"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3" w:type="dxa"/>
            <w:vMerge w:val="restart"/>
            <w:tcBorders>
              <w:bottom w:val="nil"/>
            </w:tcBorders>
            <w:vAlign w:val="top"/>
          </w:tcPr>
          <w:p w14:paraId="1734D4B4">
            <w:pPr>
              <w:pStyle w:val="6"/>
              <w:spacing w:before="148" w:line="252" w:lineRule="auto"/>
              <w:ind w:left="286" w:right="176" w:hanging="105"/>
            </w:pPr>
            <w:r>
              <w:rPr>
                <w:spacing w:val="6"/>
              </w:rPr>
              <w:t>有机肥</w:t>
            </w:r>
            <w:r>
              <w:t xml:space="preserve"> </w:t>
            </w:r>
            <w:r>
              <w:rPr>
                <w:spacing w:val="4"/>
              </w:rPr>
              <w:t>制造</w:t>
            </w:r>
          </w:p>
        </w:tc>
        <w:tc>
          <w:tcPr>
            <w:tcW w:w="651" w:type="dxa"/>
            <w:vAlign w:val="top"/>
          </w:tcPr>
          <w:p w14:paraId="5B99B7B8">
            <w:pPr>
              <w:spacing w:before="105" w:line="239" w:lineRule="auto"/>
              <w:ind w:left="135"/>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344" w:type="dxa"/>
            <w:vMerge w:val="restart"/>
            <w:tcBorders>
              <w:bottom w:val="nil"/>
            </w:tcBorders>
            <w:vAlign w:val="top"/>
          </w:tcPr>
          <w:p w14:paraId="1F857DB5">
            <w:pPr>
              <w:pStyle w:val="6"/>
              <w:spacing w:before="282" w:line="228" w:lineRule="auto"/>
              <w:ind w:left="160"/>
            </w:pPr>
            <w:r>
              <w:rPr>
                <w:spacing w:val="6"/>
              </w:rPr>
              <w:t>喷洒除臭剂</w:t>
            </w:r>
          </w:p>
        </w:tc>
        <w:tc>
          <w:tcPr>
            <w:tcW w:w="2264" w:type="dxa"/>
            <w:vMerge w:val="continue"/>
            <w:tcBorders>
              <w:top w:val="nil"/>
              <w:bottom w:val="nil"/>
            </w:tcBorders>
            <w:vAlign w:val="top"/>
          </w:tcPr>
          <w:p w14:paraId="1B8F2E49">
            <w:pPr>
              <w:rPr>
                <w:rFonts w:ascii="Arial"/>
                <w:sz w:val="21"/>
              </w:rPr>
            </w:pPr>
          </w:p>
        </w:tc>
        <w:tc>
          <w:tcPr>
            <w:tcW w:w="1275" w:type="dxa"/>
            <w:vAlign w:val="top"/>
          </w:tcPr>
          <w:p w14:paraId="26412D35">
            <w:pPr>
              <w:spacing w:before="35" w:line="275" w:lineRule="exact"/>
              <w:ind w:left="4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1158" w:type="dxa"/>
            <w:vAlign w:val="top"/>
          </w:tcPr>
          <w:p w14:paraId="73974357">
            <w:pPr>
              <w:spacing w:before="35" w:line="275"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w:t>
            </w:r>
          </w:p>
        </w:tc>
      </w:tr>
      <w:tr w14:paraId="2EF8C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26" w:type="dxa"/>
            <w:vMerge w:val="continue"/>
            <w:tcBorders>
              <w:top w:val="nil"/>
            </w:tcBorders>
            <w:vAlign w:val="top"/>
          </w:tcPr>
          <w:p w14:paraId="5D8ADE18">
            <w:pPr>
              <w:rPr>
                <w:rFonts w:ascii="Arial"/>
                <w:sz w:val="21"/>
              </w:rPr>
            </w:pPr>
          </w:p>
        </w:tc>
        <w:tc>
          <w:tcPr>
            <w:tcW w:w="849" w:type="dxa"/>
            <w:vMerge w:val="continue"/>
            <w:tcBorders>
              <w:top w:val="nil"/>
            </w:tcBorders>
            <w:vAlign w:val="top"/>
          </w:tcPr>
          <w:p w14:paraId="387ED231">
            <w:pPr>
              <w:rPr>
                <w:rFonts w:ascii="Arial"/>
                <w:sz w:val="21"/>
              </w:rPr>
            </w:pPr>
          </w:p>
        </w:tc>
        <w:tc>
          <w:tcPr>
            <w:tcW w:w="983" w:type="dxa"/>
            <w:vMerge w:val="continue"/>
            <w:tcBorders>
              <w:top w:val="nil"/>
            </w:tcBorders>
            <w:vAlign w:val="top"/>
          </w:tcPr>
          <w:p w14:paraId="2BD45F91">
            <w:pPr>
              <w:rPr>
                <w:rFonts w:ascii="Arial"/>
                <w:sz w:val="21"/>
              </w:rPr>
            </w:pPr>
          </w:p>
        </w:tc>
        <w:tc>
          <w:tcPr>
            <w:tcW w:w="651" w:type="dxa"/>
            <w:vAlign w:val="top"/>
          </w:tcPr>
          <w:p w14:paraId="5F142318">
            <w:pPr>
              <w:spacing w:before="146" w:line="242"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344" w:type="dxa"/>
            <w:vMerge w:val="continue"/>
            <w:tcBorders>
              <w:top w:val="nil"/>
            </w:tcBorders>
            <w:vAlign w:val="top"/>
          </w:tcPr>
          <w:p w14:paraId="32CFC278">
            <w:pPr>
              <w:rPr>
                <w:rFonts w:ascii="Arial"/>
                <w:sz w:val="21"/>
              </w:rPr>
            </w:pPr>
          </w:p>
        </w:tc>
        <w:tc>
          <w:tcPr>
            <w:tcW w:w="2264" w:type="dxa"/>
            <w:vMerge w:val="continue"/>
            <w:tcBorders>
              <w:top w:val="nil"/>
            </w:tcBorders>
            <w:vAlign w:val="top"/>
          </w:tcPr>
          <w:p w14:paraId="58F7AC2E">
            <w:pPr>
              <w:rPr>
                <w:rFonts w:ascii="Arial"/>
                <w:sz w:val="21"/>
              </w:rPr>
            </w:pPr>
          </w:p>
        </w:tc>
        <w:tc>
          <w:tcPr>
            <w:tcW w:w="1275" w:type="dxa"/>
            <w:vAlign w:val="top"/>
          </w:tcPr>
          <w:p w14:paraId="1FE1E67D">
            <w:pPr>
              <w:spacing w:before="79" w:line="274" w:lineRule="exact"/>
              <w:ind w:left="5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158" w:type="dxa"/>
            <w:vAlign w:val="top"/>
          </w:tcPr>
          <w:p w14:paraId="339DEDFA">
            <w:pPr>
              <w:spacing w:before="7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r>
      <w:tr w14:paraId="54F0C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26" w:type="dxa"/>
            <w:vAlign w:val="top"/>
          </w:tcPr>
          <w:p w14:paraId="7895A860">
            <w:pPr>
              <w:spacing w:line="352" w:lineRule="auto"/>
              <w:rPr>
                <w:rFonts w:ascii="Arial"/>
                <w:sz w:val="21"/>
              </w:rPr>
            </w:pPr>
          </w:p>
          <w:p w14:paraId="4893C9D7">
            <w:pPr>
              <w:spacing w:before="57" w:line="275" w:lineRule="exact"/>
              <w:ind w:left="1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849" w:type="dxa"/>
            <w:vAlign w:val="top"/>
          </w:tcPr>
          <w:p w14:paraId="23597306">
            <w:pPr>
              <w:spacing w:line="352" w:lineRule="auto"/>
              <w:rPr>
                <w:rFonts w:ascii="Arial"/>
                <w:sz w:val="21"/>
              </w:rPr>
            </w:pPr>
          </w:p>
          <w:p w14:paraId="3EE76E4C">
            <w:pPr>
              <w:spacing w:before="57" w:line="275"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3" w:type="dxa"/>
            <w:vAlign w:val="top"/>
          </w:tcPr>
          <w:p w14:paraId="494F4464">
            <w:pPr>
              <w:pStyle w:val="6"/>
              <w:spacing w:before="306" w:line="229" w:lineRule="auto"/>
              <w:ind w:left="180"/>
            </w:pPr>
            <w:r>
              <w:rPr>
                <w:spacing w:val="7"/>
              </w:rPr>
              <w:t>饲料加</w:t>
            </w:r>
          </w:p>
          <w:p w14:paraId="3130E83E">
            <w:pPr>
              <w:pStyle w:val="6"/>
              <w:spacing w:before="22" w:line="265" w:lineRule="exact"/>
              <w:ind w:left="392"/>
            </w:pPr>
            <w:r>
              <w:rPr>
                <w:position w:val="1"/>
              </w:rPr>
              <w:t>工</w:t>
            </w:r>
          </w:p>
        </w:tc>
        <w:tc>
          <w:tcPr>
            <w:tcW w:w="651" w:type="dxa"/>
            <w:vAlign w:val="top"/>
          </w:tcPr>
          <w:p w14:paraId="757EAD1A">
            <w:pPr>
              <w:spacing w:line="418" w:lineRule="auto"/>
              <w:rPr>
                <w:rFonts w:ascii="Arial"/>
                <w:sz w:val="21"/>
              </w:rPr>
            </w:pPr>
          </w:p>
          <w:p w14:paraId="1DFBFC7E">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1344" w:type="dxa"/>
            <w:vAlign w:val="top"/>
          </w:tcPr>
          <w:p w14:paraId="18D83501">
            <w:pPr>
              <w:pStyle w:val="6"/>
              <w:spacing w:before="305" w:line="230" w:lineRule="auto"/>
              <w:ind w:left="152"/>
            </w:pPr>
            <w:r>
              <w:rPr>
                <w:spacing w:val="8"/>
              </w:rPr>
              <w:t>加工设备密</w:t>
            </w:r>
          </w:p>
          <w:p w14:paraId="7582777E">
            <w:pPr>
              <w:pStyle w:val="6"/>
              <w:spacing w:before="22" w:line="232" w:lineRule="auto"/>
              <w:ind w:left="593"/>
            </w:pPr>
            <w:r>
              <w:t>闭</w:t>
            </w:r>
          </w:p>
        </w:tc>
        <w:tc>
          <w:tcPr>
            <w:tcW w:w="2264" w:type="dxa"/>
            <w:vAlign w:val="top"/>
          </w:tcPr>
          <w:p w14:paraId="64C9B586">
            <w:pPr>
              <w:pStyle w:val="6"/>
              <w:spacing w:before="35" w:line="228" w:lineRule="auto"/>
              <w:ind w:left="114"/>
            </w:pPr>
            <w:r>
              <w:rPr>
                <w:spacing w:val="3"/>
              </w:rPr>
              <w:t>广东省《大气污染物排</w:t>
            </w:r>
          </w:p>
          <w:p w14:paraId="7723AFE1">
            <w:pPr>
              <w:pStyle w:val="6"/>
              <w:spacing w:before="23" w:line="222" w:lineRule="auto"/>
              <w:ind w:left="718"/>
            </w:pPr>
            <w:r>
              <w:rPr>
                <w:spacing w:val="5"/>
              </w:rPr>
              <w:t>放限值》</w:t>
            </w:r>
          </w:p>
          <w:p w14:paraId="63B8EDF7">
            <w:pPr>
              <w:pStyle w:val="6"/>
              <w:spacing w:line="274" w:lineRule="exact"/>
              <w:ind w:left="124"/>
            </w:pPr>
            <w:r>
              <w:rPr>
                <w:spacing w:val="2"/>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2"/>
                <w:position w:val="1"/>
              </w:rPr>
              <w:t>44/27-2001</w:t>
            </w:r>
            <w:r>
              <w:rPr>
                <w:spacing w:val="2"/>
                <w:position w:val="1"/>
              </w:rPr>
              <w:t>）第二</w:t>
            </w:r>
          </w:p>
          <w:p w14:paraId="0752B200">
            <w:pPr>
              <w:pStyle w:val="6"/>
              <w:spacing w:before="30" w:line="214" w:lineRule="auto"/>
              <w:ind w:left="411"/>
            </w:pPr>
            <w:r>
              <w:rPr>
                <w:spacing w:val="7"/>
              </w:rPr>
              <w:t>时段无组织标准</w:t>
            </w:r>
          </w:p>
        </w:tc>
        <w:tc>
          <w:tcPr>
            <w:tcW w:w="1275" w:type="dxa"/>
            <w:vAlign w:val="top"/>
          </w:tcPr>
          <w:p w14:paraId="62F9E62C">
            <w:pPr>
              <w:spacing w:line="352" w:lineRule="auto"/>
              <w:rPr>
                <w:rFonts w:ascii="Arial"/>
                <w:sz w:val="21"/>
              </w:rPr>
            </w:pPr>
          </w:p>
          <w:p w14:paraId="306863BB">
            <w:pPr>
              <w:spacing w:before="57" w:line="275" w:lineRule="exact"/>
              <w:ind w:left="4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58" w:type="dxa"/>
            <w:vAlign w:val="top"/>
          </w:tcPr>
          <w:p w14:paraId="13100F0D">
            <w:pPr>
              <w:spacing w:line="352" w:lineRule="auto"/>
              <w:rPr>
                <w:rFonts w:ascii="Arial"/>
                <w:sz w:val="21"/>
              </w:rPr>
            </w:pPr>
          </w:p>
          <w:p w14:paraId="49CC978B">
            <w:pPr>
              <w:spacing w:before="57"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r>
      <w:tr w14:paraId="1176F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50" w:type="dxa"/>
            <w:gridSpan w:val="8"/>
            <w:vAlign w:val="top"/>
          </w:tcPr>
          <w:p w14:paraId="74802A8B">
            <w:pPr>
              <w:pStyle w:val="6"/>
              <w:spacing w:before="69" w:line="229" w:lineRule="auto"/>
              <w:ind w:left="3747"/>
            </w:pPr>
            <w:r>
              <w:rPr>
                <w:spacing w:val="8"/>
              </w:rPr>
              <w:t>无组织排放总计</w:t>
            </w:r>
          </w:p>
        </w:tc>
      </w:tr>
      <w:tr w14:paraId="107C6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09" w:type="dxa"/>
            <w:gridSpan w:val="4"/>
            <w:vMerge w:val="restart"/>
            <w:tcBorders>
              <w:bottom w:val="nil"/>
            </w:tcBorders>
            <w:vAlign w:val="top"/>
          </w:tcPr>
          <w:p w14:paraId="317EB4FC">
            <w:pPr>
              <w:spacing w:line="353" w:lineRule="auto"/>
              <w:rPr>
                <w:rFonts w:ascii="Arial"/>
                <w:sz w:val="21"/>
              </w:rPr>
            </w:pPr>
          </w:p>
          <w:p w14:paraId="0DC47A38">
            <w:pPr>
              <w:pStyle w:val="6"/>
              <w:spacing w:before="65" w:line="229" w:lineRule="auto"/>
              <w:ind w:left="728"/>
            </w:pPr>
            <w:r>
              <w:rPr>
                <w:spacing w:val="8"/>
              </w:rPr>
              <w:t>无组织排放总计</w:t>
            </w:r>
          </w:p>
        </w:tc>
        <w:tc>
          <w:tcPr>
            <w:tcW w:w="4883" w:type="dxa"/>
            <w:gridSpan w:val="3"/>
            <w:vAlign w:val="top"/>
          </w:tcPr>
          <w:p w14:paraId="298CE573">
            <w:pPr>
              <w:spacing w:before="108" w:line="236" w:lineRule="auto"/>
              <w:ind w:left="225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158" w:type="dxa"/>
            <w:vAlign w:val="top"/>
          </w:tcPr>
          <w:p w14:paraId="50E427E9">
            <w:pPr>
              <w:spacing w:before="3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0.032</w:t>
            </w:r>
          </w:p>
        </w:tc>
      </w:tr>
      <w:tr w14:paraId="6E7FE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09" w:type="dxa"/>
            <w:gridSpan w:val="4"/>
            <w:vMerge w:val="continue"/>
            <w:tcBorders>
              <w:top w:val="nil"/>
              <w:bottom w:val="nil"/>
            </w:tcBorders>
            <w:vAlign w:val="top"/>
          </w:tcPr>
          <w:p w14:paraId="72177B57">
            <w:pPr>
              <w:rPr>
                <w:rFonts w:ascii="Arial"/>
                <w:sz w:val="21"/>
              </w:rPr>
            </w:pPr>
          </w:p>
        </w:tc>
        <w:tc>
          <w:tcPr>
            <w:tcW w:w="4883" w:type="dxa"/>
            <w:gridSpan w:val="3"/>
            <w:vAlign w:val="top"/>
          </w:tcPr>
          <w:p w14:paraId="39E6F4DC">
            <w:pPr>
              <w:spacing w:before="105" w:line="239" w:lineRule="auto"/>
              <w:ind w:left="2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158" w:type="dxa"/>
            <w:vAlign w:val="top"/>
          </w:tcPr>
          <w:p w14:paraId="44E55855">
            <w:pPr>
              <w:spacing w:before="3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w:t>
            </w:r>
          </w:p>
        </w:tc>
      </w:tr>
      <w:tr w14:paraId="31CA1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09" w:type="dxa"/>
            <w:gridSpan w:val="4"/>
            <w:vMerge w:val="continue"/>
            <w:tcBorders>
              <w:top w:val="nil"/>
            </w:tcBorders>
            <w:vAlign w:val="top"/>
          </w:tcPr>
          <w:p w14:paraId="32F7074B">
            <w:pPr>
              <w:rPr>
                <w:rFonts w:ascii="Arial"/>
                <w:sz w:val="21"/>
              </w:rPr>
            </w:pPr>
          </w:p>
        </w:tc>
        <w:tc>
          <w:tcPr>
            <w:tcW w:w="4883" w:type="dxa"/>
            <w:gridSpan w:val="3"/>
            <w:vAlign w:val="top"/>
          </w:tcPr>
          <w:p w14:paraId="2266BEE6">
            <w:pPr>
              <w:spacing w:before="106" w:line="195" w:lineRule="auto"/>
              <w:ind w:left="2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1158" w:type="dxa"/>
            <w:vAlign w:val="top"/>
          </w:tcPr>
          <w:p w14:paraId="2039DCED">
            <w:pPr>
              <w:spacing w:before="40"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r>
    </w:tbl>
    <w:p w14:paraId="524B35BA">
      <w:pPr>
        <w:pStyle w:val="2"/>
        <w:spacing w:line="319" w:lineRule="auto"/>
      </w:pPr>
    </w:p>
    <w:p w14:paraId="2877183F">
      <w:pPr>
        <w:spacing w:before="65" w:line="228" w:lineRule="auto"/>
        <w:ind w:left="304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5.2-16 </w:t>
      </w:r>
      <w:r>
        <w:rPr>
          <w:rFonts w:ascii="宋体" w:hAnsi="宋体" w:eastAsia="宋体" w:cs="宋体"/>
          <w:b/>
          <w:bCs/>
          <w:spacing w:val="6"/>
          <w:sz w:val="20"/>
          <w:szCs w:val="20"/>
        </w:rPr>
        <w:t>大气污染物年排放量核算表</w:t>
      </w:r>
    </w:p>
    <w:p w14:paraId="38A6BD66">
      <w:pPr>
        <w:spacing w:line="19" w:lineRule="exact"/>
      </w:pPr>
    </w:p>
    <w:tbl>
      <w:tblPr>
        <w:tblStyle w:val="5"/>
        <w:tblW w:w="8950"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0"/>
        <w:gridCol w:w="2975"/>
        <w:gridCol w:w="2995"/>
      </w:tblGrid>
      <w:tr w14:paraId="00D6B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980" w:type="dxa"/>
            <w:vAlign w:val="top"/>
          </w:tcPr>
          <w:p w14:paraId="159ED06E">
            <w:pPr>
              <w:pStyle w:val="6"/>
              <w:spacing w:before="69" w:line="230" w:lineRule="auto"/>
              <w:ind w:left="1284"/>
            </w:pPr>
            <w:r>
              <w:rPr>
                <w:b/>
                <w:bCs/>
                <w:spacing w:val="4"/>
              </w:rPr>
              <w:t>序号</w:t>
            </w:r>
          </w:p>
        </w:tc>
        <w:tc>
          <w:tcPr>
            <w:tcW w:w="2975" w:type="dxa"/>
            <w:vAlign w:val="top"/>
          </w:tcPr>
          <w:p w14:paraId="5E38AE0A">
            <w:pPr>
              <w:pStyle w:val="6"/>
              <w:spacing w:before="69" w:line="229" w:lineRule="auto"/>
              <w:ind w:left="1180"/>
            </w:pPr>
            <w:r>
              <w:rPr>
                <w:b/>
                <w:bCs/>
                <w:spacing w:val="5"/>
              </w:rPr>
              <w:t>污染物</w:t>
            </w:r>
          </w:p>
        </w:tc>
        <w:tc>
          <w:tcPr>
            <w:tcW w:w="2995" w:type="dxa"/>
            <w:vAlign w:val="top"/>
          </w:tcPr>
          <w:p w14:paraId="4F53A6F3">
            <w:pPr>
              <w:pStyle w:val="6"/>
              <w:spacing w:before="69" w:line="228" w:lineRule="auto"/>
              <w:ind w:left="757"/>
            </w:pPr>
            <w:r>
              <w:rPr>
                <w:b/>
                <w:bCs/>
                <w:spacing w:val="4"/>
              </w:rPr>
              <w:t>年排放量（</w:t>
            </w:r>
            <w:r>
              <w:rPr>
                <w:rFonts w:ascii="Times New Roman" w:hAnsi="Times New Roman" w:eastAsia="Times New Roman" w:cs="Times New Roman"/>
                <w:b/>
                <w:bCs/>
                <w:spacing w:val="4"/>
              </w:rPr>
              <w:t>t/a</w:t>
            </w:r>
            <w:r>
              <w:rPr>
                <w:b/>
                <w:bCs/>
                <w:spacing w:val="4"/>
              </w:rPr>
              <w:t>）</w:t>
            </w:r>
          </w:p>
        </w:tc>
      </w:tr>
      <w:tr w14:paraId="6614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80" w:type="dxa"/>
            <w:vAlign w:val="top"/>
          </w:tcPr>
          <w:p w14:paraId="4309CC2C">
            <w:pPr>
              <w:spacing w:before="35" w:line="275" w:lineRule="exact"/>
              <w:ind w:left="14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75" w:type="dxa"/>
            <w:vAlign w:val="top"/>
          </w:tcPr>
          <w:p w14:paraId="4E0BA051">
            <w:pPr>
              <w:spacing w:before="105" w:line="238" w:lineRule="auto"/>
              <w:ind w:left="129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2995" w:type="dxa"/>
            <w:vAlign w:val="top"/>
          </w:tcPr>
          <w:p w14:paraId="0C2EC30C">
            <w:pPr>
              <w:spacing w:before="35" w:line="275" w:lineRule="exact"/>
              <w:ind w:left="12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0.032</w:t>
            </w:r>
          </w:p>
        </w:tc>
      </w:tr>
      <w:tr w14:paraId="3D60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80" w:type="dxa"/>
            <w:vAlign w:val="top"/>
          </w:tcPr>
          <w:p w14:paraId="2808918F">
            <w:pPr>
              <w:spacing w:before="37" w:line="274" w:lineRule="exact"/>
              <w:ind w:left="144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75" w:type="dxa"/>
            <w:vAlign w:val="top"/>
          </w:tcPr>
          <w:p w14:paraId="3D29C201">
            <w:pPr>
              <w:spacing w:before="104"/>
              <w:ind w:left="13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2995" w:type="dxa"/>
            <w:vAlign w:val="top"/>
          </w:tcPr>
          <w:p w14:paraId="24A9BFE3">
            <w:pPr>
              <w:spacing w:before="37" w:line="274" w:lineRule="exact"/>
              <w:ind w:left="12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w:t>
            </w:r>
          </w:p>
        </w:tc>
      </w:tr>
      <w:tr w14:paraId="0E398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980" w:type="dxa"/>
            <w:vAlign w:val="top"/>
          </w:tcPr>
          <w:p w14:paraId="7103336A">
            <w:pPr>
              <w:spacing w:before="38" w:line="274" w:lineRule="exact"/>
              <w:ind w:left="14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975" w:type="dxa"/>
            <w:vAlign w:val="top"/>
          </w:tcPr>
          <w:p w14:paraId="45AA33A5">
            <w:pPr>
              <w:spacing w:before="105" w:line="195" w:lineRule="auto"/>
              <w:ind w:left="1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995" w:type="dxa"/>
            <w:vAlign w:val="top"/>
          </w:tcPr>
          <w:p w14:paraId="511D0AD4">
            <w:pPr>
              <w:spacing w:before="38" w:line="274" w:lineRule="exact"/>
              <w:ind w:left="1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0.00768</w:t>
            </w:r>
          </w:p>
        </w:tc>
      </w:tr>
    </w:tbl>
    <w:p w14:paraId="13E5E614">
      <w:pPr>
        <w:pStyle w:val="2"/>
        <w:spacing w:line="179" w:lineRule="exact"/>
        <w:rPr>
          <w:sz w:val="15"/>
        </w:rPr>
      </w:pPr>
    </w:p>
    <w:p w14:paraId="5A4BE92E">
      <w:pPr>
        <w:spacing w:line="179" w:lineRule="exact"/>
        <w:rPr>
          <w:sz w:val="15"/>
          <w:szCs w:val="15"/>
        </w:rPr>
        <w:sectPr>
          <w:footerReference r:id="rId140" w:type="default"/>
          <w:pgSz w:w="11906" w:h="16839"/>
          <w:pgMar w:top="400" w:right="1475" w:bottom="1485" w:left="1442" w:header="0" w:footer="1249" w:gutter="0"/>
          <w:cols w:space="720" w:num="1"/>
        </w:sectPr>
      </w:pPr>
    </w:p>
    <w:p w14:paraId="190F4C62">
      <w:pPr>
        <w:spacing w:before="13"/>
      </w:pPr>
    </w:p>
    <w:p w14:paraId="6428C5C5">
      <w:pPr>
        <w:spacing w:before="13"/>
      </w:pPr>
    </w:p>
    <w:p w14:paraId="2C5DFE9D">
      <w:pPr>
        <w:spacing w:before="13"/>
      </w:pPr>
    </w:p>
    <w:p w14:paraId="166A215A">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0"/>
        <w:gridCol w:w="2975"/>
        <w:gridCol w:w="2995"/>
      </w:tblGrid>
      <w:tr w14:paraId="7CB6C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980" w:type="dxa"/>
            <w:vAlign w:val="top"/>
          </w:tcPr>
          <w:p w14:paraId="30922A61">
            <w:pPr>
              <w:spacing w:before="40" w:line="274" w:lineRule="exact"/>
              <w:ind w:left="14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975" w:type="dxa"/>
            <w:vAlign w:val="top"/>
          </w:tcPr>
          <w:p w14:paraId="380C8E92">
            <w:pPr>
              <w:spacing w:before="107"/>
              <w:ind w:left="132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2995" w:type="dxa"/>
            <w:vAlign w:val="top"/>
          </w:tcPr>
          <w:p w14:paraId="6CBA6370">
            <w:pPr>
              <w:spacing w:before="21" w:line="274" w:lineRule="exact"/>
              <w:ind w:left="1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E73B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980" w:type="dxa"/>
            <w:vAlign w:val="top"/>
          </w:tcPr>
          <w:p w14:paraId="5F705F19">
            <w:pPr>
              <w:spacing w:before="106" w:line="192" w:lineRule="auto"/>
              <w:ind w:left="14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75" w:type="dxa"/>
            <w:vAlign w:val="top"/>
          </w:tcPr>
          <w:p w14:paraId="69ACC9E2">
            <w:pPr>
              <w:spacing w:before="102" w:line="205" w:lineRule="auto"/>
              <w:ind w:left="1282"/>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995" w:type="dxa"/>
            <w:vAlign w:val="top"/>
          </w:tcPr>
          <w:p w14:paraId="18872D65">
            <w:pPr>
              <w:spacing w:before="19" w:line="274" w:lineRule="exact"/>
              <w:ind w:left="1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bl>
    <w:p w14:paraId="719D3E36">
      <w:pPr>
        <w:pStyle w:val="2"/>
        <w:spacing w:line="341" w:lineRule="auto"/>
      </w:pPr>
    </w:p>
    <w:p w14:paraId="5681C1FE">
      <w:pPr>
        <w:spacing w:before="78" w:line="219"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5.2.4</w:t>
      </w:r>
      <w:r>
        <w:rPr>
          <w:rFonts w:ascii="宋体" w:hAnsi="宋体" w:eastAsia="宋体" w:cs="宋体"/>
          <w:b/>
          <w:bCs/>
          <w:spacing w:val="-2"/>
          <w:sz w:val="24"/>
          <w:szCs w:val="24"/>
        </w:rPr>
        <w:t>声环境影响评价</w:t>
      </w:r>
    </w:p>
    <w:p w14:paraId="08B4F60A">
      <w:pPr>
        <w:pStyle w:val="2"/>
        <w:spacing w:line="319" w:lineRule="auto"/>
      </w:pPr>
    </w:p>
    <w:p w14:paraId="33AC9C72">
      <w:pPr>
        <w:spacing w:before="78" w:line="221" w:lineRule="auto"/>
        <w:ind w:left="697"/>
        <w:outlineLvl w:val="2"/>
        <w:rPr>
          <w:rFonts w:ascii="宋体" w:hAnsi="宋体" w:eastAsia="宋体" w:cs="宋体"/>
          <w:sz w:val="24"/>
          <w:szCs w:val="24"/>
        </w:rPr>
      </w:pPr>
      <w:r>
        <w:rPr>
          <w:rFonts w:ascii="Calibri" w:hAnsi="Calibri" w:eastAsia="Calibri" w:cs="Calibri"/>
          <w:b/>
          <w:bCs/>
          <w:spacing w:val="-9"/>
          <w:sz w:val="24"/>
          <w:szCs w:val="24"/>
        </w:rPr>
        <w:t>1</w:t>
      </w:r>
      <w:r>
        <w:rPr>
          <w:rFonts w:ascii="Calibri" w:hAnsi="Calibri" w:eastAsia="Calibri" w:cs="Calibri"/>
          <w:b/>
          <w:bCs/>
          <w:spacing w:val="-28"/>
          <w:sz w:val="24"/>
          <w:szCs w:val="24"/>
        </w:rPr>
        <w:t xml:space="preserve"> </w:t>
      </w:r>
      <w:r>
        <w:rPr>
          <w:rFonts w:ascii="宋体" w:hAnsi="宋体" w:eastAsia="宋体" w:cs="宋体"/>
          <w:b/>
          <w:bCs/>
          <w:spacing w:val="-9"/>
          <w:sz w:val="24"/>
          <w:szCs w:val="24"/>
        </w:rPr>
        <w:t>、噪声源强</w:t>
      </w:r>
    </w:p>
    <w:p w14:paraId="4F98A6B3">
      <w:pPr>
        <w:pStyle w:val="2"/>
        <w:spacing w:line="277" w:lineRule="auto"/>
      </w:pPr>
    </w:p>
    <w:p w14:paraId="4973DCCA">
      <w:pPr>
        <w:spacing w:before="78" w:line="379" w:lineRule="auto"/>
        <w:ind w:left="122" w:right="113" w:firstLine="480"/>
        <w:rPr>
          <w:rFonts w:ascii="宋体" w:hAnsi="宋体" w:eastAsia="宋体" w:cs="宋体"/>
          <w:sz w:val="24"/>
          <w:szCs w:val="24"/>
        </w:rPr>
      </w:pPr>
      <w:r>
        <w:rPr>
          <w:rFonts w:ascii="宋体" w:hAnsi="宋体" w:eastAsia="宋体" w:cs="宋体"/>
          <w:spacing w:val="2"/>
          <w:sz w:val="24"/>
          <w:szCs w:val="24"/>
        </w:rPr>
        <w:t>本项目噪声主要为猪只叫声、排气扇、水泵等设备噪声，本项目噪声污染源排</w:t>
      </w:r>
      <w:r>
        <w:rPr>
          <w:rFonts w:ascii="宋体" w:hAnsi="宋体" w:eastAsia="宋体" w:cs="宋体"/>
          <w:spacing w:val="9"/>
          <w:sz w:val="24"/>
          <w:szCs w:val="24"/>
        </w:rPr>
        <w:t xml:space="preserve"> </w:t>
      </w:r>
      <w:r>
        <w:rPr>
          <w:rFonts w:ascii="宋体" w:hAnsi="宋体" w:eastAsia="宋体" w:cs="宋体"/>
          <w:spacing w:val="-2"/>
          <w:sz w:val="24"/>
          <w:szCs w:val="24"/>
        </w:rPr>
        <w:t>放情况见下表。</w:t>
      </w:r>
    </w:p>
    <w:p w14:paraId="49AB114A">
      <w:pPr>
        <w:spacing w:before="9" w:line="221" w:lineRule="auto"/>
        <w:ind w:left="2523"/>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6"/>
          <w:sz w:val="20"/>
          <w:szCs w:val="20"/>
        </w:rPr>
        <w:t xml:space="preserve">5.2-17 </w:t>
      </w:r>
      <w:r>
        <w:rPr>
          <w:rFonts w:ascii="宋体" w:hAnsi="宋体" w:eastAsia="宋体" w:cs="宋体"/>
          <w:b/>
          <w:bCs/>
          <w:spacing w:val="6"/>
          <w:sz w:val="20"/>
          <w:szCs w:val="20"/>
        </w:rPr>
        <w:t>项目主要噪声源强表单位：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45D9087F">
      <w:pPr>
        <w:spacing w:line="10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445"/>
        <w:gridCol w:w="1104"/>
        <w:gridCol w:w="993"/>
        <w:gridCol w:w="1558"/>
        <w:gridCol w:w="2887"/>
      </w:tblGrid>
      <w:tr w14:paraId="7529D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3" w:type="dxa"/>
            <w:vAlign w:val="top"/>
          </w:tcPr>
          <w:p w14:paraId="4FF0E5C6">
            <w:pPr>
              <w:pStyle w:val="6"/>
              <w:spacing w:before="64" w:line="228" w:lineRule="auto"/>
              <w:ind w:left="277"/>
            </w:pPr>
            <w:r>
              <w:rPr>
                <w:b/>
                <w:bCs/>
                <w:spacing w:val="3"/>
              </w:rPr>
              <w:t>种类</w:t>
            </w:r>
          </w:p>
        </w:tc>
        <w:tc>
          <w:tcPr>
            <w:tcW w:w="1445" w:type="dxa"/>
            <w:vAlign w:val="top"/>
          </w:tcPr>
          <w:p w14:paraId="4FBD6781">
            <w:pPr>
              <w:pStyle w:val="6"/>
              <w:spacing w:before="64" w:line="228" w:lineRule="auto"/>
              <w:ind w:left="517"/>
            </w:pPr>
            <w:r>
              <w:rPr>
                <w:b/>
                <w:bCs/>
                <w:spacing w:val="3"/>
              </w:rPr>
              <w:t>来源</w:t>
            </w:r>
          </w:p>
        </w:tc>
        <w:tc>
          <w:tcPr>
            <w:tcW w:w="1104" w:type="dxa"/>
            <w:vAlign w:val="top"/>
          </w:tcPr>
          <w:p w14:paraId="3B3BCB3A">
            <w:pPr>
              <w:pStyle w:val="6"/>
              <w:spacing w:before="64" w:line="228" w:lineRule="auto"/>
              <w:ind w:left="137"/>
            </w:pPr>
            <w:r>
              <w:rPr>
                <w:b/>
                <w:bCs/>
                <w:spacing w:val="6"/>
              </w:rPr>
              <w:t>产生方式</w:t>
            </w:r>
          </w:p>
        </w:tc>
        <w:tc>
          <w:tcPr>
            <w:tcW w:w="993" w:type="dxa"/>
            <w:vAlign w:val="top"/>
          </w:tcPr>
          <w:p w14:paraId="708B6802">
            <w:pPr>
              <w:pStyle w:val="6"/>
              <w:spacing w:before="64" w:line="228" w:lineRule="auto"/>
              <w:ind w:left="187"/>
            </w:pPr>
            <w:r>
              <w:rPr>
                <w:b/>
                <w:bCs/>
                <w:spacing w:val="5"/>
              </w:rPr>
              <w:t>产生量</w:t>
            </w:r>
          </w:p>
        </w:tc>
        <w:tc>
          <w:tcPr>
            <w:tcW w:w="1558" w:type="dxa"/>
            <w:vAlign w:val="top"/>
          </w:tcPr>
          <w:p w14:paraId="509672A5">
            <w:pPr>
              <w:pStyle w:val="6"/>
              <w:spacing w:before="64" w:line="228" w:lineRule="auto"/>
              <w:ind w:left="126"/>
            </w:pPr>
            <w:r>
              <w:rPr>
                <w:rFonts w:ascii="Times New Roman" w:hAnsi="Times New Roman" w:eastAsia="Times New Roman" w:cs="Times New Roman"/>
                <w:b/>
                <w:bCs/>
                <w:spacing w:val="5"/>
              </w:rPr>
              <w:t>1m</w:t>
            </w:r>
            <w:r>
              <w:rPr>
                <w:b/>
                <w:bCs/>
                <w:spacing w:val="5"/>
              </w:rPr>
              <w:t>处噪声级值</w:t>
            </w:r>
          </w:p>
        </w:tc>
        <w:tc>
          <w:tcPr>
            <w:tcW w:w="2887" w:type="dxa"/>
            <w:vAlign w:val="top"/>
          </w:tcPr>
          <w:p w14:paraId="0BD77CAB">
            <w:pPr>
              <w:pStyle w:val="6"/>
              <w:spacing w:before="64" w:line="229" w:lineRule="auto"/>
              <w:ind w:left="1033"/>
            </w:pPr>
            <w:r>
              <w:rPr>
                <w:b/>
                <w:bCs/>
                <w:spacing w:val="5"/>
              </w:rPr>
              <w:t>治理措施</w:t>
            </w:r>
          </w:p>
        </w:tc>
      </w:tr>
      <w:tr w14:paraId="2AF8E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63" w:type="dxa"/>
            <w:vAlign w:val="top"/>
          </w:tcPr>
          <w:p w14:paraId="01F627BA">
            <w:pPr>
              <w:pStyle w:val="6"/>
              <w:spacing w:before="223" w:line="229" w:lineRule="auto"/>
              <w:ind w:left="293"/>
            </w:pPr>
            <w:r>
              <w:rPr>
                <w:spacing w:val="-3"/>
              </w:rPr>
              <w:t>叫声</w:t>
            </w:r>
          </w:p>
        </w:tc>
        <w:tc>
          <w:tcPr>
            <w:tcW w:w="1445" w:type="dxa"/>
            <w:vAlign w:val="top"/>
          </w:tcPr>
          <w:p w14:paraId="387FA67A">
            <w:pPr>
              <w:pStyle w:val="6"/>
              <w:spacing w:before="223" w:line="229" w:lineRule="auto"/>
              <w:ind w:left="516"/>
            </w:pPr>
            <w:r>
              <w:rPr>
                <w:spacing w:val="4"/>
              </w:rPr>
              <w:t>猪舍</w:t>
            </w:r>
          </w:p>
        </w:tc>
        <w:tc>
          <w:tcPr>
            <w:tcW w:w="1104" w:type="dxa"/>
            <w:vAlign w:val="top"/>
          </w:tcPr>
          <w:p w14:paraId="1C8357F3">
            <w:pPr>
              <w:pStyle w:val="6"/>
              <w:spacing w:before="223" w:line="228" w:lineRule="auto"/>
              <w:ind w:left="362"/>
            </w:pPr>
            <w:r>
              <w:rPr>
                <w:spacing w:val="-4"/>
              </w:rPr>
              <w:t>间断</w:t>
            </w:r>
          </w:p>
        </w:tc>
        <w:tc>
          <w:tcPr>
            <w:tcW w:w="993" w:type="dxa"/>
            <w:vAlign w:val="top"/>
          </w:tcPr>
          <w:p w14:paraId="61D140F5">
            <w:pPr>
              <w:spacing w:before="192"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70-80</w:t>
            </w:r>
          </w:p>
        </w:tc>
        <w:tc>
          <w:tcPr>
            <w:tcW w:w="1558" w:type="dxa"/>
            <w:vAlign w:val="top"/>
          </w:tcPr>
          <w:p w14:paraId="22048E3E">
            <w:pPr>
              <w:spacing w:before="262" w:line="192"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887" w:type="dxa"/>
            <w:vAlign w:val="top"/>
          </w:tcPr>
          <w:p w14:paraId="25100561">
            <w:pPr>
              <w:pStyle w:val="6"/>
              <w:spacing w:before="60" w:line="228" w:lineRule="auto"/>
              <w:ind w:left="124"/>
            </w:pPr>
            <w:r>
              <w:rPr>
                <w:spacing w:val="3"/>
              </w:rPr>
              <w:t>喂足饲料和水，避免饥渴发出</w:t>
            </w:r>
          </w:p>
          <w:p w14:paraId="3ACF8D57">
            <w:pPr>
              <w:pStyle w:val="6"/>
              <w:spacing w:before="79" w:line="229" w:lineRule="auto"/>
              <w:ind w:left="1249"/>
            </w:pPr>
            <w:r>
              <w:rPr>
                <w:spacing w:val="-1"/>
              </w:rPr>
              <w:t>噪声</w:t>
            </w:r>
          </w:p>
        </w:tc>
      </w:tr>
      <w:tr w14:paraId="7D52C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3" w:type="dxa"/>
            <w:vAlign w:val="top"/>
          </w:tcPr>
          <w:p w14:paraId="3B680918">
            <w:pPr>
              <w:pStyle w:val="6"/>
              <w:spacing w:before="62" w:line="230" w:lineRule="auto"/>
              <w:ind w:left="171"/>
            </w:pPr>
            <w:r>
              <w:rPr>
                <w:spacing w:val="6"/>
              </w:rPr>
              <w:t>排气扇</w:t>
            </w:r>
          </w:p>
        </w:tc>
        <w:tc>
          <w:tcPr>
            <w:tcW w:w="1445" w:type="dxa"/>
            <w:vAlign w:val="top"/>
          </w:tcPr>
          <w:p w14:paraId="02845F28">
            <w:pPr>
              <w:pStyle w:val="6"/>
              <w:spacing w:before="62" w:line="229" w:lineRule="auto"/>
              <w:ind w:left="516"/>
            </w:pPr>
            <w:r>
              <w:rPr>
                <w:spacing w:val="4"/>
              </w:rPr>
              <w:t>猪舍</w:t>
            </w:r>
          </w:p>
        </w:tc>
        <w:tc>
          <w:tcPr>
            <w:tcW w:w="1104" w:type="dxa"/>
            <w:vAlign w:val="top"/>
          </w:tcPr>
          <w:p w14:paraId="7DAA243F">
            <w:pPr>
              <w:pStyle w:val="6"/>
              <w:spacing w:before="62" w:line="229" w:lineRule="auto"/>
              <w:ind w:left="347"/>
            </w:pPr>
            <w:r>
              <w:rPr>
                <w:spacing w:val="4"/>
              </w:rPr>
              <w:t>连续</w:t>
            </w:r>
          </w:p>
        </w:tc>
        <w:tc>
          <w:tcPr>
            <w:tcW w:w="993" w:type="dxa"/>
            <w:vAlign w:val="top"/>
          </w:tcPr>
          <w:p w14:paraId="74C1EBD4">
            <w:pPr>
              <w:spacing w:before="31"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75-85</w:t>
            </w:r>
          </w:p>
        </w:tc>
        <w:tc>
          <w:tcPr>
            <w:tcW w:w="1558" w:type="dxa"/>
            <w:vAlign w:val="top"/>
          </w:tcPr>
          <w:p w14:paraId="15A6DF25">
            <w:pPr>
              <w:spacing w:before="31"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887" w:type="dxa"/>
            <w:vAlign w:val="top"/>
          </w:tcPr>
          <w:p w14:paraId="4B2212FF">
            <w:pPr>
              <w:pStyle w:val="6"/>
              <w:spacing w:before="62" w:line="229" w:lineRule="auto"/>
              <w:ind w:left="504"/>
            </w:pPr>
            <w:r>
              <w:rPr>
                <w:spacing w:val="9"/>
              </w:rPr>
              <w:t>选低噪声设备、减振</w:t>
            </w:r>
          </w:p>
        </w:tc>
      </w:tr>
      <w:tr w14:paraId="1E93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63" w:type="dxa"/>
            <w:vAlign w:val="top"/>
          </w:tcPr>
          <w:p w14:paraId="7ECEAD45">
            <w:pPr>
              <w:pStyle w:val="6"/>
              <w:spacing w:before="224" w:line="228" w:lineRule="auto"/>
              <w:ind w:left="280"/>
            </w:pPr>
            <w:r>
              <w:rPr>
                <w:spacing w:val="3"/>
              </w:rPr>
              <w:t>水泵</w:t>
            </w:r>
          </w:p>
        </w:tc>
        <w:tc>
          <w:tcPr>
            <w:tcW w:w="1445" w:type="dxa"/>
            <w:vAlign w:val="top"/>
          </w:tcPr>
          <w:p w14:paraId="564D6F65">
            <w:pPr>
              <w:pStyle w:val="6"/>
              <w:spacing w:before="63" w:line="228" w:lineRule="auto"/>
              <w:ind w:left="203"/>
            </w:pPr>
            <w:r>
              <w:rPr>
                <w:spacing w:val="7"/>
              </w:rPr>
              <w:t>有机肥发酵</w:t>
            </w:r>
          </w:p>
          <w:p w14:paraId="02EAB3DB">
            <w:pPr>
              <w:pStyle w:val="6"/>
              <w:spacing w:before="77" w:line="228" w:lineRule="auto"/>
              <w:ind w:left="518"/>
            </w:pPr>
            <w:r>
              <w:rPr>
                <w:spacing w:val="3"/>
              </w:rPr>
              <w:t>车间</w:t>
            </w:r>
          </w:p>
        </w:tc>
        <w:tc>
          <w:tcPr>
            <w:tcW w:w="1104" w:type="dxa"/>
            <w:vAlign w:val="top"/>
          </w:tcPr>
          <w:p w14:paraId="65E4DF1B">
            <w:pPr>
              <w:pStyle w:val="6"/>
              <w:spacing w:before="224" w:line="229" w:lineRule="auto"/>
              <w:ind w:left="347"/>
            </w:pPr>
            <w:r>
              <w:rPr>
                <w:spacing w:val="4"/>
              </w:rPr>
              <w:t>连续</w:t>
            </w:r>
          </w:p>
        </w:tc>
        <w:tc>
          <w:tcPr>
            <w:tcW w:w="993" w:type="dxa"/>
            <w:vAlign w:val="top"/>
          </w:tcPr>
          <w:p w14:paraId="2A2B03A7">
            <w:pPr>
              <w:spacing w:before="193"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80-90</w:t>
            </w:r>
          </w:p>
        </w:tc>
        <w:tc>
          <w:tcPr>
            <w:tcW w:w="1558" w:type="dxa"/>
            <w:vAlign w:val="top"/>
          </w:tcPr>
          <w:p w14:paraId="083C50B1">
            <w:pPr>
              <w:spacing w:before="193"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2887" w:type="dxa"/>
            <w:vAlign w:val="top"/>
          </w:tcPr>
          <w:p w14:paraId="64BDDD3B">
            <w:pPr>
              <w:pStyle w:val="6"/>
              <w:spacing w:before="224" w:line="229" w:lineRule="auto"/>
              <w:ind w:left="187"/>
            </w:pPr>
            <w:r>
              <w:rPr>
                <w:spacing w:val="9"/>
              </w:rPr>
              <w:t>选低噪声设备、减振、隔声</w:t>
            </w:r>
          </w:p>
        </w:tc>
      </w:tr>
      <w:tr w14:paraId="43146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3" w:type="dxa"/>
            <w:vAlign w:val="top"/>
          </w:tcPr>
          <w:p w14:paraId="4909592F">
            <w:pPr>
              <w:pStyle w:val="6"/>
              <w:spacing w:before="62" w:line="228" w:lineRule="auto"/>
              <w:ind w:left="175"/>
            </w:pPr>
            <w:r>
              <w:rPr>
                <w:spacing w:val="5"/>
              </w:rPr>
              <w:t>发电机</w:t>
            </w:r>
          </w:p>
        </w:tc>
        <w:tc>
          <w:tcPr>
            <w:tcW w:w="1445" w:type="dxa"/>
            <w:vAlign w:val="top"/>
          </w:tcPr>
          <w:p w14:paraId="5F24CF96">
            <w:pPr>
              <w:pStyle w:val="6"/>
              <w:spacing w:before="62" w:line="229" w:lineRule="auto"/>
              <w:ind w:left="411"/>
            </w:pPr>
            <w:r>
              <w:rPr>
                <w:spacing w:val="6"/>
              </w:rPr>
              <w:t>配电房</w:t>
            </w:r>
          </w:p>
        </w:tc>
        <w:tc>
          <w:tcPr>
            <w:tcW w:w="1104" w:type="dxa"/>
            <w:vAlign w:val="top"/>
          </w:tcPr>
          <w:p w14:paraId="1B040A07">
            <w:pPr>
              <w:pStyle w:val="6"/>
              <w:spacing w:before="62" w:line="229" w:lineRule="auto"/>
              <w:ind w:left="347"/>
            </w:pPr>
            <w:r>
              <w:rPr>
                <w:spacing w:val="4"/>
              </w:rPr>
              <w:t>连续</w:t>
            </w:r>
          </w:p>
        </w:tc>
        <w:tc>
          <w:tcPr>
            <w:tcW w:w="993" w:type="dxa"/>
            <w:vAlign w:val="top"/>
          </w:tcPr>
          <w:p w14:paraId="4A275785">
            <w:pPr>
              <w:pStyle w:val="6"/>
              <w:spacing w:before="31" w:line="274" w:lineRule="exact"/>
              <w:ind w:left="192"/>
              <w:rPr>
                <w:rFonts w:ascii="Times New Roman" w:hAnsi="Times New Roman" w:eastAsia="Times New Roman" w:cs="Times New Roman"/>
              </w:rPr>
            </w:pPr>
            <w:r>
              <w:rPr>
                <w:rFonts w:ascii="Times New Roman" w:hAnsi="Times New Roman" w:eastAsia="Times New Roman" w:cs="Times New Roman"/>
                <w:spacing w:val="3"/>
                <w:position w:val="2"/>
              </w:rPr>
              <w:t>80</w:t>
            </w:r>
            <w:r>
              <w:rPr>
                <w:spacing w:val="3"/>
                <w:position w:val="2"/>
              </w:rPr>
              <w:t>～</w:t>
            </w:r>
            <w:r>
              <w:rPr>
                <w:rFonts w:ascii="Times New Roman" w:hAnsi="Times New Roman" w:eastAsia="Times New Roman" w:cs="Times New Roman"/>
                <w:spacing w:val="3"/>
                <w:position w:val="2"/>
              </w:rPr>
              <w:t>90</w:t>
            </w:r>
          </w:p>
        </w:tc>
        <w:tc>
          <w:tcPr>
            <w:tcW w:w="1558" w:type="dxa"/>
            <w:vAlign w:val="top"/>
          </w:tcPr>
          <w:p w14:paraId="55D5EC3B">
            <w:pPr>
              <w:spacing w:before="31"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2887" w:type="dxa"/>
            <w:vAlign w:val="top"/>
          </w:tcPr>
          <w:p w14:paraId="6D612039">
            <w:pPr>
              <w:pStyle w:val="6"/>
              <w:spacing w:before="62" w:line="229" w:lineRule="auto"/>
              <w:ind w:left="112"/>
            </w:pPr>
            <w:r>
              <w:rPr>
                <w:spacing w:val="4"/>
              </w:rPr>
              <w:t>选择低噪声设备、减振、隔声</w:t>
            </w:r>
          </w:p>
        </w:tc>
      </w:tr>
    </w:tbl>
    <w:p w14:paraId="2BC06A22">
      <w:pPr>
        <w:spacing w:before="257" w:line="352" w:lineRule="exact"/>
        <w:ind w:left="690"/>
        <w:outlineLvl w:val="2"/>
        <w:rPr>
          <w:rFonts w:ascii="宋体" w:hAnsi="宋体" w:eastAsia="宋体" w:cs="宋体"/>
          <w:sz w:val="24"/>
          <w:szCs w:val="24"/>
        </w:rPr>
      </w:pPr>
      <w:r>
        <w:rPr>
          <w:rFonts w:ascii="Calibri" w:hAnsi="Calibri" w:eastAsia="Calibri" w:cs="Calibri"/>
          <w:b/>
          <w:bCs/>
          <w:spacing w:val="-5"/>
          <w:position w:val="2"/>
          <w:sz w:val="24"/>
          <w:szCs w:val="24"/>
        </w:rPr>
        <w:t>2</w:t>
      </w:r>
      <w:r>
        <w:rPr>
          <w:rFonts w:ascii="Calibri" w:hAnsi="Calibri" w:eastAsia="Calibri" w:cs="Calibri"/>
          <w:b/>
          <w:bCs/>
          <w:spacing w:val="-28"/>
          <w:position w:val="2"/>
          <w:sz w:val="24"/>
          <w:szCs w:val="24"/>
        </w:rPr>
        <w:t xml:space="preserve"> </w:t>
      </w:r>
      <w:r>
        <w:rPr>
          <w:rFonts w:ascii="宋体" w:hAnsi="宋体" w:eastAsia="宋体" w:cs="宋体"/>
          <w:b/>
          <w:bCs/>
          <w:spacing w:val="-5"/>
          <w:position w:val="2"/>
          <w:sz w:val="24"/>
          <w:szCs w:val="24"/>
        </w:rPr>
        <w:t>、声环境影响预测模式</w:t>
      </w:r>
    </w:p>
    <w:p w14:paraId="07B85B55">
      <w:pPr>
        <w:pStyle w:val="2"/>
      </w:pPr>
    </w:p>
    <w:p w14:paraId="42B149A9">
      <w:pPr>
        <w:spacing w:before="78" w:line="377" w:lineRule="auto"/>
        <w:ind w:left="127" w:right="113" w:firstLine="476"/>
        <w:rPr>
          <w:rFonts w:ascii="宋体" w:hAnsi="宋体" w:eastAsia="宋体" w:cs="宋体"/>
          <w:sz w:val="24"/>
          <w:szCs w:val="24"/>
        </w:rPr>
      </w:pPr>
      <w:r>
        <w:rPr>
          <w:rFonts w:ascii="宋体" w:hAnsi="宋体" w:eastAsia="宋体" w:cs="宋体"/>
          <w:spacing w:val="2"/>
          <w:sz w:val="24"/>
          <w:szCs w:val="24"/>
        </w:rPr>
        <w:t>本项目中噪声源可视为点声源，并在半自由空间向外辐射传播。分别预测各噪</w:t>
      </w:r>
      <w:r>
        <w:rPr>
          <w:rFonts w:ascii="宋体" w:hAnsi="宋体" w:eastAsia="宋体" w:cs="宋体"/>
          <w:spacing w:val="9"/>
          <w:sz w:val="24"/>
          <w:szCs w:val="24"/>
        </w:rPr>
        <w:t xml:space="preserve"> </w:t>
      </w:r>
      <w:r>
        <w:rPr>
          <w:rFonts w:ascii="宋体" w:hAnsi="宋体" w:eastAsia="宋体" w:cs="宋体"/>
          <w:spacing w:val="-1"/>
          <w:sz w:val="24"/>
          <w:szCs w:val="24"/>
        </w:rPr>
        <w:t>声源在预测点的噪声及其合成噪声，并叠加计算各预测点的背景值。</w:t>
      </w:r>
    </w:p>
    <w:p w14:paraId="34DF7A2E">
      <w:pPr>
        <w:spacing w:before="1" w:line="220" w:lineRule="auto"/>
        <w:ind w:left="604"/>
        <w:rPr>
          <w:rFonts w:ascii="宋体" w:hAnsi="宋体" w:eastAsia="宋体" w:cs="宋体"/>
          <w:sz w:val="24"/>
          <w:szCs w:val="24"/>
        </w:rPr>
      </w:pPr>
      <w:r>
        <w:rPr>
          <w:rFonts w:ascii="宋体" w:hAnsi="宋体" w:eastAsia="宋体" w:cs="宋体"/>
          <w:spacing w:val="-2"/>
          <w:sz w:val="24"/>
          <w:szCs w:val="24"/>
        </w:rPr>
        <w:t>预测过程选用如下公式：</w:t>
      </w:r>
    </w:p>
    <w:p w14:paraId="02AE5083">
      <w:pPr>
        <w:spacing w:before="200" w:line="221" w:lineRule="auto"/>
        <w:ind w:left="611"/>
        <w:rPr>
          <w:rFonts w:ascii="宋体" w:hAnsi="宋体" w:eastAsia="宋体" w:cs="宋体"/>
          <w:sz w:val="24"/>
          <w:szCs w:val="24"/>
        </w:rPr>
      </w:pPr>
      <w:r>
        <w:rPr>
          <w:rFonts w:ascii="宋体" w:hAnsi="宋体" w:eastAsia="宋体" w:cs="宋体"/>
          <w:b/>
          <w:bCs/>
          <w:spacing w:val="-4"/>
          <w:sz w:val="24"/>
          <w:szCs w:val="24"/>
        </w:rPr>
        <w:t>点声源噪声衰减公式：</w:t>
      </w:r>
    </w:p>
    <w:p w14:paraId="498705E1">
      <w:pPr>
        <w:spacing w:before="148" w:line="511" w:lineRule="exact"/>
        <w:ind w:firstLine="2556"/>
      </w:pPr>
      <w:r>
        <w:rPr>
          <w:position w:val="-10"/>
        </w:rPr>
        <w:drawing>
          <wp:inline distT="0" distB="0" distL="0" distR="0">
            <wp:extent cx="2762885" cy="3244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34"/>
                    <a:stretch>
                      <a:fillRect/>
                    </a:stretch>
                  </pic:blipFill>
                  <pic:spPr>
                    <a:xfrm>
                      <a:off x="0" y="0"/>
                      <a:ext cx="2763011" cy="324611"/>
                    </a:xfrm>
                    <a:prstGeom prst="rect">
                      <a:avLst/>
                    </a:prstGeom>
                  </pic:spPr>
                </pic:pic>
              </a:graphicData>
            </a:graphic>
          </wp:inline>
        </w:drawing>
      </w:r>
    </w:p>
    <w:p w14:paraId="03737F9F">
      <w:pPr>
        <w:spacing w:before="196" w:line="221" w:lineRule="auto"/>
        <w:ind w:left="607"/>
        <w:rPr>
          <w:rFonts w:ascii="宋体" w:hAnsi="宋体" w:eastAsia="宋体" w:cs="宋体"/>
          <w:sz w:val="24"/>
          <w:szCs w:val="24"/>
        </w:rPr>
      </w:pPr>
      <w:r>
        <w:rPr>
          <w:rFonts w:ascii="宋体" w:hAnsi="宋体" w:eastAsia="宋体" w:cs="宋体"/>
          <w:spacing w:val="-5"/>
          <w:sz w:val="24"/>
          <w:szCs w:val="24"/>
        </w:rPr>
        <w:t>式中：</w:t>
      </w:r>
    </w:p>
    <w:p w14:paraId="4A61E249">
      <w:pPr>
        <w:spacing w:before="163" w:line="366" w:lineRule="auto"/>
        <w:ind w:left="595" w:right="1234" w:firstLine="3"/>
        <w:rPr>
          <w:rFonts w:ascii="宋体" w:hAnsi="宋体" w:eastAsia="宋体" w:cs="宋体"/>
          <w:sz w:val="24"/>
          <w:szCs w:val="24"/>
        </w:rPr>
      </w:pPr>
      <w:r>
        <w:rPr>
          <w:rFonts w:ascii="Times New Roman" w:hAnsi="Times New Roman" w:eastAsia="Times New Roman" w:cs="Times New Roman"/>
          <w:sz w:val="24"/>
          <w:szCs w:val="24"/>
        </w:rPr>
        <w:t>LA</w:t>
      </w:r>
      <w:r>
        <w:rPr>
          <w:rFonts w:ascii="宋体" w:hAnsi="宋体" w:eastAsia="宋体" w:cs="宋体"/>
          <w:spacing w:val="1"/>
          <w:sz w:val="24"/>
          <w:szCs w:val="24"/>
        </w:rPr>
        <w:t>（</w:t>
      </w:r>
      <w:r>
        <w:rPr>
          <w:rFonts w:ascii="Times New Roman" w:hAnsi="Times New Roman" w:eastAsia="Times New Roman" w:cs="Times New Roman"/>
          <w:spacing w:val="1"/>
          <w:sz w:val="24"/>
          <w:szCs w:val="24"/>
        </w:rPr>
        <w:t>r</w:t>
      </w:r>
      <w:r>
        <w:rPr>
          <w:rFonts w:ascii="宋体" w:hAnsi="宋体" w:eastAsia="宋体" w:cs="宋体"/>
          <w:spacing w:val="1"/>
          <w:sz w:val="24"/>
          <w:szCs w:val="24"/>
        </w:rPr>
        <w:t>）——距离声源为</w:t>
      </w:r>
      <w:r>
        <w:rPr>
          <w:rFonts w:ascii="宋体" w:hAnsi="宋体" w:eastAsia="宋体" w:cs="宋体"/>
          <w:spacing w:val="-59"/>
          <w:sz w:val="24"/>
          <w:szCs w:val="24"/>
        </w:rPr>
        <w:t xml:space="preserve"> </w:t>
      </w:r>
      <w:r>
        <w:rPr>
          <w:rFonts w:ascii="Times New Roman" w:hAnsi="Times New Roman" w:eastAsia="Times New Roman" w:cs="Times New Roman"/>
          <w:spacing w:val="1"/>
          <w:sz w:val="24"/>
          <w:szCs w:val="24"/>
        </w:rPr>
        <w:t xml:space="preserve">r </w:t>
      </w:r>
      <w:r>
        <w:rPr>
          <w:rFonts w:ascii="宋体" w:hAnsi="宋体" w:eastAsia="宋体" w:cs="宋体"/>
          <w:spacing w:val="1"/>
          <w:sz w:val="24"/>
          <w:szCs w:val="24"/>
        </w:rPr>
        <w:t>米处预测受声点噪声预测值</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r>
        <w:rPr>
          <w:rFonts w:ascii="Times New Roman" w:hAnsi="Times New Roman" w:eastAsia="Times New Roman" w:cs="Times New Roman"/>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 </w:t>
      </w:r>
      <w:r>
        <w:rPr>
          <w:rFonts w:ascii="Times New Roman" w:hAnsi="Times New Roman" w:eastAsia="Times New Roman" w:cs="Times New Roman"/>
          <w:spacing w:val="-2"/>
          <w:sz w:val="24"/>
          <w:szCs w:val="24"/>
        </w:rPr>
        <w:t>LA</w:t>
      </w:r>
      <w:r>
        <w:rPr>
          <w:rFonts w:ascii="宋体" w:hAnsi="宋体" w:eastAsia="宋体" w:cs="宋体"/>
          <w:spacing w:val="-2"/>
          <w:sz w:val="24"/>
          <w:szCs w:val="24"/>
        </w:rPr>
        <w:t>（</w:t>
      </w:r>
      <w:r>
        <w:rPr>
          <w:rFonts w:ascii="Times New Roman" w:hAnsi="Times New Roman" w:eastAsia="Times New Roman" w:cs="Times New Roman"/>
          <w:spacing w:val="-2"/>
          <w:sz w:val="24"/>
          <w:szCs w:val="24"/>
        </w:rPr>
        <w:t>r o</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）——距离声源为</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 xml:space="preserve">ro </w:t>
      </w:r>
      <w:r>
        <w:rPr>
          <w:rFonts w:ascii="宋体" w:hAnsi="宋体" w:eastAsia="宋体" w:cs="宋体"/>
          <w:spacing w:val="-2"/>
          <w:sz w:val="24"/>
          <w:szCs w:val="24"/>
        </w:rPr>
        <w:t>米处室外声源的总声级值</w:t>
      </w:r>
      <w:r>
        <w:rPr>
          <w:rFonts w:ascii="Times New Roman" w:hAnsi="Times New Roman" w:eastAsia="Times New Roman" w:cs="Times New Roman"/>
          <w:spacing w:val="-2"/>
          <w:sz w:val="24"/>
          <w:szCs w:val="24"/>
        </w:rPr>
        <w:t>[dB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r</w:t>
      </w:r>
      <w:r>
        <w:rPr>
          <w:rFonts w:ascii="宋体" w:hAnsi="宋体" w:eastAsia="宋体" w:cs="宋体"/>
          <w:spacing w:val="-1"/>
          <w:sz w:val="24"/>
          <w:szCs w:val="24"/>
        </w:rPr>
        <w:t>——预测点至声源的距离，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2D06F791">
      <w:pPr>
        <w:spacing w:before="41" w:line="360" w:lineRule="exact"/>
        <w:ind w:left="595"/>
        <w:rPr>
          <w:rFonts w:ascii="宋体" w:hAnsi="宋体" w:eastAsia="宋体" w:cs="宋体"/>
          <w:sz w:val="24"/>
          <w:szCs w:val="24"/>
        </w:rPr>
      </w:pPr>
      <w:r>
        <w:rPr>
          <w:rFonts w:ascii="Times New Roman" w:hAnsi="Times New Roman" w:eastAsia="Times New Roman" w:cs="Times New Roman"/>
          <w:spacing w:val="-1"/>
          <w:position w:val="2"/>
          <w:sz w:val="24"/>
          <w:szCs w:val="24"/>
        </w:rPr>
        <w:t xml:space="preserve">r0  </w:t>
      </w:r>
      <w:r>
        <w:rPr>
          <w:rFonts w:ascii="宋体" w:hAnsi="宋体" w:eastAsia="宋体" w:cs="宋体"/>
          <w:spacing w:val="-1"/>
          <w:position w:val="2"/>
          <w:sz w:val="24"/>
          <w:szCs w:val="24"/>
        </w:rPr>
        <w:t>——参考点至声源的距离，</w:t>
      </w:r>
      <w:r>
        <w:rPr>
          <w:rFonts w:ascii="Times New Roman" w:hAnsi="Times New Roman" w:eastAsia="Times New Roman" w:cs="Times New Roman"/>
          <w:spacing w:val="-1"/>
          <w:position w:val="2"/>
          <w:sz w:val="24"/>
          <w:szCs w:val="24"/>
        </w:rPr>
        <w:t>m</w:t>
      </w:r>
      <w:r>
        <w:rPr>
          <w:rFonts w:ascii="宋体" w:hAnsi="宋体" w:eastAsia="宋体" w:cs="宋体"/>
          <w:spacing w:val="-1"/>
          <w:position w:val="2"/>
          <w:sz w:val="24"/>
          <w:szCs w:val="24"/>
        </w:rPr>
        <w:t>；</w:t>
      </w:r>
    </w:p>
    <w:p w14:paraId="10D25F85">
      <w:pPr>
        <w:spacing w:before="167" w:line="332" w:lineRule="auto"/>
        <w:ind w:left="604" w:right="1311" w:firstLine="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L oct  </w:t>
      </w:r>
      <w:r>
        <w:rPr>
          <w:rFonts w:ascii="宋体" w:hAnsi="宋体" w:eastAsia="宋体" w:cs="宋体"/>
          <w:spacing w:val="-2"/>
          <w:sz w:val="24"/>
          <w:szCs w:val="24"/>
        </w:rPr>
        <w:t>——声屏障、遮挡物、空气吸收、地面效应引起的衰减量。</w:t>
      </w:r>
      <w:r>
        <w:rPr>
          <w:rFonts w:ascii="宋体" w:hAnsi="宋体" w:eastAsia="宋体" w:cs="宋体"/>
          <w:spacing w:val="1"/>
          <w:sz w:val="24"/>
          <w:szCs w:val="24"/>
        </w:rPr>
        <w:t xml:space="preserve"> </w:t>
      </w:r>
      <w:r>
        <w:rPr>
          <w:rFonts w:ascii="宋体" w:hAnsi="宋体" w:eastAsia="宋体" w:cs="宋体"/>
          <w:b/>
          <w:bCs/>
          <w:spacing w:val="-3"/>
          <w:sz w:val="24"/>
          <w:szCs w:val="24"/>
        </w:rPr>
        <w:t>预测点的总等效声级</w:t>
      </w:r>
      <w:r>
        <w:rPr>
          <w:rFonts w:ascii="宋体" w:hAnsi="宋体" w:eastAsia="宋体" w:cs="宋体"/>
          <w:spacing w:val="-52"/>
          <w:sz w:val="24"/>
          <w:szCs w:val="24"/>
        </w:rPr>
        <w:t xml:space="preserve"> </w:t>
      </w:r>
      <w:r>
        <w:rPr>
          <w:rFonts w:ascii="Times New Roman" w:hAnsi="Times New Roman" w:eastAsia="Times New Roman" w:cs="Times New Roman"/>
          <w:b/>
          <w:bCs/>
          <w:spacing w:val="-3"/>
          <w:sz w:val="24"/>
          <w:szCs w:val="24"/>
        </w:rPr>
        <w:t>Leq</w:t>
      </w:r>
      <w:r>
        <w:rPr>
          <w:rFonts w:ascii="宋体" w:hAnsi="宋体" w:eastAsia="宋体" w:cs="宋体"/>
          <w:b/>
          <w:bCs/>
          <w:spacing w:val="-3"/>
          <w:sz w:val="24"/>
          <w:szCs w:val="24"/>
        </w:rPr>
        <w:t>：</w:t>
      </w:r>
    </w:p>
    <w:p w14:paraId="1079765A">
      <w:pPr>
        <w:spacing w:line="631" w:lineRule="exact"/>
        <w:ind w:firstLine="3248"/>
      </w:pPr>
      <w:r>
        <w:rPr>
          <w:position w:val="-12"/>
        </w:rPr>
        <w:drawing>
          <wp:inline distT="0" distB="0" distL="0" distR="0">
            <wp:extent cx="1875790" cy="4006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35"/>
                    <a:stretch>
                      <a:fillRect/>
                    </a:stretch>
                  </pic:blipFill>
                  <pic:spPr>
                    <a:xfrm>
                      <a:off x="0" y="0"/>
                      <a:ext cx="1876044" cy="400811"/>
                    </a:xfrm>
                    <a:prstGeom prst="rect">
                      <a:avLst/>
                    </a:prstGeom>
                  </pic:spPr>
                </pic:pic>
              </a:graphicData>
            </a:graphic>
          </wp:inline>
        </w:drawing>
      </w:r>
    </w:p>
    <w:p w14:paraId="14D03BED">
      <w:pPr>
        <w:spacing w:line="631" w:lineRule="exact"/>
        <w:sectPr>
          <w:footerReference r:id="rId141" w:type="default"/>
          <w:pgSz w:w="11906" w:h="16839"/>
          <w:pgMar w:top="400" w:right="1475" w:bottom="1485" w:left="1475" w:header="0" w:footer="1249" w:gutter="0"/>
          <w:cols w:space="720" w:num="1"/>
        </w:sectPr>
      </w:pPr>
    </w:p>
    <w:p w14:paraId="3053948D">
      <w:pPr>
        <w:pStyle w:val="2"/>
        <w:spacing w:line="255" w:lineRule="auto"/>
      </w:pPr>
    </w:p>
    <w:p w14:paraId="3FF74414">
      <w:pPr>
        <w:pStyle w:val="2"/>
        <w:spacing w:line="255" w:lineRule="auto"/>
      </w:pPr>
    </w:p>
    <w:p w14:paraId="2512E937">
      <w:pPr>
        <w:pStyle w:val="2"/>
        <w:spacing w:line="256" w:lineRule="auto"/>
      </w:pPr>
    </w:p>
    <w:p w14:paraId="5983CC33">
      <w:pPr>
        <w:pStyle w:val="2"/>
        <w:spacing w:line="256" w:lineRule="auto"/>
      </w:pPr>
    </w:p>
    <w:p w14:paraId="4778E45C">
      <w:pPr>
        <w:spacing w:before="78" w:line="333" w:lineRule="exact"/>
        <w:ind w:left="1154"/>
        <w:rPr>
          <w:rFonts w:ascii="宋体" w:hAnsi="宋体" w:eastAsia="宋体" w:cs="宋体"/>
          <w:sz w:val="24"/>
          <w:szCs w:val="24"/>
        </w:rPr>
      </w:pPr>
      <w:r>
        <w:rPr>
          <w:rFonts w:ascii="宋体" w:hAnsi="宋体" w:eastAsia="宋体" w:cs="宋体"/>
          <w:spacing w:val="-1"/>
          <w:position w:val="3"/>
          <w:sz w:val="24"/>
          <w:szCs w:val="24"/>
        </w:rPr>
        <w:t>式中：</w:t>
      </w:r>
      <w:r>
        <w:rPr>
          <w:rFonts w:ascii="Times New Roman" w:hAnsi="Times New Roman" w:eastAsia="Times New Roman" w:cs="Times New Roman"/>
          <w:spacing w:val="-1"/>
          <w:position w:val="3"/>
          <w:sz w:val="24"/>
          <w:szCs w:val="24"/>
        </w:rPr>
        <w:t>L eqg</w:t>
      </w:r>
      <w:r>
        <w:rPr>
          <w:rFonts w:ascii="宋体" w:hAnsi="宋体" w:eastAsia="宋体" w:cs="宋体"/>
          <w:spacing w:val="-1"/>
          <w:position w:val="3"/>
          <w:sz w:val="24"/>
          <w:szCs w:val="24"/>
        </w:rPr>
        <w:t>——建设项目声源在预测点的等效声级贡献值，</w:t>
      </w:r>
      <w:r>
        <w:rPr>
          <w:rFonts w:ascii="Times New Roman" w:hAnsi="Times New Roman" w:eastAsia="Times New Roman" w:cs="Times New Roman"/>
          <w:spacing w:val="-1"/>
          <w:position w:val="3"/>
          <w:sz w:val="24"/>
          <w:szCs w:val="24"/>
        </w:rPr>
        <w:t>dB(A)</w:t>
      </w:r>
      <w:r>
        <w:rPr>
          <w:rFonts w:ascii="宋体" w:hAnsi="宋体" w:eastAsia="宋体" w:cs="宋体"/>
          <w:spacing w:val="-1"/>
          <w:position w:val="3"/>
          <w:sz w:val="24"/>
          <w:szCs w:val="24"/>
        </w:rPr>
        <w:t>；</w:t>
      </w:r>
    </w:p>
    <w:p w14:paraId="71A83B52">
      <w:pPr>
        <w:spacing w:before="156" w:line="334" w:lineRule="exact"/>
        <w:ind w:left="1918"/>
        <w:rPr>
          <w:rFonts w:ascii="宋体" w:hAnsi="宋体" w:eastAsia="宋体" w:cs="宋体"/>
          <w:sz w:val="24"/>
          <w:szCs w:val="24"/>
        </w:rPr>
      </w:pPr>
      <w:r>
        <w:rPr>
          <w:rFonts w:ascii="Times New Roman" w:hAnsi="Times New Roman" w:eastAsia="Times New Roman" w:cs="Times New Roman"/>
          <w:spacing w:val="-1"/>
          <w:position w:val="3"/>
          <w:sz w:val="24"/>
          <w:szCs w:val="24"/>
        </w:rPr>
        <w:t>L eqb</w:t>
      </w:r>
      <w:r>
        <w:rPr>
          <w:rFonts w:ascii="宋体" w:hAnsi="宋体" w:eastAsia="宋体" w:cs="宋体"/>
          <w:spacing w:val="-1"/>
          <w:position w:val="3"/>
          <w:sz w:val="24"/>
          <w:szCs w:val="24"/>
        </w:rPr>
        <w:t>——预测点的背景值，</w:t>
      </w:r>
      <w:r>
        <w:rPr>
          <w:rFonts w:ascii="Times New Roman" w:hAnsi="Times New Roman" w:eastAsia="Times New Roman" w:cs="Times New Roman"/>
          <w:spacing w:val="-1"/>
          <w:position w:val="3"/>
          <w:sz w:val="24"/>
          <w:szCs w:val="24"/>
        </w:rPr>
        <w:t xml:space="preserve">dB(A)  </w:t>
      </w:r>
      <w:r>
        <w:rPr>
          <w:rFonts w:ascii="宋体" w:hAnsi="宋体" w:eastAsia="宋体" w:cs="宋体"/>
          <w:spacing w:val="-1"/>
          <w:position w:val="3"/>
          <w:sz w:val="24"/>
          <w:szCs w:val="24"/>
        </w:rPr>
        <w:t>。</w:t>
      </w:r>
    </w:p>
    <w:p w14:paraId="15DAD6E7">
      <w:pPr>
        <w:spacing w:before="192" w:line="219" w:lineRule="auto"/>
        <w:ind w:left="603"/>
        <w:rPr>
          <w:rFonts w:ascii="宋体" w:hAnsi="宋体" w:eastAsia="宋体" w:cs="宋体"/>
          <w:sz w:val="24"/>
          <w:szCs w:val="24"/>
        </w:rPr>
      </w:pPr>
      <w:r>
        <w:rPr>
          <w:rFonts w:ascii="宋体" w:hAnsi="宋体" w:eastAsia="宋体" w:cs="宋体"/>
          <w:b/>
          <w:bCs/>
          <w:spacing w:val="-3"/>
          <w:sz w:val="24"/>
          <w:szCs w:val="24"/>
        </w:rPr>
        <w:t>户外声传播衰减计算：</w:t>
      </w:r>
    </w:p>
    <w:p w14:paraId="09BE06F0">
      <w:pPr>
        <w:spacing w:before="204" w:line="375" w:lineRule="auto"/>
        <w:ind w:left="124" w:right="124" w:firstLine="479"/>
        <w:rPr>
          <w:rFonts w:ascii="宋体" w:hAnsi="宋体" w:eastAsia="宋体" w:cs="宋体"/>
          <w:sz w:val="24"/>
          <w:szCs w:val="24"/>
        </w:rPr>
      </w:pPr>
      <w:r>
        <w:rPr>
          <w:rFonts w:ascii="宋体" w:hAnsi="宋体" w:eastAsia="宋体" w:cs="宋体"/>
          <w:spacing w:val="-3"/>
          <w:sz w:val="24"/>
          <w:szCs w:val="24"/>
        </w:rPr>
        <w:t>户外声传播衰减包括几何发散（</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
          <w:position w:val="-1"/>
          <w:sz w:val="15"/>
          <w:szCs w:val="15"/>
        </w:rPr>
        <w:t>div</w:t>
      </w:r>
      <w:r>
        <w:rPr>
          <w:rFonts w:ascii="宋体" w:hAnsi="宋体" w:eastAsia="宋体" w:cs="宋体"/>
          <w:spacing w:val="-3"/>
          <w:sz w:val="24"/>
          <w:szCs w:val="24"/>
        </w:rPr>
        <w:t>）、大气吸收（</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
          <w:position w:val="-1"/>
          <w:sz w:val="15"/>
          <w:szCs w:val="15"/>
        </w:rPr>
        <w:t xml:space="preserve">atm </w:t>
      </w:r>
      <w:r>
        <w:rPr>
          <w:rFonts w:ascii="宋体" w:hAnsi="宋体" w:eastAsia="宋体" w:cs="宋体"/>
          <w:spacing w:val="-3"/>
          <w:sz w:val="24"/>
          <w:szCs w:val="24"/>
        </w:rPr>
        <w:t>）、地面效应（</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
          <w:position w:val="-1"/>
          <w:sz w:val="15"/>
          <w:szCs w:val="15"/>
        </w:rPr>
        <w:t xml:space="preserve">gr </w:t>
      </w:r>
      <w:r>
        <w:rPr>
          <w:rFonts w:ascii="宋体" w:hAnsi="宋体" w:eastAsia="宋体" w:cs="宋体"/>
          <w:spacing w:val="-3"/>
          <w:sz w:val="24"/>
          <w:szCs w:val="24"/>
        </w:rPr>
        <w:t>）、</w:t>
      </w:r>
      <w:r>
        <w:rPr>
          <w:rFonts w:ascii="宋体" w:hAnsi="宋体" w:eastAsia="宋体" w:cs="宋体"/>
          <w:spacing w:val="18"/>
          <w:sz w:val="24"/>
          <w:szCs w:val="24"/>
        </w:rPr>
        <w:t xml:space="preserve"> </w:t>
      </w:r>
      <w:r>
        <w:rPr>
          <w:rFonts w:ascii="宋体" w:hAnsi="宋体" w:eastAsia="宋体" w:cs="宋体"/>
          <w:sz w:val="24"/>
          <w:szCs w:val="24"/>
        </w:rPr>
        <w:t>屏障屏蔽（</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bar</w:t>
      </w:r>
      <w:r>
        <w:rPr>
          <w:rFonts w:ascii="宋体" w:hAnsi="宋体" w:eastAsia="宋体" w:cs="宋体"/>
          <w:sz w:val="24"/>
          <w:szCs w:val="24"/>
        </w:rPr>
        <w:t>）、其他多方面效应（</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misc</w:t>
      </w:r>
      <w:r>
        <w:rPr>
          <w:rFonts w:ascii="宋体" w:hAnsi="宋体" w:eastAsia="宋体" w:cs="宋体"/>
          <w:sz w:val="24"/>
          <w:szCs w:val="24"/>
        </w:rPr>
        <w:t>）引起的衰减。</w:t>
      </w:r>
    </w:p>
    <w:p w14:paraId="069EFA39">
      <w:pPr>
        <w:spacing w:before="2" w:line="220" w:lineRule="auto"/>
        <w:ind w:left="602"/>
        <w:rPr>
          <w:rFonts w:ascii="宋体" w:hAnsi="宋体" w:eastAsia="宋体" w:cs="宋体"/>
          <w:sz w:val="24"/>
          <w:szCs w:val="24"/>
        </w:rPr>
      </w:pPr>
      <w:r>
        <w:rPr>
          <w:rFonts w:ascii="宋体" w:hAnsi="宋体" w:eastAsia="宋体" w:cs="宋体"/>
          <w:spacing w:val="-1"/>
          <w:sz w:val="24"/>
          <w:szCs w:val="24"/>
        </w:rPr>
        <w:t>距声源点</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r </w:t>
      </w:r>
      <w:r>
        <w:rPr>
          <w:rFonts w:ascii="宋体" w:hAnsi="宋体" w:eastAsia="宋体" w:cs="宋体"/>
          <w:spacing w:val="-1"/>
          <w:sz w:val="24"/>
          <w:szCs w:val="24"/>
        </w:rPr>
        <w:t>处的</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声级按下式计算：</w:t>
      </w:r>
    </w:p>
    <w:p w14:paraId="17E8F761">
      <w:pPr>
        <w:spacing w:before="94" w:line="621" w:lineRule="exact"/>
        <w:ind w:firstLine="1896"/>
      </w:pPr>
      <w:r>
        <w:rPr>
          <w:position w:val="-12"/>
        </w:rPr>
        <w:drawing>
          <wp:inline distT="0" distB="0" distL="0" distR="0">
            <wp:extent cx="3590290" cy="39433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36"/>
                    <a:stretch>
                      <a:fillRect/>
                    </a:stretch>
                  </pic:blipFill>
                  <pic:spPr>
                    <a:xfrm>
                      <a:off x="0" y="0"/>
                      <a:ext cx="3590544" cy="394716"/>
                    </a:xfrm>
                    <a:prstGeom prst="rect">
                      <a:avLst/>
                    </a:prstGeom>
                  </pic:spPr>
                </pic:pic>
              </a:graphicData>
            </a:graphic>
          </wp:inline>
        </w:drawing>
      </w:r>
    </w:p>
    <w:p w14:paraId="1FCA08F3">
      <w:pPr>
        <w:spacing w:before="138" w:line="363" w:lineRule="auto"/>
        <w:ind w:left="127" w:right="202" w:firstLine="474"/>
        <w:rPr>
          <w:rFonts w:ascii="宋体" w:hAnsi="宋体" w:eastAsia="宋体" w:cs="宋体"/>
          <w:sz w:val="24"/>
          <w:szCs w:val="24"/>
        </w:rPr>
      </w:pPr>
      <w:r>
        <w:rPr>
          <w:rFonts w:ascii="宋体" w:hAnsi="宋体" w:eastAsia="宋体" w:cs="宋体"/>
          <w:sz w:val="24"/>
          <w:szCs w:val="24"/>
        </w:rPr>
        <w:t>在预测中考虑反射引起的修正、屏障引起的衰减、双绕</w:t>
      </w:r>
      <w:r>
        <w:rPr>
          <w:rFonts w:ascii="宋体" w:hAnsi="宋体" w:eastAsia="宋体" w:cs="宋体"/>
          <w:spacing w:val="-1"/>
          <w:sz w:val="24"/>
          <w:szCs w:val="24"/>
        </w:rPr>
        <w:t>射、室内声源等效室外</w:t>
      </w:r>
      <w:r>
        <w:rPr>
          <w:rFonts w:ascii="宋体" w:hAnsi="宋体" w:eastAsia="宋体" w:cs="宋体"/>
          <w:sz w:val="24"/>
          <w:szCs w:val="24"/>
        </w:rPr>
        <w:t xml:space="preserve"> </w:t>
      </w:r>
      <w:r>
        <w:rPr>
          <w:rFonts w:ascii="宋体" w:hAnsi="宋体" w:eastAsia="宋体" w:cs="宋体"/>
          <w:spacing w:val="-2"/>
          <w:sz w:val="24"/>
          <w:szCs w:val="24"/>
        </w:rPr>
        <w:t>声源等影响和计算方法。</w:t>
      </w:r>
    </w:p>
    <w:p w14:paraId="48FF8CBB">
      <w:pPr>
        <w:spacing w:line="333" w:lineRule="exact"/>
        <w:ind w:left="602"/>
        <w:rPr>
          <w:rFonts w:ascii="宋体" w:hAnsi="宋体" w:eastAsia="宋体" w:cs="宋体"/>
          <w:sz w:val="24"/>
          <w:szCs w:val="24"/>
        </w:rPr>
      </w:pPr>
      <w:r>
        <w:rPr>
          <w:rFonts w:ascii="宋体" w:hAnsi="宋体" w:eastAsia="宋体" w:cs="宋体"/>
          <w:spacing w:val="-2"/>
          <w:position w:val="3"/>
          <w:sz w:val="24"/>
          <w:szCs w:val="24"/>
        </w:rPr>
        <w:t xml:space="preserve">猪舍及围墙的隔声量一般采用 </w:t>
      </w:r>
      <w:r>
        <w:rPr>
          <w:rFonts w:ascii="Times New Roman" w:hAnsi="Times New Roman" w:eastAsia="Times New Roman" w:cs="Times New Roman"/>
          <w:spacing w:val="-2"/>
          <w:position w:val="3"/>
          <w:sz w:val="24"/>
          <w:szCs w:val="24"/>
        </w:rPr>
        <w:t>10~20 dB(A)</w:t>
      </w:r>
      <w:r>
        <w:rPr>
          <w:rFonts w:ascii="Times New Roman" w:hAnsi="Times New Roman" w:eastAsia="Times New Roman" w:cs="Times New Roman"/>
          <w:spacing w:val="-23"/>
          <w:position w:val="3"/>
          <w:sz w:val="24"/>
          <w:szCs w:val="24"/>
        </w:rPr>
        <w:t xml:space="preserve"> </w:t>
      </w:r>
      <w:r>
        <w:rPr>
          <w:rFonts w:ascii="宋体" w:hAnsi="宋体" w:eastAsia="宋体" w:cs="宋体"/>
          <w:spacing w:val="-2"/>
          <w:position w:val="3"/>
          <w:sz w:val="24"/>
          <w:szCs w:val="24"/>
        </w:rPr>
        <w:t>，本项目取</w:t>
      </w:r>
      <w:r>
        <w:rPr>
          <w:rFonts w:ascii="宋体" w:hAnsi="宋体" w:eastAsia="宋体" w:cs="宋体"/>
          <w:spacing w:val="28"/>
          <w:position w:val="3"/>
          <w:sz w:val="24"/>
          <w:szCs w:val="24"/>
        </w:rPr>
        <w:t xml:space="preserve"> </w:t>
      </w:r>
      <w:r>
        <w:rPr>
          <w:rFonts w:ascii="Times New Roman" w:hAnsi="Times New Roman" w:eastAsia="Times New Roman" w:cs="Times New Roman"/>
          <w:spacing w:val="-2"/>
          <w:position w:val="3"/>
          <w:sz w:val="24"/>
          <w:szCs w:val="24"/>
        </w:rPr>
        <w:t>10 dB(A)</w:t>
      </w:r>
      <w:r>
        <w:rPr>
          <w:rFonts w:ascii="宋体" w:hAnsi="宋体" w:eastAsia="宋体" w:cs="宋体"/>
          <w:spacing w:val="-2"/>
          <w:position w:val="3"/>
          <w:sz w:val="24"/>
          <w:szCs w:val="24"/>
        </w:rPr>
        <w:t>。</w:t>
      </w:r>
    </w:p>
    <w:p w14:paraId="7A671209">
      <w:pPr>
        <w:spacing w:before="153" w:line="360" w:lineRule="exact"/>
        <w:ind w:left="603"/>
        <w:rPr>
          <w:rFonts w:ascii="宋体" w:hAnsi="宋体" w:eastAsia="宋体" w:cs="宋体"/>
          <w:sz w:val="24"/>
          <w:szCs w:val="24"/>
        </w:rPr>
      </w:pPr>
      <w:r>
        <w:rPr>
          <w:rFonts w:ascii="宋体" w:hAnsi="宋体" w:eastAsia="宋体" w:cs="宋体"/>
          <w:spacing w:val="-1"/>
          <w:position w:val="2"/>
          <w:sz w:val="24"/>
          <w:szCs w:val="24"/>
        </w:rPr>
        <w:t xml:space="preserve">本项目取场界范围外 </w:t>
      </w:r>
      <w:r>
        <w:rPr>
          <w:rFonts w:ascii="Times New Roman" w:hAnsi="Times New Roman" w:eastAsia="Times New Roman" w:cs="Times New Roman"/>
          <w:spacing w:val="-1"/>
          <w:position w:val="2"/>
          <w:sz w:val="24"/>
          <w:szCs w:val="24"/>
        </w:rPr>
        <w:t xml:space="preserve">1 m  </w:t>
      </w:r>
      <w:r>
        <w:rPr>
          <w:rFonts w:ascii="宋体" w:hAnsi="宋体" w:eastAsia="宋体" w:cs="宋体"/>
          <w:spacing w:val="-1"/>
          <w:position w:val="2"/>
          <w:sz w:val="24"/>
          <w:szCs w:val="24"/>
        </w:rPr>
        <w:t>作为声源参考点，各间隔距离如下表：</w:t>
      </w:r>
    </w:p>
    <w:p w14:paraId="4F836B8E">
      <w:pPr>
        <w:spacing w:before="180" w:line="229" w:lineRule="auto"/>
        <w:ind w:left="300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5.2-18 </w:t>
      </w:r>
      <w:r>
        <w:rPr>
          <w:rFonts w:ascii="宋体" w:hAnsi="宋体" w:eastAsia="宋体" w:cs="宋体"/>
          <w:b/>
          <w:bCs/>
          <w:spacing w:val="6"/>
          <w:sz w:val="20"/>
          <w:szCs w:val="20"/>
        </w:rPr>
        <w:t>项目噪声源强及预测点距离</w:t>
      </w:r>
    </w:p>
    <w:p w14:paraId="4BF289D5">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1788"/>
        <w:gridCol w:w="1788"/>
        <w:gridCol w:w="1788"/>
        <w:gridCol w:w="1793"/>
      </w:tblGrid>
      <w:tr w14:paraId="68645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93" w:type="dxa"/>
            <w:vMerge w:val="restart"/>
            <w:tcBorders>
              <w:bottom w:val="nil"/>
            </w:tcBorders>
            <w:vAlign w:val="top"/>
          </w:tcPr>
          <w:p w14:paraId="1D433849">
            <w:pPr>
              <w:pStyle w:val="6"/>
              <w:spacing w:before="64" w:line="229" w:lineRule="auto"/>
              <w:ind w:left="483"/>
            </w:pPr>
            <w:r>
              <w:rPr>
                <w:b/>
                <w:bCs/>
                <w:spacing w:val="6"/>
              </w:rPr>
              <w:t>主要声源</w:t>
            </w:r>
          </w:p>
        </w:tc>
        <w:tc>
          <w:tcPr>
            <w:tcW w:w="1788" w:type="dxa"/>
            <w:vAlign w:val="top"/>
          </w:tcPr>
          <w:p w14:paraId="33D8D636">
            <w:pPr>
              <w:pStyle w:val="6"/>
              <w:spacing w:before="64" w:line="228" w:lineRule="auto"/>
              <w:ind w:left="271"/>
            </w:pPr>
            <w:r>
              <w:rPr>
                <w:b/>
                <w:bCs/>
                <w:spacing w:val="6"/>
              </w:rPr>
              <w:t>项目东面边界</w:t>
            </w:r>
          </w:p>
        </w:tc>
        <w:tc>
          <w:tcPr>
            <w:tcW w:w="1788" w:type="dxa"/>
            <w:vAlign w:val="top"/>
          </w:tcPr>
          <w:p w14:paraId="253D8481">
            <w:pPr>
              <w:pStyle w:val="6"/>
              <w:spacing w:before="64" w:line="229" w:lineRule="auto"/>
              <w:ind w:left="271"/>
            </w:pPr>
            <w:r>
              <w:rPr>
                <w:b/>
                <w:bCs/>
                <w:spacing w:val="6"/>
              </w:rPr>
              <w:t>项目南面边界</w:t>
            </w:r>
          </w:p>
        </w:tc>
        <w:tc>
          <w:tcPr>
            <w:tcW w:w="1788" w:type="dxa"/>
            <w:vAlign w:val="top"/>
          </w:tcPr>
          <w:p w14:paraId="3A0F9F2D">
            <w:pPr>
              <w:pStyle w:val="6"/>
              <w:spacing w:before="64" w:line="229" w:lineRule="auto"/>
              <w:ind w:left="273"/>
            </w:pPr>
            <w:r>
              <w:rPr>
                <w:b/>
                <w:bCs/>
                <w:spacing w:val="6"/>
              </w:rPr>
              <w:t>项目西面边界</w:t>
            </w:r>
          </w:p>
        </w:tc>
        <w:tc>
          <w:tcPr>
            <w:tcW w:w="1793" w:type="dxa"/>
            <w:vAlign w:val="top"/>
          </w:tcPr>
          <w:p w14:paraId="0F215F42">
            <w:pPr>
              <w:pStyle w:val="6"/>
              <w:spacing w:before="64" w:line="229" w:lineRule="auto"/>
              <w:ind w:left="275"/>
            </w:pPr>
            <w:r>
              <w:rPr>
                <w:b/>
                <w:bCs/>
                <w:spacing w:val="6"/>
              </w:rPr>
              <w:t>项目北面边界</w:t>
            </w:r>
          </w:p>
        </w:tc>
      </w:tr>
      <w:tr w14:paraId="7653B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Merge w:val="continue"/>
            <w:tcBorders>
              <w:top w:val="nil"/>
            </w:tcBorders>
            <w:vAlign w:val="top"/>
          </w:tcPr>
          <w:p w14:paraId="4D6942E0">
            <w:pPr>
              <w:rPr>
                <w:rFonts w:ascii="Arial"/>
                <w:sz w:val="21"/>
              </w:rPr>
            </w:pPr>
          </w:p>
        </w:tc>
        <w:tc>
          <w:tcPr>
            <w:tcW w:w="7157" w:type="dxa"/>
            <w:gridSpan w:val="4"/>
            <w:vAlign w:val="top"/>
          </w:tcPr>
          <w:p w14:paraId="1280B75E">
            <w:pPr>
              <w:pStyle w:val="6"/>
              <w:spacing w:before="61" w:line="229" w:lineRule="auto"/>
              <w:ind w:left="3257"/>
              <w:rPr>
                <w:rFonts w:ascii="Times New Roman" w:hAnsi="Times New Roman" w:eastAsia="Times New Roman" w:cs="Times New Roman"/>
              </w:rPr>
            </w:pPr>
            <w:r>
              <w:rPr>
                <w:b/>
                <w:bCs/>
                <w:spacing w:val="2"/>
              </w:rPr>
              <w:t>距离</w:t>
            </w:r>
            <w:r>
              <w:rPr>
                <w:spacing w:val="-36"/>
              </w:rPr>
              <w:t xml:space="preserve"> </w:t>
            </w:r>
            <w:r>
              <w:rPr>
                <w:rFonts w:ascii="Times New Roman" w:hAnsi="Times New Roman" w:eastAsia="Times New Roman" w:cs="Times New Roman"/>
                <w:b/>
                <w:bCs/>
                <w:spacing w:val="2"/>
              </w:rPr>
              <w:t>m</w:t>
            </w:r>
          </w:p>
        </w:tc>
      </w:tr>
      <w:tr w14:paraId="525D2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Align w:val="top"/>
          </w:tcPr>
          <w:p w14:paraId="36DF9CCC">
            <w:pPr>
              <w:pStyle w:val="6"/>
              <w:spacing w:before="62" w:line="229" w:lineRule="auto"/>
              <w:ind w:left="692"/>
            </w:pPr>
            <w:r>
              <w:rPr>
                <w:spacing w:val="4"/>
              </w:rPr>
              <w:t>猪舍</w:t>
            </w:r>
          </w:p>
        </w:tc>
        <w:tc>
          <w:tcPr>
            <w:tcW w:w="1788" w:type="dxa"/>
            <w:vAlign w:val="top"/>
          </w:tcPr>
          <w:p w14:paraId="42EBD45A">
            <w:pPr>
              <w:spacing w:before="31"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06D9BD58">
            <w:pPr>
              <w:spacing w:before="31" w:line="274" w:lineRule="exact"/>
              <w:ind w:left="7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88" w:type="dxa"/>
            <w:vAlign w:val="top"/>
          </w:tcPr>
          <w:p w14:paraId="6C35A1E9">
            <w:pPr>
              <w:spacing w:before="31" w:line="274"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93" w:type="dxa"/>
            <w:vAlign w:val="top"/>
          </w:tcPr>
          <w:p w14:paraId="6A1FE189">
            <w:pPr>
              <w:spacing w:before="31"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6CD8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Align w:val="top"/>
          </w:tcPr>
          <w:p w14:paraId="1E61A324">
            <w:pPr>
              <w:pStyle w:val="6"/>
              <w:spacing w:before="62" w:line="228" w:lineRule="auto"/>
              <w:ind w:left="167"/>
            </w:pPr>
            <w:r>
              <w:rPr>
                <w:spacing w:val="8"/>
              </w:rPr>
              <w:t>有机肥发酵车间</w:t>
            </w:r>
          </w:p>
        </w:tc>
        <w:tc>
          <w:tcPr>
            <w:tcW w:w="1788" w:type="dxa"/>
            <w:vAlign w:val="top"/>
          </w:tcPr>
          <w:p w14:paraId="4EED17C6">
            <w:pPr>
              <w:spacing w:before="32"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44F626E2">
            <w:pPr>
              <w:spacing w:before="32"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c>
          <w:tcPr>
            <w:tcW w:w="1788" w:type="dxa"/>
            <w:vAlign w:val="top"/>
          </w:tcPr>
          <w:p w14:paraId="445CFE28">
            <w:pPr>
              <w:spacing w:before="32" w:line="274"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93" w:type="dxa"/>
            <w:vAlign w:val="top"/>
          </w:tcPr>
          <w:p w14:paraId="6AF9F9C2">
            <w:pPr>
              <w:spacing w:before="32"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620CE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93" w:type="dxa"/>
            <w:vAlign w:val="top"/>
          </w:tcPr>
          <w:p w14:paraId="4A5C9531">
            <w:pPr>
              <w:pStyle w:val="6"/>
              <w:spacing w:before="64" w:line="229" w:lineRule="auto"/>
              <w:ind w:left="587"/>
            </w:pPr>
            <w:r>
              <w:rPr>
                <w:spacing w:val="6"/>
              </w:rPr>
              <w:t>配电房</w:t>
            </w:r>
          </w:p>
        </w:tc>
        <w:tc>
          <w:tcPr>
            <w:tcW w:w="1788" w:type="dxa"/>
            <w:vAlign w:val="top"/>
          </w:tcPr>
          <w:p w14:paraId="7C5C9DBD">
            <w:pPr>
              <w:spacing w:before="33"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788" w:type="dxa"/>
            <w:vAlign w:val="top"/>
          </w:tcPr>
          <w:p w14:paraId="5E155BB2">
            <w:pPr>
              <w:spacing w:before="33"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788" w:type="dxa"/>
            <w:vAlign w:val="top"/>
          </w:tcPr>
          <w:p w14:paraId="5DEEF568">
            <w:pPr>
              <w:spacing w:before="33" w:line="274"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93" w:type="dxa"/>
            <w:vAlign w:val="top"/>
          </w:tcPr>
          <w:p w14:paraId="44A3BB80">
            <w:pPr>
              <w:spacing w:before="33" w:line="274" w:lineRule="exact"/>
              <w:ind w:left="7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bl>
    <w:p w14:paraId="4E34F991">
      <w:pPr>
        <w:spacing w:before="287"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31"/>
          <w:sz w:val="24"/>
          <w:szCs w:val="24"/>
        </w:rPr>
        <w:t xml:space="preserve"> </w:t>
      </w:r>
      <w:r>
        <w:rPr>
          <w:rFonts w:ascii="宋体" w:hAnsi="宋体" w:eastAsia="宋体" w:cs="宋体"/>
          <w:b/>
          <w:bCs/>
          <w:spacing w:val="-5"/>
          <w:sz w:val="24"/>
          <w:szCs w:val="24"/>
        </w:rPr>
        <w:t>、预测结果评价分析</w:t>
      </w:r>
    </w:p>
    <w:p w14:paraId="31068AD1">
      <w:pPr>
        <w:spacing w:before="206" w:line="392" w:lineRule="auto"/>
        <w:ind w:left="122" w:right="18" w:firstLine="480"/>
        <w:jc w:val="both"/>
        <w:rPr>
          <w:rFonts w:ascii="宋体" w:hAnsi="宋体" w:eastAsia="宋体" w:cs="宋体"/>
          <w:sz w:val="24"/>
          <w:szCs w:val="24"/>
        </w:rPr>
      </w:pPr>
      <w:r>
        <w:rPr>
          <w:rFonts w:ascii="宋体" w:hAnsi="宋体" w:eastAsia="宋体" w:cs="宋体"/>
          <w:spacing w:val="-2"/>
          <w:sz w:val="24"/>
          <w:szCs w:val="24"/>
        </w:rPr>
        <w:t>本评价采用点声源分布模式预测分析本项目主要声源同时运行的最不利情况下，</w:t>
      </w:r>
      <w:r>
        <w:rPr>
          <w:rFonts w:ascii="宋体" w:hAnsi="宋体" w:eastAsia="宋体" w:cs="宋体"/>
          <w:spacing w:val="2"/>
          <w:sz w:val="24"/>
          <w:szCs w:val="24"/>
        </w:rPr>
        <w:t xml:space="preserve"> 所产生的噪声对拟建项目厂界噪声贡献值与背景噪声值叠加后的影响。厂界的预测</w:t>
      </w:r>
      <w:r>
        <w:rPr>
          <w:rFonts w:ascii="宋体" w:hAnsi="宋体" w:eastAsia="宋体" w:cs="宋体"/>
          <w:spacing w:val="6"/>
          <w:sz w:val="24"/>
          <w:szCs w:val="24"/>
        </w:rPr>
        <w:t xml:space="preserve"> </w:t>
      </w:r>
      <w:r>
        <w:rPr>
          <w:rFonts w:ascii="宋体" w:hAnsi="宋体" w:eastAsia="宋体" w:cs="宋体"/>
          <w:spacing w:val="-3"/>
          <w:sz w:val="24"/>
          <w:szCs w:val="24"/>
        </w:rPr>
        <w:t>结果见</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5.2-19</w:t>
      </w:r>
      <w:r>
        <w:rPr>
          <w:rFonts w:ascii="宋体" w:hAnsi="宋体" w:eastAsia="宋体" w:cs="宋体"/>
          <w:spacing w:val="-3"/>
          <w:sz w:val="24"/>
          <w:szCs w:val="24"/>
        </w:rPr>
        <w:t>。</w:t>
      </w:r>
    </w:p>
    <w:p w14:paraId="4C47E3B4">
      <w:pPr>
        <w:spacing w:before="7" w:line="229" w:lineRule="auto"/>
        <w:ind w:left="248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2"/>
          <w:sz w:val="20"/>
          <w:szCs w:val="20"/>
        </w:rPr>
        <w:t xml:space="preserve"> </w:t>
      </w:r>
      <w:r>
        <w:rPr>
          <w:rFonts w:ascii="Times New Roman" w:hAnsi="Times New Roman" w:eastAsia="Times New Roman" w:cs="Times New Roman"/>
          <w:b/>
          <w:bCs/>
          <w:spacing w:val="5"/>
          <w:sz w:val="20"/>
          <w:szCs w:val="20"/>
        </w:rPr>
        <w:t>5.2-19</w:t>
      </w:r>
      <w:r>
        <w:rPr>
          <w:rFonts w:ascii="Times New Roman" w:hAnsi="Times New Roman" w:eastAsia="Times New Roman" w:cs="Times New Roman"/>
          <w:b/>
          <w:bCs/>
          <w:spacing w:val="20"/>
          <w:sz w:val="20"/>
          <w:szCs w:val="20"/>
        </w:rPr>
        <w:t xml:space="preserve"> </w:t>
      </w:r>
      <w:r>
        <w:rPr>
          <w:rFonts w:ascii="宋体" w:hAnsi="宋体" w:eastAsia="宋体" w:cs="宋体"/>
          <w:b/>
          <w:bCs/>
          <w:spacing w:val="5"/>
          <w:sz w:val="20"/>
          <w:szCs w:val="20"/>
        </w:rPr>
        <w:t>噪声影响预测结果单位：</w:t>
      </w:r>
      <w:r>
        <w:rPr>
          <w:rFonts w:ascii="Times New Roman" w:hAnsi="Times New Roman" w:eastAsia="Times New Roman" w:cs="Times New Roman"/>
          <w:b/>
          <w:bCs/>
          <w:sz w:val="20"/>
          <w:szCs w:val="20"/>
        </w:rPr>
        <w:t>dB</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A</w:t>
      </w:r>
      <w:r>
        <w:rPr>
          <w:rFonts w:ascii="宋体" w:hAnsi="宋体" w:eastAsia="宋体" w:cs="宋体"/>
          <w:b/>
          <w:bCs/>
          <w:spacing w:val="5"/>
          <w:sz w:val="20"/>
          <w:szCs w:val="20"/>
        </w:rPr>
        <w:t>）</w:t>
      </w:r>
    </w:p>
    <w:p w14:paraId="40DC4498">
      <w:pPr>
        <w:spacing w:line="15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3"/>
        <w:gridCol w:w="994"/>
        <w:gridCol w:w="988"/>
        <w:gridCol w:w="825"/>
        <w:gridCol w:w="812"/>
        <w:gridCol w:w="908"/>
        <w:gridCol w:w="909"/>
        <w:gridCol w:w="908"/>
        <w:gridCol w:w="793"/>
      </w:tblGrid>
      <w:tr w14:paraId="6683E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13" w:type="dxa"/>
            <w:vMerge w:val="restart"/>
            <w:tcBorders>
              <w:bottom w:val="nil"/>
            </w:tcBorders>
            <w:vAlign w:val="top"/>
          </w:tcPr>
          <w:p w14:paraId="3714FFEE">
            <w:pPr>
              <w:spacing w:line="335" w:lineRule="auto"/>
              <w:rPr>
                <w:rFonts w:ascii="Arial"/>
                <w:sz w:val="21"/>
              </w:rPr>
            </w:pPr>
          </w:p>
          <w:p w14:paraId="19FE7B26">
            <w:pPr>
              <w:pStyle w:val="6"/>
              <w:spacing w:before="65" w:line="229" w:lineRule="auto"/>
              <w:ind w:left="598"/>
            </w:pPr>
            <w:r>
              <w:rPr>
                <w:spacing w:val="6"/>
              </w:rPr>
              <w:t>预测点</w:t>
            </w:r>
          </w:p>
        </w:tc>
        <w:tc>
          <w:tcPr>
            <w:tcW w:w="3619" w:type="dxa"/>
            <w:gridSpan w:val="4"/>
            <w:vAlign w:val="top"/>
          </w:tcPr>
          <w:p w14:paraId="0405FCF4">
            <w:pPr>
              <w:pStyle w:val="6"/>
              <w:spacing w:before="71" w:line="231" w:lineRule="auto"/>
              <w:ind w:left="1602"/>
            </w:pPr>
            <w:r>
              <w:rPr>
                <w:spacing w:val="5"/>
              </w:rPr>
              <w:t>昼间</w:t>
            </w:r>
          </w:p>
        </w:tc>
        <w:tc>
          <w:tcPr>
            <w:tcW w:w="3518" w:type="dxa"/>
            <w:gridSpan w:val="4"/>
            <w:vAlign w:val="top"/>
          </w:tcPr>
          <w:p w14:paraId="60F2845E">
            <w:pPr>
              <w:pStyle w:val="6"/>
              <w:spacing w:before="71" w:line="228" w:lineRule="auto"/>
              <w:ind w:left="1556"/>
            </w:pPr>
            <w:r>
              <w:rPr>
                <w:spacing w:val="3"/>
              </w:rPr>
              <w:t>夜间</w:t>
            </w:r>
          </w:p>
        </w:tc>
      </w:tr>
      <w:tr w14:paraId="6FD6C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813" w:type="dxa"/>
            <w:vMerge w:val="continue"/>
            <w:tcBorders>
              <w:top w:val="nil"/>
            </w:tcBorders>
            <w:vAlign w:val="top"/>
          </w:tcPr>
          <w:p w14:paraId="7256BC08">
            <w:pPr>
              <w:rPr>
                <w:rFonts w:ascii="Arial"/>
                <w:sz w:val="21"/>
              </w:rPr>
            </w:pPr>
          </w:p>
        </w:tc>
        <w:tc>
          <w:tcPr>
            <w:tcW w:w="994" w:type="dxa"/>
            <w:vAlign w:val="top"/>
          </w:tcPr>
          <w:p w14:paraId="3562386B">
            <w:pPr>
              <w:pStyle w:val="6"/>
              <w:spacing w:before="61" w:line="270" w:lineRule="auto"/>
              <w:ind w:left="294" w:right="182" w:hanging="107"/>
            </w:pPr>
            <w:r>
              <w:rPr>
                <w:spacing w:val="6"/>
              </w:rPr>
              <w:t>现状背</w:t>
            </w:r>
            <w:r>
              <w:t xml:space="preserve"> </w:t>
            </w:r>
            <w:r>
              <w:rPr>
                <w:spacing w:val="3"/>
              </w:rPr>
              <w:t>景值</w:t>
            </w:r>
          </w:p>
        </w:tc>
        <w:tc>
          <w:tcPr>
            <w:tcW w:w="988" w:type="dxa"/>
            <w:vAlign w:val="top"/>
          </w:tcPr>
          <w:p w14:paraId="1E94E1DF">
            <w:pPr>
              <w:pStyle w:val="6"/>
              <w:spacing w:before="61" w:line="270" w:lineRule="auto"/>
              <w:ind w:left="288" w:right="177" w:hanging="100"/>
            </w:pPr>
            <w:r>
              <w:rPr>
                <w:spacing w:val="5"/>
              </w:rPr>
              <w:t>项目贡</w:t>
            </w:r>
            <w:r>
              <w:rPr>
                <w:spacing w:val="1"/>
              </w:rPr>
              <w:t xml:space="preserve"> </w:t>
            </w:r>
            <w:r>
              <w:rPr>
                <w:spacing w:val="4"/>
              </w:rPr>
              <w:t>献值</w:t>
            </w:r>
          </w:p>
        </w:tc>
        <w:tc>
          <w:tcPr>
            <w:tcW w:w="825" w:type="dxa"/>
            <w:vAlign w:val="top"/>
          </w:tcPr>
          <w:p w14:paraId="7BE272A2">
            <w:pPr>
              <w:pStyle w:val="6"/>
              <w:spacing w:before="61" w:line="270" w:lineRule="auto"/>
              <w:ind w:left="312" w:right="203" w:hanging="103"/>
            </w:pPr>
            <w:r>
              <w:rPr>
                <w:spacing w:val="3"/>
              </w:rPr>
              <w:t>预测</w:t>
            </w:r>
            <w:r>
              <w:t xml:space="preserve"> 值</w:t>
            </w:r>
          </w:p>
        </w:tc>
        <w:tc>
          <w:tcPr>
            <w:tcW w:w="812" w:type="dxa"/>
            <w:vAlign w:val="top"/>
          </w:tcPr>
          <w:p w14:paraId="10976F8E">
            <w:pPr>
              <w:pStyle w:val="6"/>
              <w:spacing w:before="60" w:line="229" w:lineRule="auto"/>
              <w:ind w:left="199"/>
            </w:pPr>
            <w:r>
              <w:rPr>
                <w:spacing w:val="5"/>
              </w:rPr>
              <w:t>达标</w:t>
            </w:r>
          </w:p>
          <w:p w14:paraId="04836C39">
            <w:pPr>
              <w:pStyle w:val="6"/>
              <w:spacing w:before="78" w:line="229" w:lineRule="auto"/>
              <w:ind w:left="199"/>
            </w:pPr>
            <w:r>
              <w:rPr>
                <w:spacing w:val="5"/>
              </w:rPr>
              <w:t>情况</w:t>
            </w:r>
          </w:p>
        </w:tc>
        <w:tc>
          <w:tcPr>
            <w:tcW w:w="908" w:type="dxa"/>
            <w:vAlign w:val="top"/>
          </w:tcPr>
          <w:p w14:paraId="1154DBF8">
            <w:pPr>
              <w:pStyle w:val="6"/>
              <w:spacing w:before="61" w:line="270" w:lineRule="auto"/>
              <w:ind w:left="253" w:right="137" w:hanging="107"/>
            </w:pPr>
            <w:r>
              <w:rPr>
                <w:spacing w:val="6"/>
              </w:rPr>
              <w:t>现状背</w:t>
            </w:r>
            <w:r>
              <w:t xml:space="preserve"> </w:t>
            </w:r>
            <w:r>
              <w:rPr>
                <w:spacing w:val="3"/>
              </w:rPr>
              <w:t>景值</w:t>
            </w:r>
          </w:p>
        </w:tc>
        <w:tc>
          <w:tcPr>
            <w:tcW w:w="909" w:type="dxa"/>
            <w:vAlign w:val="top"/>
          </w:tcPr>
          <w:p w14:paraId="550BB36B">
            <w:pPr>
              <w:pStyle w:val="6"/>
              <w:spacing w:before="61" w:line="270" w:lineRule="auto"/>
              <w:ind w:left="252" w:right="136" w:hanging="103"/>
            </w:pPr>
            <w:r>
              <w:rPr>
                <w:spacing w:val="5"/>
              </w:rPr>
              <w:t>项目贡</w:t>
            </w:r>
            <w:r>
              <w:rPr>
                <w:spacing w:val="1"/>
              </w:rPr>
              <w:t xml:space="preserve"> </w:t>
            </w:r>
            <w:r>
              <w:rPr>
                <w:spacing w:val="4"/>
              </w:rPr>
              <w:t>献值</w:t>
            </w:r>
          </w:p>
        </w:tc>
        <w:tc>
          <w:tcPr>
            <w:tcW w:w="908" w:type="dxa"/>
            <w:vAlign w:val="top"/>
          </w:tcPr>
          <w:p w14:paraId="2603A510">
            <w:pPr>
              <w:pStyle w:val="6"/>
              <w:spacing w:before="223" w:line="228" w:lineRule="auto"/>
              <w:ind w:left="148"/>
            </w:pPr>
            <w:r>
              <w:rPr>
                <w:spacing w:val="6"/>
              </w:rPr>
              <w:t>预测值</w:t>
            </w:r>
          </w:p>
        </w:tc>
        <w:tc>
          <w:tcPr>
            <w:tcW w:w="793" w:type="dxa"/>
            <w:vAlign w:val="top"/>
          </w:tcPr>
          <w:p w14:paraId="0242B8EF">
            <w:pPr>
              <w:pStyle w:val="6"/>
              <w:spacing w:before="60" w:line="229" w:lineRule="auto"/>
              <w:ind w:left="190"/>
            </w:pPr>
            <w:r>
              <w:rPr>
                <w:spacing w:val="5"/>
              </w:rPr>
              <w:t>达标</w:t>
            </w:r>
          </w:p>
          <w:p w14:paraId="027FFE1F">
            <w:pPr>
              <w:pStyle w:val="6"/>
              <w:spacing w:before="78" w:line="229" w:lineRule="auto"/>
              <w:ind w:left="190"/>
            </w:pPr>
            <w:r>
              <w:rPr>
                <w:spacing w:val="5"/>
              </w:rPr>
              <w:t>情况</w:t>
            </w:r>
          </w:p>
        </w:tc>
      </w:tr>
      <w:tr w14:paraId="2B28A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3" w:type="dxa"/>
            <w:vAlign w:val="top"/>
          </w:tcPr>
          <w:p w14:paraId="277FEAE6">
            <w:pPr>
              <w:pStyle w:val="6"/>
              <w:spacing w:before="66" w:line="228" w:lineRule="auto"/>
              <w:ind w:left="391"/>
            </w:pPr>
            <w:r>
              <w:rPr>
                <w:spacing w:val="7"/>
              </w:rPr>
              <w:t>项目东边界</w:t>
            </w:r>
          </w:p>
        </w:tc>
        <w:tc>
          <w:tcPr>
            <w:tcW w:w="994" w:type="dxa"/>
            <w:vAlign w:val="top"/>
          </w:tcPr>
          <w:p w14:paraId="6EC05EA3">
            <w:pPr>
              <w:spacing w:before="35" w:line="274" w:lineRule="exact"/>
              <w:ind w:left="3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988" w:type="dxa"/>
            <w:vAlign w:val="top"/>
          </w:tcPr>
          <w:p w14:paraId="4BB1CB5C">
            <w:pPr>
              <w:spacing w:before="35"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45.1</w:t>
            </w:r>
          </w:p>
        </w:tc>
        <w:tc>
          <w:tcPr>
            <w:tcW w:w="825" w:type="dxa"/>
            <w:vAlign w:val="top"/>
          </w:tcPr>
          <w:p w14:paraId="6DB98122">
            <w:pPr>
              <w:spacing w:before="35"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58.2</w:t>
            </w:r>
          </w:p>
        </w:tc>
        <w:tc>
          <w:tcPr>
            <w:tcW w:w="812" w:type="dxa"/>
            <w:vAlign w:val="top"/>
          </w:tcPr>
          <w:p w14:paraId="5B659FEB">
            <w:pPr>
              <w:pStyle w:val="6"/>
              <w:spacing w:before="66" w:line="229" w:lineRule="auto"/>
              <w:ind w:left="199"/>
            </w:pPr>
            <w:r>
              <w:rPr>
                <w:spacing w:val="5"/>
              </w:rPr>
              <w:t>达标</w:t>
            </w:r>
          </w:p>
        </w:tc>
        <w:tc>
          <w:tcPr>
            <w:tcW w:w="908" w:type="dxa"/>
            <w:vAlign w:val="top"/>
          </w:tcPr>
          <w:p w14:paraId="5671739B">
            <w:pPr>
              <w:spacing w:before="35"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909" w:type="dxa"/>
            <w:vAlign w:val="top"/>
          </w:tcPr>
          <w:p w14:paraId="5ABA4D72">
            <w:pPr>
              <w:spacing w:before="35"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45.1</w:t>
            </w:r>
          </w:p>
        </w:tc>
        <w:tc>
          <w:tcPr>
            <w:tcW w:w="908" w:type="dxa"/>
            <w:vAlign w:val="top"/>
          </w:tcPr>
          <w:p w14:paraId="498D8F3B">
            <w:pPr>
              <w:spacing w:before="35"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49.8</w:t>
            </w:r>
          </w:p>
        </w:tc>
        <w:tc>
          <w:tcPr>
            <w:tcW w:w="793" w:type="dxa"/>
            <w:vAlign w:val="top"/>
          </w:tcPr>
          <w:p w14:paraId="4E6685D4">
            <w:pPr>
              <w:pStyle w:val="6"/>
              <w:spacing w:before="66" w:line="229" w:lineRule="auto"/>
              <w:ind w:left="190"/>
            </w:pPr>
            <w:r>
              <w:rPr>
                <w:spacing w:val="5"/>
              </w:rPr>
              <w:t>达标</w:t>
            </w:r>
          </w:p>
        </w:tc>
      </w:tr>
      <w:tr w14:paraId="70A9A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3" w:type="dxa"/>
            <w:vAlign w:val="top"/>
          </w:tcPr>
          <w:p w14:paraId="23DDE7E3">
            <w:pPr>
              <w:pStyle w:val="6"/>
              <w:spacing w:before="67" w:line="229" w:lineRule="auto"/>
              <w:ind w:left="391"/>
            </w:pPr>
            <w:r>
              <w:rPr>
                <w:spacing w:val="7"/>
              </w:rPr>
              <w:t>项目南边界</w:t>
            </w:r>
          </w:p>
        </w:tc>
        <w:tc>
          <w:tcPr>
            <w:tcW w:w="994" w:type="dxa"/>
            <w:vAlign w:val="top"/>
          </w:tcPr>
          <w:p w14:paraId="1EE35390">
            <w:pPr>
              <w:spacing w:before="106"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30416B39">
            <w:pPr>
              <w:spacing w:before="36" w:line="275"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38.0</w:t>
            </w:r>
          </w:p>
        </w:tc>
        <w:tc>
          <w:tcPr>
            <w:tcW w:w="825" w:type="dxa"/>
            <w:vAlign w:val="top"/>
          </w:tcPr>
          <w:p w14:paraId="4E2F8A23">
            <w:pPr>
              <w:spacing w:before="36" w:line="275"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57.0</w:t>
            </w:r>
          </w:p>
        </w:tc>
        <w:tc>
          <w:tcPr>
            <w:tcW w:w="812" w:type="dxa"/>
            <w:vAlign w:val="top"/>
          </w:tcPr>
          <w:p w14:paraId="246F0EC3">
            <w:pPr>
              <w:pStyle w:val="6"/>
              <w:spacing w:before="67" w:line="229" w:lineRule="auto"/>
              <w:ind w:left="199"/>
            </w:pPr>
            <w:r>
              <w:rPr>
                <w:spacing w:val="5"/>
              </w:rPr>
              <w:t>达标</w:t>
            </w:r>
          </w:p>
        </w:tc>
        <w:tc>
          <w:tcPr>
            <w:tcW w:w="908" w:type="dxa"/>
            <w:vAlign w:val="top"/>
          </w:tcPr>
          <w:p w14:paraId="5C4E4701">
            <w:pPr>
              <w:spacing w:before="36" w:line="275"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909" w:type="dxa"/>
            <w:vAlign w:val="top"/>
          </w:tcPr>
          <w:p w14:paraId="70E10195">
            <w:pPr>
              <w:spacing w:before="36" w:line="275"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38.0</w:t>
            </w:r>
          </w:p>
        </w:tc>
        <w:tc>
          <w:tcPr>
            <w:tcW w:w="908" w:type="dxa"/>
            <w:vAlign w:val="top"/>
          </w:tcPr>
          <w:p w14:paraId="2A456217">
            <w:pPr>
              <w:spacing w:before="36" w:line="275"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47.5</w:t>
            </w:r>
          </w:p>
        </w:tc>
        <w:tc>
          <w:tcPr>
            <w:tcW w:w="793" w:type="dxa"/>
            <w:vAlign w:val="top"/>
          </w:tcPr>
          <w:p w14:paraId="70C591A8">
            <w:pPr>
              <w:pStyle w:val="6"/>
              <w:spacing w:before="67" w:line="229" w:lineRule="auto"/>
              <w:ind w:left="190"/>
            </w:pPr>
            <w:r>
              <w:rPr>
                <w:spacing w:val="5"/>
              </w:rPr>
              <w:t>达标</w:t>
            </w:r>
          </w:p>
        </w:tc>
      </w:tr>
      <w:tr w14:paraId="6CC63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3" w:type="dxa"/>
            <w:vAlign w:val="top"/>
          </w:tcPr>
          <w:p w14:paraId="62B229CE">
            <w:pPr>
              <w:pStyle w:val="6"/>
              <w:spacing w:before="69" w:line="229" w:lineRule="auto"/>
              <w:ind w:left="391"/>
            </w:pPr>
            <w:r>
              <w:rPr>
                <w:spacing w:val="7"/>
              </w:rPr>
              <w:t>项目西边界</w:t>
            </w:r>
          </w:p>
        </w:tc>
        <w:tc>
          <w:tcPr>
            <w:tcW w:w="994" w:type="dxa"/>
            <w:vAlign w:val="top"/>
          </w:tcPr>
          <w:p w14:paraId="7BDED58B">
            <w:pPr>
              <w:spacing w:before="107"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57D42F1E">
            <w:pPr>
              <w:spacing w:before="38"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44.8</w:t>
            </w:r>
          </w:p>
        </w:tc>
        <w:tc>
          <w:tcPr>
            <w:tcW w:w="825" w:type="dxa"/>
            <w:vAlign w:val="top"/>
          </w:tcPr>
          <w:p w14:paraId="634C207A">
            <w:pPr>
              <w:spacing w:before="38"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57.2</w:t>
            </w:r>
          </w:p>
        </w:tc>
        <w:tc>
          <w:tcPr>
            <w:tcW w:w="812" w:type="dxa"/>
            <w:vAlign w:val="top"/>
          </w:tcPr>
          <w:p w14:paraId="687B589D">
            <w:pPr>
              <w:pStyle w:val="6"/>
              <w:spacing w:before="69" w:line="229" w:lineRule="auto"/>
              <w:ind w:left="199"/>
            </w:pPr>
            <w:r>
              <w:rPr>
                <w:spacing w:val="5"/>
              </w:rPr>
              <w:t>达标</w:t>
            </w:r>
          </w:p>
        </w:tc>
        <w:tc>
          <w:tcPr>
            <w:tcW w:w="908" w:type="dxa"/>
            <w:vAlign w:val="top"/>
          </w:tcPr>
          <w:p w14:paraId="68ECC119">
            <w:pPr>
              <w:spacing w:before="38"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909" w:type="dxa"/>
            <w:vAlign w:val="top"/>
          </w:tcPr>
          <w:p w14:paraId="43A494B4">
            <w:pPr>
              <w:spacing w:before="38"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44.8</w:t>
            </w:r>
          </w:p>
        </w:tc>
        <w:tc>
          <w:tcPr>
            <w:tcW w:w="908" w:type="dxa"/>
            <w:vAlign w:val="top"/>
          </w:tcPr>
          <w:p w14:paraId="5B9B5C54">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49.0</w:t>
            </w:r>
          </w:p>
        </w:tc>
        <w:tc>
          <w:tcPr>
            <w:tcW w:w="793" w:type="dxa"/>
            <w:vAlign w:val="top"/>
          </w:tcPr>
          <w:p w14:paraId="2252095A">
            <w:pPr>
              <w:pStyle w:val="6"/>
              <w:spacing w:before="69" w:line="229" w:lineRule="auto"/>
              <w:ind w:left="190"/>
            </w:pPr>
            <w:r>
              <w:rPr>
                <w:spacing w:val="5"/>
              </w:rPr>
              <w:t>达标</w:t>
            </w:r>
          </w:p>
        </w:tc>
      </w:tr>
      <w:tr w14:paraId="08D84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13" w:type="dxa"/>
            <w:vAlign w:val="top"/>
          </w:tcPr>
          <w:p w14:paraId="431FD149">
            <w:pPr>
              <w:pStyle w:val="6"/>
              <w:spacing w:before="70" w:line="229" w:lineRule="auto"/>
              <w:ind w:left="391"/>
            </w:pPr>
            <w:r>
              <w:rPr>
                <w:spacing w:val="7"/>
              </w:rPr>
              <w:t>项目北边界</w:t>
            </w:r>
          </w:p>
        </w:tc>
        <w:tc>
          <w:tcPr>
            <w:tcW w:w="994" w:type="dxa"/>
            <w:vAlign w:val="top"/>
          </w:tcPr>
          <w:p w14:paraId="141FF4E4">
            <w:pPr>
              <w:spacing w:before="109"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7467F0BE">
            <w:pPr>
              <w:spacing w:before="39"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45.4</w:t>
            </w:r>
          </w:p>
        </w:tc>
        <w:tc>
          <w:tcPr>
            <w:tcW w:w="825" w:type="dxa"/>
            <w:vAlign w:val="top"/>
          </w:tcPr>
          <w:p w14:paraId="255805D8">
            <w:pPr>
              <w:spacing w:before="39"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57.3</w:t>
            </w:r>
          </w:p>
        </w:tc>
        <w:tc>
          <w:tcPr>
            <w:tcW w:w="812" w:type="dxa"/>
            <w:vAlign w:val="top"/>
          </w:tcPr>
          <w:p w14:paraId="07C3F796">
            <w:pPr>
              <w:pStyle w:val="6"/>
              <w:spacing w:before="70" w:line="229" w:lineRule="auto"/>
              <w:ind w:left="199"/>
            </w:pPr>
            <w:r>
              <w:rPr>
                <w:spacing w:val="5"/>
              </w:rPr>
              <w:t>达标</w:t>
            </w:r>
          </w:p>
        </w:tc>
        <w:tc>
          <w:tcPr>
            <w:tcW w:w="908" w:type="dxa"/>
            <w:vAlign w:val="top"/>
          </w:tcPr>
          <w:p w14:paraId="0986085A">
            <w:pPr>
              <w:spacing w:before="39"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909" w:type="dxa"/>
            <w:vAlign w:val="top"/>
          </w:tcPr>
          <w:p w14:paraId="78FFB271">
            <w:pPr>
              <w:spacing w:before="39"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45.4</w:t>
            </w:r>
          </w:p>
        </w:tc>
        <w:tc>
          <w:tcPr>
            <w:tcW w:w="908" w:type="dxa"/>
            <w:vAlign w:val="top"/>
          </w:tcPr>
          <w:p w14:paraId="70A37BBF">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49.3</w:t>
            </w:r>
          </w:p>
        </w:tc>
        <w:tc>
          <w:tcPr>
            <w:tcW w:w="793" w:type="dxa"/>
            <w:vAlign w:val="top"/>
          </w:tcPr>
          <w:p w14:paraId="11901440">
            <w:pPr>
              <w:pStyle w:val="6"/>
              <w:spacing w:before="70" w:line="229" w:lineRule="auto"/>
              <w:ind w:left="190"/>
            </w:pPr>
            <w:r>
              <w:rPr>
                <w:spacing w:val="5"/>
              </w:rPr>
              <w:t>达标</w:t>
            </w:r>
          </w:p>
        </w:tc>
      </w:tr>
    </w:tbl>
    <w:p w14:paraId="17C640D5">
      <w:pPr>
        <w:spacing w:before="252" w:line="313" w:lineRule="auto"/>
        <w:ind w:left="123" w:right="47" w:firstLine="480"/>
        <w:rPr>
          <w:rFonts w:ascii="宋体" w:hAnsi="宋体" w:eastAsia="宋体" w:cs="宋体"/>
          <w:sz w:val="24"/>
          <w:szCs w:val="24"/>
        </w:rPr>
      </w:pPr>
      <w:r>
        <w:rPr>
          <w:rFonts w:ascii="宋体" w:hAnsi="宋体" w:eastAsia="宋体" w:cs="宋体"/>
          <w:spacing w:val="-2"/>
          <w:sz w:val="24"/>
          <w:szCs w:val="24"/>
        </w:rPr>
        <w:t>经预测，边界达到《声环境质量标准》（</w:t>
      </w:r>
      <w:r>
        <w:rPr>
          <w:rFonts w:ascii="Times New Roman" w:hAnsi="Times New Roman" w:eastAsia="Times New Roman" w:cs="Times New Roman"/>
          <w:spacing w:val="-2"/>
          <w:sz w:val="24"/>
          <w:szCs w:val="24"/>
        </w:rPr>
        <w:t>GB 3096-200</w:t>
      </w:r>
      <w:r>
        <w:rPr>
          <w:rFonts w:ascii="Times New Roman" w:hAnsi="Times New Roman" w:eastAsia="Times New Roman" w:cs="Times New Roman"/>
          <w:spacing w:val="-3"/>
          <w:sz w:val="24"/>
          <w:szCs w:val="24"/>
        </w:rPr>
        <w:t>8</w:t>
      </w:r>
      <w:r>
        <w:rPr>
          <w:rFonts w:ascii="宋体" w:hAnsi="宋体" w:eastAsia="宋体" w:cs="宋体"/>
          <w:spacing w:val="-3"/>
          <w:sz w:val="24"/>
          <w:szCs w:val="24"/>
        </w:rPr>
        <w:t>）中的</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类标准。因此，</w:t>
      </w:r>
      <w:r>
        <w:rPr>
          <w:rFonts w:ascii="宋体" w:hAnsi="宋体" w:eastAsia="宋体" w:cs="宋体"/>
          <w:sz w:val="24"/>
          <w:szCs w:val="24"/>
        </w:rPr>
        <w:t xml:space="preserve"> </w:t>
      </w:r>
      <w:r>
        <w:rPr>
          <w:rFonts w:ascii="宋体" w:hAnsi="宋体" w:eastAsia="宋体" w:cs="宋体"/>
          <w:spacing w:val="-1"/>
          <w:sz w:val="24"/>
          <w:szCs w:val="24"/>
        </w:rPr>
        <w:t>本项目设备噪声源经采取有效的降噪措施后，对周边环境影响较小</w:t>
      </w:r>
    </w:p>
    <w:p w14:paraId="40C340F1">
      <w:pPr>
        <w:spacing w:line="313" w:lineRule="auto"/>
        <w:rPr>
          <w:rFonts w:ascii="宋体" w:hAnsi="宋体" w:eastAsia="宋体" w:cs="宋体"/>
          <w:sz w:val="24"/>
          <w:szCs w:val="24"/>
        </w:rPr>
        <w:sectPr>
          <w:footerReference r:id="rId142" w:type="default"/>
          <w:pgSz w:w="11906" w:h="16839"/>
          <w:pgMar w:top="400" w:right="1475" w:bottom="1485" w:left="1475" w:header="0" w:footer="1249" w:gutter="0"/>
          <w:cols w:space="720" w:num="1"/>
        </w:sectPr>
      </w:pPr>
    </w:p>
    <w:p w14:paraId="32A1C37C">
      <w:pPr>
        <w:pStyle w:val="2"/>
        <w:spacing w:line="264" w:lineRule="auto"/>
      </w:pPr>
    </w:p>
    <w:p w14:paraId="3C7B8A54">
      <w:pPr>
        <w:pStyle w:val="2"/>
        <w:spacing w:line="264" w:lineRule="auto"/>
      </w:pPr>
    </w:p>
    <w:p w14:paraId="479AB864">
      <w:pPr>
        <w:pStyle w:val="2"/>
        <w:spacing w:line="264" w:lineRule="auto"/>
      </w:pPr>
    </w:p>
    <w:p w14:paraId="528BFFA2">
      <w:pPr>
        <w:pStyle w:val="2"/>
        <w:spacing w:line="265" w:lineRule="auto"/>
      </w:pPr>
    </w:p>
    <w:p w14:paraId="2D6878C0">
      <w:pPr>
        <w:spacing w:before="78" w:line="221" w:lineRule="auto"/>
        <w:outlineLvl w:val="0"/>
        <w:rPr>
          <w:rFonts w:ascii="宋体" w:hAnsi="宋体" w:eastAsia="宋体" w:cs="宋体"/>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28"/>
          <w:sz w:val="24"/>
          <w:szCs w:val="24"/>
        </w:rPr>
        <w:t xml:space="preserve"> </w:t>
      </w:r>
      <w:r>
        <w:rPr>
          <w:rFonts w:ascii="宋体" w:hAnsi="宋体" w:eastAsia="宋体" w:cs="宋体"/>
          <w:b/>
          <w:bCs/>
          <w:spacing w:val="-5"/>
          <w:sz w:val="24"/>
          <w:szCs w:val="24"/>
        </w:rPr>
        <w:t>、声环境影响分析结论</w:t>
      </w:r>
    </w:p>
    <w:p w14:paraId="7AC14CD6">
      <w:pPr>
        <w:spacing w:before="168" w:line="383" w:lineRule="auto"/>
        <w:ind w:left="3" w:right="78" w:firstLine="509"/>
        <w:jc w:val="both"/>
        <w:rPr>
          <w:rFonts w:ascii="宋体" w:hAnsi="宋体" w:eastAsia="宋体" w:cs="宋体"/>
          <w:sz w:val="24"/>
          <w:szCs w:val="24"/>
        </w:rPr>
      </w:pPr>
      <w:r>
        <w:rPr>
          <w:rFonts w:ascii="宋体" w:hAnsi="宋体" w:eastAsia="宋体" w:cs="宋体"/>
          <w:sz w:val="24"/>
          <w:szCs w:val="24"/>
        </w:rPr>
        <w:t>由表</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5.2-19</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的预测结果可见，本项目建设后，</w:t>
      </w:r>
      <w:r>
        <w:rPr>
          <w:rFonts w:ascii="宋体" w:hAnsi="宋体" w:eastAsia="宋体" w:cs="宋体"/>
          <w:spacing w:val="-1"/>
          <w:sz w:val="24"/>
          <w:szCs w:val="24"/>
        </w:rPr>
        <w:t>主要噪声源置于建筑物内，在采</w:t>
      </w:r>
      <w:r>
        <w:rPr>
          <w:rFonts w:ascii="宋体" w:hAnsi="宋体" w:eastAsia="宋体" w:cs="宋体"/>
          <w:sz w:val="24"/>
          <w:szCs w:val="24"/>
        </w:rPr>
        <w:t xml:space="preserve"> </w:t>
      </w:r>
      <w:r>
        <w:rPr>
          <w:rFonts w:ascii="宋体" w:hAnsi="宋体" w:eastAsia="宋体" w:cs="宋体"/>
          <w:spacing w:val="2"/>
          <w:sz w:val="24"/>
          <w:szCs w:val="24"/>
        </w:rPr>
        <w:t>取低噪声设备、隔音、消音措施后，主要噪声源产生的噪声对各边界昼间声级贡献</w:t>
      </w:r>
      <w:r>
        <w:rPr>
          <w:rFonts w:ascii="宋体" w:hAnsi="宋体" w:eastAsia="宋体" w:cs="宋体"/>
          <w:spacing w:val="6"/>
          <w:sz w:val="24"/>
          <w:szCs w:val="24"/>
        </w:rPr>
        <w:t xml:space="preserve"> </w:t>
      </w:r>
      <w:r>
        <w:rPr>
          <w:rFonts w:ascii="宋体" w:hAnsi="宋体" w:eastAsia="宋体" w:cs="宋体"/>
          <w:sz w:val="24"/>
          <w:szCs w:val="24"/>
        </w:rPr>
        <w:t>值为</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38~44.8dB(A)</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。本项目正常运营情况下，昼夜对各边界贡献值均能达到《工业 企业厂界环境噪声排放标准》（</w:t>
      </w:r>
      <w:r>
        <w:rPr>
          <w:rFonts w:ascii="Times New Roman" w:hAnsi="Times New Roman" w:eastAsia="Times New Roman" w:cs="Times New Roman"/>
          <w:sz w:val="24"/>
          <w:szCs w:val="24"/>
        </w:rPr>
        <w:t>GB12348-200</w:t>
      </w:r>
      <w:r>
        <w:rPr>
          <w:rFonts w:ascii="Times New Roman" w:hAnsi="Times New Roman" w:eastAsia="Times New Roman" w:cs="Times New Roman"/>
          <w:spacing w:val="-1"/>
          <w:sz w:val="24"/>
          <w:szCs w:val="24"/>
        </w:rPr>
        <w:t>8</w:t>
      </w:r>
      <w:r>
        <w:rPr>
          <w:rFonts w:ascii="宋体" w:hAnsi="宋体" w:eastAsia="宋体" w:cs="宋体"/>
          <w:spacing w:val="-1"/>
          <w:sz w:val="24"/>
          <w:szCs w:val="24"/>
        </w:rPr>
        <w:t>）中</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类标准昼、夜间标准值。</w:t>
      </w:r>
    </w:p>
    <w:p w14:paraId="55924467">
      <w:pPr>
        <w:spacing w:before="295" w:line="219" w:lineRule="auto"/>
        <w:ind w:left="2"/>
        <w:outlineLvl w:val="1"/>
        <w:rPr>
          <w:rFonts w:ascii="宋体" w:hAnsi="宋体" w:eastAsia="宋体" w:cs="宋体"/>
          <w:sz w:val="24"/>
          <w:szCs w:val="24"/>
        </w:rPr>
      </w:pPr>
      <w:r>
        <w:rPr>
          <w:rFonts w:ascii="Times New Roman" w:hAnsi="Times New Roman" w:eastAsia="Times New Roman" w:cs="Times New Roman"/>
          <w:b/>
          <w:bCs/>
          <w:spacing w:val="-2"/>
          <w:sz w:val="24"/>
          <w:szCs w:val="24"/>
        </w:rPr>
        <w:t>5.2.5</w:t>
      </w:r>
      <w:r>
        <w:rPr>
          <w:rFonts w:ascii="宋体" w:hAnsi="宋体" w:eastAsia="宋体" w:cs="宋体"/>
          <w:b/>
          <w:bCs/>
          <w:spacing w:val="-2"/>
          <w:sz w:val="24"/>
          <w:szCs w:val="24"/>
        </w:rPr>
        <w:t>固体废物环境影响评价</w:t>
      </w:r>
    </w:p>
    <w:p w14:paraId="4A3974F3">
      <w:pPr>
        <w:pStyle w:val="2"/>
        <w:spacing w:line="281" w:lineRule="auto"/>
      </w:pPr>
    </w:p>
    <w:p w14:paraId="59887C32">
      <w:pPr>
        <w:spacing w:before="78" w:line="220" w:lineRule="auto"/>
        <w:ind w:left="489"/>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3"/>
          <w:sz w:val="24"/>
          <w:szCs w:val="24"/>
        </w:rPr>
        <w:t xml:space="preserve"> </w:t>
      </w:r>
      <w:r>
        <w:rPr>
          <w:rFonts w:ascii="宋体" w:hAnsi="宋体" w:eastAsia="宋体" w:cs="宋体"/>
          <w:b/>
          <w:bCs/>
          <w:spacing w:val="-6"/>
          <w:sz w:val="24"/>
          <w:szCs w:val="24"/>
        </w:rPr>
        <w:t>、固体废物来源及产生量</w:t>
      </w:r>
    </w:p>
    <w:p w14:paraId="0A00945C">
      <w:pPr>
        <w:spacing w:before="203" w:line="362" w:lineRule="auto"/>
        <w:ind w:left="5" w:right="81" w:firstLine="479"/>
        <w:rPr>
          <w:rFonts w:ascii="宋体" w:hAnsi="宋体" w:eastAsia="宋体" w:cs="宋体"/>
          <w:sz w:val="24"/>
          <w:szCs w:val="24"/>
        </w:rPr>
      </w:pPr>
      <w:r>
        <w:rPr>
          <w:rFonts w:ascii="宋体" w:hAnsi="宋体" w:eastAsia="宋体" w:cs="宋体"/>
          <w:spacing w:val="2"/>
          <w:sz w:val="24"/>
          <w:szCs w:val="24"/>
        </w:rPr>
        <w:t>本项目固体废物主要包括粪便、病死猪尸体、员工的办公生活垃圾、废包装物</w:t>
      </w:r>
      <w:r>
        <w:rPr>
          <w:rFonts w:ascii="宋体" w:hAnsi="宋体" w:eastAsia="宋体" w:cs="宋体"/>
          <w:spacing w:val="9"/>
          <w:sz w:val="24"/>
          <w:szCs w:val="24"/>
        </w:rPr>
        <w:t xml:space="preserve"> </w:t>
      </w:r>
      <w:r>
        <w:rPr>
          <w:rFonts w:ascii="宋体" w:hAnsi="宋体" w:eastAsia="宋体" w:cs="宋体"/>
          <w:sz w:val="24"/>
          <w:szCs w:val="24"/>
        </w:rPr>
        <w:t>等。此外，猪只检疫、生病时使用医疗设备会产生少</w:t>
      </w:r>
      <w:r>
        <w:rPr>
          <w:rFonts w:ascii="宋体" w:hAnsi="宋体" w:eastAsia="宋体" w:cs="宋体"/>
          <w:spacing w:val="-1"/>
          <w:sz w:val="24"/>
          <w:szCs w:val="24"/>
        </w:rPr>
        <w:t>量医疗垃圾，属于危险废物。</w:t>
      </w:r>
    </w:p>
    <w:p w14:paraId="6B844613">
      <w:pPr>
        <w:spacing w:before="4" w:line="373" w:lineRule="auto"/>
        <w:ind w:left="5" w:firstLine="478"/>
        <w:rPr>
          <w:rFonts w:ascii="宋体" w:hAnsi="宋体" w:eastAsia="宋体" w:cs="宋体"/>
          <w:sz w:val="24"/>
          <w:szCs w:val="24"/>
        </w:rPr>
      </w:pPr>
      <w:r>
        <w:rPr>
          <w:rFonts w:ascii="宋体" w:hAnsi="宋体" w:eastAsia="宋体" w:cs="宋体"/>
          <w:spacing w:val="-2"/>
          <w:sz w:val="24"/>
          <w:szCs w:val="24"/>
        </w:rPr>
        <w:t>根据“工程分析</w:t>
      </w:r>
      <w:r>
        <w:rPr>
          <w:rFonts w:ascii="宋体" w:hAnsi="宋体" w:eastAsia="宋体" w:cs="宋体"/>
          <w:spacing w:val="-85"/>
          <w:sz w:val="24"/>
          <w:szCs w:val="24"/>
        </w:rPr>
        <w:t xml:space="preserve"> </w:t>
      </w:r>
      <w:r>
        <w:rPr>
          <w:rFonts w:ascii="宋体" w:hAnsi="宋体" w:eastAsia="宋体" w:cs="宋体"/>
          <w:spacing w:val="-2"/>
          <w:sz w:val="24"/>
          <w:szCs w:val="24"/>
        </w:rPr>
        <w:t>”可知，本项目运营期粪便产生量为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14t/d</w:t>
      </w:r>
      <w:r>
        <w:rPr>
          <w:rFonts w:ascii="宋体" w:hAnsi="宋体" w:eastAsia="宋体" w:cs="宋体"/>
          <w:spacing w:val="-2"/>
          <w:sz w:val="24"/>
          <w:szCs w:val="24"/>
        </w:rPr>
        <w:t>（</w:t>
      </w:r>
      <w:r>
        <w:rPr>
          <w:rFonts w:ascii="Times New Roman" w:hAnsi="Times New Roman" w:eastAsia="Times New Roman" w:cs="Times New Roman"/>
          <w:spacing w:val="-2"/>
          <w:sz w:val="24"/>
          <w:szCs w:val="24"/>
        </w:rPr>
        <w:t>5110t/a</w:t>
      </w:r>
      <w:r>
        <w:rPr>
          <w:rFonts w:ascii="宋体" w:hAnsi="宋体" w:eastAsia="宋体" w:cs="宋体"/>
          <w:spacing w:val="12"/>
          <w:sz w:val="24"/>
          <w:szCs w:val="24"/>
        </w:rPr>
        <w:t>），</w:t>
      </w:r>
      <w:r>
        <w:rPr>
          <w:rFonts w:ascii="宋体" w:hAnsi="宋体" w:eastAsia="宋体" w:cs="宋体"/>
          <w:spacing w:val="-2"/>
          <w:sz w:val="24"/>
          <w:szCs w:val="24"/>
        </w:rPr>
        <w:t>病死猪</w:t>
      </w:r>
      <w:r>
        <w:rPr>
          <w:rFonts w:ascii="宋体" w:hAnsi="宋体" w:eastAsia="宋体" w:cs="宋体"/>
          <w:sz w:val="24"/>
          <w:szCs w:val="24"/>
        </w:rPr>
        <w:t xml:space="preserve"> </w:t>
      </w:r>
      <w:r>
        <w:rPr>
          <w:rFonts w:ascii="宋体" w:hAnsi="宋体" w:eastAsia="宋体" w:cs="宋体"/>
          <w:spacing w:val="-1"/>
          <w:sz w:val="24"/>
          <w:szCs w:val="24"/>
        </w:rPr>
        <w:t>尸体产生量为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3.75t/a</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，员工办公生活垃圾产生量为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0.008t/d</w:t>
      </w:r>
      <w:r>
        <w:rPr>
          <w:rFonts w:ascii="宋体" w:hAnsi="宋体" w:eastAsia="宋体" w:cs="宋体"/>
          <w:spacing w:val="-1"/>
          <w:sz w:val="24"/>
          <w:szCs w:val="24"/>
        </w:rPr>
        <w:t>（</w:t>
      </w:r>
      <w:r>
        <w:rPr>
          <w:rFonts w:ascii="Times New Roman" w:hAnsi="Times New Roman" w:eastAsia="Times New Roman" w:cs="Times New Roman"/>
          <w:spacing w:val="-2"/>
          <w:sz w:val="24"/>
          <w:szCs w:val="24"/>
        </w:rPr>
        <w:t>2.92t/a</w:t>
      </w:r>
      <w:r>
        <w:rPr>
          <w:rFonts w:ascii="宋体" w:hAnsi="宋体" w:eastAsia="宋体" w:cs="宋体"/>
          <w:spacing w:val="11"/>
          <w:sz w:val="24"/>
          <w:szCs w:val="24"/>
        </w:rPr>
        <w:t>），</w:t>
      </w:r>
      <w:r>
        <w:rPr>
          <w:rFonts w:ascii="宋体" w:hAnsi="宋体" w:eastAsia="宋体" w:cs="宋体"/>
          <w:spacing w:val="-2"/>
          <w:sz w:val="24"/>
          <w:szCs w:val="24"/>
        </w:rPr>
        <w:t>医疗废物产</w:t>
      </w:r>
      <w:r>
        <w:rPr>
          <w:rFonts w:ascii="宋体" w:hAnsi="宋体" w:eastAsia="宋体" w:cs="宋体"/>
          <w:sz w:val="24"/>
          <w:szCs w:val="24"/>
        </w:rPr>
        <w:t xml:space="preserve"> </w:t>
      </w:r>
      <w:r>
        <w:rPr>
          <w:rFonts w:ascii="宋体" w:hAnsi="宋体" w:eastAsia="宋体" w:cs="宋体"/>
          <w:spacing w:val="-7"/>
          <w:sz w:val="24"/>
          <w:szCs w:val="24"/>
        </w:rPr>
        <w:t>生量为</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0.2t/a</w:t>
      </w:r>
      <w:r>
        <w:rPr>
          <w:rFonts w:ascii="宋体" w:hAnsi="宋体" w:eastAsia="宋体" w:cs="宋体"/>
          <w:spacing w:val="-7"/>
          <w:sz w:val="24"/>
          <w:szCs w:val="24"/>
        </w:rPr>
        <w:t>。项目运营过程将产生饲料</w:t>
      </w:r>
      <w:r>
        <w:rPr>
          <w:rFonts w:ascii="宋体" w:hAnsi="宋体" w:eastAsia="宋体" w:cs="宋体"/>
          <w:spacing w:val="-8"/>
          <w:sz w:val="24"/>
          <w:szCs w:val="24"/>
        </w:rPr>
        <w:t>包装箱、包装袋等废包装物，产生量约为</w:t>
      </w:r>
      <w:r>
        <w:rPr>
          <w:rFonts w:ascii="Times New Roman" w:hAnsi="Times New Roman" w:eastAsia="Times New Roman" w:cs="Times New Roman"/>
          <w:spacing w:val="-8"/>
          <w:sz w:val="24"/>
          <w:szCs w:val="24"/>
        </w:rPr>
        <w:t>2t/a</w:t>
      </w:r>
      <w:r>
        <w:rPr>
          <w:rFonts w:ascii="宋体" w:hAnsi="宋体" w:eastAsia="宋体" w:cs="宋体"/>
          <w:spacing w:val="-8"/>
          <w:sz w:val="24"/>
          <w:szCs w:val="24"/>
        </w:rPr>
        <w:t>。</w:t>
      </w:r>
    </w:p>
    <w:p w14:paraId="17159468">
      <w:pPr>
        <w:spacing w:before="43" w:line="221" w:lineRule="auto"/>
        <w:ind w:left="479"/>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5"/>
          <w:sz w:val="24"/>
          <w:szCs w:val="24"/>
        </w:rPr>
        <w:t xml:space="preserve"> </w:t>
      </w:r>
      <w:r>
        <w:rPr>
          <w:rFonts w:ascii="宋体" w:hAnsi="宋体" w:eastAsia="宋体" w:cs="宋体"/>
          <w:b/>
          <w:bCs/>
          <w:spacing w:val="-5"/>
          <w:sz w:val="24"/>
          <w:szCs w:val="24"/>
        </w:rPr>
        <w:t>、固体废物环境影响分析</w:t>
      </w:r>
    </w:p>
    <w:p w14:paraId="569ACF53">
      <w:pPr>
        <w:spacing w:before="167" w:line="361" w:lineRule="exact"/>
        <w:ind w:left="502"/>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、猪粪</w:t>
      </w:r>
    </w:p>
    <w:p w14:paraId="40353E25">
      <w:pPr>
        <w:spacing w:before="165" w:line="376" w:lineRule="auto"/>
        <w:ind w:left="5" w:firstLine="478"/>
        <w:jc w:val="both"/>
        <w:rPr>
          <w:rFonts w:ascii="宋体" w:hAnsi="宋体" w:eastAsia="宋体" w:cs="宋体"/>
          <w:sz w:val="24"/>
          <w:szCs w:val="24"/>
        </w:rPr>
      </w:pPr>
      <w:r>
        <w:rPr>
          <w:rFonts w:ascii="宋体" w:hAnsi="宋体" w:eastAsia="宋体" w:cs="宋体"/>
          <w:spacing w:val="2"/>
          <w:sz w:val="24"/>
          <w:szCs w:val="24"/>
        </w:rPr>
        <w:t>根据《畜禽养殖污染防治管理办法》规定：畜禽养殖场必须设置畜禽废渣的储</w:t>
      </w:r>
      <w:r>
        <w:rPr>
          <w:rFonts w:ascii="宋体" w:hAnsi="宋体" w:eastAsia="宋体" w:cs="宋体"/>
          <w:spacing w:val="10"/>
          <w:sz w:val="24"/>
          <w:szCs w:val="24"/>
        </w:rPr>
        <w:t xml:space="preserve"> </w:t>
      </w:r>
      <w:r>
        <w:rPr>
          <w:rFonts w:ascii="宋体" w:hAnsi="宋体" w:eastAsia="宋体" w:cs="宋体"/>
          <w:spacing w:val="2"/>
          <w:sz w:val="24"/>
          <w:szCs w:val="24"/>
        </w:rPr>
        <w:t>蓄设施和场所，采取对储存场所地面进行水泥硬化等措施，防治畜禽废渣渗漏、散</w:t>
      </w:r>
      <w:r>
        <w:rPr>
          <w:rFonts w:ascii="宋体" w:hAnsi="宋体" w:eastAsia="宋体" w:cs="宋体"/>
          <w:spacing w:val="4"/>
          <w:sz w:val="24"/>
          <w:szCs w:val="24"/>
        </w:rPr>
        <w:t xml:space="preserve"> </w:t>
      </w:r>
      <w:r>
        <w:rPr>
          <w:rFonts w:ascii="宋体" w:hAnsi="宋体" w:eastAsia="宋体" w:cs="宋体"/>
          <w:spacing w:val="2"/>
          <w:sz w:val="24"/>
          <w:szCs w:val="24"/>
        </w:rPr>
        <w:t>落、溢流、雨水淋湿、恶臭气味等对周围环境造成污染和危害；畜禽养殖场应采取</w:t>
      </w:r>
      <w:r>
        <w:rPr>
          <w:rFonts w:ascii="宋体" w:hAnsi="宋体" w:eastAsia="宋体" w:cs="宋体"/>
          <w:spacing w:val="4"/>
          <w:sz w:val="24"/>
          <w:szCs w:val="24"/>
        </w:rPr>
        <w:t xml:space="preserve"> </w:t>
      </w:r>
      <w:r>
        <w:rPr>
          <w:rFonts w:ascii="宋体" w:hAnsi="宋体" w:eastAsia="宋体" w:cs="宋体"/>
          <w:spacing w:val="-2"/>
          <w:sz w:val="24"/>
          <w:szCs w:val="24"/>
        </w:rPr>
        <w:t>畜禽废渣还田利用的畜禽粪便，应当经处理达到规定的无害化标</w:t>
      </w:r>
      <w:r>
        <w:rPr>
          <w:rFonts w:ascii="宋体" w:hAnsi="宋体" w:eastAsia="宋体" w:cs="宋体"/>
          <w:spacing w:val="-3"/>
          <w:sz w:val="24"/>
          <w:szCs w:val="24"/>
        </w:rPr>
        <w:t>准，防治病菌传播。</w:t>
      </w:r>
    </w:p>
    <w:p w14:paraId="3F58345D">
      <w:pPr>
        <w:spacing w:before="2" w:line="374" w:lineRule="auto"/>
        <w:ind w:left="1" w:right="17" w:firstLine="482"/>
        <w:jc w:val="both"/>
        <w:rPr>
          <w:rFonts w:ascii="宋体" w:hAnsi="宋体" w:eastAsia="宋体" w:cs="宋体"/>
          <w:sz w:val="24"/>
          <w:szCs w:val="24"/>
        </w:rPr>
      </w:pPr>
      <w:r>
        <w:rPr>
          <w:rFonts w:ascii="宋体" w:hAnsi="宋体" w:eastAsia="宋体" w:cs="宋体"/>
          <w:spacing w:val="2"/>
          <w:sz w:val="24"/>
          <w:szCs w:val="24"/>
        </w:rPr>
        <w:t>本项目采用异位发酵床综合治污技术进行粪便和尿液、冲洗水进行处理。猪舍</w:t>
      </w:r>
      <w:r>
        <w:rPr>
          <w:rFonts w:ascii="宋体" w:hAnsi="宋体" w:eastAsia="宋体" w:cs="宋体"/>
          <w:spacing w:val="9"/>
          <w:sz w:val="24"/>
          <w:szCs w:val="24"/>
        </w:rPr>
        <w:t xml:space="preserve"> </w:t>
      </w:r>
      <w:r>
        <w:rPr>
          <w:rFonts w:ascii="宋体" w:hAnsi="宋体" w:eastAsia="宋体" w:cs="宋体"/>
          <w:spacing w:val="2"/>
          <w:sz w:val="24"/>
          <w:szCs w:val="24"/>
        </w:rPr>
        <w:t>粪污从管道流入集污池，经切割泵与搅拌机切割搅拌，确保搅拌均匀后，通过自动</w:t>
      </w:r>
      <w:r>
        <w:rPr>
          <w:rFonts w:ascii="宋体" w:hAnsi="宋体" w:eastAsia="宋体" w:cs="宋体"/>
          <w:spacing w:val="8"/>
          <w:sz w:val="24"/>
          <w:szCs w:val="24"/>
        </w:rPr>
        <w:t xml:space="preserve"> </w:t>
      </w:r>
      <w:r>
        <w:rPr>
          <w:rFonts w:ascii="宋体" w:hAnsi="宋体" w:eastAsia="宋体" w:cs="宋体"/>
          <w:spacing w:val="-3"/>
          <w:sz w:val="24"/>
          <w:szCs w:val="24"/>
        </w:rPr>
        <w:t>喷淋装置，将粪污均匀喷洒在垫料上，粪污将被治污微生物菌群进行生物降解处理，</w:t>
      </w:r>
      <w:r>
        <w:rPr>
          <w:rFonts w:ascii="宋体" w:hAnsi="宋体" w:eastAsia="宋体" w:cs="宋体"/>
          <w:spacing w:val="14"/>
          <w:sz w:val="24"/>
          <w:szCs w:val="24"/>
        </w:rPr>
        <w:t xml:space="preserve"> </w:t>
      </w:r>
      <w:r>
        <w:rPr>
          <w:rFonts w:ascii="宋体" w:hAnsi="宋体" w:eastAsia="宋体" w:cs="宋体"/>
          <w:sz w:val="24"/>
          <w:szCs w:val="24"/>
        </w:rPr>
        <w:t>在降解处理过程中，发酵床温度上升到</w:t>
      </w:r>
      <w:r>
        <w:rPr>
          <w:rFonts w:ascii="Times New Roman" w:hAnsi="Times New Roman" w:eastAsia="Times New Roman" w:cs="Times New Roman"/>
          <w:sz w:val="24"/>
          <w:szCs w:val="24"/>
        </w:rPr>
        <w:t>55</w:t>
      </w:r>
      <w:r>
        <w:rPr>
          <w:rFonts w:ascii="宋体" w:hAnsi="宋体" w:eastAsia="宋体" w:cs="宋体"/>
          <w:sz w:val="24"/>
          <w:szCs w:val="24"/>
        </w:rPr>
        <w:t>—</w:t>
      </w:r>
      <w:r>
        <w:rPr>
          <w:rFonts w:ascii="Times New Roman" w:hAnsi="Times New Roman" w:eastAsia="Times New Roman" w:cs="Times New Roman"/>
          <w:sz w:val="24"/>
          <w:szCs w:val="24"/>
        </w:rPr>
        <w:t>68</w:t>
      </w:r>
      <w:r>
        <w:rPr>
          <w:rFonts w:ascii="宋体" w:hAnsi="宋体" w:eastAsia="宋体" w:cs="宋体"/>
          <w:sz w:val="24"/>
          <w:szCs w:val="24"/>
        </w:rPr>
        <w:t>℃</w:t>
      </w:r>
      <w:r>
        <w:rPr>
          <w:rFonts w:ascii="宋体" w:hAnsi="宋体" w:eastAsia="宋体" w:cs="宋体"/>
          <w:spacing w:val="-94"/>
          <w:sz w:val="24"/>
          <w:szCs w:val="24"/>
        </w:rPr>
        <w:t xml:space="preserve"> </w:t>
      </w:r>
      <w:r>
        <w:rPr>
          <w:rFonts w:ascii="宋体" w:hAnsi="宋体" w:eastAsia="宋体" w:cs="宋体"/>
          <w:sz w:val="24"/>
          <w:szCs w:val="24"/>
        </w:rPr>
        <w:t>,</w:t>
      </w:r>
      <w:r>
        <w:rPr>
          <w:rFonts w:ascii="宋体" w:hAnsi="宋体" w:eastAsia="宋体" w:cs="宋体"/>
          <w:spacing w:val="64"/>
          <w:sz w:val="24"/>
          <w:szCs w:val="24"/>
        </w:rPr>
        <w:t xml:space="preserve"> </w:t>
      </w:r>
      <w:r>
        <w:rPr>
          <w:rFonts w:ascii="宋体" w:hAnsi="宋体" w:eastAsia="宋体" w:cs="宋体"/>
          <w:sz w:val="24"/>
          <w:szCs w:val="24"/>
        </w:rPr>
        <w:t>水分蒸发</w:t>
      </w:r>
      <w:r>
        <w:rPr>
          <w:rFonts w:ascii="宋体" w:hAnsi="宋体" w:eastAsia="宋体" w:cs="宋体"/>
          <w:spacing w:val="-1"/>
          <w:sz w:val="24"/>
          <w:szCs w:val="24"/>
        </w:rPr>
        <w:t>，自动翻耙机对发酵床</w:t>
      </w:r>
      <w:r>
        <w:rPr>
          <w:rFonts w:ascii="宋体" w:hAnsi="宋体" w:eastAsia="宋体" w:cs="宋体"/>
          <w:sz w:val="24"/>
          <w:szCs w:val="24"/>
        </w:rPr>
        <w:t xml:space="preserve"> </w:t>
      </w:r>
      <w:r>
        <w:rPr>
          <w:rFonts w:ascii="宋体" w:hAnsi="宋体" w:eastAsia="宋体" w:cs="宋体"/>
          <w:spacing w:val="2"/>
          <w:sz w:val="24"/>
          <w:szCs w:val="24"/>
        </w:rPr>
        <w:t>进行翻耙，促进猪粪便与垫料充分混合，最终使猪粪污转化成生物有机肥，从而实</w:t>
      </w:r>
      <w:r>
        <w:rPr>
          <w:rFonts w:ascii="宋体" w:hAnsi="宋体" w:eastAsia="宋体" w:cs="宋体"/>
          <w:spacing w:val="8"/>
          <w:sz w:val="24"/>
          <w:szCs w:val="24"/>
        </w:rPr>
        <w:t xml:space="preserve"> </w:t>
      </w:r>
      <w:r>
        <w:rPr>
          <w:rFonts w:ascii="宋体" w:hAnsi="宋体" w:eastAsia="宋体" w:cs="宋体"/>
          <w:spacing w:val="2"/>
          <w:sz w:val="24"/>
          <w:szCs w:val="24"/>
        </w:rPr>
        <w:t>现污染物的资源化利用。本项目发酵出来的是有机肥半成品，发酵后出售给肥料生</w:t>
      </w:r>
      <w:r>
        <w:rPr>
          <w:rFonts w:ascii="宋体" w:hAnsi="宋体" w:eastAsia="宋体" w:cs="宋体"/>
          <w:spacing w:val="8"/>
          <w:sz w:val="24"/>
          <w:szCs w:val="24"/>
        </w:rPr>
        <w:t xml:space="preserve"> </w:t>
      </w:r>
      <w:r>
        <w:rPr>
          <w:rFonts w:ascii="宋体" w:hAnsi="宋体" w:eastAsia="宋体" w:cs="宋体"/>
          <w:sz w:val="24"/>
          <w:szCs w:val="24"/>
        </w:rPr>
        <w:t>产企业进行进一步加工成有机肥料。因此本项目不会对周围</w:t>
      </w:r>
      <w:r>
        <w:rPr>
          <w:rFonts w:ascii="宋体" w:hAnsi="宋体" w:eastAsia="宋体" w:cs="宋体"/>
          <w:spacing w:val="-1"/>
          <w:sz w:val="24"/>
          <w:szCs w:val="24"/>
        </w:rPr>
        <w:t>环境造成二次污染。</w:t>
      </w:r>
    </w:p>
    <w:p w14:paraId="3B951778">
      <w:pPr>
        <w:spacing w:before="145" w:line="361" w:lineRule="exact"/>
        <w:ind w:left="479"/>
        <w:rPr>
          <w:rFonts w:ascii="宋体" w:hAnsi="宋体" w:eastAsia="宋体" w:cs="宋体"/>
          <w:sz w:val="24"/>
          <w:szCs w:val="24"/>
        </w:rPr>
      </w:pPr>
      <w:r>
        <w:rPr>
          <w:rFonts w:ascii="Times New Roman" w:hAnsi="Times New Roman" w:eastAsia="Times New Roman" w:cs="Times New Roman"/>
          <w:spacing w:val="-5"/>
          <w:position w:val="2"/>
          <w:sz w:val="24"/>
          <w:szCs w:val="24"/>
        </w:rPr>
        <w:t>2</w:t>
      </w:r>
      <w:r>
        <w:rPr>
          <w:rFonts w:ascii="Times New Roman" w:hAnsi="Times New Roman" w:eastAsia="Times New Roman" w:cs="Times New Roman"/>
          <w:spacing w:val="-32"/>
          <w:position w:val="2"/>
          <w:sz w:val="24"/>
          <w:szCs w:val="24"/>
        </w:rPr>
        <w:t xml:space="preserve"> </w:t>
      </w:r>
      <w:r>
        <w:rPr>
          <w:rFonts w:ascii="宋体" w:hAnsi="宋体" w:eastAsia="宋体" w:cs="宋体"/>
          <w:spacing w:val="-5"/>
          <w:position w:val="2"/>
          <w:sz w:val="24"/>
          <w:szCs w:val="24"/>
        </w:rPr>
        <w:t>、病死猪尸体</w:t>
      </w:r>
    </w:p>
    <w:p w14:paraId="7F4FC228">
      <w:pPr>
        <w:spacing w:before="126" w:line="360" w:lineRule="exact"/>
        <w:ind w:left="483"/>
        <w:rPr>
          <w:rFonts w:ascii="宋体" w:hAnsi="宋体" w:eastAsia="宋体" w:cs="宋体"/>
          <w:sz w:val="24"/>
          <w:szCs w:val="24"/>
        </w:rPr>
      </w:pPr>
      <w:r>
        <w:rPr>
          <w:rFonts w:ascii="宋体" w:hAnsi="宋体" w:eastAsia="宋体" w:cs="宋体"/>
          <w:position w:val="2"/>
          <w:sz w:val="24"/>
          <w:szCs w:val="24"/>
        </w:rPr>
        <w:t>根据《病死及病害动物无害化处理技术规范》（农医发〔</w:t>
      </w:r>
      <w:r>
        <w:rPr>
          <w:rFonts w:ascii="Times New Roman" w:hAnsi="Times New Roman" w:eastAsia="Times New Roman" w:cs="Times New Roman"/>
          <w:position w:val="2"/>
          <w:sz w:val="24"/>
          <w:szCs w:val="24"/>
        </w:rPr>
        <w:t>2017</w:t>
      </w:r>
      <w:r>
        <w:rPr>
          <w:rFonts w:ascii="宋体" w:hAnsi="宋体" w:eastAsia="宋体" w:cs="宋体"/>
          <w:position w:val="2"/>
          <w:sz w:val="24"/>
          <w:szCs w:val="24"/>
        </w:rPr>
        <w:t>〕</w:t>
      </w:r>
      <w:r>
        <w:rPr>
          <w:rFonts w:ascii="Times New Roman" w:hAnsi="Times New Roman" w:eastAsia="Times New Roman" w:cs="Times New Roman"/>
          <w:position w:val="2"/>
          <w:sz w:val="24"/>
          <w:szCs w:val="24"/>
        </w:rPr>
        <w:t xml:space="preserve">25 </w:t>
      </w:r>
      <w:r>
        <w:rPr>
          <w:rFonts w:ascii="宋体" w:hAnsi="宋体" w:eastAsia="宋体" w:cs="宋体"/>
          <w:position w:val="2"/>
          <w:sz w:val="24"/>
          <w:szCs w:val="24"/>
        </w:rPr>
        <w:t>号）和《畜</w:t>
      </w:r>
    </w:p>
    <w:p w14:paraId="0C37EDA9">
      <w:pPr>
        <w:spacing w:line="360" w:lineRule="exact"/>
        <w:rPr>
          <w:rFonts w:ascii="宋体" w:hAnsi="宋体" w:eastAsia="宋体" w:cs="宋体"/>
          <w:sz w:val="24"/>
          <w:szCs w:val="24"/>
        </w:rPr>
        <w:sectPr>
          <w:footerReference r:id="rId143" w:type="default"/>
          <w:pgSz w:w="11906" w:h="16839"/>
          <w:pgMar w:top="400" w:right="1507" w:bottom="1485" w:left="1594" w:header="0" w:footer="1249" w:gutter="0"/>
          <w:cols w:space="720" w:num="1"/>
        </w:sectPr>
      </w:pPr>
    </w:p>
    <w:p w14:paraId="49FD2D5B">
      <w:pPr>
        <w:pStyle w:val="2"/>
        <w:spacing w:line="255" w:lineRule="auto"/>
      </w:pPr>
    </w:p>
    <w:p w14:paraId="1D3CEB73">
      <w:pPr>
        <w:pStyle w:val="2"/>
        <w:spacing w:line="255" w:lineRule="auto"/>
      </w:pPr>
    </w:p>
    <w:p w14:paraId="3CDDCA35">
      <w:pPr>
        <w:pStyle w:val="2"/>
        <w:spacing w:line="256" w:lineRule="auto"/>
      </w:pPr>
    </w:p>
    <w:p w14:paraId="0DF70132">
      <w:pPr>
        <w:pStyle w:val="2"/>
        <w:spacing w:line="256" w:lineRule="auto"/>
      </w:pPr>
    </w:p>
    <w:p w14:paraId="0FE83F02">
      <w:pPr>
        <w:spacing w:before="78" w:line="376" w:lineRule="auto"/>
        <w:ind w:right="60" w:firstLine="2"/>
        <w:jc w:val="both"/>
        <w:rPr>
          <w:rFonts w:ascii="宋体" w:hAnsi="宋体" w:eastAsia="宋体" w:cs="宋体"/>
          <w:sz w:val="24"/>
          <w:szCs w:val="24"/>
        </w:rPr>
      </w:pPr>
      <w:r>
        <w:rPr>
          <w:rFonts w:ascii="宋体" w:hAnsi="宋体" w:eastAsia="宋体" w:cs="宋体"/>
          <w:sz w:val="24"/>
          <w:szCs w:val="24"/>
        </w:rPr>
        <w:t>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）相关要求处理，本项目选择安全</w:t>
      </w:r>
      <w:r>
        <w:rPr>
          <w:rFonts w:ascii="宋体" w:hAnsi="宋体" w:eastAsia="宋体" w:cs="宋体"/>
          <w:spacing w:val="-1"/>
          <w:sz w:val="24"/>
          <w:szCs w:val="24"/>
        </w:rPr>
        <w:t>填埋</w:t>
      </w:r>
      <w:r>
        <w:rPr>
          <w:rFonts w:ascii="宋体" w:hAnsi="宋体" w:eastAsia="宋体" w:cs="宋体"/>
          <w:sz w:val="24"/>
          <w:szCs w:val="24"/>
        </w:rPr>
        <w:t xml:space="preserve"> </w:t>
      </w:r>
      <w:r>
        <w:rPr>
          <w:rFonts w:ascii="宋体" w:hAnsi="宋体" w:eastAsia="宋体" w:cs="宋体"/>
          <w:spacing w:val="2"/>
          <w:sz w:val="24"/>
          <w:szCs w:val="24"/>
        </w:rPr>
        <w:t>井（化尸池）的处理方法处理病死猪尸体。项目依托海丰县公平镇龙寨实成种养专</w:t>
      </w:r>
      <w:r>
        <w:rPr>
          <w:rFonts w:ascii="宋体" w:hAnsi="宋体" w:eastAsia="宋体" w:cs="宋体"/>
          <w:spacing w:val="7"/>
          <w:sz w:val="24"/>
          <w:szCs w:val="24"/>
        </w:rPr>
        <w:t xml:space="preserve"> </w:t>
      </w:r>
      <w:r>
        <w:rPr>
          <w:rFonts w:ascii="宋体" w:hAnsi="宋体" w:eastAsia="宋体" w:cs="宋体"/>
          <w:spacing w:val="2"/>
          <w:sz w:val="24"/>
          <w:szCs w:val="24"/>
        </w:rPr>
        <w:t>业合作社项目中的安全填埋井对本项目病死猪尸体进行处理，其安全填埋井位于本</w:t>
      </w:r>
      <w:r>
        <w:rPr>
          <w:rFonts w:ascii="宋体" w:hAnsi="宋体" w:eastAsia="宋体" w:cs="宋体"/>
          <w:spacing w:val="7"/>
          <w:sz w:val="24"/>
          <w:szCs w:val="24"/>
        </w:rPr>
        <w:t xml:space="preserve"> </w:t>
      </w:r>
      <w:r>
        <w:rPr>
          <w:rFonts w:ascii="宋体" w:hAnsi="宋体" w:eastAsia="宋体" w:cs="宋体"/>
          <w:spacing w:val="-3"/>
          <w:sz w:val="24"/>
          <w:szCs w:val="24"/>
        </w:rPr>
        <w:t>项目东南面约</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 xml:space="preserve">195m </w:t>
      </w:r>
      <w:r>
        <w:rPr>
          <w:rFonts w:ascii="宋体" w:hAnsi="宋体" w:eastAsia="宋体" w:cs="宋体"/>
          <w:spacing w:val="-3"/>
          <w:sz w:val="24"/>
          <w:szCs w:val="24"/>
        </w:rPr>
        <w:t>处。海丰县公平镇龙寨实成种养专业合作社项目已于</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z w:val="24"/>
          <w:szCs w:val="24"/>
        </w:rPr>
        <w:t xml:space="preserve"> </w:t>
      </w:r>
      <w:r>
        <w:rPr>
          <w:rFonts w:ascii="宋体" w:hAnsi="宋体" w:eastAsia="宋体" w:cs="宋体"/>
          <w:spacing w:val="-5"/>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16</w:t>
      </w:r>
      <w:r>
        <w:rPr>
          <w:rFonts w:ascii="Times New Roman" w:hAnsi="Times New Roman" w:eastAsia="Times New Roman" w:cs="Times New Roman"/>
          <w:spacing w:val="50"/>
          <w:w w:val="101"/>
          <w:sz w:val="24"/>
          <w:szCs w:val="24"/>
        </w:rPr>
        <w:t xml:space="preserve"> </w:t>
      </w:r>
      <w:r>
        <w:rPr>
          <w:rFonts w:ascii="宋体" w:hAnsi="宋体" w:eastAsia="宋体" w:cs="宋体"/>
          <w:spacing w:val="-5"/>
          <w:sz w:val="24"/>
          <w:szCs w:val="24"/>
        </w:rPr>
        <w:t>日取得环评批复（海环函</w:t>
      </w:r>
      <w:r>
        <w:rPr>
          <w:rFonts w:ascii="Times New Roman" w:hAnsi="Times New Roman" w:eastAsia="Times New Roman" w:cs="Times New Roman"/>
          <w:spacing w:val="-5"/>
          <w:sz w:val="24"/>
          <w:szCs w:val="24"/>
        </w:rPr>
        <w:t xml:space="preserve">[2014]123 </w:t>
      </w:r>
      <w:r>
        <w:rPr>
          <w:rFonts w:ascii="宋体" w:hAnsi="宋体" w:eastAsia="宋体" w:cs="宋体"/>
          <w:spacing w:val="-5"/>
          <w:sz w:val="24"/>
          <w:szCs w:val="24"/>
        </w:rPr>
        <w:t>号</w:t>
      </w:r>
      <w:r>
        <w:rPr>
          <w:rFonts w:ascii="宋体" w:hAnsi="宋体" w:eastAsia="宋体" w:cs="宋体"/>
          <w:spacing w:val="9"/>
          <w:sz w:val="24"/>
          <w:szCs w:val="24"/>
        </w:rPr>
        <w:t>），</w:t>
      </w:r>
      <w:r>
        <w:rPr>
          <w:rFonts w:ascii="宋体" w:hAnsi="宋体" w:eastAsia="宋体" w:cs="宋体"/>
          <w:spacing w:val="-5"/>
          <w:sz w:val="24"/>
          <w:szCs w:val="24"/>
        </w:rPr>
        <w:t>并于</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2017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28  </w:t>
      </w:r>
      <w:r>
        <w:rPr>
          <w:rFonts w:ascii="宋体" w:hAnsi="宋体" w:eastAsia="宋体" w:cs="宋体"/>
          <w:spacing w:val="-5"/>
          <w:sz w:val="24"/>
          <w:szCs w:val="24"/>
        </w:rPr>
        <w:t>日通过竣工环</w:t>
      </w:r>
      <w:r>
        <w:rPr>
          <w:rFonts w:ascii="宋体" w:hAnsi="宋体" w:eastAsia="宋体" w:cs="宋体"/>
          <w:sz w:val="24"/>
          <w:szCs w:val="24"/>
        </w:rPr>
        <w:t xml:space="preserve"> </w:t>
      </w:r>
      <w:r>
        <w:rPr>
          <w:rFonts w:ascii="宋体" w:hAnsi="宋体" w:eastAsia="宋体" w:cs="宋体"/>
          <w:spacing w:val="-1"/>
          <w:sz w:val="24"/>
          <w:szCs w:val="24"/>
        </w:rPr>
        <w:t>境保护验收（海环验字</w:t>
      </w:r>
      <w:r>
        <w:rPr>
          <w:rFonts w:ascii="Times New Roman" w:hAnsi="Times New Roman" w:eastAsia="Times New Roman" w:cs="Times New Roman"/>
          <w:spacing w:val="-1"/>
          <w:sz w:val="24"/>
          <w:szCs w:val="24"/>
        </w:rPr>
        <w:t xml:space="preserve">[2017]33 </w:t>
      </w:r>
      <w:r>
        <w:rPr>
          <w:rFonts w:ascii="宋体" w:hAnsi="宋体" w:eastAsia="宋体" w:cs="宋体"/>
          <w:spacing w:val="-1"/>
          <w:sz w:val="24"/>
          <w:szCs w:val="24"/>
        </w:rPr>
        <w:t>号）。</w:t>
      </w:r>
    </w:p>
    <w:p w14:paraId="665DC50A">
      <w:pPr>
        <w:spacing w:before="5" w:line="375" w:lineRule="auto"/>
        <w:ind w:firstLine="483"/>
        <w:jc w:val="both"/>
        <w:rPr>
          <w:rFonts w:ascii="宋体" w:hAnsi="宋体" w:eastAsia="宋体" w:cs="宋体"/>
          <w:sz w:val="24"/>
          <w:szCs w:val="24"/>
        </w:rPr>
      </w:pPr>
      <w:r>
        <w:rPr>
          <w:rFonts w:ascii="宋体" w:hAnsi="宋体" w:eastAsia="宋体" w:cs="宋体"/>
          <w:spacing w:val="-2"/>
          <w:sz w:val="24"/>
          <w:szCs w:val="24"/>
        </w:rPr>
        <w:t>项目依托的安全填埋井为密闭砖混结构，设井盖，坑壁为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30cm</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厚防渗混凝土，</w:t>
      </w:r>
      <w:r>
        <w:rPr>
          <w:rFonts w:ascii="宋体" w:hAnsi="宋体" w:eastAsia="宋体" w:cs="宋体"/>
          <w:sz w:val="24"/>
          <w:szCs w:val="24"/>
        </w:rPr>
        <w:t xml:space="preserve"> </w:t>
      </w:r>
      <w:r>
        <w:rPr>
          <w:rFonts w:ascii="宋体" w:hAnsi="宋体" w:eastAsia="宋体" w:cs="宋体"/>
          <w:spacing w:val="-1"/>
          <w:sz w:val="24"/>
          <w:szCs w:val="24"/>
        </w:rPr>
        <w:t>坑底为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20cm</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厚的防渗混凝土，井深</w:t>
      </w:r>
      <w:r>
        <w:rPr>
          <w:rFonts w:ascii="Times New Roman" w:hAnsi="Times New Roman" w:eastAsia="Times New Roman" w:cs="Times New Roman"/>
          <w:spacing w:val="-1"/>
          <w:sz w:val="24"/>
          <w:szCs w:val="24"/>
        </w:rPr>
        <w:t>6.5m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，直径</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1.6m</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；进行填埋时，每次投入病死</w:t>
      </w:r>
      <w:r>
        <w:rPr>
          <w:rFonts w:ascii="宋体" w:hAnsi="宋体" w:eastAsia="宋体" w:cs="宋体"/>
          <w:sz w:val="24"/>
          <w:szCs w:val="24"/>
        </w:rPr>
        <w:t xml:space="preserve"> </w:t>
      </w:r>
      <w:r>
        <w:rPr>
          <w:rFonts w:ascii="宋体" w:hAnsi="宋体" w:eastAsia="宋体" w:cs="宋体"/>
          <w:spacing w:val="-2"/>
          <w:sz w:val="24"/>
          <w:szCs w:val="24"/>
        </w:rPr>
        <w:t>猪尸体后，覆盖一层厚度</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12cm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的熟石灰。当填埋井内尸体达到容积的</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时，应停</w:t>
      </w:r>
      <w:r>
        <w:rPr>
          <w:rFonts w:ascii="宋体" w:hAnsi="宋体" w:eastAsia="宋体" w:cs="宋体"/>
          <w:sz w:val="24"/>
          <w:szCs w:val="24"/>
        </w:rPr>
        <w:t xml:space="preserve"> </w:t>
      </w:r>
      <w:r>
        <w:rPr>
          <w:rFonts w:ascii="宋体" w:hAnsi="宋体" w:eastAsia="宋体" w:cs="宋体"/>
          <w:spacing w:val="-3"/>
          <w:sz w:val="24"/>
          <w:szCs w:val="24"/>
        </w:rPr>
        <w:t>止使用并密封。当密闭安全填埋井的动物尸体完全分解后，应当对残留物进行清理，</w:t>
      </w:r>
      <w:r>
        <w:rPr>
          <w:rFonts w:ascii="宋体" w:hAnsi="宋体" w:eastAsia="宋体" w:cs="宋体"/>
          <w:spacing w:val="12"/>
          <w:sz w:val="24"/>
          <w:szCs w:val="24"/>
        </w:rPr>
        <w:t xml:space="preserve"> </w:t>
      </w:r>
      <w:r>
        <w:rPr>
          <w:rFonts w:ascii="宋体" w:hAnsi="宋体" w:eastAsia="宋体" w:cs="宋体"/>
          <w:spacing w:val="2"/>
          <w:sz w:val="24"/>
          <w:szCs w:val="24"/>
        </w:rPr>
        <w:t>清理出的残留物进行焚烧或者掩埋处理，安全填埋井进行彻底消毒后，方可重新启</w:t>
      </w:r>
      <w:r>
        <w:rPr>
          <w:rFonts w:ascii="宋体" w:hAnsi="宋体" w:eastAsia="宋体" w:cs="宋体"/>
          <w:spacing w:val="6"/>
          <w:sz w:val="24"/>
          <w:szCs w:val="24"/>
        </w:rPr>
        <w:t xml:space="preserve"> </w:t>
      </w:r>
      <w:r>
        <w:rPr>
          <w:rFonts w:ascii="宋体" w:hAnsi="宋体" w:eastAsia="宋体" w:cs="宋体"/>
          <w:spacing w:val="-5"/>
          <w:sz w:val="24"/>
          <w:szCs w:val="24"/>
        </w:rPr>
        <w:t>用。</w:t>
      </w:r>
    </w:p>
    <w:p w14:paraId="2A3D3822">
      <w:pPr>
        <w:spacing w:before="4" w:line="361" w:lineRule="exact"/>
        <w:ind w:left="481"/>
        <w:outlineLvl w:val="0"/>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、生活垃圾</w:t>
      </w:r>
    </w:p>
    <w:p w14:paraId="09B5335E">
      <w:pPr>
        <w:spacing w:before="164" w:line="362" w:lineRule="auto"/>
        <w:ind w:left="6" w:right="63" w:firstLine="476"/>
        <w:rPr>
          <w:rFonts w:ascii="宋体" w:hAnsi="宋体" w:eastAsia="宋体" w:cs="宋体"/>
          <w:sz w:val="24"/>
          <w:szCs w:val="24"/>
        </w:rPr>
      </w:pPr>
      <w:r>
        <w:rPr>
          <w:rFonts w:ascii="宋体" w:hAnsi="宋体" w:eastAsia="宋体" w:cs="宋体"/>
          <w:spacing w:val="2"/>
          <w:sz w:val="24"/>
          <w:szCs w:val="24"/>
        </w:rPr>
        <w:t>人员生活垃圾收集后定期运往城镇的生活垃圾堆放点，交由环卫部门处理。并</w:t>
      </w:r>
      <w:r>
        <w:rPr>
          <w:rFonts w:ascii="宋体" w:hAnsi="宋体" w:eastAsia="宋体" w:cs="宋体"/>
          <w:spacing w:val="8"/>
          <w:sz w:val="24"/>
          <w:szCs w:val="24"/>
        </w:rPr>
        <w:t xml:space="preserve"> </w:t>
      </w:r>
      <w:r>
        <w:rPr>
          <w:rFonts w:ascii="宋体" w:hAnsi="宋体" w:eastAsia="宋体" w:cs="宋体"/>
          <w:spacing w:val="-1"/>
          <w:sz w:val="24"/>
          <w:szCs w:val="24"/>
        </w:rPr>
        <w:t>定时在垃圾堆放点消毒、杀灭害虫，避免对工作人员造成影响。</w:t>
      </w:r>
    </w:p>
    <w:p w14:paraId="00F58A06">
      <w:pPr>
        <w:spacing w:line="361" w:lineRule="exact"/>
        <w:ind w:left="475"/>
        <w:outlineLvl w:val="0"/>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、医疗废物</w:t>
      </w:r>
    </w:p>
    <w:p w14:paraId="5678F858">
      <w:pPr>
        <w:spacing w:before="163" w:line="373" w:lineRule="auto"/>
        <w:ind w:right="88" w:firstLine="480"/>
        <w:rPr>
          <w:rFonts w:ascii="宋体" w:hAnsi="宋体" w:eastAsia="宋体" w:cs="宋体"/>
          <w:sz w:val="24"/>
          <w:szCs w:val="24"/>
        </w:rPr>
      </w:pPr>
      <w:r>
        <w:rPr>
          <w:rFonts w:ascii="宋体" w:hAnsi="宋体" w:eastAsia="宋体" w:cs="宋体"/>
          <w:spacing w:val="2"/>
          <w:sz w:val="24"/>
          <w:szCs w:val="24"/>
        </w:rPr>
        <w:t>牲畜在养殖过程中需要注射一些疫苗，会产</w:t>
      </w:r>
      <w:r>
        <w:rPr>
          <w:rFonts w:ascii="宋体" w:hAnsi="宋体" w:eastAsia="宋体" w:cs="宋体"/>
          <w:spacing w:val="1"/>
          <w:sz w:val="24"/>
          <w:szCs w:val="24"/>
        </w:rPr>
        <w:t>生少量针头、感染过的包装袋等。</w:t>
      </w:r>
      <w:r>
        <w:rPr>
          <w:rFonts w:ascii="宋体" w:hAnsi="宋体" w:eastAsia="宋体" w:cs="宋体"/>
          <w:sz w:val="24"/>
          <w:szCs w:val="24"/>
        </w:rPr>
        <w:t xml:space="preserve"> </w:t>
      </w:r>
      <w:r>
        <w:rPr>
          <w:rFonts w:ascii="宋体" w:hAnsi="宋体" w:eastAsia="宋体" w:cs="宋体"/>
          <w:spacing w:val="-1"/>
          <w:sz w:val="24"/>
          <w:szCs w:val="24"/>
        </w:rPr>
        <w:t>类比同类型规模化养殖场，医疗废物的产生量为</w:t>
      </w:r>
      <w:r>
        <w:rPr>
          <w:rFonts w:ascii="Times New Roman" w:hAnsi="Times New Roman" w:eastAsia="Times New Roman" w:cs="Times New Roman"/>
          <w:spacing w:val="-1"/>
          <w:sz w:val="24"/>
          <w:szCs w:val="24"/>
        </w:rPr>
        <w:t>0.2t/a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，该部分固废属于危险废物，</w:t>
      </w:r>
      <w:r>
        <w:rPr>
          <w:rFonts w:ascii="宋体" w:hAnsi="宋体" w:eastAsia="宋体" w:cs="宋体"/>
          <w:sz w:val="24"/>
          <w:szCs w:val="24"/>
        </w:rPr>
        <w:t xml:space="preserve"> </w:t>
      </w:r>
      <w:r>
        <w:rPr>
          <w:rFonts w:ascii="宋体" w:hAnsi="宋体" w:eastAsia="宋体" w:cs="宋体"/>
          <w:spacing w:val="-1"/>
          <w:sz w:val="24"/>
          <w:szCs w:val="24"/>
        </w:rPr>
        <w:t>废物代码为</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HW01</w:t>
      </w:r>
      <w:r>
        <w:rPr>
          <w:rFonts w:ascii="宋体" w:hAnsi="宋体" w:eastAsia="宋体" w:cs="宋体"/>
          <w:spacing w:val="-1"/>
          <w:sz w:val="24"/>
          <w:szCs w:val="24"/>
        </w:rPr>
        <w:t>，收集后交由有资质的单位处理。</w:t>
      </w:r>
    </w:p>
    <w:p w14:paraId="3CAA9191">
      <w:pPr>
        <w:spacing w:before="14" w:line="376" w:lineRule="auto"/>
        <w:ind w:right="63" w:firstLine="484"/>
        <w:rPr>
          <w:rFonts w:ascii="宋体" w:hAnsi="宋体" w:eastAsia="宋体" w:cs="宋体"/>
          <w:sz w:val="24"/>
          <w:szCs w:val="24"/>
        </w:rPr>
      </w:pPr>
      <w:r>
        <w:rPr>
          <w:rFonts w:ascii="宋体" w:hAnsi="宋体" w:eastAsia="宋体" w:cs="宋体"/>
          <w:spacing w:val="2"/>
          <w:sz w:val="24"/>
          <w:szCs w:val="24"/>
        </w:rPr>
        <w:t>项目对此部分废物再场区设置医疗废物暂存间暂存交由有资质的医疗废物处置</w:t>
      </w:r>
      <w:r>
        <w:rPr>
          <w:rFonts w:ascii="宋体" w:hAnsi="宋体" w:eastAsia="宋体" w:cs="宋体"/>
          <w:spacing w:val="6"/>
          <w:sz w:val="24"/>
          <w:szCs w:val="24"/>
        </w:rPr>
        <w:t xml:space="preserve"> </w:t>
      </w:r>
      <w:r>
        <w:rPr>
          <w:rFonts w:ascii="宋体" w:hAnsi="宋体" w:eastAsia="宋体" w:cs="宋体"/>
          <w:spacing w:val="-1"/>
          <w:sz w:val="24"/>
          <w:szCs w:val="24"/>
        </w:rPr>
        <w:t>机构处理，医疗废物暂存间拟设于猪舍东北面。</w:t>
      </w:r>
    </w:p>
    <w:p w14:paraId="1F6EDE39">
      <w:pPr>
        <w:spacing w:before="1" w:line="220" w:lineRule="auto"/>
        <w:ind w:left="483"/>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、废包装物</w:t>
      </w:r>
    </w:p>
    <w:p w14:paraId="01C78F8A">
      <w:pPr>
        <w:spacing w:before="201" w:line="376" w:lineRule="auto"/>
        <w:ind w:right="63" w:firstLine="484"/>
        <w:rPr>
          <w:rFonts w:ascii="宋体" w:hAnsi="宋体" w:eastAsia="宋体" w:cs="宋体"/>
          <w:sz w:val="24"/>
          <w:szCs w:val="24"/>
        </w:rPr>
      </w:pPr>
      <w:r>
        <w:rPr>
          <w:rFonts w:ascii="宋体" w:hAnsi="宋体" w:eastAsia="宋体" w:cs="宋体"/>
          <w:spacing w:val="2"/>
          <w:sz w:val="24"/>
          <w:szCs w:val="24"/>
        </w:rPr>
        <w:t>项目运营过程将产生饲料包装箱、包装袋等废包装，类比同类型项目，本项目</w:t>
      </w:r>
      <w:r>
        <w:rPr>
          <w:rFonts w:ascii="宋体" w:hAnsi="宋体" w:eastAsia="宋体" w:cs="宋体"/>
          <w:spacing w:val="6"/>
          <w:sz w:val="24"/>
          <w:szCs w:val="24"/>
        </w:rPr>
        <w:t xml:space="preserve"> </w:t>
      </w:r>
      <w:r>
        <w:rPr>
          <w:rFonts w:ascii="宋体" w:hAnsi="宋体" w:eastAsia="宋体" w:cs="宋体"/>
          <w:sz w:val="24"/>
          <w:szCs w:val="24"/>
        </w:rPr>
        <w:t>废包装产生量约为</w:t>
      </w:r>
      <w:r>
        <w:rPr>
          <w:rFonts w:ascii="Times New Roman" w:hAnsi="Times New Roman" w:eastAsia="Times New Roman" w:cs="Times New Roman"/>
          <w:sz w:val="24"/>
          <w:szCs w:val="24"/>
        </w:rPr>
        <w:t>2t/a</w:t>
      </w:r>
      <w:r>
        <w:rPr>
          <w:rFonts w:ascii="Times New Roman" w:hAnsi="Times New Roman" w:eastAsia="Times New Roman" w:cs="Times New Roman"/>
          <w:spacing w:val="-12"/>
          <w:sz w:val="24"/>
          <w:szCs w:val="24"/>
        </w:rPr>
        <w:t xml:space="preserve"> </w:t>
      </w:r>
      <w:r>
        <w:rPr>
          <w:rFonts w:ascii="宋体" w:hAnsi="宋体" w:eastAsia="宋体" w:cs="宋体"/>
          <w:sz w:val="24"/>
          <w:szCs w:val="24"/>
        </w:rPr>
        <w:t>。收集后交由供应商处理。</w:t>
      </w:r>
    </w:p>
    <w:p w14:paraId="130B2B2A">
      <w:pPr>
        <w:spacing w:before="2" w:line="376" w:lineRule="auto"/>
        <w:ind w:left="2" w:firstLine="477"/>
        <w:rPr>
          <w:rFonts w:ascii="宋体" w:hAnsi="宋体" w:eastAsia="宋体" w:cs="宋体"/>
          <w:sz w:val="24"/>
          <w:szCs w:val="24"/>
        </w:rPr>
      </w:pPr>
      <w:r>
        <w:rPr>
          <w:rFonts w:ascii="宋体" w:hAnsi="宋体" w:eastAsia="宋体" w:cs="宋体"/>
          <w:spacing w:val="-3"/>
          <w:sz w:val="24"/>
          <w:szCs w:val="24"/>
        </w:rPr>
        <w:t>采取上述处理措施后，本项目产生的固体废物可做到无害化、减量化、资源化，</w:t>
      </w:r>
      <w:r>
        <w:rPr>
          <w:rFonts w:ascii="宋体" w:hAnsi="宋体" w:eastAsia="宋体" w:cs="宋体"/>
          <w:spacing w:val="7"/>
          <w:sz w:val="24"/>
          <w:szCs w:val="24"/>
        </w:rPr>
        <w:t xml:space="preserve"> </w:t>
      </w:r>
      <w:r>
        <w:rPr>
          <w:rFonts w:ascii="宋体" w:hAnsi="宋体" w:eastAsia="宋体" w:cs="宋体"/>
          <w:spacing w:val="-2"/>
          <w:sz w:val="24"/>
          <w:szCs w:val="24"/>
        </w:rPr>
        <w:t>符合其相应的要求。</w:t>
      </w:r>
    </w:p>
    <w:p w14:paraId="6B93183A">
      <w:pPr>
        <w:spacing w:before="1" w:line="218" w:lineRule="auto"/>
        <w:ind w:left="475"/>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30"/>
          <w:sz w:val="24"/>
          <w:szCs w:val="24"/>
        </w:rPr>
        <w:t xml:space="preserve"> </w:t>
      </w:r>
      <w:r>
        <w:rPr>
          <w:rFonts w:ascii="宋体" w:hAnsi="宋体" w:eastAsia="宋体" w:cs="宋体"/>
          <w:b/>
          <w:bCs/>
          <w:spacing w:val="-4"/>
          <w:sz w:val="24"/>
          <w:szCs w:val="24"/>
        </w:rPr>
        <w:t>、固体废物环境影响评价结论</w:t>
      </w:r>
    </w:p>
    <w:p w14:paraId="1869D9AA">
      <w:pPr>
        <w:spacing w:before="167" w:line="360" w:lineRule="exact"/>
        <w:ind w:left="481"/>
        <w:rPr>
          <w:rFonts w:ascii="宋体" w:hAnsi="宋体" w:eastAsia="宋体" w:cs="宋体"/>
          <w:sz w:val="24"/>
          <w:szCs w:val="24"/>
        </w:rPr>
      </w:pPr>
      <w:r>
        <w:rPr>
          <w:rFonts w:ascii="宋体" w:hAnsi="宋体" w:eastAsia="宋体" w:cs="宋体"/>
          <w:spacing w:val="-1"/>
          <w:position w:val="2"/>
          <w:sz w:val="24"/>
          <w:szCs w:val="24"/>
        </w:rPr>
        <w:t>本项目粪污严格按照《畜禽养殖业污染物排放标准》（</w:t>
      </w:r>
      <w:r>
        <w:rPr>
          <w:rFonts w:ascii="Times New Roman" w:hAnsi="Times New Roman" w:eastAsia="Times New Roman" w:cs="Times New Roman"/>
          <w:spacing w:val="-1"/>
          <w:position w:val="2"/>
          <w:sz w:val="24"/>
          <w:szCs w:val="24"/>
        </w:rPr>
        <w:t>DB44/613-2009</w:t>
      </w:r>
      <w:r>
        <w:rPr>
          <w:rFonts w:ascii="宋体" w:hAnsi="宋体" w:eastAsia="宋体" w:cs="宋体"/>
          <w:spacing w:val="-1"/>
          <w:position w:val="2"/>
          <w:sz w:val="24"/>
          <w:szCs w:val="24"/>
        </w:rPr>
        <w:t>）和《粪</w:t>
      </w:r>
    </w:p>
    <w:p w14:paraId="181A67BA">
      <w:pPr>
        <w:spacing w:line="360" w:lineRule="exact"/>
        <w:rPr>
          <w:rFonts w:ascii="宋体" w:hAnsi="宋体" w:eastAsia="宋体" w:cs="宋体"/>
          <w:sz w:val="24"/>
          <w:szCs w:val="24"/>
        </w:rPr>
        <w:sectPr>
          <w:footerReference r:id="rId144" w:type="default"/>
          <w:pgSz w:w="11906" w:h="16839"/>
          <w:pgMar w:top="400" w:right="1525" w:bottom="1485" w:left="1597" w:header="0" w:footer="1249" w:gutter="0"/>
          <w:cols w:space="720" w:num="1"/>
        </w:sectPr>
      </w:pPr>
    </w:p>
    <w:p w14:paraId="261E4F28">
      <w:pPr>
        <w:pStyle w:val="2"/>
        <w:spacing w:line="264" w:lineRule="auto"/>
      </w:pPr>
    </w:p>
    <w:p w14:paraId="6B4B66C0">
      <w:pPr>
        <w:pStyle w:val="2"/>
        <w:spacing w:line="264" w:lineRule="auto"/>
      </w:pPr>
    </w:p>
    <w:p w14:paraId="0BCDB02F">
      <w:pPr>
        <w:pStyle w:val="2"/>
        <w:spacing w:line="264" w:lineRule="auto"/>
      </w:pPr>
    </w:p>
    <w:p w14:paraId="6E20FD8B">
      <w:pPr>
        <w:pStyle w:val="2"/>
        <w:spacing w:line="265" w:lineRule="auto"/>
      </w:pPr>
    </w:p>
    <w:p w14:paraId="65AAEC3C">
      <w:pPr>
        <w:spacing w:before="78" w:line="373" w:lineRule="auto"/>
        <w:ind w:left="2"/>
        <w:jc w:val="both"/>
        <w:rPr>
          <w:rFonts w:ascii="宋体" w:hAnsi="宋体" w:eastAsia="宋体" w:cs="宋体"/>
          <w:sz w:val="24"/>
          <w:szCs w:val="24"/>
        </w:rPr>
      </w:pPr>
      <w:r>
        <w:rPr>
          <w:rFonts w:ascii="宋体" w:hAnsi="宋体" w:eastAsia="宋体" w:cs="宋体"/>
          <w:spacing w:val="2"/>
          <w:sz w:val="24"/>
          <w:szCs w:val="24"/>
        </w:rPr>
        <w:t>便无害化卫生标准》进行处理处置；生活垃圾临时堆放房按照《一般工业固体废物</w:t>
      </w:r>
      <w:r>
        <w:rPr>
          <w:rFonts w:ascii="宋体" w:hAnsi="宋体" w:eastAsia="宋体" w:cs="宋体"/>
          <w:spacing w:val="5"/>
          <w:sz w:val="24"/>
          <w:szCs w:val="24"/>
        </w:rPr>
        <w:t xml:space="preserve"> </w:t>
      </w:r>
      <w:r>
        <w:rPr>
          <w:rFonts w:ascii="宋体" w:hAnsi="宋体" w:eastAsia="宋体" w:cs="宋体"/>
          <w:spacing w:val="1"/>
          <w:sz w:val="24"/>
          <w:szCs w:val="24"/>
        </w:rPr>
        <w:t>贮存、处置场污染控制标准》（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18599-2001</w:t>
      </w:r>
      <w:r>
        <w:rPr>
          <w:rFonts w:ascii="宋体" w:hAnsi="宋体" w:eastAsia="宋体" w:cs="宋体"/>
          <w:spacing w:val="1"/>
          <w:sz w:val="24"/>
          <w:szCs w:val="24"/>
        </w:rPr>
        <w:t>）规</w:t>
      </w:r>
      <w:r>
        <w:rPr>
          <w:rFonts w:ascii="宋体" w:hAnsi="宋体" w:eastAsia="宋体" w:cs="宋体"/>
          <w:sz w:val="24"/>
          <w:szCs w:val="24"/>
        </w:rPr>
        <w:t>范建设和维护使用；疫苗针头等 医疗废物堆放房按照《危险废物贮存污染控制标准》（</w:t>
      </w:r>
      <w:r>
        <w:rPr>
          <w:rFonts w:ascii="Times New Roman" w:hAnsi="Times New Roman" w:eastAsia="Times New Roman" w:cs="Times New Roman"/>
          <w:sz w:val="24"/>
          <w:szCs w:val="24"/>
        </w:rPr>
        <w:t>GB18</w:t>
      </w:r>
      <w:r>
        <w:rPr>
          <w:rFonts w:ascii="Times New Roman" w:hAnsi="Times New Roman" w:eastAsia="Times New Roman" w:cs="Times New Roman"/>
          <w:spacing w:val="-1"/>
          <w:sz w:val="24"/>
          <w:szCs w:val="24"/>
        </w:rPr>
        <w:t>597-2001</w:t>
      </w:r>
      <w:r>
        <w:rPr>
          <w:rFonts w:ascii="宋体" w:hAnsi="宋体" w:eastAsia="宋体" w:cs="宋体"/>
          <w:spacing w:val="-1"/>
          <w:sz w:val="24"/>
          <w:szCs w:val="24"/>
        </w:rPr>
        <w:t>）设置。</w:t>
      </w:r>
    </w:p>
    <w:p w14:paraId="170B7BED">
      <w:pPr>
        <w:spacing w:before="14" w:line="372" w:lineRule="auto"/>
        <w:ind w:left="1" w:firstLine="480"/>
        <w:jc w:val="both"/>
        <w:rPr>
          <w:rFonts w:ascii="宋体" w:hAnsi="宋体" w:eastAsia="宋体" w:cs="宋体"/>
          <w:sz w:val="24"/>
          <w:szCs w:val="24"/>
        </w:rPr>
      </w:pPr>
      <w:r>
        <w:rPr>
          <w:rFonts w:ascii="宋体" w:hAnsi="宋体" w:eastAsia="宋体" w:cs="宋体"/>
          <w:spacing w:val="2"/>
          <w:sz w:val="24"/>
          <w:szCs w:val="24"/>
        </w:rPr>
        <w:t>本项目养殖场的猪只粪污有机肥发酵车间处理后，制成有机肥半成品，外售给</w:t>
      </w:r>
      <w:r>
        <w:rPr>
          <w:rFonts w:ascii="宋体" w:hAnsi="宋体" w:eastAsia="宋体" w:cs="宋体"/>
          <w:spacing w:val="9"/>
          <w:sz w:val="24"/>
          <w:szCs w:val="24"/>
        </w:rPr>
        <w:t xml:space="preserve"> </w:t>
      </w:r>
      <w:r>
        <w:rPr>
          <w:rFonts w:ascii="宋体" w:hAnsi="宋体" w:eastAsia="宋体" w:cs="宋体"/>
          <w:spacing w:val="2"/>
          <w:sz w:val="24"/>
          <w:szCs w:val="24"/>
        </w:rPr>
        <w:t>肥料生产企业进行进一步加工制作有机肥。病死猪尸体按《病死及病害动物无害化</w:t>
      </w:r>
      <w:r>
        <w:rPr>
          <w:rFonts w:ascii="宋体" w:hAnsi="宋体" w:eastAsia="宋体" w:cs="宋体"/>
          <w:spacing w:val="3"/>
          <w:sz w:val="24"/>
          <w:szCs w:val="24"/>
        </w:rPr>
        <w:t xml:space="preserve"> </w:t>
      </w:r>
      <w:r>
        <w:rPr>
          <w:rFonts w:ascii="宋体" w:hAnsi="宋体" w:eastAsia="宋体" w:cs="宋体"/>
          <w:spacing w:val="12"/>
          <w:sz w:val="24"/>
          <w:szCs w:val="24"/>
        </w:rPr>
        <w:t>处理技术规范》</w:t>
      </w:r>
      <w:r>
        <w:rPr>
          <w:rFonts w:ascii="宋体" w:hAnsi="宋体" w:eastAsia="宋体" w:cs="宋体"/>
          <w:spacing w:val="-89"/>
          <w:sz w:val="24"/>
          <w:szCs w:val="24"/>
        </w:rPr>
        <w:t xml:space="preserve"> </w:t>
      </w:r>
      <w:r>
        <w:rPr>
          <w:rFonts w:ascii="宋体" w:hAnsi="宋体" w:eastAsia="宋体" w:cs="宋体"/>
          <w:spacing w:val="12"/>
          <w:sz w:val="24"/>
          <w:szCs w:val="24"/>
        </w:rPr>
        <w:t>（农医发〔</w:t>
      </w:r>
      <w:r>
        <w:rPr>
          <w:rFonts w:ascii="Times New Roman" w:hAnsi="Times New Roman" w:eastAsia="Times New Roman" w:cs="Times New Roman"/>
          <w:spacing w:val="12"/>
          <w:sz w:val="24"/>
          <w:szCs w:val="24"/>
        </w:rPr>
        <w:t>2017</w:t>
      </w:r>
      <w:r>
        <w:rPr>
          <w:rFonts w:ascii="宋体" w:hAnsi="宋体" w:eastAsia="宋体" w:cs="宋体"/>
          <w:spacing w:val="12"/>
          <w:sz w:val="24"/>
          <w:szCs w:val="24"/>
        </w:rPr>
        <w:t>〕</w:t>
      </w:r>
      <w:r>
        <w:rPr>
          <w:rFonts w:ascii="Times New Roman" w:hAnsi="Times New Roman" w:eastAsia="Times New Roman" w:cs="Times New Roman"/>
          <w:spacing w:val="12"/>
          <w:sz w:val="24"/>
          <w:szCs w:val="24"/>
        </w:rPr>
        <w:t>25</w:t>
      </w:r>
      <w:r>
        <w:rPr>
          <w:rFonts w:ascii="Times New Roman" w:hAnsi="Times New Roman" w:eastAsia="Times New Roman" w:cs="Times New Roman"/>
          <w:spacing w:val="29"/>
          <w:w w:val="101"/>
          <w:sz w:val="24"/>
          <w:szCs w:val="24"/>
        </w:rPr>
        <w:t xml:space="preserve"> </w:t>
      </w:r>
      <w:r>
        <w:rPr>
          <w:rFonts w:ascii="宋体" w:hAnsi="宋体" w:eastAsia="宋体" w:cs="宋体"/>
          <w:spacing w:val="12"/>
          <w:sz w:val="24"/>
          <w:szCs w:val="24"/>
        </w:rPr>
        <w:t>号）</w:t>
      </w:r>
      <w:r>
        <w:rPr>
          <w:rFonts w:ascii="宋体" w:hAnsi="宋体" w:eastAsia="宋体" w:cs="宋体"/>
          <w:spacing w:val="11"/>
          <w:sz w:val="24"/>
          <w:szCs w:val="24"/>
        </w:rPr>
        <w:t>和《畜禽养殖业污染防治技术规范》</w:t>
      </w:r>
      <w:r>
        <w:rPr>
          <w:rFonts w:ascii="宋体" w:hAnsi="宋体" w:eastAsia="宋体" w:cs="宋体"/>
          <w:sz w:val="24"/>
          <w:szCs w:val="24"/>
        </w:rPr>
        <w:t xml:space="preserve"> （</w:t>
      </w:r>
      <w:r>
        <w:rPr>
          <w:rFonts w:ascii="Times New Roman" w:hAnsi="Times New Roman" w:eastAsia="Times New Roman" w:cs="Times New Roman"/>
          <w:sz w:val="24"/>
          <w:szCs w:val="24"/>
        </w:rPr>
        <w:t>HJ/T81-2001</w:t>
      </w:r>
      <w:r>
        <w:rPr>
          <w:rFonts w:ascii="宋体" w:hAnsi="宋体" w:eastAsia="宋体" w:cs="宋体"/>
          <w:sz w:val="24"/>
          <w:szCs w:val="24"/>
        </w:rPr>
        <w:t xml:space="preserve">）进行安全填埋处理。生活垃圾设置固定的垃圾堆放点，定期由环卫 </w:t>
      </w:r>
      <w:r>
        <w:rPr>
          <w:rFonts w:ascii="宋体" w:hAnsi="宋体" w:eastAsia="宋体" w:cs="宋体"/>
          <w:spacing w:val="2"/>
          <w:sz w:val="24"/>
          <w:szCs w:val="24"/>
        </w:rPr>
        <w:t>部门清运处理。疫苗针头等医疗废物设置专用储存容器，并存放于隔离间，收集到</w:t>
      </w:r>
      <w:r>
        <w:rPr>
          <w:rFonts w:ascii="宋体" w:hAnsi="宋体" w:eastAsia="宋体" w:cs="宋体"/>
          <w:spacing w:val="6"/>
          <w:sz w:val="24"/>
          <w:szCs w:val="24"/>
        </w:rPr>
        <w:t xml:space="preserve"> </w:t>
      </w:r>
      <w:r>
        <w:rPr>
          <w:rFonts w:ascii="宋体" w:hAnsi="宋体" w:eastAsia="宋体" w:cs="宋体"/>
          <w:spacing w:val="2"/>
          <w:sz w:val="24"/>
          <w:szCs w:val="24"/>
        </w:rPr>
        <w:t>一定数量后交由有资质单位进行安全处置。废包装物收集后交由供应商处理。经上</w:t>
      </w:r>
      <w:r>
        <w:rPr>
          <w:rFonts w:ascii="宋体" w:hAnsi="宋体" w:eastAsia="宋体" w:cs="宋体"/>
          <w:spacing w:val="6"/>
          <w:sz w:val="24"/>
          <w:szCs w:val="24"/>
        </w:rPr>
        <w:t xml:space="preserve"> </w:t>
      </w:r>
      <w:r>
        <w:rPr>
          <w:rFonts w:ascii="宋体" w:hAnsi="宋体" w:eastAsia="宋体" w:cs="宋体"/>
          <w:spacing w:val="-1"/>
          <w:sz w:val="24"/>
          <w:szCs w:val="24"/>
        </w:rPr>
        <w:t>述处理后，本项目产生固体废物不会对环境造成明显不良影响。</w:t>
      </w:r>
    </w:p>
    <w:p w14:paraId="04F3F395">
      <w:pPr>
        <w:pStyle w:val="2"/>
        <w:spacing w:line="254" w:lineRule="auto"/>
      </w:pPr>
    </w:p>
    <w:p w14:paraId="037CECAD">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5.2.6</w:t>
      </w:r>
      <w:r>
        <w:rPr>
          <w:rFonts w:ascii="宋体" w:hAnsi="宋体" w:eastAsia="宋体" w:cs="宋体"/>
          <w:b/>
          <w:bCs/>
          <w:spacing w:val="-2"/>
          <w:sz w:val="24"/>
          <w:szCs w:val="24"/>
        </w:rPr>
        <w:t>土壤环境影响评价</w:t>
      </w:r>
    </w:p>
    <w:p w14:paraId="2703B694">
      <w:pPr>
        <w:pStyle w:val="2"/>
        <w:spacing w:line="280" w:lineRule="auto"/>
      </w:pPr>
    </w:p>
    <w:p w14:paraId="54525A42">
      <w:pPr>
        <w:spacing w:before="78" w:line="375" w:lineRule="auto"/>
        <w:ind w:left="3" w:right="2" w:firstLine="422"/>
        <w:jc w:val="both"/>
        <w:rPr>
          <w:rFonts w:ascii="宋体" w:hAnsi="宋体" w:eastAsia="宋体" w:cs="宋体"/>
          <w:sz w:val="24"/>
          <w:szCs w:val="24"/>
        </w:rPr>
      </w:pPr>
      <w:r>
        <w:rPr>
          <w:rFonts w:ascii="宋体" w:hAnsi="宋体" w:eastAsia="宋体" w:cs="宋体"/>
          <w:sz w:val="24"/>
          <w:szCs w:val="24"/>
        </w:rPr>
        <w:t>根据项目土壤现状检测报告，项目所在地土壤</w:t>
      </w:r>
      <w:r>
        <w:rPr>
          <w:rFonts w:ascii="宋体" w:hAnsi="宋体" w:eastAsia="宋体" w:cs="宋体"/>
          <w:spacing w:val="-61"/>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，无酸化或碱化。</w:t>
      </w:r>
      <w:r>
        <w:rPr>
          <w:rFonts w:ascii="宋体" w:hAnsi="宋体" w:eastAsia="宋体" w:cs="宋体"/>
          <w:spacing w:val="-1"/>
          <w:sz w:val="24"/>
          <w:szCs w:val="24"/>
        </w:rPr>
        <w:t>从生态影响</w:t>
      </w:r>
      <w:r>
        <w:rPr>
          <w:rFonts w:ascii="宋体" w:hAnsi="宋体" w:eastAsia="宋体" w:cs="宋体"/>
          <w:sz w:val="24"/>
          <w:szCs w:val="24"/>
        </w:rPr>
        <w:t xml:space="preserve"> </w:t>
      </w:r>
      <w:r>
        <w:rPr>
          <w:rFonts w:ascii="宋体" w:hAnsi="宋体" w:eastAsia="宋体" w:cs="宋体"/>
          <w:spacing w:val="2"/>
          <w:sz w:val="24"/>
          <w:szCs w:val="24"/>
        </w:rPr>
        <w:t>型方面考虑，敏感程度为不敏感，生态影响型土壤环境影响评价工作等级为可不开</w:t>
      </w:r>
      <w:r>
        <w:rPr>
          <w:rFonts w:ascii="宋体" w:hAnsi="宋体" w:eastAsia="宋体" w:cs="宋体"/>
          <w:spacing w:val="4"/>
          <w:sz w:val="24"/>
          <w:szCs w:val="24"/>
        </w:rPr>
        <w:t xml:space="preserve"> </w:t>
      </w:r>
      <w:r>
        <w:rPr>
          <w:rFonts w:ascii="宋体" w:hAnsi="宋体" w:eastAsia="宋体" w:cs="宋体"/>
          <w:spacing w:val="-2"/>
          <w:sz w:val="24"/>
          <w:szCs w:val="24"/>
        </w:rPr>
        <w:t>展土壤环境影响工作。</w:t>
      </w:r>
    </w:p>
    <w:p w14:paraId="506D98D9">
      <w:pPr>
        <w:spacing w:before="7" w:line="374" w:lineRule="auto"/>
        <w:ind w:left="1" w:right="2" w:firstLine="480"/>
        <w:jc w:val="both"/>
        <w:rPr>
          <w:rFonts w:ascii="宋体" w:hAnsi="宋体" w:eastAsia="宋体" w:cs="宋体"/>
          <w:sz w:val="24"/>
          <w:szCs w:val="24"/>
        </w:rPr>
      </w:pPr>
      <w:r>
        <w:rPr>
          <w:rFonts w:ascii="宋体" w:hAnsi="宋体" w:eastAsia="宋体" w:cs="宋体"/>
          <w:spacing w:val="2"/>
          <w:sz w:val="24"/>
          <w:szCs w:val="24"/>
        </w:rPr>
        <w:t>本项目猪只尿液、猪舍冲洗水与猪只粪便一起收集后，经异位发酵床技术处理</w:t>
      </w:r>
      <w:r>
        <w:rPr>
          <w:rFonts w:ascii="宋体" w:hAnsi="宋体" w:eastAsia="宋体" w:cs="宋体"/>
          <w:spacing w:val="9"/>
          <w:sz w:val="24"/>
          <w:szCs w:val="24"/>
        </w:rPr>
        <w:t xml:space="preserve"> </w:t>
      </w:r>
      <w:r>
        <w:rPr>
          <w:rFonts w:ascii="宋体" w:hAnsi="宋体" w:eastAsia="宋体" w:cs="宋体"/>
          <w:spacing w:val="2"/>
          <w:sz w:val="24"/>
          <w:szCs w:val="24"/>
        </w:rPr>
        <w:t>后制成有机肥半成品后，外售给肥料公司进行进一步处理加工成有机肥。为防治粪</w:t>
      </w:r>
      <w:r>
        <w:rPr>
          <w:rFonts w:ascii="宋体" w:hAnsi="宋体" w:eastAsia="宋体" w:cs="宋体"/>
          <w:spacing w:val="6"/>
          <w:sz w:val="24"/>
          <w:szCs w:val="24"/>
        </w:rPr>
        <w:t xml:space="preserve"> </w:t>
      </w:r>
      <w:r>
        <w:rPr>
          <w:rFonts w:ascii="宋体" w:hAnsi="宋体" w:eastAsia="宋体" w:cs="宋体"/>
          <w:spacing w:val="2"/>
          <w:sz w:val="24"/>
          <w:szCs w:val="24"/>
        </w:rPr>
        <w:t>污输送管线破损对区域内浅层地下水和土壤产生污染影响，企业应选用优质管材，</w:t>
      </w:r>
      <w:r>
        <w:rPr>
          <w:rFonts w:ascii="宋体" w:hAnsi="宋体" w:eastAsia="宋体" w:cs="宋体"/>
          <w:spacing w:val="6"/>
          <w:sz w:val="24"/>
          <w:szCs w:val="24"/>
        </w:rPr>
        <w:t xml:space="preserve"> </w:t>
      </w:r>
      <w:r>
        <w:rPr>
          <w:rFonts w:ascii="宋体" w:hAnsi="宋体" w:eastAsia="宋体" w:cs="宋体"/>
          <w:spacing w:val="2"/>
          <w:sz w:val="24"/>
          <w:szCs w:val="24"/>
        </w:rPr>
        <w:t>减少管道破裂的机率；加强管理，做好管道的维护工作，发现破裂时能及时做应急</w:t>
      </w:r>
      <w:r>
        <w:rPr>
          <w:rFonts w:ascii="宋体" w:hAnsi="宋体" w:eastAsia="宋体" w:cs="宋体"/>
          <w:spacing w:val="6"/>
          <w:sz w:val="24"/>
          <w:szCs w:val="24"/>
        </w:rPr>
        <w:t xml:space="preserve"> </w:t>
      </w:r>
      <w:r>
        <w:rPr>
          <w:rFonts w:ascii="宋体" w:hAnsi="宋体" w:eastAsia="宋体" w:cs="宋体"/>
          <w:spacing w:val="2"/>
          <w:sz w:val="24"/>
          <w:szCs w:val="24"/>
        </w:rPr>
        <w:t>处理。安排专人管理，落实足够的运行管理经费，制定切实可行的管理规章和工程</w:t>
      </w:r>
      <w:r>
        <w:rPr>
          <w:rFonts w:ascii="宋体" w:hAnsi="宋体" w:eastAsia="宋体" w:cs="宋体"/>
          <w:spacing w:val="6"/>
          <w:sz w:val="24"/>
          <w:szCs w:val="24"/>
        </w:rPr>
        <w:t xml:space="preserve"> </w:t>
      </w:r>
      <w:r>
        <w:rPr>
          <w:rFonts w:ascii="宋体" w:hAnsi="宋体" w:eastAsia="宋体" w:cs="宋体"/>
          <w:spacing w:val="1"/>
          <w:sz w:val="24"/>
          <w:szCs w:val="24"/>
        </w:rPr>
        <w:t>维修养护制度，并对管理人员进行技术培训和岗位考核。同时指定</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人负责</w:t>
      </w:r>
      <w:r>
        <w:rPr>
          <w:rFonts w:ascii="宋体" w:hAnsi="宋体" w:eastAsia="宋体" w:cs="宋体"/>
          <w:sz w:val="24"/>
          <w:szCs w:val="24"/>
        </w:rPr>
        <w:t>整个场 区的粪污利用工作，同时建立台账制度，责任到人，严格</w:t>
      </w:r>
      <w:r>
        <w:rPr>
          <w:rFonts w:ascii="宋体" w:hAnsi="宋体" w:eastAsia="宋体" w:cs="宋体"/>
          <w:spacing w:val="-1"/>
          <w:sz w:val="24"/>
          <w:szCs w:val="24"/>
        </w:rPr>
        <w:t>记录粪污发酵情况情况。</w:t>
      </w:r>
    </w:p>
    <w:p w14:paraId="5E8440E9">
      <w:pPr>
        <w:spacing w:before="18" w:line="376" w:lineRule="auto"/>
        <w:ind w:right="2" w:firstLine="481"/>
        <w:jc w:val="both"/>
        <w:rPr>
          <w:rFonts w:ascii="宋体" w:hAnsi="宋体" w:eastAsia="宋体" w:cs="宋体"/>
          <w:sz w:val="24"/>
          <w:szCs w:val="24"/>
        </w:rPr>
      </w:pPr>
      <w:r>
        <w:rPr>
          <w:rFonts w:ascii="宋体" w:hAnsi="宋体" w:eastAsia="宋体" w:cs="宋体"/>
          <w:spacing w:val="2"/>
          <w:sz w:val="24"/>
          <w:szCs w:val="24"/>
        </w:rPr>
        <w:t>本项目运营期产生的固体废物主要为猪粪、病死猪尸体，医疗废物、生活垃圾</w:t>
      </w:r>
      <w:r>
        <w:rPr>
          <w:rFonts w:ascii="宋体" w:hAnsi="宋体" w:eastAsia="宋体" w:cs="宋体"/>
          <w:spacing w:val="9"/>
          <w:sz w:val="24"/>
          <w:szCs w:val="24"/>
        </w:rPr>
        <w:t xml:space="preserve"> </w:t>
      </w:r>
      <w:r>
        <w:rPr>
          <w:rFonts w:ascii="宋体" w:hAnsi="宋体" w:eastAsia="宋体" w:cs="宋体"/>
          <w:spacing w:val="2"/>
          <w:sz w:val="24"/>
          <w:szCs w:val="24"/>
        </w:rPr>
        <w:t>等。猪粪进行发酵处理，病死猪尸体进行安全填埋处理，医疗废物储存在场内医疗</w:t>
      </w:r>
      <w:r>
        <w:rPr>
          <w:rFonts w:ascii="宋体" w:hAnsi="宋体" w:eastAsia="宋体" w:cs="宋体"/>
          <w:spacing w:val="7"/>
          <w:sz w:val="24"/>
          <w:szCs w:val="24"/>
        </w:rPr>
        <w:t xml:space="preserve"> </w:t>
      </w:r>
      <w:r>
        <w:rPr>
          <w:rFonts w:ascii="宋体" w:hAnsi="宋体" w:eastAsia="宋体" w:cs="宋体"/>
          <w:spacing w:val="2"/>
          <w:sz w:val="24"/>
          <w:szCs w:val="24"/>
        </w:rPr>
        <w:t>废物暂存间，定期交由有资质单位处置，生活垃圾由环卫部门清运处理。安全填埋</w:t>
      </w:r>
      <w:r>
        <w:rPr>
          <w:rFonts w:ascii="宋体" w:hAnsi="宋体" w:eastAsia="宋体" w:cs="宋体"/>
          <w:spacing w:val="7"/>
          <w:sz w:val="24"/>
          <w:szCs w:val="24"/>
        </w:rPr>
        <w:t xml:space="preserve"> </w:t>
      </w:r>
      <w:r>
        <w:rPr>
          <w:rFonts w:ascii="宋体" w:hAnsi="宋体" w:eastAsia="宋体" w:cs="宋体"/>
          <w:spacing w:val="2"/>
          <w:sz w:val="24"/>
          <w:szCs w:val="24"/>
        </w:rPr>
        <w:t>井、有机肥发酵车间、医疗废物暂存间进行防渗处理，因此项目物料存放过程不会</w:t>
      </w:r>
      <w:r>
        <w:rPr>
          <w:rFonts w:ascii="宋体" w:hAnsi="宋体" w:eastAsia="宋体" w:cs="宋体"/>
          <w:spacing w:val="7"/>
          <w:sz w:val="24"/>
          <w:szCs w:val="24"/>
        </w:rPr>
        <w:t xml:space="preserve"> </w:t>
      </w:r>
      <w:r>
        <w:rPr>
          <w:rFonts w:ascii="宋体" w:hAnsi="宋体" w:eastAsia="宋体" w:cs="宋体"/>
          <w:spacing w:val="-2"/>
          <w:sz w:val="24"/>
          <w:szCs w:val="24"/>
        </w:rPr>
        <w:t>对土壤造成影响。</w:t>
      </w:r>
    </w:p>
    <w:p w14:paraId="4F616853">
      <w:pPr>
        <w:spacing w:line="219" w:lineRule="auto"/>
        <w:ind w:left="483"/>
        <w:rPr>
          <w:rFonts w:ascii="宋体" w:hAnsi="宋体" w:eastAsia="宋体" w:cs="宋体"/>
          <w:sz w:val="24"/>
          <w:szCs w:val="24"/>
        </w:rPr>
      </w:pPr>
      <w:r>
        <w:rPr>
          <w:rFonts w:ascii="宋体" w:hAnsi="宋体" w:eastAsia="宋体" w:cs="宋体"/>
          <w:spacing w:val="-1"/>
          <w:sz w:val="24"/>
          <w:szCs w:val="24"/>
        </w:rPr>
        <w:t>落实以上措施后，本项目运营期对土壤环境影响较小。</w:t>
      </w:r>
    </w:p>
    <w:p w14:paraId="5B6CA9AD">
      <w:pPr>
        <w:spacing w:line="219" w:lineRule="auto"/>
        <w:rPr>
          <w:rFonts w:ascii="宋体" w:hAnsi="宋体" w:eastAsia="宋体" w:cs="宋体"/>
          <w:sz w:val="24"/>
          <w:szCs w:val="24"/>
        </w:rPr>
        <w:sectPr>
          <w:footerReference r:id="rId145" w:type="default"/>
          <w:pgSz w:w="11906" w:h="16839"/>
          <w:pgMar w:top="400" w:right="1586" w:bottom="1485" w:left="1596" w:header="0" w:footer="1249" w:gutter="0"/>
          <w:cols w:space="720" w:num="1"/>
        </w:sectPr>
      </w:pPr>
    </w:p>
    <w:p w14:paraId="5DD24A37">
      <w:pPr>
        <w:pStyle w:val="2"/>
        <w:spacing w:line="273" w:lineRule="auto"/>
      </w:pPr>
    </w:p>
    <w:p w14:paraId="5616EAF0">
      <w:pPr>
        <w:pStyle w:val="2"/>
        <w:spacing w:line="274" w:lineRule="auto"/>
      </w:pPr>
    </w:p>
    <w:p w14:paraId="1CC820FA">
      <w:pPr>
        <w:pStyle w:val="2"/>
        <w:spacing w:line="274" w:lineRule="auto"/>
      </w:pPr>
    </w:p>
    <w:p w14:paraId="2B28C12D">
      <w:pPr>
        <w:pStyle w:val="2"/>
        <w:spacing w:line="274" w:lineRule="auto"/>
      </w:pPr>
    </w:p>
    <w:p w14:paraId="4EDA5A4D">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5.2.7</w:t>
      </w:r>
      <w:r>
        <w:rPr>
          <w:rFonts w:ascii="宋体" w:hAnsi="宋体" w:eastAsia="宋体" w:cs="宋体"/>
          <w:b/>
          <w:bCs/>
          <w:spacing w:val="-2"/>
          <w:sz w:val="24"/>
          <w:szCs w:val="24"/>
        </w:rPr>
        <w:t>生态环境影响评价</w:t>
      </w:r>
    </w:p>
    <w:p w14:paraId="35CFE8B3">
      <w:pPr>
        <w:pStyle w:val="2"/>
        <w:spacing w:line="281" w:lineRule="auto"/>
      </w:pPr>
    </w:p>
    <w:p w14:paraId="595FB265">
      <w:pPr>
        <w:spacing w:before="78" w:line="376" w:lineRule="auto"/>
        <w:ind w:left="2" w:right="63" w:firstLine="482"/>
        <w:jc w:val="both"/>
        <w:rPr>
          <w:rFonts w:ascii="宋体" w:hAnsi="宋体" w:eastAsia="宋体" w:cs="宋体"/>
          <w:sz w:val="24"/>
          <w:szCs w:val="24"/>
        </w:rPr>
      </w:pPr>
      <w:r>
        <w:rPr>
          <w:rFonts w:ascii="宋体" w:hAnsi="宋体" w:eastAsia="宋体" w:cs="宋体"/>
          <w:spacing w:val="2"/>
          <w:sz w:val="24"/>
          <w:szCs w:val="24"/>
        </w:rPr>
        <w:t>项目周边生物主要为灌丛、裸地、林地等。根据我国对畜禽养殖选址的要求，</w:t>
      </w:r>
      <w:r>
        <w:rPr>
          <w:rFonts w:ascii="宋体" w:hAnsi="宋体" w:eastAsia="宋体" w:cs="宋体"/>
          <w:spacing w:val="6"/>
          <w:sz w:val="24"/>
          <w:szCs w:val="24"/>
        </w:rPr>
        <w:t xml:space="preserve"> </w:t>
      </w:r>
      <w:r>
        <w:rPr>
          <w:rFonts w:ascii="宋体" w:hAnsi="宋体" w:eastAsia="宋体" w:cs="宋体"/>
          <w:spacing w:val="2"/>
          <w:sz w:val="24"/>
          <w:szCs w:val="24"/>
        </w:rPr>
        <w:t>本项目所在区域不属于自然保护区、生态脆弱区、考古或历史用地，仅仅是一般的</w:t>
      </w:r>
      <w:r>
        <w:rPr>
          <w:rFonts w:ascii="宋体" w:hAnsi="宋体" w:eastAsia="宋体" w:cs="宋体"/>
          <w:spacing w:val="5"/>
          <w:sz w:val="24"/>
          <w:szCs w:val="24"/>
        </w:rPr>
        <w:t xml:space="preserve"> </w:t>
      </w:r>
      <w:r>
        <w:rPr>
          <w:rFonts w:ascii="宋体" w:hAnsi="宋体" w:eastAsia="宋体" w:cs="宋体"/>
          <w:spacing w:val="-1"/>
          <w:sz w:val="24"/>
          <w:szCs w:val="24"/>
        </w:rPr>
        <w:t>旱地，项目周边林木较为单一。</w:t>
      </w:r>
    </w:p>
    <w:p w14:paraId="7EB20CA0">
      <w:pPr>
        <w:spacing w:before="1" w:line="376" w:lineRule="auto"/>
        <w:ind w:left="2" w:right="63" w:firstLine="480"/>
        <w:rPr>
          <w:rFonts w:ascii="宋体" w:hAnsi="宋体" w:eastAsia="宋体" w:cs="宋体"/>
          <w:sz w:val="24"/>
          <w:szCs w:val="24"/>
        </w:rPr>
      </w:pPr>
      <w:r>
        <w:rPr>
          <w:rFonts w:ascii="宋体" w:hAnsi="宋体" w:eastAsia="宋体" w:cs="宋体"/>
          <w:spacing w:val="2"/>
          <w:sz w:val="24"/>
          <w:szCs w:val="24"/>
        </w:rPr>
        <w:t>本项目由于厂区道路建设、办公、住宿、仓储及猪舍等用房的建设，改变了部</w:t>
      </w:r>
      <w:r>
        <w:rPr>
          <w:rFonts w:ascii="宋体" w:hAnsi="宋体" w:eastAsia="宋体" w:cs="宋体"/>
          <w:spacing w:val="9"/>
          <w:sz w:val="24"/>
          <w:szCs w:val="24"/>
        </w:rPr>
        <w:t xml:space="preserve"> </w:t>
      </w:r>
      <w:r>
        <w:rPr>
          <w:rFonts w:ascii="宋体" w:hAnsi="宋体" w:eastAsia="宋体" w:cs="宋体"/>
          <w:spacing w:val="2"/>
          <w:sz w:val="24"/>
          <w:szCs w:val="24"/>
        </w:rPr>
        <w:t>分原有地面现状，产生的临时土石方可能会导致一定量的水土流失。施工对生态及</w:t>
      </w:r>
      <w:r>
        <w:rPr>
          <w:rFonts w:ascii="宋体" w:hAnsi="宋体" w:eastAsia="宋体" w:cs="宋体"/>
          <w:spacing w:val="5"/>
          <w:sz w:val="24"/>
          <w:szCs w:val="24"/>
        </w:rPr>
        <w:t xml:space="preserve"> </w:t>
      </w:r>
      <w:r>
        <w:rPr>
          <w:rFonts w:ascii="宋体" w:hAnsi="宋体" w:eastAsia="宋体" w:cs="宋体"/>
          <w:spacing w:val="2"/>
          <w:sz w:val="24"/>
          <w:szCs w:val="24"/>
        </w:rPr>
        <w:t>植被的影响主要包括地基开挖及回填、施工人员活动等引起的原有植被及土壤性质</w:t>
      </w:r>
      <w:r>
        <w:rPr>
          <w:rFonts w:ascii="宋体" w:hAnsi="宋体" w:eastAsia="宋体" w:cs="宋体"/>
          <w:spacing w:val="5"/>
          <w:sz w:val="24"/>
          <w:szCs w:val="24"/>
        </w:rPr>
        <w:t xml:space="preserve"> </w:t>
      </w:r>
      <w:r>
        <w:rPr>
          <w:rFonts w:ascii="宋体" w:hAnsi="宋体" w:eastAsia="宋体" w:cs="宋体"/>
          <w:spacing w:val="2"/>
          <w:sz w:val="24"/>
          <w:szCs w:val="24"/>
        </w:rPr>
        <w:t>的变化，施工引起的水土流失等。在施工过程中会造成地面裸露，造成土壤侵蚀、</w:t>
      </w:r>
      <w:r>
        <w:rPr>
          <w:rFonts w:ascii="宋体" w:hAnsi="宋体" w:eastAsia="宋体" w:cs="宋体"/>
          <w:spacing w:val="5"/>
          <w:sz w:val="24"/>
          <w:szCs w:val="24"/>
        </w:rPr>
        <w:t xml:space="preserve"> </w:t>
      </w:r>
      <w:r>
        <w:rPr>
          <w:rFonts w:ascii="宋体" w:hAnsi="宋体" w:eastAsia="宋体" w:cs="宋体"/>
          <w:spacing w:val="-2"/>
          <w:sz w:val="24"/>
          <w:szCs w:val="24"/>
        </w:rPr>
        <w:t>植被破坏和水土流失。</w:t>
      </w:r>
    </w:p>
    <w:p w14:paraId="21E08239">
      <w:pPr>
        <w:spacing w:before="1" w:line="375" w:lineRule="auto"/>
        <w:ind w:left="2" w:right="63" w:firstLine="480"/>
        <w:rPr>
          <w:rFonts w:ascii="宋体" w:hAnsi="宋体" w:eastAsia="宋体" w:cs="宋体"/>
          <w:sz w:val="24"/>
          <w:szCs w:val="24"/>
        </w:rPr>
      </w:pPr>
      <w:r>
        <w:rPr>
          <w:rFonts w:ascii="宋体" w:hAnsi="宋体" w:eastAsia="宋体" w:cs="宋体"/>
          <w:spacing w:val="2"/>
          <w:sz w:val="24"/>
          <w:szCs w:val="24"/>
        </w:rPr>
        <w:t>本项目建设区域无自然风景区等敏感区域，工程的施工不会对自然风景区等环</w:t>
      </w:r>
      <w:r>
        <w:rPr>
          <w:rFonts w:ascii="宋体" w:hAnsi="宋体" w:eastAsia="宋体" w:cs="宋体"/>
          <w:spacing w:val="9"/>
          <w:sz w:val="24"/>
          <w:szCs w:val="24"/>
        </w:rPr>
        <w:t xml:space="preserve"> </w:t>
      </w:r>
      <w:r>
        <w:rPr>
          <w:rFonts w:ascii="宋体" w:hAnsi="宋体" w:eastAsia="宋体" w:cs="宋体"/>
          <w:spacing w:val="-2"/>
          <w:sz w:val="24"/>
          <w:szCs w:val="24"/>
        </w:rPr>
        <w:t>境保护目标造成影响。</w:t>
      </w:r>
    </w:p>
    <w:p w14:paraId="252B8D5E">
      <w:pPr>
        <w:spacing w:before="1" w:line="376" w:lineRule="auto"/>
        <w:ind w:right="63" w:firstLine="480"/>
        <w:jc w:val="both"/>
        <w:rPr>
          <w:rFonts w:ascii="宋体" w:hAnsi="宋体" w:eastAsia="宋体" w:cs="宋体"/>
          <w:sz w:val="24"/>
          <w:szCs w:val="24"/>
        </w:rPr>
      </w:pPr>
      <w:r>
        <w:rPr>
          <w:rFonts w:ascii="宋体" w:hAnsi="宋体" w:eastAsia="宋体" w:cs="宋体"/>
          <w:spacing w:val="2"/>
          <w:sz w:val="24"/>
          <w:szCs w:val="24"/>
        </w:rPr>
        <w:t>通过进行合理施工布置，精心组织施工管理，严格将工程施工区控制在最小范</w:t>
      </w:r>
      <w:r>
        <w:rPr>
          <w:rFonts w:ascii="宋体" w:hAnsi="宋体" w:eastAsia="宋体" w:cs="宋体"/>
          <w:spacing w:val="10"/>
          <w:sz w:val="24"/>
          <w:szCs w:val="24"/>
        </w:rPr>
        <w:t xml:space="preserve"> </w:t>
      </w:r>
      <w:r>
        <w:rPr>
          <w:rFonts w:ascii="宋体" w:hAnsi="宋体" w:eastAsia="宋体" w:cs="宋体"/>
          <w:spacing w:val="2"/>
          <w:sz w:val="24"/>
          <w:szCs w:val="24"/>
        </w:rPr>
        <w:t>围内；施工后进行地貌、植被恢复，以植被护土，防止或减轻水土流失；做好现场</w:t>
      </w:r>
      <w:r>
        <w:rPr>
          <w:rFonts w:ascii="宋体" w:hAnsi="宋体" w:eastAsia="宋体" w:cs="宋体"/>
          <w:spacing w:val="7"/>
          <w:sz w:val="24"/>
          <w:szCs w:val="24"/>
        </w:rPr>
        <w:t xml:space="preserve"> </w:t>
      </w:r>
      <w:r>
        <w:rPr>
          <w:rFonts w:ascii="宋体" w:hAnsi="宋体" w:eastAsia="宋体" w:cs="宋体"/>
          <w:spacing w:val="2"/>
          <w:sz w:val="24"/>
          <w:szCs w:val="24"/>
        </w:rPr>
        <w:t>施工人员的宣传、教育、管理工作，严禁随意砍伐破坏施工区内外的植被；在施工</w:t>
      </w:r>
      <w:r>
        <w:rPr>
          <w:rFonts w:ascii="宋体" w:hAnsi="宋体" w:eastAsia="宋体" w:cs="宋体"/>
          <w:spacing w:val="7"/>
          <w:sz w:val="24"/>
          <w:szCs w:val="24"/>
        </w:rPr>
        <w:t xml:space="preserve"> </w:t>
      </w:r>
      <w:r>
        <w:rPr>
          <w:rFonts w:ascii="宋体" w:hAnsi="宋体" w:eastAsia="宋体" w:cs="宋体"/>
          <w:spacing w:val="2"/>
          <w:sz w:val="24"/>
          <w:szCs w:val="24"/>
        </w:rPr>
        <w:t>过程中，尽量减少开挖量，回填应按原有的土层顺序进行等生态保护措施后，可最</w:t>
      </w:r>
      <w:r>
        <w:rPr>
          <w:rFonts w:ascii="宋体" w:hAnsi="宋体" w:eastAsia="宋体" w:cs="宋体"/>
          <w:spacing w:val="7"/>
          <w:sz w:val="24"/>
          <w:szCs w:val="24"/>
        </w:rPr>
        <w:t xml:space="preserve"> </w:t>
      </w:r>
      <w:r>
        <w:rPr>
          <w:rFonts w:ascii="宋体" w:hAnsi="宋体" w:eastAsia="宋体" w:cs="宋体"/>
          <w:spacing w:val="-1"/>
          <w:sz w:val="24"/>
          <w:szCs w:val="24"/>
        </w:rPr>
        <w:t>大程度的降低本项目建设对生态环境的影响和破坏。</w:t>
      </w:r>
    </w:p>
    <w:p w14:paraId="108E4E42">
      <w:pPr>
        <w:spacing w:before="2" w:line="376" w:lineRule="auto"/>
        <w:ind w:left="3" w:right="63" w:firstLine="481"/>
        <w:rPr>
          <w:rFonts w:ascii="宋体" w:hAnsi="宋体" w:eastAsia="宋体" w:cs="宋体"/>
          <w:sz w:val="24"/>
          <w:szCs w:val="24"/>
        </w:rPr>
      </w:pPr>
      <w:r>
        <w:rPr>
          <w:rFonts w:ascii="宋体" w:hAnsi="宋体" w:eastAsia="宋体" w:cs="宋体"/>
          <w:spacing w:val="2"/>
          <w:sz w:val="24"/>
          <w:szCs w:val="24"/>
        </w:rPr>
        <w:t>项目场区原为林业用地。项目建成后将完全改变土地利用状况，使其变为养殖</w:t>
      </w:r>
      <w:r>
        <w:rPr>
          <w:rFonts w:ascii="宋体" w:hAnsi="宋体" w:eastAsia="宋体" w:cs="宋体"/>
          <w:spacing w:val="6"/>
          <w:sz w:val="24"/>
          <w:szCs w:val="24"/>
        </w:rPr>
        <w:t xml:space="preserve"> </w:t>
      </w:r>
      <w:r>
        <w:rPr>
          <w:rFonts w:ascii="宋体" w:hAnsi="宋体" w:eastAsia="宋体" w:cs="宋体"/>
          <w:spacing w:val="-4"/>
          <w:sz w:val="24"/>
          <w:szCs w:val="24"/>
        </w:rPr>
        <w:t>用地。</w:t>
      </w:r>
    </w:p>
    <w:p w14:paraId="72D29C8E">
      <w:pPr>
        <w:spacing w:before="1" w:line="377" w:lineRule="auto"/>
        <w:ind w:left="1" w:right="63" w:firstLine="482"/>
        <w:jc w:val="both"/>
        <w:rPr>
          <w:rFonts w:ascii="宋体" w:hAnsi="宋体" w:eastAsia="宋体" w:cs="宋体"/>
          <w:sz w:val="24"/>
          <w:szCs w:val="24"/>
        </w:rPr>
      </w:pPr>
      <w:r>
        <w:rPr>
          <w:rFonts w:ascii="宋体" w:hAnsi="宋体" w:eastAsia="宋体" w:cs="宋体"/>
          <w:spacing w:val="2"/>
          <w:sz w:val="24"/>
          <w:szCs w:val="24"/>
        </w:rPr>
        <w:t>综上分析，本项目在施工期间对生态环境产生一定的影响，通过采取相应的生</w:t>
      </w:r>
      <w:r>
        <w:rPr>
          <w:rFonts w:ascii="宋体" w:hAnsi="宋体" w:eastAsia="宋体" w:cs="宋体"/>
          <w:spacing w:val="7"/>
          <w:sz w:val="24"/>
          <w:szCs w:val="24"/>
        </w:rPr>
        <w:t xml:space="preserve"> </w:t>
      </w:r>
      <w:r>
        <w:rPr>
          <w:rFonts w:ascii="宋体" w:hAnsi="宋体" w:eastAsia="宋体" w:cs="宋体"/>
          <w:spacing w:val="2"/>
          <w:sz w:val="24"/>
          <w:szCs w:val="24"/>
        </w:rPr>
        <w:t>态保护和恢复措施，尤其是通过施工管理和强化施工期的保护和恢复，则本项目建</w:t>
      </w:r>
      <w:r>
        <w:rPr>
          <w:rFonts w:ascii="宋体" w:hAnsi="宋体" w:eastAsia="宋体" w:cs="宋体"/>
          <w:spacing w:val="6"/>
          <w:sz w:val="24"/>
          <w:szCs w:val="24"/>
        </w:rPr>
        <w:t xml:space="preserve"> </w:t>
      </w:r>
      <w:r>
        <w:rPr>
          <w:rFonts w:ascii="宋体" w:hAnsi="宋体" w:eastAsia="宋体" w:cs="宋体"/>
          <w:spacing w:val="-1"/>
          <w:sz w:val="24"/>
          <w:szCs w:val="24"/>
        </w:rPr>
        <w:t>设对生态环境影响是可接受的。</w:t>
      </w:r>
    </w:p>
    <w:p w14:paraId="13E32FA7">
      <w:pPr>
        <w:spacing w:before="292"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5.2.8</w:t>
      </w:r>
      <w:r>
        <w:rPr>
          <w:rFonts w:ascii="宋体" w:hAnsi="宋体" w:eastAsia="宋体" w:cs="宋体"/>
          <w:b/>
          <w:bCs/>
          <w:spacing w:val="-2"/>
          <w:sz w:val="24"/>
          <w:szCs w:val="24"/>
        </w:rPr>
        <w:t>环境风险评价</w:t>
      </w:r>
    </w:p>
    <w:p w14:paraId="0209C3CA">
      <w:pPr>
        <w:pStyle w:val="2"/>
        <w:spacing w:line="249" w:lineRule="auto"/>
      </w:pPr>
    </w:p>
    <w:p w14:paraId="22EC1BEB">
      <w:pPr>
        <w:spacing w:before="78" w:line="372" w:lineRule="auto"/>
        <w:ind w:firstLine="482"/>
        <w:jc w:val="both"/>
        <w:rPr>
          <w:rFonts w:ascii="宋体" w:hAnsi="宋体" w:eastAsia="宋体" w:cs="宋体"/>
          <w:sz w:val="24"/>
          <w:szCs w:val="24"/>
        </w:rPr>
      </w:pPr>
      <w:r>
        <w:rPr>
          <w:rFonts w:ascii="宋体" w:hAnsi="宋体" w:eastAsia="宋体" w:cs="宋体"/>
          <w:sz w:val="24"/>
          <w:szCs w:val="24"/>
        </w:rPr>
        <w:t>本次评价将依据《建设项目环境风险评价技术导则》（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169-2018</w:t>
      </w:r>
      <w:r>
        <w:rPr>
          <w:rFonts w:ascii="宋体" w:hAnsi="宋体" w:eastAsia="宋体" w:cs="宋体"/>
          <w:spacing w:val="-1"/>
          <w:sz w:val="24"/>
          <w:szCs w:val="24"/>
        </w:rPr>
        <w:t>）、《关于</w:t>
      </w:r>
      <w:r>
        <w:rPr>
          <w:rFonts w:ascii="宋体" w:hAnsi="宋体" w:eastAsia="宋体" w:cs="宋体"/>
          <w:sz w:val="24"/>
          <w:szCs w:val="24"/>
        </w:rPr>
        <w:t xml:space="preserve">  </w:t>
      </w:r>
      <w:r>
        <w:rPr>
          <w:rFonts w:ascii="宋体" w:hAnsi="宋体" w:eastAsia="宋体" w:cs="宋体"/>
          <w:spacing w:val="-4"/>
          <w:sz w:val="24"/>
          <w:szCs w:val="24"/>
        </w:rPr>
        <w:t>进一步加强环境影响评价管理防范环境风险的通知》（环发〔</w:t>
      </w:r>
      <w:r>
        <w:rPr>
          <w:rFonts w:ascii="Times New Roman" w:hAnsi="Times New Roman" w:eastAsia="Times New Roman" w:cs="Times New Roman"/>
          <w:spacing w:val="-4"/>
          <w:sz w:val="24"/>
          <w:szCs w:val="24"/>
        </w:rPr>
        <w:t>2012</w:t>
      </w:r>
      <w:r>
        <w:rPr>
          <w:rFonts w:ascii="宋体" w:hAnsi="宋体" w:eastAsia="宋体" w:cs="宋体"/>
          <w:spacing w:val="-4"/>
          <w:sz w:val="24"/>
          <w:szCs w:val="24"/>
        </w:rPr>
        <w:t>〕</w:t>
      </w:r>
      <w:r>
        <w:rPr>
          <w:rFonts w:ascii="Times New Roman" w:hAnsi="Times New Roman" w:eastAsia="Times New Roman" w:cs="Times New Roman"/>
          <w:spacing w:val="-4"/>
          <w:sz w:val="24"/>
          <w:szCs w:val="24"/>
        </w:rPr>
        <w:t>77</w:t>
      </w:r>
      <w:r>
        <w:rPr>
          <w:rFonts w:ascii="宋体" w:hAnsi="宋体" w:eastAsia="宋体" w:cs="宋体"/>
          <w:spacing w:val="-4"/>
          <w:sz w:val="24"/>
          <w:szCs w:val="24"/>
        </w:rPr>
        <w:t>）号以及《关</w:t>
      </w:r>
      <w:r>
        <w:rPr>
          <w:rFonts w:ascii="宋体" w:hAnsi="宋体" w:eastAsia="宋体" w:cs="宋体"/>
          <w:sz w:val="24"/>
          <w:szCs w:val="24"/>
        </w:rPr>
        <w:t xml:space="preserve"> </w:t>
      </w:r>
      <w:r>
        <w:rPr>
          <w:rFonts w:ascii="宋体" w:hAnsi="宋体" w:eastAsia="宋体" w:cs="宋体"/>
          <w:spacing w:val="-5"/>
          <w:sz w:val="24"/>
          <w:szCs w:val="24"/>
        </w:rPr>
        <w:t>于切实加强风险防范严格环境影响评价管理的通知》（环发〔</w:t>
      </w:r>
      <w:r>
        <w:rPr>
          <w:rFonts w:ascii="Times New Roman" w:hAnsi="Times New Roman" w:eastAsia="Times New Roman" w:cs="Times New Roman"/>
          <w:spacing w:val="-5"/>
          <w:sz w:val="24"/>
          <w:szCs w:val="24"/>
        </w:rPr>
        <w:t>2012</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98 </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号）的要求，</w:t>
      </w:r>
      <w:r>
        <w:rPr>
          <w:rFonts w:ascii="宋体" w:hAnsi="宋体" w:eastAsia="宋体" w:cs="宋体"/>
          <w:sz w:val="24"/>
          <w:szCs w:val="24"/>
        </w:rPr>
        <w:t xml:space="preserve"> 分析和预测本项目存在的潜在危险、有害因素，对本项目运营</w:t>
      </w:r>
      <w:r>
        <w:rPr>
          <w:rFonts w:ascii="宋体" w:hAnsi="宋体" w:eastAsia="宋体" w:cs="宋体"/>
          <w:spacing w:val="-1"/>
          <w:sz w:val="24"/>
          <w:szCs w:val="24"/>
        </w:rPr>
        <w:t>期间发生的可预测突</w:t>
      </w:r>
      <w:r>
        <w:rPr>
          <w:rFonts w:ascii="宋体" w:hAnsi="宋体" w:eastAsia="宋体" w:cs="宋体"/>
          <w:sz w:val="24"/>
          <w:szCs w:val="24"/>
        </w:rPr>
        <w:t xml:space="preserve">  发性事件或事故（不包括人为破坏及自然灾害印发的事故）引</w:t>
      </w:r>
      <w:r>
        <w:rPr>
          <w:rFonts w:ascii="宋体" w:hAnsi="宋体" w:eastAsia="宋体" w:cs="宋体"/>
          <w:spacing w:val="-1"/>
          <w:sz w:val="24"/>
          <w:szCs w:val="24"/>
        </w:rPr>
        <w:t>起有毒有害、易燃易</w:t>
      </w:r>
    </w:p>
    <w:p w14:paraId="29921658">
      <w:pPr>
        <w:spacing w:line="372" w:lineRule="auto"/>
        <w:rPr>
          <w:rFonts w:ascii="宋体" w:hAnsi="宋体" w:eastAsia="宋体" w:cs="宋体"/>
          <w:sz w:val="24"/>
          <w:szCs w:val="24"/>
        </w:rPr>
        <w:sectPr>
          <w:footerReference r:id="rId146" w:type="default"/>
          <w:pgSz w:w="11906" w:h="16839"/>
          <w:pgMar w:top="400" w:right="1525" w:bottom="1485" w:left="1596" w:header="0" w:footer="1249" w:gutter="0"/>
          <w:cols w:space="720" w:num="1"/>
        </w:sectPr>
      </w:pPr>
    </w:p>
    <w:p w14:paraId="65775BDC">
      <w:pPr>
        <w:pStyle w:val="2"/>
        <w:spacing w:line="264" w:lineRule="auto"/>
      </w:pPr>
    </w:p>
    <w:p w14:paraId="246A0BE8">
      <w:pPr>
        <w:pStyle w:val="2"/>
        <w:spacing w:line="264" w:lineRule="auto"/>
      </w:pPr>
    </w:p>
    <w:p w14:paraId="6D1A3B02">
      <w:pPr>
        <w:pStyle w:val="2"/>
        <w:spacing w:line="264" w:lineRule="auto"/>
      </w:pPr>
    </w:p>
    <w:p w14:paraId="662573A0">
      <w:pPr>
        <w:pStyle w:val="2"/>
        <w:spacing w:line="264" w:lineRule="auto"/>
      </w:pPr>
    </w:p>
    <w:p w14:paraId="0BE6D6E3">
      <w:pPr>
        <w:spacing w:before="78" w:line="377" w:lineRule="auto"/>
        <w:ind w:left="5" w:right="91" w:hanging="5"/>
        <w:jc w:val="both"/>
        <w:rPr>
          <w:rFonts w:ascii="宋体" w:hAnsi="宋体" w:eastAsia="宋体" w:cs="宋体"/>
          <w:sz w:val="24"/>
          <w:szCs w:val="24"/>
        </w:rPr>
      </w:pPr>
      <w:r>
        <w:rPr>
          <w:rFonts w:ascii="宋体" w:hAnsi="宋体" w:eastAsia="宋体" w:cs="宋体"/>
          <w:sz w:val="24"/>
          <w:szCs w:val="24"/>
        </w:rPr>
        <w:t>爆等物质泄漏，或突发事件产生的新的有毒有害物质，所造成的人</w:t>
      </w:r>
      <w:r>
        <w:rPr>
          <w:rFonts w:ascii="宋体" w:hAnsi="宋体" w:eastAsia="宋体" w:cs="宋体"/>
          <w:spacing w:val="-1"/>
          <w:sz w:val="24"/>
          <w:szCs w:val="24"/>
        </w:rPr>
        <w:t>身安全、环境影</w:t>
      </w:r>
      <w:r>
        <w:rPr>
          <w:rFonts w:ascii="宋体" w:hAnsi="宋体" w:eastAsia="宋体" w:cs="宋体"/>
          <w:sz w:val="24"/>
          <w:szCs w:val="24"/>
        </w:rPr>
        <w:t xml:space="preserve"> 响和损害，进行评估，并提出合理可行的防范、应急</w:t>
      </w:r>
      <w:r>
        <w:rPr>
          <w:rFonts w:ascii="宋体" w:hAnsi="宋体" w:eastAsia="宋体" w:cs="宋体"/>
          <w:spacing w:val="-1"/>
          <w:sz w:val="24"/>
          <w:szCs w:val="24"/>
        </w:rPr>
        <w:t>与减缓措施，以使本项目事故</w:t>
      </w:r>
      <w:r>
        <w:rPr>
          <w:rFonts w:ascii="宋体" w:hAnsi="宋体" w:eastAsia="宋体" w:cs="宋体"/>
          <w:sz w:val="24"/>
          <w:szCs w:val="24"/>
        </w:rPr>
        <w:t xml:space="preserve"> </w:t>
      </w:r>
      <w:r>
        <w:rPr>
          <w:rFonts w:ascii="宋体" w:hAnsi="宋体" w:eastAsia="宋体" w:cs="宋体"/>
          <w:spacing w:val="-1"/>
          <w:sz w:val="24"/>
          <w:szCs w:val="24"/>
        </w:rPr>
        <w:t>率、损失和环境影响达到可接受水平。</w:t>
      </w:r>
    </w:p>
    <w:p w14:paraId="2A106854">
      <w:pPr>
        <w:spacing w:before="1" w:line="220" w:lineRule="auto"/>
        <w:ind w:left="490"/>
        <w:rPr>
          <w:rFonts w:ascii="宋体" w:hAnsi="宋体" w:eastAsia="宋体" w:cs="宋体"/>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32"/>
          <w:sz w:val="24"/>
          <w:szCs w:val="24"/>
        </w:rPr>
        <w:t xml:space="preserve"> </w:t>
      </w:r>
      <w:r>
        <w:rPr>
          <w:rFonts w:ascii="宋体" w:hAnsi="宋体" w:eastAsia="宋体" w:cs="宋体"/>
          <w:b/>
          <w:bCs/>
          <w:spacing w:val="-8"/>
          <w:sz w:val="24"/>
          <w:szCs w:val="24"/>
        </w:rPr>
        <w:t>、风险源调查</w:t>
      </w:r>
    </w:p>
    <w:p w14:paraId="3F84C876">
      <w:pPr>
        <w:spacing w:before="163" w:line="382" w:lineRule="auto"/>
        <w:ind w:left="3" w:firstLine="316"/>
        <w:jc w:val="both"/>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）附录</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进行本项目危险</w:t>
      </w:r>
      <w:r>
        <w:rPr>
          <w:rFonts w:ascii="宋体" w:hAnsi="宋体" w:eastAsia="宋体" w:cs="宋体"/>
          <w:sz w:val="24"/>
          <w:szCs w:val="24"/>
        </w:rPr>
        <w:t xml:space="preserve"> </w:t>
      </w:r>
      <w:r>
        <w:rPr>
          <w:rFonts w:ascii="宋体" w:hAnsi="宋体" w:eastAsia="宋体" w:cs="宋体"/>
          <w:spacing w:val="2"/>
          <w:sz w:val="24"/>
          <w:szCs w:val="24"/>
        </w:rPr>
        <w:t>物质识别，本项目不存在的风险物质。风险评价工作等级为简单分析，可不进行定</w:t>
      </w:r>
      <w:r>
        <w:rPr>
          <w:rFonts w:ascii="宋体" w:hAnsi="宋体" w:eastAsia="宋体" w:cs="宋体"/>
          <w:spacing w:val="6"/>
          <w:sz w:val="24"/>
          <w:szCs w:val="24"/>
        </w:rPr>
        <w:t xml:space="preserve"> </w:t>
      </w:r>
      <w:r>
        <w:rPr>
          <w:rFonts w:ascii="宋体" w:hAnsi="宋体" w:eastAsia="宋体" w:cs="宋体"/>
          <w:spacing w:val="-3"/>
          <w:sz w:val="24"/>
          <w:szCs w:val="24"/>
        </w:rPr>
        <w:t>量风险预测。企业环境风险潜势为</w:t>
      </w:r>
      <w:r>
        <w:rPr>
          <w:rFonts w:ascii="宋体" w:hAnsi="宋体" w:eastAsia="宋体" w:cs="宋体"/>
          <w:spacing w:val="-27"/>
          <w:sz w:val="24"/>
          <w:szCs w:val="24"/>
        </w:rPr>
        <w:t xml:space="preserve"> </w:t>
      </w:r>
      <w:r>
        <w:rPr>
          <w:rFonts w:ascii="宋体" w:hAnsi="宋体" w:eastAsia="宋体" w:cs="宋体"/>
          <w:spacing w:val="-3"/>
          <w:sz w:val="24"/>
          <w:szCs w:val="24"/>
        </w:rPr>
        <w:t>Ⅰ</w:t>
      </w:r>
      <w:r>
        <w:rPr>
          <w:rFonts w:ascii="宋体" w:hAnsi="宋体" w:eastAsia="宋体" w:cs="宋体"/>
          <w:spacing w:val="-89"/>
          <w:sz w:val="24"/>
          <w:szCs w:val="24"/>
        </w:rPr>
        <w:t xml:space="preserve"> </w:t>
      </w:r>
      <w:r>
        <w:rPr>
          <w:rFonts w:ascii="宋体" w:hAnsi="宋体" w:eastAsia="宋体" w:cs="宋体"/>
          <w:spacing w:val="-3"/>
          <w:sz w:val="24"/>
          <w:szCs w:val="24"/>
        </w:rPr>
        <w:t>,</w:t>
      </w:r>
      <w:r>
        <w:rPr>
          <w:rFonts w:ascii="宋体" w:hAnsi="宋体" w:eastAsia="宋体" w:cs="宋体"/>
          <w:spacing w:val="62"/>
          <w:sz w:val="24"/>
          <w:szCs w:val="24"/>
        </w:rPr>
        <w:t xml:space="preserve"> </w:t>
      </w:r>
      <w:r>
        <w:rPr>
          <w:rFonts w:ascii="宋体" w:hAnsi="宋体" w:eastAsia="宋体" w:cs="宋体"/>
          <w:spacing w:val="-3"/>
          <w:sz w:val="24"/>
          <w:szCs w:val="24"/>
        </w:rPr>
        <w:t>仅需在描述危险物质、环境影响途径、环境</w:t>
      </w:r>
      <w:r>
        <w:rPr>
          <w:rFonts w:ascii="宋体" w:hAnsi="宋体" w:eastAsia="宋体" w:cs="宋体"/>
          <w:sz w:val="24"/>
          <w:szCs w:val="24"/>
        </w:rPr>
        <w:t xml:space="preserve"> </w:t>
      </w:r>
      <w:r>
        <w:rPr>
          <w:rFonts w:ascii="宋体" w:hAnsi="宋体" w:eastAsia="宋体" w:cs="宋体"/>
          <w:spacing w:val="-1"/>
          <w:sz w:val="24"/>
          <w:szCs w:val="24"/>
        </w:rPr>
        <w:t>危害后果、风险防范措施等方面给出定性的说明，</w:t>
      </w:r>
    </w:p>
    <w:p w14:paraId="5D87040C">
      <w:pPr>
        <w:spacing w:before="6" w:line="220" w:lineRule="auto"/>
        <w:ind w:left="480"/>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3"/>
          <w:sz w:val="24"/>
          <w:szCs w:val="24"/>
        </w:rPr>
        <w:t xml:space="preserve"> </w:t>
      </w:r>
      <w:r>
        <w:rPr>
          <w:rFonts w:ascii="宋体" w:hAnsi="宋体" w:eastAsia="宋体" w:cs="宋体"/>
          <w:b/>
          <w:bCs/>
          <w:spacing w:val="-5"/>
          <w:sz w:val="24"/>
          <w:szCs w:val="24"/>
        </w:rPr>
        <w:t>、环境敏感目标概况</w:t>
      </w:r>
    </w:p>
    <w:p w14:paraId="57573A2B">
      <w:pPr>
        <w:spacing w:before="168" w:line="359" w:lineRule="exact"/>
        <w:ind w:left="483"/>
        <w:rPr>
          <w:rFonts w:ascii="宋体" w:hAnsi="宋体" w:eastAsia="宋体" w:cs="宋体"/>
          <w:sz w:val="24"/>
          <w:szCs w:val="24"/>
        </w:rPr>
      </w:pPr>
      <w:r>
        <w:rPr>
          <w:rFonts w:ascii="宋体" w:hAnsi="宋体" w:eastAsia="宋体" w:cs="宋体"/>
          <w:spacing w:val="3"/>
          <w:position w:val="2"/>
          <w:sz w:val="24"/>
          <w:szCs w:val="24"/>
        </w:rPr>
        <w:t>环境敏感目标调查详见章节</w:t>
      </w:r>
      <w:r>
        <w:rPr>
          <w:rFonts w:ascii="Times New Roman" w:hAnsi="Times New Roman" w:eastAsia="Times New Roman" w:cs="Times New Roman"/>
          <w:spacing w:val="3"/>
          <w:position w:val="2"/>
          <w:sz w:val="24"/>
          <w:szCs w:val="24"/>
        </w:rPr>
        <w:t>2.8</w:t>
      </w:r>
      <w:r>
        <w:rPr>
          <w:rFonts w:ascii="宋体" w:hAnsi="宋体" w:eastAsia="宋体" w:cs="宋体"/>
          <w:spacing w:val="3"/>
          <w:position w:val="2"/>
          <w:sz w:val="24"/>
          <w:szCs w:val="24"/>
        </w:rPr>
        <w:t>。</w:t>
      </w:r>
    </w:p>
    <w:p w14:paraId="4D0E44FB">
      <w:pPr>
        <w:spacing w:before="165" w:line="221" w:lineRule="auto"/>
        <w:ind w:left="478"/>
        <w:rPr>
          <w:rFonts w:ascii="宋体" w:hAnsi="宋体" w:eastAsia="宋体" w:cs="宋体"/>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31"/>
          <w:sz w:val="24"/>
          <w:szCs w:val="24"/>
        </w:rPr>
        <w:t xml:space="preserve"> </w:t>
      </w:r>
      <w:r>
        <w:rPr>
          <w:rFonts w:ascii="宋体" w:hAnsi="宋体" w:eastAsia="宋体" w:cs="宋体"/>
          <w:b/>
          <w:bCs/>
          <w:spacing w:val="-7"/>
          <w:sz w:val="24"/>
          <w:szCs w:val="24"/>
        </w:rPr>
        <w:t>、风险识别</w:t>
      </w:r>
    </w:p>
    <w:p w14:paraId="4CDEA738">
      <w:pPr>
        <w:spacing w:before="203" w:line="219" w:lineRule="auto"/>
        <w:ind w:left="484"/>
        <w:rPr>
          <w:rFonts w:ascii="宋体" w:hAnsi="宋体" w:eastAsia="宋体" w:cs="宋体"/>
          <w:sz w:val="24"/>
          <w:szCs w:val="24"/>
        </w:rPr>
      </w:pPr>
      <w:r>
        <w:rPr>
          <w:rFonts w:ascii="宋体" w:hAnsi="宋体" w:eastAsia="宋体" w:cs="宋体"/>
          <w:sz w:val="24"/>
          <w:szCs w:val="24"/>
        </w:rPr>
        <w:t>本项目存在的主要环境风险包括粪污事故性</w:t>
      </w:r>
      <w:r>
        <w:rPr>
          <w:rFonts w:ascii="宋体" w:hAnsi="宋体" w:eastAsia="宋体" w:cs="宋体"/>
          <w:spacing w:val="-1"/>
          <w:sz w:val="24"/>
          <w:szCs w:val="24"/>
        </w:rPr>
        <w:t>排放、猪的传染几个方面。</w:t>
      </w:r>
    </w:p>
    <w:p w14:paraId="3ED64EED">
      <w:pPr>
        <w:spacing w:before="166"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）粪污事故性排放风险</w:t>
      </w:r>
    </w:p>
    <w:p w14:paraId="382C1EC1">
      <w:pPr>
        <w:spacing w:before="165" w:line="220" w:lineRule="auto"/>
        <w:ind w:left="487"/>
        <w:rPr>
          <w:rFonts w:ascii="宋体" w:hAnsi="宋体" w:eastAsia="宋体" w:cs="宋体"/>
          <w:sz w:val="24"/>
          <w:szCs w:val="24"/>
        </w:rPr>
      </w:pPr>
      <w:r>
        <w:rPr>
          <w:rFonts w:ascii="宋体" w:hAnsi="宋体" w:eastAsia="宋体" w:cs="宋体"/>
          <w:spacing w:val="-1"/>
          <w:sz w:val="24"/>
          <w:szCs w:val="24"/>
        </w:rPr>
        <w:t>项目粪污管线及构筑物泄漏，排放到周边环境，造成土壤及地下水体污染。</w:t>
      </w:r>
    </w:p>
    <w:p w14:paraId="031EB740">
      <w:pPr>
        <w:spacing w:before="166" w:line="361"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）动物病疫事故风险</w:t>
      </w:r>
    </w:p>
    <w:p w14:paraId="6922A9BE">
      <w:pPr>
        <w:spacing w:before="166" w:line="362" w:lineRule="auto"/>
        <w:ind w:left="6" w:right="2" w:firstLine="485"/>
        <w:rPr>
          <w:rFonts w:ascii="宋体" w:hAnsi="宋体" w:eastAsia="宋体" w:cs="宋体"/>
          <w:sz w:val="24"/>
          <w:szCs w:val="24"/>
        </w:rPr>
      </w:pPr>
      <w:r>
        <w:rPr>
          <w:rFonts w:ascii="宋体" w:hAnsi="宋体" w:eastAsia="宋体" w:cs="宋体"/>
          <w:spacing w:val="2"/>
          <w:sz w:val="24"/>
          <w:szCs w:val="24"/>
        </w:rPr>
        <w:t>患人畜共患的传染病的猪和工作人员接触后引发工作人员发病，病猪的猪粪和</w:t>
      </w:r>
      <w:r>
        <w:rPr>
          <w:rFonts w:ascii="宋体" w:hAnsi="宋体" w:eastAsia="宋体" w:cs="宋体"/>
          <w:spacing w:val="1"/>
          <w:sz w:val="24"/>
          <w:szCs w:val="24"/>
        </w:rPr>
        <w:t xml:space="preserve"> </w:t>
      </w:r>
      <w:r>
        <w:rPr>
          <w:rFonts w:ascii="宋体" w:hAnsi="宋体" w:eastAsia="宋体" w:cs="宋体"/>
          <w:spacing w:val="-1"/>
          <w:sz w:val="24"/>
          <w:szCs w:val="24"/>
        </w:rPr>
        <w:t>工作人员接触后引发工作人员发病。</w:t>
      </w:r>
    </w:p>
    <w:p w14:paraId="14ED40F6">
      <w:pPr>
        <w:spacing w:line="362" w:lineRule="exact"/>
        <w:ind w:left="478"/>
        <w:rPr>
          <w:rFonts w:ascii="宋体" w:hAnsi="宋体" w:eastAsia="宋体" w:cs="宋体"/>
          <w:sz w:val="24"/>
          <w:szCs w:val="24"/>
        </w:rPr>
      </w:pPr>
      <w:r>
        <w:rPr>
          <w:rFonts w:ascii="Times New Roman" w:hAnsi="Times New Roman" w:eastAsia="Times New Roman" w:cs="Times New Roman"/>
          <w:spacing w:val="-4"/>
          <w:position w:val="2"/>
          <w:sz w:val="24"/>
          <w:szCs w:val="24"/>
        </w:rPr>
        <w:t>4</w:t>
      </w:r>
      <w:r>
        <w:rPr>
          <w:rFonts w:ascii="Times New Roman" w:hAnsi="Times New Roman" w:eastAsia="Times New Roman" w:cs="Times New Roman"/>
          <w:spacing w:val="-33"/>
          <w:position w:val="2"/>
          <w:sz w:val="24"/>
          <w:szCs w:val="24"/>
        </w:rPr>
        <w:t xml:space="preserve"> </w:t>
      </w:r>
      <w:r>
        <w:rPr>
          <w:rFonts w:ascii="宋体" w:hAnsi="宋体" w:eastAsia="宋体" w:cs="宋体"/>
          <w:spacing w:val="-4"/>
          <w:position w:val="2"/>
          <w:sz w:val="24"/>
          <w:szCs w:val="24"/>
        </w:rPr>
        <w:t>、环境风险分析</w:t>
      </w:r>
    </w:p>
    <w:p w14:paraId="7E3D9A8C">
      <w:pPr>
        <w:spacing w:before="126"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）粪污事故性排放风险分析</w:t>
      </w:r>
    </w:p>
    <w:p w14:paraId="61E24FAE">
      <w:pPr>
        <w:spacing w:before="168" w:line="366" w:lineRule="auto"/>
        <w:ind w:left="3" w:firstLine="480"/>
        <w:rPr>
          <w:rFonts w:ascii="宋体" w:hAnsi="宋体" w:eastAsia="宋体" w:cs="宋体"/>
          <w:sz w:val="24"/>
          <w:szCs w:val="24"/>
        </w:rPr>
      </w:pPr>
      <w:r>
        <w:rPr>
          <w:rFonts w:ascii="宋体" w:hAnsi="宋体" w:eastAsia="宋体" w:cs="宋体"/>
          <w:spacing w:val="-3"/>
          <w:sz w:val="24"/>
          <w:szCs w:val="24"/>
        </w:rPr>
        <w:t>猪舍的粪污为高浓度有机废水及粪便，</w:t>
      </w:r>
      <w:r>
        <w:rPr>
          <w:rFonts w:ascii="Times New Roman" w:hAnsi="Times New Roman" w:eastAsia="Times New Roman" w:cs="Times New Roman"/>
          <w:spacing w:val="-3"/>
          <w:sz w:val="24"/>
          <w:szCs w:val="24"/>
        </w:rPr>
        <w:t>SS</w:t>
      </w:r>
      <w:r>
        <w:rPr>
          <w:rFonts w:ascii="宋体" w:hAnsi="宋体" w:eastAsia="宋体" w:cs="宋体"/>
          <w:spacing w:val="-3"/>
          <w:sz w:val="24"/>
          <w:szCs w:val="24"/>
        </w:rPr>
        <w:t>、</w:t>
      </w:r>
      <w:r>
        <w:rPr>
          <w:rFonts w:ascii="Times New Roman" w:hAnsi="Times New Roman" w:eastAsia="Times New Roman" w:cs="Times New Roman"/>
          <w:spacing w:val="-3"/>
          <w:sz w:val="24"/>
          <w:szCs w:val="24"/>
        </w:rPr>
        <w:t>COD</w:t>
      </w:r>
      <w:r>
        <w:rPr>
          <w:rFonts w:ascii="宋体" w:hAnsi="宋体" w:eastAsia="宋体" w:cs="宋体"/>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3"/>
          <w:sz w:val="24"/>
          <w:szCs w:val="24"/>
        </w:rPr>
        <w:t>浓度</w:t>
      </w:r>
      <w:r>
        <w:rPr>
          <w:rFonts w:ascii="宋体" w:hAnsi="宋体" w:eastAsia="宋体" w:cs="宋体"/>
          <w:spacing w:val="-4"/>
          <w:sz w:val="24"/>
          <w:szCs w:val="24"/>
        </w:rPr>
        <w:t>高。若粪污事故外</w:t>
      </w:r>
      <w:r>
        <w:rPr>
          <w:rFonts w:ascii="宋体" w:hAnsi="宋体" w:eastAsia="宋体" w:cs="宋体"/>
          <w:sz w:val="24"/>
          <w:szCs w:val="24"/>
        </w:rPr>
        <w:t xml:space="preserve"> </w:t>
      </w:r>
      <w:r>
        <w:rPr>
          <w:rFonts w:ascii="宋体" w:hAnsi="宋体" w:eastAsia="宋体" w:cs="宋体"/>
          <w:spacing w:val="2"/>
          <w:sz w:val="24"/>
          <w:szCs w:val="24"/>
        </w:rPr>
        <w:t>排将造成污染影响。废水会对土壤、大气环境质量造成直接影响，进而对地下水、</w:t>
      </w:r>
      <w:r>
        <w:rPr>
          <w:rFonts w:ascii="宋体" w:hAnsi="宋体" w:eastAsia="宋体" w:cs="宋体"/>
          <w:spacing w:val="8"/>
          <w:sz w:val="24"/>
          <w:szCs w:val="24"/>
        </w:rPr>
        <w:t xml:space="preserve"> </w:t>
      </w:r>
      <w:r>
        <w:rPr>
          <w:rFonts w:ascii="宋体" w:hAnsi="宋体" w:eastAsia="宋体" w:cs="宋体"/>
          <w:spacing w:val="-1"/>
          <w:sz w:val="24"/>
          <w:szCs w:val="24"/>
        </w:rPr>
        <w:t>地表水都可能产生污染性影响。</w:t>
      </w:r>
    </w:p>
    <w:p w14:paraId="576ABF40">
      <w:pPr>
        <w:spacing w:line="361"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）动物疫情事故风险分析</w:t>
      </w:r>
    </w:p>
    <w:p w14:paraId="78B736B4">
      <w:pPr>
        <w:spacing w:before="167" w:line="376" w:lineRule="auto"/>
        <w:ind w:left="5" w:right="2" w:firstLine="507"/>
        <w:rPr>
          <w:rFonts w:ascii="宋体" w:hAnsi="宋体" w:eastAsia="宋体" w:cs="宋体"/>
          <w:sz w:val="24"/>
          <w:szCs w:val="24"/>
        </w:rPr>
      </w:pPr>
      <w:r>
        <w:rPr>
          <w:rFonts w:ascii="宋体" w:hAnsi="宋体" w:eastAsia="宋体" w:cs="宋体"/>
          <w:spacing w:val="1"/>
          <w:sz w:val="24"/>
          <w:szCs w:val="24"/>
        </w:rPr>
        <w:t>由于规模化养殖高密度的饲养及集约化的经营，使得猪只间的距离缩短，一些</w:t>
      </w:r>
      <w:r>
        <w:rPr>
          <w:rFonts w:ascii="宋体" w:hAnsi="宋体" w:eastAsia="宋体" w:cs="宋体"/>
          <w:spacing w:val="15"/>
          <w:sz w:val="24"/>
          <w:szCs w:val="24"/>
        </w:rPr>
        <w:t xml:space="preserve"> </w:t>
      </w:r>
      <w:r>
        <w:rPr>
          <w:rFonts w:ascii="宋体" w:hAnsi="宋体" w:eastAsia="宋体" w:cs="宋体"/>
          <w:spacing w:val="2"/>
          <w:sz w:val="24"/>
          <w:szCs w:val="24"/>
        </w:rPr>
        <w:t>常见猪病，尤其是传染性疾病传播速度快，很容易带来大量猪只死亡。近年来以继</w:t>
      </w:r>
      <w:r>
        <w:rPr>
          <w:rFonts w:ascii="宋体" w:hAnsi="宋体" w:eastAsia="宋体" w:cs="宋体"/>
          <w:spacing w:val="4"/>
          <w:sz w:val="24"/>
          <w:szCs w:val="24"/>
        </w:rPr>
        <w:t xml:space="preserve"> </w:t>
      </w:r>
      <w:r>
        <w:rPr>
          <w:rFonts w:ascii="宋体" w:hAnsi="宋体" w:eastAsia="宋体" w:cs="宋体"/>
          <w:spacing w:val="2"/>
          <w:sz w:val="24"/>
          <w:szCs w:val="24"/>
        </w:rPr>
        <w:t>发呼吸道疾病为主的传染病给规模化猪场造成了巨大的经济损失，疾病或健康水平</w:t>
      </w:r>
      <w:r>
        <w:rPr>
          <w:rFonts w:ascii="宋体" w:hAnsi="宋体" w:eastAsia="宋体" w:cs="宋体"/>
          <w:spacing w:val="4"/>
          <w:sz w:val="24"/>
          <w:szCs w:val="24"/>
        </w:rPr>
        <w:t xml:space="preserve"> </w:t>
      </w:r>
      <w:r>
        <w:rPr>
          <w:rFonts w:ascii="宋体" w:hAnsi="宋体" w:eastAsia="宋体" w:cs="宋体"/>
          <w:sz w:val="24"/>
          <w:szCs w:val="24"/>
        </w:rPr>
        <w:t>成为绝大部分规模化猪场影响生产性能的限制性因素</w:t>
      </w:r>
      <w:r>
        <w:rPr>
          <w:rFonts w:ascii="宋体" w:hAnsi="宋体" w:eastAsia="宋体" w:cs="宋体"/>
          <w:spacing w:val="-1"/>
          <w:sz w:val="24"/>
          <w:szCs w:val="24"/>
        </w:rPr>
        <w:t>，严重制约着养猪业的发展。</w:t>
      </w:r>
    </w:p>
    <w:p w14:paraId="39018967">
      <w:pPr>
        <w:spacing w:before="1" w:line="219" w:lineRule="auto"/>
        <w:ind w:right="2"/>
        <w:jc w:val="right"/>
        <w:rPr>
          <w:rFonts w:ascii="宋体" w:hAnsi="宋体" w:eastAsia="宋体" w:cs="宋体"/>
          <w:sz w:val="24"/>
          <w:szCs w:val="24"/>
        </w:rPr>
      </w:pPr>
      <w:r>
        <w:rPr>
          <w:rFonts w:ascii="宋体" w:hAnsi="宋体" w:eastAsia="宋体" w:cs="宋体"/>
          <w:spacing w:val="2"/>
          <w:sz w:val="24"/>
          <w:szCs w:val="24"/>
        </w:rPr>
        <w:t>猪的疫病包括传染病、寄生虫病、内科病、外科病及产科病等，这些疾病的发</w:t>
      </w:r>
    </w:p>
    <w:p w14:paraId="5147965A">
      <w:pPr>
        <w:spacing w:line="219" w:lineRule="auto"/>
        <w:rPr>
          <w:rFonts w:ascii="宋体" w:hAnsi="宋体" w:eastAsia="宋体" w:cs="宋体"/>
          <w:sz w:val="24"/>
          <w:szCs w:val="24"/>
        </w:rPr>
        <w:sectPr>
          <w:footerReference r:id="rId147" w:type="default"/>
          <w:pgSz w:w="11906" w:h="16839"/>
          <w:pgMar w:top="400" w:right="1585" w:bottom="1485" w:left="1594" w:header="0" w:footer="1249" w:gutter="0"/>
          <w:cols w:space="720" w:num="1"/>
        </w:sectPr>
      </w:pPr>
    </w:p>
    <w:p w14:paraId="520ABFA3">
      <w:pPr>
        <w:pStyle w:val="2"/>
        <w:spacing w:line="264" w:lineRule="auto"/>
      </w:pPr>
    </w:p>
    <w:p w14:paraId="3868FA16">
      <w:pPr>
        <w:pStyle w:val="2"/>
        <w:spacing w:line="264" w:lineRule="auto"/>
      </w:pPr>
    </w:p>
    <w:p w14:paraId="436ECFA3">
      <w:pPr>
        <w:pStyle w:val="2"/>
        <w:spacing w:line="264" w:lineRule="auto"/>
      </w:pPr>
    </w:p>
    <w:p w14:paraId="4F8603E1">
      <w:pPr>
        <w:pStyle w:val="2"/>
        <w:spacing w:line="264" w:lineRule="auto"/>
      </w:pPr>
    </w:p>
    <w:p w14:paraId="53374A80">
      <w:pPr>
        <w:spacing w:before="78" w:line="377" w:lineRule="auto"/>
        <w:ind w:right="21" w:firstLine="3"/>
        <w:jc w:val="both"/>
        <w:rPr>
          <w:rFonts w:ascii="宋体" w:hAnsi="宋体" w:eastAsia="宋体" w:cs="宋体"/>
          <w:sz w:val="24"/>
          <w:szCs w:val="24"/>
        </w:rPr>
      </w:pPr>
      <w:r>
        <w:rPr>
          <w:rFonts w:ascii="宋体" w:hAnsi="宋体" w:eastAsia="宋体" w:cs="宋体"/>
          <w:spacing w:val="2"/>
          <w:sz w:val="24"/>
          <w:szCs w:val="24"/>
        </w:rPr>
        <w:t>生，都给养猪生产造成重大损失。这些病中，尤以传染病的危害最为严重，会引发</w:t>
      </w:r>
      <w:r>
        <w:rPr>
          <w:rFonts w:ascii="宋体" w:hAnsi="宋体" w:eastAsia="宋体" w:cs="宋体"/>
          <w:spacing w:val="4"/>
          <w:sz w:val="24"/>
          <w:szCs w:val="24"/>
        </w:rPr>
        <w:t xml:space="preserve"> </w:t>
      </w:r>
      <w:r>
        <w:rPr>
          <w:rFonts w:ascii="宋体" w:hAnsi="宋体" w:eastAsia="宋体" w:cs="宋体"/>
          <w:spacing w:val="-3"/>
          <w:sz w:val="24"/>
          <w:szCs w:val="24"/>
        </w:rPr>
        <w:t>猪只大批死亡，造成巨大经济损失。项目疾病风险源主要为常见的畜禽重大传染病，</w:t>
      </w:r>
      <w:r>
        <w:rPr>
          <w:rFonts w:ascii="宋体" w:hAnsi="宋体" w:eastAsia="宋体" w:cs="宋体"/>
          <w:spacing w:val="14"/>
          <w:sz w:val="24"/>
          <w:szCs w:val="24"/>
        </w:rPr>
        <w:t xml:space="preserve"> </w:t>
      </w:r>
      <w:r>
        <w:rPr>
          <w:rFonts w:ascii="宋体" w:hAnsi="宋体" w:eastAsia="宋体" w:cs="宋体"/>
          <w:spacing w:val="-1"/>
          <w:sz w:val="24"/>
          <w:szCs w:val="24"/>
        </w:rPr>
        <w:t>传染病具有以下特点：</w:t>
      </w:r>
    </w:p>
    <w:p w14:paraId="0F39E552">
      <w:pPr>
        <w:spacing w:before="1" w:line="323" w:lineRule="auto"/>
        <w:ind w:right="85" w:firstLine="480"/>
        <w:rPr>
          <w:rFonts w:ascii="宋体" w:hAnsi="宋体" w:eastAsia="宋体" w:cs="宋体"/>
          <w:sz w:val="24"/>
          <w:szCs w:val="24"/>
        </w:rPr>
      </w:pPr>
      <w:r>
        <w:rPr>
          <w:rFonts w:ascii="宋体" w:hAnsi="宋体" w:eastAsia="宋体" w:cs="宋体"/>
          <w:spacing w:val="2"/>
          <w:sz w:val="24"/>
          <w:szCs w:val="24"/>
        </w:rPr>
        <w:t>①普遍存在性：传染病是一种具有侵袭力，且具有感染性的疾病，在养猪场地</w:t>
      </w:r>
      <w:r>
        <w:rPr>
          <w:rFonts w:ascii="宋体" w:hAnsi="宋体" w:eastAsia="宋体" w:cs="宋体"/>
          <w:spacing w:val="8"/>
          <w:sz w:val="24"/>
          <w:szCs w:val="24"/>
        </w:rPr>
        <w:t xml:space="preserve"> </w:t>
      </w:r>
      <w:r>
        <w:rPr>
          <w:rFonts w:ascii="宋体" w:hAnsi="宋体" w:eastAsia="宋体" w:cs="宋体"/>
          <w:spacing w:val="2"/>
          <w:sz w:val="24"/>
          <w:szCs w:val="24"/>
        </w:rPr>
        <w:t>出现传染病的可能性很大。造成这一现状的主要原因是：某些传染病原具有较强的</w:t>
      </w:r>
      <w:r>
        <w:rPr>
          <w:rFonts w:ascii="宋体" w:hAnsi="宋体" w:eastAsia="宋体" w:cs="宋体"/>
          <w:spacing w:val="7"/>
          <w:sz w:val="24"/>
          <w:szCs w:val="24"/>
        </w:rPr>
        <w:t xml:space="preserve"> </w:t>
      </w:r>
      <w:r>
        <w:rPr>
          <w:rFonts w:ascii="宋体" w:hAnsi="宋体" w:eastAsia="宋体" w:cs="宋体"/>
          <w:spacing w:val="-1"/>
          <w:sz w:val="24"/>
          <w:szCs w:val="24"/>
        </w:rPr>
        <w:t>抵抗力。猪的集中养猪为传染病爆发提供了有利的条件。</w:t>
      </w:r>
    </w:p>
    <w:p w14:paraId="46D956CF">
      <w:pPr>
        <w:spacing w:before="206" w:line="298" w:lineRule="auto"/>
        <w:ind w:left="17" w:right="25" w:firstLine="462"/>
        <w:rPr>
          <w:rFonts w:ascii="宋体" w:hAnsi="宋体" w:eastAsia="宋体" w:cs="宋体"/>
          <w:sz w:val="24"/>
          <w:szCs w:val="24"/>
        </w:rPr>
      </w:pPr>
      <w:r>
        <w:rPr>
          <w:rFonts w:ascii="宋体" w:hAnsi="宋体" w:eastAsia="宋体" w:cs="宋体"/>
          <w:spacing w:val="-3"/>
          <w:sz w:val="24"/>
          <w:szCs w:val="24"/>
        </w:rPr>
        <w:t>②危害性：传染病对猪造成的危害可概括为三方面：导致猪的大养猪病和死亡；</w:t>
      </w:r>
      <w:r>
        <w:rPr>
          <w:rFonts w:ascii="宋体" w:hAnsi="宋体" w:eastAsia="宋体" w:cs="宋体"/>
          <w:spacing w:val="5"/>
          <w:sz w:val="24"/>
          <w:szCs w:val="24"/>
        </w:rPr>
        <w:t xml:space="preserve"> </w:t>
      </w:r>
      <w:r>
        <w:rPr>
          <w:rFonts w:ascii="宋体" w:hAnsi="宋体" w:eastAsia="宋体" w:cs="宋体"/>
          <w:spacing w:val="-2"/>
          <w:sz w:val="24"/>
          <w:szCs w:val="24"/>
        </w:rPr>
        <w:t>阻碍猪的正常生长发育；降低饲养回报率。</w:t>
      </w:r>
    </w:p>
    <w:p w14:paraId="2E96C355">
      <w:pPr>
        <w:spacing w:before="201" w:line="298" w:lineRule="auto"/>
        <w:ind w:left="8" w:right="87" w:firstLine="471"/>
        <w:rPr>
          <w:rFonts w:ascii="宋体" w:hAnsi="宋体" w:eastAsia="宋体" w:cs="宋体"/>
          <w:sz w:val="24"/>
          <w:szCs w:val="24"/>
        </w:rPr>
      </w:pPr>
      <w:r>
        <w:rPr>
          <w:rFonts w:ascii="宋体" w:hAnsi="宋体" w:eastAsia="宋体" w:cs="宋体"/>
          <w:spacing w:val="2"/>
          <w:sz w:val="24"/>
          <w:szCs w:val="24"/>
        </w:rPr>
        <w:t>③多型性：猪传染病多种多样，且每一种传染病都有自身的特性，在同一类猪</w:t>
      </w:r>
      <w:r>
        <w:rPr>
          <w:rFonts w:ascii="宋体" w:hAnsi="宋体" w:eastAsia="宋体" w:cs="宋体"/>
          <w:spacing w:val="9"/>
          <w:sz w:val="24"/>
          <w:szCs w:val="24"/>
        </w:rPr>
        <w:t xml:space="preserve"> </w:t>
      </w:r>
      <w:r>
        <w:rPr>
          <w:rFonts w:ascii="宋体" w:hAnsi="宋体" w:eastAsia="宋体" w:cs="宋体"/>
          <w:spacing w:val="-2"/>
          <w:sz w:val="24"/>
          <w:szCs w:val="24"/>
        </w:rPr>
        <w:t>身上表现出不同的症状。</w:t>
      </w:r>
    </w:p>
    <w:p w14:paraId="6C63D61D">
      <w:pPr>
        <w:spacing w:before="201" w:line="324" w:lineRule="auto"/>
        <w:ind w:left="2" w:right="19" w:firstLine="477"/>
        <w:rPr>
          <w:rFonts w:ascii="宋体" w:hAnsi="宋体" w:eastAsia="宋体" w:cs="宋体"/>
          <w:sz w:val="24"/>
          <w:szCs w:val="24"/>
        </w:rPr>
      </w:pPr>
      <w:r>
        <w:rPr>
          <w:rFonts w:ascii="宋体" w:hAnsi="宋体" w:eastAsia="宋体" w:cs="宋体"/>
          <w:spacing w:val="-3"/>
          <w:sz w:val="24"/>
          <w:szCs w:val="24"/>
        </w:rPr>
        <w:t>④易感性：不同品种、龄期、性别的猪具有不同的感受性。在传染病的防治上，</w:t>
      </w:r>
      <w:r>
        <w:rPr>
          <w:rFonts w:ascii="宋体" w:hAnsi="宋体" w:eastAsia="宋体" w:cs="宋体"/>
          <w:spacing w:val="11"/>
          <w:sz w:val="24"/>
          <w:szCs w:val="24"/>
        </w:rPr>
        <w:t xml:space="preserve"> </w:t>
      </w:r>
      <w:r>
        <w:rPr>
          <w:rFonts w:ascii="宋体" w:hAnsi="宋体" w:eastAsia="宋体" w:cs="宋体"/>
          <w:spacing w:val="2"/>
          <w:sz w:val="24"/>
          <w:szCs w:val="24"/>
        </w:rPr>
        <w:t>必须考虑到传染病分布广泛、感染普遍、不同传染病表现不同症状等特点，采取综</w:t>
      </w:r>
      <w:r>
        <w:rPr>
          <w:rFonts w:ascii="宋体" w:hAnsi="宋体" w:eastAsia="宋体" w:cs="宋体"/>
          <w:spacing w:val="5"/>
          <w:sz w:val="24"/>
          <w:szCs w:val="24"/>
        </w:rPr>
        <w:t xml:space="preserve"> </w:t>
      </w:r>
      <w:r>
        <w:rPr>
          <w:rFonts w:ascii="宋体" w:hAnsi="宋体" w:eastAsia="宋体" w:cs="宋体"/>
          <w:spacing w:val="-1"/>
          <w:sz w:val="24"/>
          <w:szCs w:val="24"/>
        </w:rPr>
        <w:t>合防治措施，多管齐下，才能收到较好的效果。</w:t>
      </w:r>
    </w:p>
    <w:p w14:paraId="276B610D">
      <w:pPr>
        <w:spacing w:before="207" w:line="376" w:lineRule="auto"/>
        <w:ind w:firstLine="481"/>
        <w:rPr>
          <w:rFonts w:ascii="宋体" w:hAnsi="宋体" w:eastAsia="宋体" w:cs="宋体"/>
          <w:sz w:val="24"/>
          <w:szCs w:val="24"/>
        </w:rPr>
      </w:pPr>
      <w:r>
        <w:rPr>
          <w:rFonts w:ascii="宋体" w:hAnsi="宋体" w:eastAsia="宋体" w:cs="宋体"/>
          <w:spacing w:val="2"/>
          <w:sz w:val="24"/>
          <w:szCs w:val="24"/>
        </w:rPr>
        <w:t>重大传染性疾病很容易带来大量猪只死亡，如果对这些病死猪处理不当，极易</w:t>
      </w:r>
      <w:r>
        <w:rPr>
          <w:rFonts w:ascii="宋体" w:hAnsi="宋体" w:eastAsia="宋体" w:cs="宋体"/>
          <w:spacing w:val="9"/>
          <w:sz w:val="24"/>
          <w:szCs w:val="24"/>
        </w:rPr>
        <w:t xml:space="preserve"> </w:t>
      </w:r>
      <w:r>
        <w:rPr>
          <w:rFonts w:ascii="宋体" w:hAnsi="宋体" w:eastAsia="宋体" w:cs="宋体"/>
          <w:spacing w:val="3"/>
          <w:sz w:val="24"/>
          <w:szCs w:val="24"/>
        </w:rPr>
        <w:t>引起病原扩散，带有病菌、病毒和寄生虫虫卵的畜禽、皮毛、血液、粪便、</w:t>
      </w:r>
      <w:r>
        <w:rPr>
          <w:rFonts w:ascii="宋体" w:hAnsi="宋体" w:eastAsia="宋体" w:cs="宋体"/>
          <w:spacing w:val="2"/>
          <w:sz w:val="24"/>
          <w:szCs w:val="24"/>
        </w:rPr>
        <w:t>骨骼、</w:t>
      </w:r>
      <w:r>
        <w:rPr>
          <w:rFonts w:ascii="宋体" w:hAnsi="宋体" w:eastAsia="宋体" w:cs="宋体"/>
          <w:sz w:val="24"/>
          <w:szCs w:val="24"/>
        </w:rPr>
        <w:t xml:space="preserve"> </w:t>
      </w:r>
      <w:r>
        <w:rPr>
          <w:rFonts w:ascii="宋体" w:hAnsi="宋体" w:eastAsia="宋体" w:cs="宋体"/>
          <w:spacing w:val="2"/>
          <w:sz w:val="24"/>
          <w:szCs w:val="24"/>
        </w:rPr>
        <w:t>肉尸、污水等会使环境中病源种类增多、菌量增大，出现病原菌和寄生虫的大量繁</w:t>
      </w:r>
      <w:r>
        <w:rPr>
          <w:rFonts w:ascii="宋体" w:hAnsi="宋体" w:eastAsia="宋体" w:cs="宋体"/>
          <w:spacing w:val="7"/>
          <w:sz w:val="24"/>
          <w:szCs w:val="24"/>
        </w:rPr>
        <w:t xml:space="preserve"> </w:t>
      </w:r>
      <w:r>
        <w:rPr>
          <w:rFonts w:ascii="宋体" w:hAnsi="宋体" w:eastAsia="宋体" w:cs="宋体"/>
          <w:spacing w:val="-2"/>
          <w:sz w:val="24"/>
          <w:szCs w:val="24"/>
        </w:rPr>
        <w:t>殖，首先对养殖场及其周围地区的其他畜禽产生危害，导致育雏死亡率和育成死</w:t>
      </w:r>
      <w:r>
        <w:rPr>
          <w:rFonts w:ascii="宋体" w:hAnsi="宋体" w:eastAsia="宋体" w:cs="宋体"/>
          <w:spacing w:val="-3"/>
          <w:sz w:val="24"/>
          <w:szCs w:val="24"/>
        </w:rPr>
        <w:t>亡，</w:t>
      </w:r>
      <w:r>
        <w:rPr>
          <w:rFonts w:ascii="宋体" w:hAnsi="宋体" w:eastAsia="宋体" w:cs="宋体"/>
          <w:sz w:val="24"/>
          <w:szCs w:val="24"/>
        </w:rPr>
        <w:t xml:space="preserve"> </w:t>
      </w:r>
      <w:r>
        <w:rPr>
          <w:rFonts w:ascii="宋体" w:hAnsi="宋体" w:eastAsia="宋体" w:cs="宋体"/>
          <w:spacing w:val="2"/>
          <w:sz w:val="24"/>
          <w:szCs w:val="24"/>
        </w:rPr>
        <w:t>造成更大经济损失；没有对病死猪采取有效的预防和控制措施，或使病死猪流入市</w:t>
      </w:r>
      <w:r>
        <w:rPr>
          <w:rFonts w:ascii="宋体" w:hAnsi="宋体" w:eastAsia="宋体" w:cs="宋体"/>
          <w:spacing w:val="7"/>
          <w:sz w:val="24"/>
          <w:szCs w:val="24"/>
        </w:rPr>
        <w:t xml:space="preserve"> </w:t>
      </w:r>
      <w:r>
        <w:rPr>
          <w:rFonts w:ascii="宋体" w:hAnsi="宋体" w:eastAsia="宋体" w:cs="宋体"/>
          <w:spacing w:val="-2"/>
          <w:sz w:val="24"/>
          <w:szCs w:val="24"/>
        </w:rPr>
        <w:t>场，则各种带有病菌、病毒和寄生虫虫卵的畜禽、皮毛、血液、粪便、骨骼、肉</w:t>
      </w:r>
      <w:r>
        <w:rPr>
          <w:rFonts w:ascii="宋体" w:hAnsi="宋体" w:eastAsia="宋体" w:cs="宋体"/>
          <w:spacing w:val="-3"/>
          <w:sz w:val="24"/>
          <w:szCs w:val="24"/>
        </w:rPr>
        <w:t>尸、</w:t>
      </w:r>
      <w:r>
        <w:rPr>
          <w:rFonts w:ascii="宋体" w:hAnsi="宋体" w:eastAsia="宋体" w:cs="宋体"/>
          <w:sz w:val="24"/>
          <w:szCs w:val="24"/>
        </w:rPr>
        <w:t xml:space="preserve"> </w:t>
      </w:r>
      <w:r>
        <w:rPr>
          <w:rFonts w:ascii="宋体" w:hAnsi="宋体" w:eastAsia="宋体" w:cs="宋体"/>
          <w:spacing w:val="2"/>
          <w:sz w:val="24"/>
          <w:szCs w:val="24"/>
        </w:rPr>
        <w:t>污水等会使环境中病源种类增多、菌量增大，出现病原菌和寄生虫的大量繁殖，造</w:t>
      </w:r>
      <w:r>
        <w:rPr>
          <w:rFonts w:ascii="宋体" w:hAnsi="宋体" w:eastAsia="宋体" w:cs="宋体"/>
          <w:spacing w:val="7"/>
          <w:sz w:val="24"/>
          <w:szCs w:val="24"/>
        </w:rPr>
        <w:t xml:space="preserve"> </w:t>
      </w:r>
      <w:r>
        <w:rPr>
          <w:rFonts w:ascii="宋体" w:hAnsi="宋体" w:eastAsia="宋体" w:cs="宋体"/>
          <w:spacing w:val="-2"/>
          <w:sz w:val="24"/>
          <w:szCs w:val="24"/>
        </w:rPr>
        <w:t>成人、畜传染病的蔓延，会对人畜健康产生极大的威胁，严重影响了公众卫生安</w:t>
      </w:r>
      <w:r>
        <w:rPr>
          <w:rFonts w:ascii="宋体" w:hAnsi="宋体" w:eastAsia="宋体" w:cs="宋体"/>
          <w:spacing w:val="-3"/>
          <w:sz w:val="24"/>
          <w:szCs w:val="24"/>
        </w:rPr>
        <w:t>全，</w:t>
      </w:r>
      <w:r>
        <w:rPr>
          <w:rFonts w:ascii="宋体" w:hAnsi="宋体" w:eastAsia="宋体" w:cs="宋体"/>
          <w:sz w:val="24"/>
          <w:szCs w:val="24"/>
        </w:rPr>
        <w:t xml:space="preserve"> </w:t>
      </w:r>
      <w:r>
        <w:rPr>
          <w:rFonts w:ascii="宋体" w:hAnsi="宋体" w:eastAsia="宋体" w:cs="宋体"/>
          <w:spacing w:val="-1"/>
          <w:sz w:val="24"/>
          <w:szCs w:val="24"/>
        </w:rPr>
        <w:t>给人类健康和生命带来危害。</w:t>
      </w:r>
    </w:p>
    <w:p w14:paraId="681E4F16">
      <w:pPr>
        <w:spacing w:line="372" w:lineRule="auto"/>
        <w:ind w:right="77" w:firstLine="485"/>
        <w:jc w:val="both"/>
        <w:rPr>
          <w:rFonts w:ascii="宋体" w:hAnsi="宋体" w:eastAsia="宋体" w:cs="宋体"/>
          <w:sz w:val="24"/>
          <w:szCs w:val="24"/>
        </w:rPr>
      </w:pPr>
      <w:r>
        <w:rPr>
          <w:rFonts w:ascii="宋体" w:hAnsi="宋体" w:eastAsia="宋体" w:cs="宋体"/>
          <w:spacing w:val="2"/>
          <w:sz w:val="24"/>
          <w:szCs w:val="24"/>
        </w:rPr>
        <w:t>项目运行后可能发生各类猪疫情，若在疫情早期发现，并处理及时、妥当，将</w:t>
      </w:r>
      <w:r>
        <w:rPr>
          <w:rFonts w:ascii="宋体" w:hAnsi="宋体" w:eastAsia="宋体" w:cs="宋体"/>
          <w:spacing w:val="6"/>
          <w:sz w:val="24"/>
          <w:szCs w:val="24"/>
        </w:rPr>
        <w:t xml:space="preserve"> </w:t>
      </w:r>
      <w:r>
        <w:rPr>
          <w:rFonts w:ascii="宋体" w:hAnsi="宋体" w:eastAsia="宋体" w:cs="宋体"/>
          <w:spacing w:val="2"/>
          <w:sz w:val="24"/>
          <w:szCs w:val="24"/>
        </w:rPr>
        <w:t>仅造成业主自身的经济损失；但若疫情未及时发现或处理不当，将可能传染给周围</w:t>
      </w:r>
      <w:r>
        <w:rPr>
          <w:rFonts w:ascii="宋体" w:hAnsi="宋体" w:eastAsia="宋体" w:cs="宋体"/>
          <w:spacing w:val="8"/>
          <w:sz w:val="24"/>
          <w:szCs w:val="24"/>
        </w:rPr>
        <w:t xml:space="preserve"> </w:t>
      </w:r>
      <w:r>
        <w:rPr>
          <w:rFonts w:ascii="宋体" w:hAnsi="宋体" w:eastAsia="宋体" w:cs="宋体"/>
          <w:spacing w:val="2"/>
          <w:sz w:val="24"/>
          <w:szCs w:val="24"/>
        </w:rPr>
        <w:t>生物，进而传染给人群，致使当地造成经济损失，甚至人员伤亡等。因此，项目应</w:t>
      </w:r>
      <w:r>
        <w:rPr>
          <w:rFonts w:ascii="宋体" w:hAnsi="宋体" w:eastAsia="宋体" w:cs="宋体"/>
          <w:spacing w:val="8"/>
          <w:sz w:val="24"/>
          <w:szCs w:val="24"/>
        </w:rPr>
        <w:t xml:space="preserve"> </w:t>
      </w:r>
      <w:r>
        <w:rPr>
          <w:rFonts w:ascii="宋体" w:hAnsi="宋体" w:eastAsia="宋体" w:cs="宋体"/>
          <w:sz w:val="24"/>
          <w:szCs w:val="24"/>
        </w:rPr>
        <w:t>按《绿色食品——动物卫生准则》（</w:t>
      </w:r>
      <w:r>
        <w:rPr>
          <w:rFonts w:ascii="Times New Roman" w:hAnsi="Times New Roman" w:eastAsia="Times New Roman" w:cs="Times New Roman"/>
          <w:sz w:val="24"/>
          <w:szCs w:val="24"/>
        </w:rPr>
        <w:t>NY/T 473-2001</w:t>
      </w:r>
      <w:r>
        <w:rPr>
          <w:rFonts w:ascii="宋体" w:hAnsi="宋体" w:eastAsia="宋体" w:cs="宋体"/>
          <w:sz w:val="24"/>
          <w:szCs w:val="24"/>
        </w:rPr>
        <w:t>）</w:t>
      </w:r>
      <w:r>
        <w:rPr>
          <w:rFonts w:ascii="宋体" w:hAnsi="宋体" w:eastAsia="宋体" w:cs="宋体"/>
          <w:spacing w:val="-1"/>
          <w:sz w:val="24"/>
          <w:szCs w:val="24"/>
        </w:rPr>
        <w:t>要求，采取有效的风险事故防</w:t>
      </w:r>
      <w:r>
        <w:rPr>
          <w:rFonts w:ascii="宋体" w:hAnsi="宋体" w:eastAsia="宋体" w:cs="宋体"/>
          <w:sz w:val="24"/>
          <w:szCs w:val="24"/>
        </w:rPr>
        <w:t xml:space="preserve"> 范措施，防止猪疫情发生，使项目事故率、损失和</w:t>
      </w:r>
      <w:r>
        <w:rPr>
          <w:rFonts w:ascii="宋体" w:hAnsi="宋体" w:eastAsia="宋体" w:cs="宋体"/>
          <w:spacing w:val="-1"/>
          <w:sz w:val="24"/>
          <w:szCs w:val="24"/>
        </w:rPr>
        <w:t>环境影响达到最低。</w:t>
      </w:r>
    </w:p>
    <w:p w14:paraId="0DEB65A6">
      <w:pPr>
        <w:spacing w:before="27" w:line="221" w:lineRule="auto"/>
        <w:ind w:left="484"/>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、环境风险防范措施及应急要求</w:t>
      </w:r>
    </w:p>
    <w:p w14:paraId="4DB41DDA">
      <w:pPr>
        <w:spacing w:line="221" w:lineRule="auto"/>
        <w:rPr>
          <w:rFonts w:ascii="宋体" w:hAnsi="宋体" w:eastAsia="宋体" w:cs="宋体"/>
          <w:sz w:val="24"/>
          <w:szCs w:val="24"/>
        </w:rPr>
        <w:sectPr>
          <w:footerReference r:id="rId148" w:type="default"/>
          <w:pgSz w:w="11906" w:h="16839"/>
          <w:pgMar w:top="400" w:right="1503" w:bottom="1485" w:left="1596" w:header="0" w:footer="1249" w:gutter="0"/>
          <w:cols w:space="720" w:num="1"/>
        </w:sectPr>
      </w:pPr>
    </w:p>
    <w:p w14:paraId="1C15B40B">
      <w:pPr>
        <w:pStyle w:val="2"/>
        <w:spacing w:line="255" w:lineRule="auto"/>
      </w:pPr>
    </w:p>
    <w:p w14:paraId="17CCF78A">
      <w:pPr>
        <w:pStyle w:val="2"/>
        <w:spacing w:line="255" w:lineRule="auto"/>
      </w:pPr>
    </w:p>
    <w:p w14:paraId="490E23D8">
      <w:pPr>
        <w:pStyle w:val="2"/>
        <w:spacing w:line="256" w:lineRule="auto"/>
      </w:pPr>
    </w:p>
    <w:p w14:paraId="01B35643">
      <w:pPr>
        <w:pStyle w:val="2"/>
        <w:spacing w:line="256" w:lineRule="auto"/>
      </w:pPr>
    </w:p>
    <w:p w14:paraId="3613872D">
      <w:pPr>
        <w:spacing w:before="78"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）废水事故性排放风险防范措施</w:t>
      </w:r>
    </w:p>
    <w:p w14:paraId="49751568">
      <w:pPr>
        <w:spacing w:before="164" w:line="362" w:lineRule="auto"/>
        <w:ind w:left="20" w:right="81" w:firstLine="462"/>
        <w:rPr>
          <w:rFonts w:ascii="宋体" w:hAnsi="宋体" w:eastAsia="宋体" w:cs="宋体"/>
          <w:sz w:val="24"/>
          <w:szCs w:val="24"/>
        </w:rPr>
      </w:pPr>
      <w:r>
        <w:rPr>
          <w:rFonts w:ascii="宋体" w:hAnsi="宋体" w:eastAsia="宋体" w:cs="宋体"/>
          <w:spacing w:val="2"/>
          <w:sz w:val="24"/>
          <w:szCs w:val="24"/>
        </w:rPr>
        <w:t>粪污泄漏时，污染物浓度高，若直接排入附近河涌，将对周围水环境造成一定</w:t>
      </w:r>
      <w:r>
        <w:rPr>
          <w:rFonts w:ascii="宋体" w:hAnsi="宋体" w:eastAsia="宋体" w:cs="宋体"/>
          <w:spacing w:val="8"/>
          <w:sz w:val="24"/>
          <w:szCs w:val="24"/>
        </w:rPr>
        <w:t xml:space="preserve"> </w:t>
      </w:r>
      <w:r>
        <w:rPr>
          <w:rFonts w:ascii="宋体" w:hAnsi="宋体" w:eastAsia="宋体" w:cs="宋体"/>
          <w:spacing w:val="-1"/>
          <w:sz w:val="24"/>
          <w:szCs w:val="24"/>
        </w:rPr>
        <w:t>的不利影响。根据这些事故特征，本评价提出如下预</w:t>
      </w:r>
      <w:r>
        <w:rPr>
          <w:rFonts w:ascii="宋体" w:hAnsi="宋体" w:eastAsia="宋体" w:cs="宋体"/>
          <w:spacing w:val="-2"/>
          <w:sz w:val="24"/>
          <w:szCs w:val="24"/>
        </w:rPr>
        <w:t>防措施：</w:t>
      </w:r>
    </w:p>
    <w:p w14:paraId="48718DB9">
      <w:pPr>
        <w:spacing w:before="2" w:line="311" w:lineRule="auto"/>
        <w:ind w:left="6" w:right="137" w:firstLine="473"/>
        <w:rPr>
          <w:rFonts w:ascii="宋体" w:hAnsi="宋体" w:eastAsia="宋体" w:cs="宋体"/>
          <w:sz w:val="24"/>
          <w:szCs w:val="24"/>
        </w:rPr>
      </w:pPr>
      <w:r>
        <w:rPr>
          <w:rFonts w:ascii="宋体" w:hAnsi="宋体" w:eastAsia="宋体" w:cs="宋体"/>
          <w:sz w:val="24"/>
          <w:szCs w:val="24"/>
        </w:rPr>
        <w:t>①设置事故应急池，拟在项目污水处理站东面位置独立</w:t>
      </w:r>
      <w:r>
        <w:rPr>
          <w:rFonts w:ascii="宋体" w:hAnsi="宋体" w:eastAsia="宋体" w:cs="宋体"/>
          <w:spacing w:val="-1"/>
          <w:sz w:val="24"/>
          <w:szCs w:val="24"/>
        </w:rPr>
        <w:t>设置事故应急池</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w:t>
      </w:r>
      <w:r>
        <w:rPr>
          <w:rFonts w:ascii="宋体" w:hAnsi="宋体" w:eastAsia="宋体" w:cs="宋体"/>
          <w:sz w:val="24"/>
          <w:szCs w:val="24"/>
        </w:rPr>
        <w:t xml:space="preserve"> </w:t>
      </w:r>
      <w:r>
        <w:rPr>
          <w:rFonts w:ascii="宋体" w:hAnsi="宋体" w:eastAsia="宋体" w:cs="宋体"/>
          <w:spacing w:val="-1"/>
          <w:sz w:val="24"/>
          <w:szCs w:val="24"/>
        </w:rPr>
        <w:t>并进行防渗漏处理，四周设置截水沟。。</w:t>
      </w:r>
    </w:p>
    <w:p w14:paraId="75596763">
      <w:pPr>
        <w:spacing w:before="204" w:line="298" w:lineRule="auto"/>
        <w:ind w:left="1" w:right="83" w:firstLine="477"/>
        <w:rPr>
          <w:rFonts w:ascii="宋体" w:hAnsi="宋体" w:eastAsia="宋体" w:cs="宋体"/>
          <w:sz w:val="24"/>
          <w:szCs w:val="24"/>
        </w:rPr>
      </w:pPr>
      <w:r>
        <w:rPr>
          <w:rFonts w:ascii="宋体" w:hAnsi="宋体" w:eastAsia="宋体" w:cs="宋体"/>
          <w:spacing w:val="2"/>
          <w:sz w:val="24"/>
          <w:szCs w:val="24"/>
        </w:rPr>
        <w:t>②在生产区边界预先准备适量的沙包，在场界围墙有泄漏的地方进行封堵，防</w:t>
      </w:r>
      <w:r>
        <w:rPr>
          <w:rFonts w:ascii="宋体" w:hAnsi="宋体" w:eastAsia="宋体" w:cs="宋体"/>
          <w:spacing w:val="9"/>
          <w:sz w:val="24"/>
          <w:szCs w:val="24"/>
        </w:rPr>
        <w:t xml:space="preserve"> </w:t>
      </w:r>
      <w:r>
        <w:rPr>
          <w:rFonts w:ascii="宋体" w:hAnsi="宋体" w:eastAsia="宋体" w:cs="宋体"/>
          <w:spacing w:val="-1"/>
          <w:sz w:val="24"/>
          <w:szCs w:val="24"/>
        </w:rPr>
        <w:t>止事故排放粪污向场外泄漏。</w:t>
      </w:r>
    </w:p>
    <w:p w14:paraId="599F064F">
      <w:pPr>
        <w:spacing w:before="203" w:line="324" w:lineRule="auto"/>
        <w:ind w:right="81" w:firstLine="479"/>
        <w:rPr>
          <w:rFonts w:ascii="宋体" w:hAnsi="宋体" w:eastAsia="宋体" w:cs="宋体"/>
          <w:sz w:val="24"/>
          <w:szCs w:val="24"/>
        </w:rPr>
      </w:pPr>
      <w:r>
        <w:rPr>
          <w:rFonts w:ascii="宋体" w:hAnsi="宋体" w:eastAsia="宋体" w:cs="宋体"/>
          <w:spacing w:val="2"/>
          <w:sz w:val="24"/>
          <w:szCs w:val="24"/>
        </w:rPr>
        <w:t>③在生产区四周设置环形的事故截流沟，事故状态下产生的粪污全部收集至截</w:t>
      </w:r>
      <w:r>
        <w:rPr>
          <w:rFonts w:ascii="宋体" w:hAnsi="宋体" w:eastAsia="宋体" w:cs="宋体"/>
          <w:spacing w:val="9"/>
          <w:sz w:val="24"/>
          <w:szCs w:val="24"/>
        </w:rPr>
        <w:t xml:space="preserve"> </w:t>
      </w:r>
      <w:r>
        <w:rPr>
          <w:rFonts w:ascii="宋体" w:hAnsi="宋体" w:eastAsia="宋体" w:cs="宋体"/>
          <w:spacing w:val="2"/>
          <w:sz w:val="24"/>
          <w:szCs w:val="24"/>
        </w:rPr>
        <w:t>留沟内，再自流入事故应急池。事故排放废水截留和收集系统必须有防渗、防漏措</w:t>
      </w:r>
      <w:r>
        <w:rPr>
          <w:rFonts w:ascii="宋体" w:hAnsi="宋体" w:eastAsia="宋体" w:cs="宋体"/>
          <w:spacing w:val="7"/>
          <w:sz w:val="24"/>
          <w:szCs w:val="24"/>
        </w:rPr>
        <w:t xml:space="preserve"> </w:t>
      </w:r>
      <w:r>
        <w:rPr>
          <w:rFonts w:ascii="宋体" w:hAnsi="宋体" w:eastAsia="宋体" w:cs="宋体"/>
          <w:spacing w:val="-1"/>
          <w:sz w:val="24"/>
          <w:szCs w:val="24"/>
        </w:rPr>
        <w:t>施，以确保地下水不受污染。</w:t>
      </w:r>
    </w:p>
    <w:p w14:paraId="41D28E9D">
      <w:pPr>
        <w:spacing w:before="203" w:line="298" w:lineRule="auto"/>
        <w:ind w:left="1" w:firstLine="477"/>
        <w:rPr>
          <w:rFonts w:ascii="宋体" w:hAnsi="宋体" w:eastAsia="宋体" w:cs="宋体"/>
          <w:sz w:val="24"/>
          <w:szCs w:val="24"/>
        </w:rPr>
      </w:pPr>
      <w:r>
        <w:rPr>
          <w:rFonts w:ascii="宋体" w:hAnsi="宋体" w:eastAsia="宋体" w:cs="宋体"/>
          <w:spacing w:val="2"/>
          <w:sz w:val="24"/>
          <w:szCs w:val="24"/>
        </w:rPr>
        <w:t>④一旦发生风险事故，要及时通报当地环保部门等政府有关部门和通知当地群</w:t>
      </w:r>
      <w:r>
        <w:rPr>
          <w:rFonts w:ascii="宋体" w:hAnsi="宋体" w:eastAsia="宋体" w:cs="宋体"/>
          <w:spacing w:val="9"/>
          <w:sz w:val="24"/>
          <w:szCs w:val="24"/>
        </w:rPr>
        <w:t xml:space="preserve"> </w:t>
      </w:r>
      <w:r>
        <w:rPr>
          <w:rFonts w:ascii="宋体" w:hAnsi="宋体" w:eastAsia="宋体" w:cs="宋体"/>
          <w:spacing w:val="-2"/>
          <w:sz w:val="24"/>
          <w:szCs w:val="24"/>
        </w:rPr>
        <w:t>众，及时采取各种措施，防止风险事故的进一步扩大，将事故的影</w:t>
      </w:r>
      <w:r>
        <w:rPr>
          <w:rFonts w:ascii="宋体" w:hAnsi="宋体" w:eastAsia="宋体" w:cs="宋体"/>
          <w:spacing w:val="-3"/>
          <w:sz w:val="24"/>
          <w:szCs w:val="24"/>
        </w:rPr>
        <w:t>响降到最小程度。</w:t>
      </w:r>
    </w:p>
    <w:p w14:paraId="50367FED">
      <w:pPr>
        <w:spacing w:before="203" w:line="298" w:lineRule="auto"/>
        <w:ind w:left="3" w:right="83" w:firstLine="475"/>
        <w:rPr>
          <w:rFonts w:ascii="宋体" w:hAnsi="宋体" w:eastAsia="宋体" w:cs="宋体"/>
          <w:sz w:val="24"/>
          <w:szCs w:val="24"/>
        </w:rPr>
      </w:pPr>
      <w:r>
        <w:rPr>
          <w:rFonts w:ascii="宋体" w:hAnsi="宋体" w:eastAsia="宋体" w:cs="宋体"/>
          <w:spacing w:val="2"/>
          <w:sz w:val="24"/>
          <w:szCs w:val="24"/>
        </w:rPr>
        <w:t>⑤对粪污处理系统应定期巡检、调节、保养、维修，及时发现可能引起事故的</w:t>
      </w:r>
      <w:r>
        <w:rPr>
          <w:rFonts w:ascii="宋体" w:hAnsi="宋体" w:eastAsia="宋体" w:cs="宋体"/>
          <w:spacing w:val="9"/>
          <w:sz w:val="24"/>
          <w:szCs w:val="24"/>
        </w:rPr>
        <w:t xml:space="preserve"> </w:t>
      </w:r>
      <w:r>
        <w:rPr>
          <w:rFonts w:ascii="宋体" w:hAnsi="宋体" w:eastAsia="宋体" w:cs="宋体"/>
          <w:spacing w:val="-1"/>
          <w:sz w:val="24"/>
          <w:szCs w:val="24"/>
        </w:rPr>
        <w:t>异常运行苗头，消除事故隐患。</w:t>
      </w:r>
    </w:p>
    <w:p w14:paraId="43B37915">
      <w:pPr>
        <w:spacing w:before="205" w:line="298" w:lineRule="auto"/>
        <w:ind w:left="4" w:right="83" w:firstLine="474"/>
        <w:rPr>
          <w:rFonts w:ascii="宋体" w:hAnsi="宋体" w:eastAsia="宋体" w:cs="宋体"/>
          <w:sz w:val="24"/>
          <w:szCs w:val="24"/>
        </w:rPr>
      </w:pPr>
      <w:r>
        <w:rPr>
          <w:rFonts w:ascii="宋体" w:hAnsi="宋体" w:eastAsia="宋体" w:cs="宋体"/>
          <w:spacing w:val="2"/>
          <w:sz w:val="24"/>
          <w:szCs w:val="24"/>
        </w:rPr>
        <w:t>⑥定期检查粪污处理设施各建构筑物池体渗漏情况，及时维护池壁安全（特别</w:t>
      </w:r>
      <w:r>
        <w:rPr>
          <w:rFonts w:ascii="宋体" w:hAnsi="宋体" w:eastAsia="宋体" w:cs="宋体"/>
          <w:spacing w:val="9"/>
          <w:sz w:val="24"/>
          <w:szCs w:val="24"/>
        </w:rPr>
        <w:t xml:space="preserve"> </w:t>
      </w:r>
      <w:r>
        <w:rPr>
          <w:rFonts w:ascii="宋体" w:hAnsi="宋体" w:eastAsia="宋体" w:cs="宋体"/>
          <w:spacing w:val="-3"/>
          <w:sz w:val="24"/>
          <w:szCs w:val="24"/>
        </w:rPr>
        <w:t>是雨季）。</w:t>
      </w:r>
    </w:p>
    <w:p w14:paraId="71075BB2">
      <w:pPr>
        <w:spacing w:before="165" w:line="362"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）动物疫情事故风险防范措施</w:t>
      </w:r>
    </w:p>
    <w:p w14:paraId="5B9B4C9F">
      <w:pPr>
        <w:spacing w:before="164" w:line="219" w:lineRule="auto"/>
        <w:ind w:left="480"/>
        <w:rPr>
          <w:rFonts w:ascii="宋体" w:hAnsi="宋体" w:eastAsia="宋体" w:cs="宋体"/>
          <w:sz w:val="24"/>
          <w:szCs w:val="24"/>
        </w:rPr>
      </w:pPr>
      <w:r>
        <w:rPr>
          <w:rFonts w:ascii="宋体" w:hAnsi="宋体" w:eastAsia="宋体" w:cs="宋体"/>
          <w:spacing w:val="-1"/>
          <w:sz w:val="24"/>
          <w:szCs w:val="24"/>
        </w:rPr>
        <w:t>在日常管理中，对于猪疫病的防治措施应注意以下几点：</w:t>
      </w:r>
    </w:p>
    <w:p w14:paraId="1993DBFE">
      <w:pPr>
        <w:spacing w:before="204" w:line="218" w:lineRule="auto"/>
        <w:ind w:left="480"/>
        <w:rPr>
          <w:rFonts w:ascii="宋体" w:hAnsi="宋体" w:eastAsia="宋体" w:cs="宋体"/>
          <w:sz w:val="24"/>
          <w:szCs w:val="24"/>
        </w:rPr>
      </w:pPr>
      <w:r>
        <w:rPr>
          <w:rFonts w:ascii="宋体" w:hAnsi="宋体" w:eastAsia="宋体" w:cs="宋体"/>
          <w:spacing w:val="-1"/>
          <w:sz w:val="24"/>
          <w:szCs w:val="24"/>
        </w:rPr>
        <w:t>①提高员工专业素质，增强防病观念</w:t>
      </w:r>
    </w:p>
    <w:p w14:paraId="4FFFC54F">
      <w:pPr>
        <w:spacing w:before="206" w:line="376" w:lineRule="auto"/>
        <w:ind w:left="1" w:right="83" w:firstLine="478"/>
        <w:rPr>
          <w:rFonts w:ascii="宋体" w:hAnsi="宋体" w:eastAsia="宋体" w:cs="宋体"/>
          <w:sz w:val="24"/>
          <w:szCs w:val="24"/>
        </w:rPr>
      </w:pPr>
      <w:r>
        <w:rPr>
          <w:rFonts w:ascii="宋体" w:hAnsi="宋体" w:eastAsia="宋体" w:cs="宋体"/>
          <w:spacing w:val="2"/>
          <w:sz w:val="24"/>
          <w:szCs w:val="24"/>
        </w:rPr>
        <w:t>在预防传染的措施上，首先应从人员的管理着手做起，提高员工的专业素质，</w:t>
      </w:r>
      <w:r>
        <w:rPr>
          <w:rFonts w:ascii="宋体" w:hAnsi="宋体" w:eastAsia="宋体" w:cs="宋体"/>
          <w:spacing w:val="8"/>
          <w:sz w:val="24"/>
          <w:szCs w:val="24"/>
        </w:rPr>
        <w:t xml:space="preserve"> </w:t>
      </w:r>
      <w:r>
        <w:rPr>
          <w:rFonts w:ascii="宋体" w:hAnsi="宋体" w:eastAsia="宋体" w:cs="宋体"/>
          <w:spacing w:val="2"/>
          <w:sz w:val="24"/>
          <w:szCs w:val="24"/>
        </w:rPr>
        <w:t xml:space="preserve">经常进行思想教育和技术培训等工作，逐步提高他们对传染病“预防为主，防治结 </w:t>
      </w:r>
      <w:r>
        <w:rPr>
          <w:rFonts w:ascii="宋体" w:hAnsi="宋体" w:eastAsia="宋体" w:cs="宋体"/>
          <w:spacing w:val="-2"/>
          <w:sz w:val="24"/>
          <w:szCs w:val="24"/>
        </w:rPr>
        <w:t>合</w:t>
      </w:r>
      <w:r>
        <w:rPr>
          <w:rFonts w:ascii="宋体" w:hAnsi="宋体" w:eastAsia="宋体" w:cs="宋体"/>
          <w:spacing w:val="-76"/>
          <w:sz w:val="24"/>
          <w:szCs w:val="24"/>
        </w:rPr>
        <w:t xml:space="preserve"> </w:t>
      </w:r>
      <w:r>
        <w:rPr>
          <w:rFonts w:ascii="宋体" w:hAnsi="宋体" w:eastAsia="宋体" w:cs="宋体"/>
          <w:spacing w:val="-2"/>
          <w:sz w:val="24"/>
          <w:szCs w:val="24"/>
        </w:rPr>
        <w:t>”的观念，并自觉遵守防疫制度，猪场设专人负责防疫工作。</w:t>
      </w:r>
    </w:p>
    <w:p w14:paraId="5F11B0D7">
      <w:pPr>
        <w:spacing w:before="2" w:line="217" w:lineRule="auto"/>
        <w:ind w:left="479"/>
        <w:rPr>
          <w:rFonts w:ascii="宋体" w:hAnsi="宋体" w:eastAsia="宋体" w:cs="宋体"/>
          <w:sz w:val="24"/>
          <w:szCs w:val="24"/>
        </w:rPr>
      </w:pPr>
      <w:r>
        <w:rPr>
          <w:rFonts w:ascii="宋体" w:hAnsi="宋体" w:eastAsia="宋体" w:cs="宋体"/>
          <w:spacing w:val="-1"/>
          <w:sz w:val="24"/>
          <w:szCs w:val="24"/>
        </w:rPr>
        <w:t>②卫生管理和环境消毒</w:t>
      </w:r>
    </w:p>
    <w:p w14:paraId="3AB90442">
      <w:pPr>
        <w:spacing w:before="206" w:line="376" w:lineRule="auto"/>
        <w:ind w:firstLine="483"/>
        <w:rPr>
          <w:rFonts w:ascii="宋体" w:hAnsi="宋体" w:eastAsia="宋体" w:cs="宋体"/>
          <w:sz w:val="24"/>
          <w:szCs w:val="24"/>
        </w:rPr>
      </w:pPr>
      <w:r>
        <w:rPr>
          <w:rFonts w:ascii="宋体" w:hAnsi="宋体" w:eastAsia="宋体" w:cs="宋体"/>
          <w:spacing w:val="2"/>
          <w:sz w:val="24"/>
          <w:szCs w:val="24"/>
        </w:rPr>
        <w:t>净化环境，搞好全场卫生清洁工作。传染病源一般抵抗力较强，受污染的场地</w:t>
      </w:r>
      <w:r>
        <w:rPr>
          <w:rFonts w:ascii="宋体" w:hAnsi="宋体" w:eastAsia="宋体" w:cs="宋体"/>
          <w:spacing w:val="7"/>
          <w:sz w:val="24"/>
          <w:szCs w:val="24"/>
        </w:rPr>
        <w:t xml:space="preserve"> </w:t>
      </w:r>
      <w:r>
        <w:rPr>
          <w:rFonts w:ascii="宋体" w:hAnsi="宋体" w:eastAsia="宋体" w:cs="宋体"/>
          <w:spacing w:val="2"/>
          <w:sz w:val="24"/>
          <w:szCs w:val="24"/>
        </w:rPr>
        <w:t>难以彻底将其消灭。因此，坚持做好日常的环境清洁和消毒工作，定期进行全场彻</w:t>
      </w:r>
      <w:r>
        <w:rPr>
          <w:rFonts w:ascii="宋体" w:hAnsi="宋体" w:eastAsia="宋体" w:cs="宋体"/>
          <w:spacing w:val="7"/>
          <w:sz w:val="24"/>
          <w:szCs w:val="24"/>
        </w:rPr>
        <w:t xml:space="preserve"> </w:t>
      </w:r>
      <w:r>
        <w:rPr>
          <w:rFonts w:ascii="宋体" w:hAnsi="宋体" w:eastAsia="宋体" w:cs="宋体"/>
          <w:spacing w:val="-2"/>
          <w:sz w:val="24"/>
          <w:szCs w:val="24"/>
        </w:rPr>
        <w:t>底大消毒，减少或消灭环境中的病毒和其他有安因素，是预防传染病最</w:t>
      </w:r>
      <w:r>
        <w:rPr>
          <w:rFonts w:ascii="宋体" w:hAnsi="宋体" w:eastAsia="宋体" w:cs="宋体"/>
          <w:spacing w:val="-3"/>
          <w:sz w:val="24"/>
          <w:szCs w:val="24"/>
        </w:rPr>
        <w:t>有效的手段。</w:t>
      </w:r>
    </w:p>
    <w:p w14:paraId="1E4BACEA">
      <w:pPr>
        <w:spacing w:before="1" w:line="378" w:lineRule="auto"/>
        <w:ind w:left="5" w:right="81" w:firstLine="475"/>
        <w:rPr>
          <w:rFonts w:ascii="宋体" w:hAnsi="宋体" w:eastAsia="宋体" w:cs="宋体"/>
          <w:sz w:val="24"/>
          <w:szCs w:val="24"/>
        </w:rPr>
      </w:pPr>
      <w:r>
        <w:rPr>
          <w:rFonts w:ascii="宋体" w:hAnsi="宋体" w:eastAsia="宋体" w:cs="宋体"/>
          <w:spacing w:val="2"/>
          <w:sz w:val="24"/>
          <w:szCs w:val="24"/>
        </w:rPr>
        <w:t>把好门口消毒关。场门口设置消毒池，专人执行消毒工作。消毒药可选用强力</w:t>
      </w:r>
      <w:r>
        <w:rPr>
          <w:rFonts w:ascii="宋体" w:hAnsi="宋体" w:eastAsia="宋体" w:cs="宋体"/>
          <w:spacing w:val="10"/>
          <w:sz w:val="24"/>
          <w:szCs w:val="24"/>
        </w:rPr>
        <w:t xml:space="preserve"> </w:t>
      </w:r>
      <w:r>
        <w:rPr>
          <w:rFonts w:ascii="宋体" w:hAnsi="宋体" w:eastAsia="宋体" w:cs="宋体"/>
          <w:spacing w:val="2"/>
          <w:sz w:val="24"/>
          <w:szCs w:val="24"/>
        </w:rPr>
        <w:t>消毒灵、烧碱、抗毒威、毒茵净、百毒杀等，工作人员进舍前应换上已消毒的服装</w:t>
      </w:r>
    </w:p>
    <w:p w14:paraId="0B6FC3EB">
      <w:pPr>
        <w:spacing w:line="378" w:lineRule="auto"/>
        <w:rPr>
          <w:rFonts w:ascii="宋体" w:hAnsi="宋体" w:eastAsia="宋体" w:cs="宋体"/>
          <w:sz w:val="24"/>
          <w:szCs w:val="24"/>
        </w:rPr>
        <w:sectPr>
          <w:footerReference r:id="rId149" w:type="default"/>
          <w:pgSz w:w="11906" w:h="16839"/>
          <w:pgMar w:top="400" w:right="1507" w:bottom="1485" w:left="1597" w:header="0" w:footer="1249" w:gutter="0"/>
          <w:cols w:space="720" w:num="1"/>
        </w:sectPr>
      </w:pPr>
    </w:p>
    <w:p w14:paraId="1B0C90FB">
      <w:pPr>
        <w:pStyle w:val="2"/>
        <w:spacing w:line="264" w:lineRule="auto"/>
      </w:pPr>
    </w:p>
    <w:p w14:paraId="3CC17F11">
      <w:pPr>
        <w:pStyle w:val="2"/>
        <w:spacing w:line="264" w:lineRule="auto"/>
      </w:pPr>
    </w:p>
    <w:p w14:paraId="507D8727">
      <w:pPr>
        <w:pStyle w:val="2"/>
        <w:spacing w:line="264" w:lineRule="auto"/>
      </w:pPr>
    </w:p>
    <w:p w14:paraId="00B92856">
      <w:pPr>
        <w:pStyle w:val="2"/>
        <w:spacing w:line="265" w:lineRule="auto"/>
      </w:pPr>
    </w:p>
    <w:p w14:paraId="16F2F687">
      <w:pPr>
        <w:spacing w:before="78" w:line="219" w:lineRule="auto"/>
        <w:ind w:left="2"/>
        <w:rPr>
          <w:rFonts w:ascii="宋体" w:hAnsi="宋体" w:eastAsia="宋体" w:cs="宋体"/>
          <w:sz w:val="24"/>
          <w:szCs w:val="24"/>
        </w:rPr>
      </w:pPr>
      <w:r>
        <w:rPr>
          <w:rFonts w:ascii="宋体" w:hAnsi="宋体" w:eastAsia="宋体" w:cs="宋体"/>
          <w:spacing w:val="-1"/>
          <w:sz w:val="24"/>
          <w:szCs w:val="24"/>
        </w:rPr>
        <w:t>鞋帽，外来人员及车辆等必须严格消毒后进场。</w:t>
      </w:r>
    </w:p>
    <w:p w14:paraId="324AD329">
      <w:pPr>
        <w:spacing w:before="204" w:line="362" w:lineRule="auto"/>
        <w:ind w:left="1" w:right="2" w:firstLine="479"/>
        <w:rPr>
          <w:rFonts w:ascii="宋体" w:hAnsi="宋体" w:eastAsia="宋体" w:cs="宋体"/>
          <w:sz w:val="24"/>
          <w:szCs w:val="24"/>
        </w:rPr>
      </w:pPr>
      <w:r>
        <w:rPr>
          <w:rFonts w:ascii="宋体" w:hAnsi="宋体" w:eastAsia="宋体" w:cs="宋体"/>
          <w:spacing w:val="2"/>
          <w:sz w:val="24"/>
          <w:szCs w:val="24"/>
        </w:rPr>
        <w:t>加强卫生整理。严格搞好饲料及饮水的卫生管理，每天坚持做好房舍的清洁工</w:t>
      </w:r>
      <w:r>
        <w:rPr>
          <w:rFonts w:ascii="宋体" w:hAnsi="宋体" w:eastAsia="宋体" w:cs="宋体"/>
          <w:spacing w:val="10"/>
          <w:sz w:val="24"/>
          <w:szCs w:val="24"/>
        </w:rPr>
        <w:t xml:space="preserve"> </w:t>
      </w:r>
      <w:r>
        <w:rPr>
          <w:rFonts w:ascii="宋体" w:hAnsi="宋体" w:eastAsia="宋体" w:cs="宋体"/>
          <w:spacing w:val="-1"/>
          <w:sz w:val="24"/>
          <w:szCs w:val="24"/>
        </w:rPr>
        <w:t>作，并清洗各类工具、饲槽、水具等。</w:t>
      </w:r>
    </w:p>
    <w:p w14:paraId="2075CB3E">
      <w:pPr>
        <w:spacing w:line="366" w:lineRule="auto"/>
        <w:ind w:firstLine="483"/>
        <w:rPr>
          <w:rFonts w:ascii="宋体" w:hAnsi="宋体" w:eastAsia="宋体" w:cs="宋体"/>
          <w:sz w:val="24"/>
          <w:szCs w:val="24"/>
        </w:rPr>
      </w:pPr>
      <w:r>
        <w:rPr>
          <w:rFonts w:ascii="宋体" w:hAnsi="宋体" w:eastAsia="宋体" w:cs="宋体"/>
          <w:spacing w:val="-3"/>
          <w:sz w:val="24"/>
          <w:szCs w:val="24"/>
        </w:rPr>
        <w:t>坚持灭鼠、灭虫，减少疾病传播。每月进行</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次全场性投药，并长期坚持尽</w:t>
      </w:r>
      <w:r>
        <w:rPr>
          <w:rFonts w:ascii="宋体" w:hAnsi="宋体" w:eastAsia="宋体" w:cs="宋体"/>
          <w:sz w:val="24"/>
          <w:szCs w:val="24"/>
        </w:rPr>
        <w:t xml:space="preserve"> </w:t>
      </w:r>
      <w:r>
        <w:rPr>
          <w:rFonts w:ascii="宋体" w:hAnsi="宋体" w:eastAsia="宋体" w:cs="宋体"/>
          <w:spacing w:val="-1"/>
          <w:sz w:val="24"/>
          <w:szCs w:val="24"/>
        </w:rPr>
        <w:t>量减少中间媒介体，减少传播机会。</w:t>
      </w:r>
    </w:p>
    <w:p w14:paraId="75C726AE">
      <w:pPr>
        <w:spacing w:before="62" w:line="220" w:lineRule="auto"/>
        <w:ind w:left="480"/>
        <w:rPr>
          <w:rFonts w:ascii="宋体" w:hAnsi="宋体" w:eastAsia="宋体" w:cs="宋体"/>
          <w:sz w:val="24"/>
          <w:szCs w:val="24"/>
        </w:rPr>
      </w:pPr>
      <w:r>
        <w:rPr>
          <w:rFonts w:ascii="宋体" w:hAnsi="宋体" w:eastAsia="宋体" w:cs="宋体"/>
          <w:sz w:val="24"/>
          <w:szCs w:val="24"/>
        </w:rPr>
        <w:t>加强防疫。留心观察猪群、有病猪或疑似病猪均</w:t>
      </w:r>
      <w:r>
        <w:rPr>
          <w:rFonts w:ascii="宋体" w:hAnsi="宋体" w:eastAsia="宋体" w:cs="宋体"/>
          <w:spacing w:val="-1"/>
          <w:sz w:val="24"/>
          <w:szCs w:val="24"/>
        </w:rPr>
        <w:t>应立即隔离或安全处置。</w:t>
      </w:r>
    </w:p>
    <w:p w14:paraId="02B79E95">
      <w:pPr>
        <w:spacing w:before="205" w:line="376" w:lineRule="auto"/>
        <w:ind w:left="6" w:right="2" w:firstLine="474"/>
        <w:rPr>
          <w:rFonts w:ascii="宋体" w:hAnsi="宋体" w:eastAsia="宋体" w:cs="宋体"/>
          <w:sz w:val="24"/>
          <w:szCs w:val="24"/>
        </w:rPr>
      </w:pPr>
      <w:r>
        <w:rPr>
          <w:rFonts w:ascii="宋体" w:hAnsi="宋体" w:eastAsia="宋体" w:cs="宋体"/>
          <w:spacing w:val="1"/>
          <w:sz w:val="24"/>
          <w:szCs w:val="24"/>
        </w:rPr>
        <w:t>加强管理。规模养猪场要实行小区或栋舍“全进全出</w:t>
      </w:r>
      <w:r>
        <w:rPr>
          <w:rFonts w:ascii="宋体" w:hAnsi="宋体" w:eastAsia="宋体" w:cs="宋体"/>
          <w:spacing w:val="-76"/>
          <w:sz w:val="24"/>
          <w:szCs w:val="24"/>
        </w:rPr>
        <w:t xml:space="preserve"> </w:t>
      </w:r>
      <w:r>
        <w:rPr>
          <w:rFonts w:ascii="宋体" w:hAnsi="宋体" w:eastAsia="宋体" w:cs="宋体"/>
          <w:spacing w:val="1"/>
          <w:sz w:val="24"/>
          <w:szCs w:val="24"/>
        </w:rPr>
        <w:t>”的饲养管理方式，以消</w:t>
      </w:r>
      <w:r>
        <w:rPr>
          <w:rFonts w:ascii="宋体" w:hAnsi="宋体" w:eastAsia="宋体" w:cs="宋体"/>
          <w:sz w:val="24"/>
          <w:szCs w:val="24"/>
        </w:rPr>
        <w:t xml:space="preserve"> </w:t>
      </w:r>
      <w:r>
        <w:rPr>
          <w:rFonts w:ascii="宋体" w:hAnsi="宋体" w:eastAsia="宋体" w:cs="宋体"/>
          <w:spacing w:val="2"/>
          <w:sz w:val="24"/>
          <w:szCs w:val="24"/>
        </w:rPr>
        <w:t>除连续感染、交叉感染，生猪出栏后，猪舍要彻底清扫、冲洗和消毒，并空置半个</w:t>
      </w:r>
      <w:r>
        <w:rPr>
          <w:rFonts w:ascii="宋体" w:hAnsi="宋体" w:eastAsia="宋体" w:cs="宋体"/>
          <w:sz w:val="24"/>
          <w:szCs w:val="24"/>
        </w:rPr>
        <w:t xml:space="preserve"> </w:t>
      </w:r>
      <w:r>
        <w:rPr>
          <w:rFonts w:ascii="宋体" w:hAnsi="宋体" w:eastAsia="宋体" w:cs="宋体"/>
          <w:spacing w:val="2"/>
          <w:sz w:val="24"/>
          <w:szCs w:val="24"/>
        </w:rPr>
        <w:t>月以上方可进猪。动物防疫监督部门要到场到户检疫，认真做好生猪检疫工作，做</w:t>
      </w:r>
      <w:r>
        <w:rPr>
          <w:rFonts w:ascii="宋体" w:hAnsi="宋体" w:eastAsia="宋体" w:cs="宋体"/>
          <w:sz w:val="24"/>
          <w:szCs w:val="24"/>
        </w:rPr>
        <w:t xml:space="preserve"> </w:t>
      </w:r>
      <w:r>
        <w:rPr>
          <w:rFonts w:ascii="宋体" w:hAnsi="宋体" w:eastAsia="宋体" w:cs="宋体"/>
          <w:spacing w:val="-1"/>
          <w:sz w:val="24"/>
          <w:szCs w:val="24"/>
        </w:rPr>
        <w:t>到及早发现疫情，并把疫情控制在最小范围内，防止传染源进入市场流通渠道。</w:t>
      </w:r>
    </w:p>
    <w:p w14:paraId="693835EB">
      <w:pPr>
        <w:spacing w:before="1" w:line="217" w:lineRule="auto"/>
        <w:ind w:left="479"/>
        <w:rPr>
          <w:rFonts w:ascii="宋体" w:hAnsi="宋体" w:eastAsia="宋体" w:cs="宋体"/>
          <w:sz w:val="24"/>
          <w:szCs w:val="24"/>
        </w:rPr>
      </w:pPr>
      <w:r>
        <w:rPr>
          <w:rFonts w:ascii="宋体" w:hAnsi="宋体" w:eastAsia="宋体" w:cs="宋体"/>
          <w:spacing w:val="-2"/>
          <w:sz w:val="24"/>
          <w:szCs w:val="24"/>
        </w:rPr>
        <w:t>③药物防疫</w:t>
      </w:r>
    </w:p>
    <w:p w14:paraId="62E647C2">
      <w:pPr>
        <w:spacing w:before="205" w:line="376" w:lineRule="auto"/>
        <w:ind w:left="1" w:right="2" w:firstLine="480"/>
        <w:rPr>
          <w:rFonts w:ascii="宋体" w:hAnsi="宋体" w:eastAsia="宋体" w:cs="宋体"/>
          <w:sz w:val="24"/>
          <w:szCs w:val="24"/>
        </w:rPr>
      </w:pPr>
      <w:r>
        <w:rPr>
          <w:rFonts w:ascii="宋体" w:hAnsi="宋体" w:eastAsia="宋体" w:cs="宋体"/>
          <w:spacing w:val="2"/>
          <w:sz w:val="24"/>
          <w:szCs w:val="24"/>
        </w:rPr>
        <w:t>合理的使用药物，即可预防猪的感染发病，又可消灭传染病原，净化环境。因</w:t>
      </w:r>
      <w:r>
        <w:rPr>
          <w:rFonts w:ascii="宋体" w:hAnsi="宋体" w:eastAsia="宋体" w:cs="宋体"/>
          <w:spacing w:val="9"/>
          <w:sz w:val="24"/>
          <w:szCs w:val="24"/>
        </w:rPr>
        <w:t xml:space="preserve"> </w:t>
      </w:r>
      <w:r>
        <w:rPr>
          <w:rFonts w:ascii="宋体" w:hAnsi="宋体" w:eastAsia="宋体" w:cs="宋体"/>
          <w:spacing w:val="-1"/>
          <w:sz w:val="24"/>
          <w:szCs w:val="24"/>
        </w:rPr>
        <w:t>此，在生产实践中预防传染病，都采用早期投药。</w:t>
      </w:r>
    </w:p>
    <w:p w14:paraId="25BEC160">
      <w:pPr>
        <w:spacing w:before="1" w:line="217" w:lineRule="auto"/>
        <w:ind w:left="479"/>
        <w:rPr>
          <w:rFonts w:ascii="宋体" w:hAnsi="宋体" w:eastAsia="宋体" w:cs="宋体"/>
          <w:sz w:val="24"/>
          <w:szCs w:val="24"/>
        </w:rPr>
      </w:pPr>
      <w:r>
        <w:rPr>
          <w:rFonts w:ascii="宋体" w:hAnsi="宋体" w:eastAsia="宋体" w:cs="宋体"/>
          <w:spacing w:val="-2"/>
          <w:sz w:val="24"/>
          <w:szCs w:val="24"/>
        </w:rPr>
        <w:t>④猪的免疫接种</w:t>
      </w:r>
    </w:p>
    <w:p w14:paraId="535229E1">
      <w:pPr>
        <w:spacing w:before="208" w:line="376" w:lineRule="auto"/>
        <w:ind w:left="2" w:right="2" w:firstLine="477"/>
        <w:rPr>
          <w:rFonts w:ascii="宋体" w:hAnsi="宋体" w:eastAsia="宋体" w:cs="宋体"/>
          <w:sz w:val="24"/>
          <w:szCs w:val="24"/>
        </w:rPr>
      </w:pPr>
      <w:r>
        <w:rPr>
          <w:rFonts w:ascii="宋体" w:hAnsi="宋体" w:eastAsia="宋体" w:cs="宋体"/>
          <w:spacing w:val="2"/>
          <w:sz w:val="24"/>
          <w:szCs w:val="24"/>
        </w:rPr>
        <w:t>对种猪要结合当地疫情进行定期检疫或临时检疫。必要时请技术人员对种猪进</w:t>
      </w:r>
      <w:r>
        <w:rPr>
          <w:rFonts w:ascii="宋体" w:hAnsi="宋体" w:eastAsia="宋体" w:cs="宋体"/>
          <w:spacing w:val="11"/>
          <w:sz w:val="24"/>
          <w:szCs w:val="24"/>
        </w:rPr>
        <w:t xml:space="preserve"> </w:t>
      </w:r>
      <w:r>
        <w:rPr>
          <w:rFonts w:ascii="宋体" w:hAnsi="宋体" w:eastAsia="宋体" w:cs="宋体"/>
          <w:spacing w:val="2"/>
          <w:sz w:val="24"/>
          <w:szCs w:val="24"/>
        </w:rPr>
        <w:t>行化验检查，对查出的猪结核病、猪布氏杆菌病等阳性病例，应当隔离，分别进行</w:t>
      </w:r>
      <w:r>
        <w:rPr>
          <w:rFonts w:ascii="宋体" w:hAnsi="宋体" w:eastAsia="宋体" w:cs="宋体"/>
          <w:spacing w:val="4"/>
          <w:sz w:val="24"/>
          <w:szCs w:val="24"/>
        </w:rPr>
        <w:t xml:space="preserve"> </w:t>
      </w:r>
      <w:r>
        <w:rPr>
          <w:rFonts w:ascii="宋体" w:hAnsi="宋体" w:eastAsia="宋体" w:cs="宋体"/>
          <w:spacing w:val="2"/>
          <w:sz w:val="24"/>
          <w:szCs w:val="24"/>
        </w:rPr>
        <w:t>治疗、育肥、屠宰或捕杀淘汰，以保证种猪健康。对新引进的种猪，要查对产地兽</w:t>
      </w:r>
      <w:r>
        <w:rPr>
          <w:rFonts w:ascii="宋体" w:hAnsi="宋体" w:eastAsia="宋体" w:cs="宋体"/>
          <w:spacing w:val="4"/>
          <w:sz w:val="24"/>
          <w:szCs w:val="24"/>
        </w:rPr>
        <w:t xml:space="preserve"> </w:t>
      </w:r>
      <w:r>
        <w:rPr>
          <w:rFonts w:ascii="宋体" w:hAnsi="宋体" w:eastAsia="宋体" w:cs="宋体"/>
          <w:spacing w:val="2"/>
          <w:sz w:val="24"/>
          <w:szCs w:val="24"/>
        </w:rPr>
        <w:t>医部门的预防注射证明和检疫证明，隔离观察一段时间，经过免疫注射，确认健康</w:t>
      </w:r>
      <w:r>
        <w:rPr>
          <w:rFonts w:ascii="宋体" w:hAnsi="宋体" w:eastAsia="宋体" w:cs="宋体"/>
          <w:spacing w:val="4"/>
          <w:sz w:val="24"/>
          <w:szCs w:val="24"/>
        </w:rPr>
        <w:t xml:space="preserve"> </w:t>
      </w:r>
      <w:r>
        <w:rPr>
          <w:rFonts w:ascii="宋体" w:hAnsi="宋体" w:eastAsia="宋体" w:cs="宋体"/>
          <w:spacing w:val="-2"/>
          <w:sz w:val="24"/>
          <w:szCs w:val="24"/>
        </w:rPr>
        <w:t>后方准进入饲养区。</w:t>
      </w:r>
    </w:p>
    <w:p w14:paraId="31427962">
      <w:pPr>
        <w:spacing w:before="6" w:line="376" w:lineRule="auto"/>
        <w:ind w:right="2" w:firstLine="504"/>
        <w:rPr>
          <w:rFonts w:ascii="宋体" w:hAnsi="宋体" w:eastAsia="宋体" w:cs="宋体"/>
          <w:sz w:val="24"/>
          <w:szCs w:val="24"/>
        </w:rPr>
      </w:pPr>
      <w:r>
        <w:rPr>
          <w:rFonts w:ascii="宋体" w:hAnsi="宋体" w:eastAsia="宋体" w:cs="宋体"/>
          <w:spacing w:val="2"/>
          <w:sz w:val="24"/>
          <w:szCs w:val="24"/>
        </w:rPr>
        <w:t>同时要建立预防接种制度。预防接种，就是对</w:t>
      </w:r>
      <w:r>
        <w:rPr>
          <w:rFonts w:ascii="宋体" w:hAnsi="宋体" w:eastAsia="宋体" w:cs="宋体"/>
          <w:spacing w:val="1"/>
          <w:sz w:val="24"/>
          <w:szCs w:val="24"/>
        </w:rPr>
        <w:t>健康猪在适当的时机注射一定数</w:t>
      </w:r>
      <w:r>
        <w:rPr>
          <w:rFonts w:ascii="宋体" w:hAnsi="宋体" w:eastAsia="宋体" w:cs="宋体"/>
          <w:sz w:val="24"/>
          <w:szCs w:val="24"/>
        </w:rPr>
        <w:t xml:space="preserve"> </w:t>
      </w:r>
      <w:r>
        <w:rPr>
          <w:rFonts w:ascii="宋体" w:hAnsi="宋体" w:eastAsia="宋体" w:cs="宋体"/>
          <w:spacing w:val="2"/>
          <w:sz w:val="24"/>
          <w:szCs w:val="24"/>
        </w:rPr>
        <w:t>量的疫苗和菌苗，使猪产生抵抗这种传染病的免疫力。预防接种分为平时定期预防</w:t>
      </w:r>
      <w:r>
        <w:rPr>
          <w:rFonts w:ascii="宋体" w:hAnsi="宋体" w:eastAsia="宋体" w:cs="宋体"/>
          <w:spacing w:val="7"/>
          <w:sz w:val="24"/>
          <w:szCs w:val="24"/>
        </w:rPr>
        <w:t xml:space="preserve"> </w:t>
      </w:r>
      <w:r>
        <w:rPr>
          <w:rFonts w:ascii="宋体" w:hAnsi="宋体" w:eastAsia="宋体" w:cs="宋体"/>
          <w:spacing w:val="2"/>
          <w:sz w:val="24"/>
          <w:szCs w:val="24"/>
        </w:rPr>
        <w:t>接种和发生病情时的紧急预防接种两种。平时的定期预防接种，例如很多农村在春</w:t>
      </w:r>
      <w:r>
        <w:rPr>
          <w:rFonts w:ascii="宋体" w:hAnsi="宋体" w:eastAsia="宋体" w:cs="宋体"/>
          <w:spacing w:val="7"/>
          <w:sz w:val="24"/>
          <w:szCs w:val="24"/>
        </w:rPr>
        <w:t xml:space="preserve"> </w:t>
      </w:r>
      <w:r>
        <w:rPr>
          <w:rFonts w:ascii="宋体" w:hAnsi="宋体" w:eastAsia="宋体" w:cs="宋体"/>
          <w:spacing w:val="2"/>
          <w:sz w:val="24"/>
          <w:szCs w:val="24"/>
        </w:rPr>
        <w:t>季或秋季对猪进行的防疫注射，是对健康猪进行的以预防为目的接种注射，这种</w:t>
      </w:r>
      <w:r>
        <w:rPr>
          <w:rFonts w:ascii="宋体" w:hAnsi="宋体" w:eastAsia="宋体" w:cs="宋体"/>
          <w:spacing w:val="7"/>
          <w:sz w:val="24"/>
          <w:szCs w:val="24"/>
        </w:rPr>
        <w:t xml:space="preserve"> </w:t>
      </w:r>
      <w:r>
        <w:rPr>
          <w:rFonts w:ascii="宋体" w:hAnsi="宋体" w:eastAsia="宋体" w:cs="宋体"/>
          <w:spacing w:val="2"/>
          <w:sz w:val="24"/>
          <w:szCs w:val="24"/>
        </w:rPr>
        <w:t>接种方式，注射的数量多，密度大，在控制和消灭猪传染病方面起着重要的作用。</w:t>
      </w:r>
      <w:r>
        <w:rPr>
          <w:rFonts w:ascii="宋体" w:hAnsi="宋体" w:eastAsia="宋体" w:cs="宋体"/>
          <w:spacing w:val="7"/>
          <w:sz w:val="24"/>
          <w:szCs w:val="24"/>
        </w:rPr>
        <w:t xml:space="preserve"> </w:t>
      </w:r>
      <w:r>
        <w:rPr>
          <w:rFonts w:ascii="宋体" w:hAnsi="宋体" w:eastAsia="宋体" w:cs="宋体"/>
          <w:spacing w:val="2"/>
          <w:sz w:val="24"/>
          <w:szCs w:val="24"/>
        </w:rPr>
        <w:t>紧急预防接种，是在发生了疫病的地区，对还没发病的猪，或疫区周围的猪，进行</w:t>
      </w:r>
      <w:r>
        <w:rPr>
          <w:rFonts w:ascii="宋体" w:hAnsi="宋体" w:eastAsia="宋体" w:cs="宋体"/>
          <w:spacing w:val="7"/>
          <w:sz w:val="24"/>
          <w:szCs w:val="24"/>
        </w:rPr>
        <w:t xml:space="preserve"> </w:t>
      </w:r>
      <w:r>
        <w:rPr>
          <w:rFonts w:ascii="宋体" w:hAnsi="宋体" w:eastAsia="宋体" w:cs="宋体"/>
          <w:spacing w:val="2"/>
          <w:sz w:val="24"/>
          <w:szCs w:val="24"/>
        </w:rPr>
        <w:t>的接种注射。这样会保护健康猪不发生疫情，而且由这些接种猪建立起隔离带，使</w:t>
      </w:r>
      <w:r>
        <w:rPr>
          <w:rFonts w:ascii="宋体" w:hAnsi="宋体" w:eastAsia="宋体" w:cs="宋体"/>
          <w:spacing w:val="7"/>
          <w:sz w:val="24"/>
          <w:szCs w:val="24"/>
        </w:rPr>
        <w:t xml:space="preserve"> </w:t>
      </w:r>
      <w:r>
        <w:rPr>
          <w:rFonts w:ascii="宋体" w:hAnsi="宋体" w:eastAsia="宋体" w:cs="宋体"/>
          <w:spacing w:val="2"/>
          <w:sz w:val="24"/>
          <w:szCs w:val="24"/>
        </w:rPr>
        <w:t>疫区的疫情不再向外发生蔓延。这种接种方式，有的地区的农牧民称之为“顶风上</w:t>
      </w:r>
      <w:r>
        <w:rPr>
          <w:rFonts w:ascii="宋体" w:hAnsi="宋体" w:eastAsia="宋体" w:cs="宋体"/>
          <w:spacing w:val="7"/>
          <w:sz w:val="24"/>
          <w:szCs w:val="24"/>
        </w:rPr>
        <w:t xml:space="preserve"> </w:t>
      </w:r>
      <w:r>
        <w:rPr>
          <w:rFonts w:ascii="宋体" w:hAnsi="宋体" w:eastAsia="宋体" w:cs="宋体"/>
          <w:spacing w:val="-2"/>
          <w:sz w:val="24"/>
          <w:szCs w:val="24"/>
        </w:rPr>
        <w:t>的预防接种</w:t>
      </w:r>
      <w:r>
        <w:rPr>
          <w:rFonts w:ascii="宋体" w:hAnsi="宋体" w:eastAsia="宋体" w:cs="宋体"/>
          <w:spacing w:val="-80"/>
          <w:sz w:val="24"/>
          <w:szCs w:val="24"/>
        </w:rPr>
        <w:t xml:space="preserve"> </w:t>
      </w:r>
      <w:r>
        <w:rPr>
          <w:rFonts w:ascii="宋体" w:hAnsi="宋体" w:eastAsia="宋体" w:cs="宋体"/>
          <w:spacing w:val="-2"/>
          <w:sz w:val="24"/>
          <w:szCs w:val="24"/>
        </w:rPr>
        <w:t>”，在控制和扑灭传染病方面起较大的作用。</w:t>
      </w:r>
    </w:p>
    <w:p w14:paraId="33858E01">
      <w:pPr>
        <w:spacing w:line="376" w:lineRule="auto"/>
        <w:rPr>
          <w:rFonts w:ascii="宋体" w:hAnsi="宋体" w:eastAsia="宋体" w:cs="宋体"/>
          <w:sz w:val="24"/>
          <w:szCs w:val="24"/>
        </w:rPr>
        <w:sectPr>
          <w:footerReference r:id="rId150" w:type="default"/>
          <w:pgSz w:w="11906" w:h="16839"/>
          <w:pgMar w:top="400" w:right="1585" w:bottom="1485" w:left="1597" w:header="0" w:footer="1249" w:gutter="0"/>
          <w:cols w:space="720" w:num="1"/>
        </w:sectPr>
      </w:pPr>
    </w:p>
    <w:p w14:paraId="7CF63B42">
      <w:pPr>
        <w:pStyle w:val="2"/>
        <w:spacing w:line="264" w:lineRule="auto"/>
      </w:pPr>
    </w:p>
    <w:p w14:paraId="5415ECBD">
      <w:pPr>
        <w:pStyle w:val="2"/>
        <w:spacing w:line="264" w:lineRule="auto"/>
      </w:pPr>
    </w:p>
    <w:p w14:paraId="6AB439B2">
      <w:pPr>
        <w:pStyle w:val="2"/>
        <w:spacing w:line="264" w:lineRule="auto"/>
      </w:pPr>
    </w:p>
    <w:p w14:paraId="171EA981">
      <w:pPr>
        <w:pStyle w:val="2"/>
        <w:spacing w:line="265" w:lineRule="auto"/>
      </w:pPr>
    </w:p>
    <w:p w14:paraId="453EAD44">
      <w:pPr>
        <w:spacing w:before="78" w:line="218" w:lineRule="auto"/>
        <w:ind w:left="601"/>
        <w:rPr>
          <w:rFonts w:ascii="宋体" w:hAnsi="宋体" w:eastAsia="宋体" w:cs="宋体"/>
          <w:sz w:val="24"/>
          <w:szCs w:val="24"/>
        </w:rPr>
      </w:pPr>
      <w:r>
        <w:rPr>
          <w:rFonts w:ascii="宋体" w:hAnsi="宋体" w:eastAsia="宋体" w:cs="宋体"/>
          <w:spacing w:val="-1"/>
          <w:sz w:val="24"/>
          <w:szCs w:val="24"/>
        </w:rPr>
        <w:t>⑤建立疫病报告制度</w:t>
      </w:r>
    </w:p>
    <w:p w14:paraId="679DDDF7">
      <w:pPr>
        <w:spacing w:before="206" w:line="376" w:lineRule="auto"/>
        <w:ind w:left="122" w:right="113" w:firstLine="481"/>
        <w:rPr>
          <w:rFonts w:ascii="宋体" w:hAnsi="宋体" w:eastAsia="宋体" w:cs="宋体"/>
          <w:sz w:val="24"/>
          <w:szCs w:val="24"/>
        </w:rPr>
      </w:pPr>
      <w:r>
        <w:rPr>
          <w:rFonts w:ascii="宋体" w:hAnsi="宋体" w:eastAsia="宋体" w:cs="宋体"/>
          <w:spacing w:val="2"/>
          <w:sz w:val="24"/>
          <w:szCs w:val="24"/>
        </w:rPr>
        <w:t>养猪场要实行规范化管理，每栋猪舍内猪的数量、精神状况、发病死亡情况、</w:t>
      </w:r>
      <w:r>
        <w:rPr>
          <w:rFonts w:ascii="宋体" w:hAnsi="宋体" w:eastAsia="宋体" w:cs="宋体"/>
          <w:spacing w:val="9"/>
          <w:sz w:val="24"/>
          <w:szCs w:val="24"/>
        </w:rPr>
        <w:t xml:space="preserve"> </w:t>
      </w:r>
      <w:r>
        <w:rPr>
          <w:rFonts w:ascii="宋体" w:hAnsi="宋体" w:eastAsia="宋体" w:cs="宋体"/>
          <w:spacing w:val="2"/>
          <w:sz w:val="24"/>
          <w:szCs w:val="24"/>
        </w:rPr>
        <w:t>饲料消耗、粪便性状每天都应加以记载，发现有病猪、死猪，要及时向当地兽医部</w:t>
      </w:r>
      <w:r>
        <w:rPr>
          <w:rFonts w:ascii="宋体" w:hAnsi="宋体" w:eastAsia="宋体" w:cs="宋体"/>
          <w:spacing w:val="7"/>
          <w:sz w:val="24"/>
          <w:szCs w:val="24"/>
        </w:rPr>
        <w:t xml:space="preserve"> </w:t>
      </w:r>
      <w:r>
        <w:rPr>
          <w:rFonts w:ascii="宋体" w:hAnsi="宋体" w:eastAsia="宋体" w:cs="宋体"/>
          <w:spacing w:val="-1"/>
          <w:sz w:val="24"/>
          <w:szCs w:val="24"/>
        </w:rPr>
        <w:t>门报告，以便及早确诊，采取适当措施，减少损失。</w:t>
      </w:r>
    </w:p>
    <w:p w14:paraId="1BF11E4F">
      <w:pPr>
        <w:spacing w:before="1" w:line="217" w:lineRule="auto"/>
        <w:ind w:left="601"/>
        <w:rPr>
          <w:rFonts w:ascii="宋体" w:hAnsi="宋体" w:eastAsia="宋体" w:cs="宋体"/>
          <w:sz w:val="24"/>
          <w:szCs w:val="24"/>
        </w:rPr>
      </w:pPr>
      <w:r>
        <w:rPr>
          <w:rFonts w:ascii="宋体" w:hAnsi="宋体" w:eastAsia="宋体" w:cs="宋体"/>
          <w:spacing w:val="-1"/>
          <w:sz w:val="24"/>
          <w:szCs w:val="24"/>
        </w:rPr>
        <w:t>⑥病死猪尸体处置</w:t>
      </w:r>
    </w:p>
    <w:p w14:paraId="142AFE45">
      <w:pPr>
        <w:spacing w:before="170" w:line="367" w:lineRule="auto"/>
        <w:ind w:left="123" w:right="110" w:firstLine="479"/>
        <w:rPr>
          <w:rFonts w:ascii="宋体" w:hAnsi="宋体" w:eastAsia="宋体" w:cs="宋体"/>
          <w:sz w:val="24"/>
          <w:szCs w:val="24"/>
        </w:rPr>
      </w:pPr>
      <w:r>
        <w:rPr>
          <w:rFonts w:ascii="宋体" w:hAnsi="宋体" w:eastAsia="宋体" w:cs="宋体"/>
          <w:sz w:val="24"/>
          <w:szCs w:val="24"/>
        </w:rPr>
        <w:t>根据《畜禽养殖业污染防治技术规范》（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 xml:space="preserve">）的相关规定，企业对病 </w:t>
      </w:r>
      <w:r>
        <w:rPr>
          <w:rFonts w:ascii="宋体" w:hAnsi="宋体" w:eastAsia="宋体" w:cs="宋体"/>
          <w:spacing w:val="-1"/>
          <w:sz w:val="24"/>
          <w:szCs w:val="24"/>
        </w:rPr>
        <w:t>死猪尸体及时处理，不随意丢弃，不出售或作为饲料再利用。</w:t>
      </w:r>
    </w:p>
    <w:p w14:paraId="2C892663">
      <w:pPr>
        <w:spacing w:before="61" w:line="362" w:lineRule="auto"/>
        <w:ind w:left="123" w:right="113" w:firstLine="480"/>
        <w:rPr>
          <w:rFonts w:ascii="宋体" w:hAnsi="宋体" w:eastAsia="宋体" w:cs="宋体"/>
          <w:sz w:val="24"/>
          <w:szCs w:val="24"/>
        </w:rPr>
      </w:pPr>
      <w:r>
        <w:rPr>
          <w:rFonts w:ascii="宋体" w:hAnsi="宋体" w:eastAsia="宋体" w:cs="宋体"/>
          <w:spacing w:val="2"/>
          <w:sz w:val="24"/>
          <w:szCs w:val="24"/>
        </w:rPr>
        <w:t>本项目拟依托海丰县公平镇龙寨实成种养专业合作社项目安全填埋井，对正常</w:t>
      </w:r>
      <w:r>
        <w:rPr>
          <w:rFonts w:ascii="宋体" w:hAnsi="宋体" w:eastAsia="宋体" w:cs="宋体"/>
          <w:spacing w:val="9"/>
          <w:sz w:val="24"/>
          <w:szCs w:val="24"/>
        </w:rPr>
        <w:t xml:space="preserve"> </w:t>
      </w:r>
      <w:r>
        <w:rPr>
          <w:rFonts w:ascii="宋体" w:hAnsi="宋体" w:eastAsia="宋体" w:cs="宋体"/>
          <w:spacing w:val="-1"/>
          <w:sz w:val="24"/>
          <w:szCs w:val="24"/>
        </w:rPr>
        <w:t>和非正常死亡的猪尸体进行填埋处理。</w:t>
      </w:r>
    </w:p>
    <w:p w14:paraId="2E32762C">
      <w:pPr>
        <w:spacing w:line="361"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6</w:t>
      </w:r>
      <w:r>
        <w:rPr>
          <w:rFonts w:ascii="Times New Roman" w:hAnsi="Times New Roman" w:eastAsia="Times New Roman" w:cs="Times New Roman"/>
          <w:spacing w:val="-32"/>
          <w:position w:val="2"/>
          <w:sz w:val="24"/>
          <w:szCs w:val="24"/>
        </w:rPr>
        <w:t xml:space="preserve"> </w:t>
      </w:r>
      <w:r>
        <w:rPr>
          <w:rFonts w:ascii="宋体" w:hAnsi="宋体" w:eastAsia="宋体" w:cs="宋体"/>
          <w:spacing w:val="-4"/>
          <w:position w:val="2"/>
          <w:sz w:val="24"/>
          <w:szCs w:val="24"/>
        </w:rPr>
        <w:t>、环境风险分析结论</w:t>
      </w:r>
    </w:p>
    <w:p w14:paraId="15316CDE">
      <w:pPr>
        <w:spacing w:before="164" w:line="378" w:lineRule="auto"/>
        <w:ind w:left="266" w:right="115" w:firstLine="423"/>
        <w:rPr>
          <w:rFonts w:ascii="宋体" w:hAnsi="宋体" w:eastAsia="宋体" w:cs="宋体"/>
          <w:sz w:val="24"/>
          <w:szCs w:val="24"/>
        </w:rPr>
      </w:pPr>
      <w:r>
        <w:rPr>
          <w:rFonts w:ascii="宋体" w:hAnsi="宋体" w:eastAsia="宋体" w:cs="宋体"/>
          <w:spacing w:val="-6"/>
          <w:sz w:val="24"/>
          <w:szCs w:val="24"/>
        </w:rPr>
        <w:t>本项目环境风险潜势为</w:t>
      </w:r>
      <w:r>
        <w:rPr>
          <w:rFonts w:ascii="宋体" w:hAnsi="宋体" w:eastAsia="宋体" w:cs="宋体"/>
          <w:spacing w:val="-15"/>
          <w:sz w:val="24"/>
          <w:szCs w:val="24"/>
        </w:rPr>
        <w:t xml:space="preserve"> </w:t>
      </w:r>
      <w:r>
        <w:rPr>
          <w:rFonts w:ascii="宋体" w:hAnsi="宋体" w:eastAsia="宋体" w:cs="宋体"/>
          <w:spacing w:val="-6"/>
          <w:sz w:val="24"/>
          <w:szCs w:val="24"/>
        </w:rPr>
        <w:t>Ⅰ</w:t>
      </w:r>
      <w:r>
        <w:rPr>
          <w:rFonts w:ascii="宋体" w:hAnsi="宋体" w:eastAsia="宋体" w:cs="宋体"/>
          <w:spacing w:val="-94"/>
          <w:sz w:val="24"/>
          <w:szCs w:val="24"/>
        </w:rPr>
        <w:t xml:space="preserve"> </w:t>
      </w:r>
      <w:r>
        <w:rPr>
          <w:rFonts w:ascii="宋体" w:hAnsi="宋体" w:eastAsia="宋体" w:cs="宋体"/>
          <w:spacing w:val="-6"/>
          <w:sz w:val="24"/>
          <w:szCs w:val="24"/>
        </w:rPr>
        <w:t>,</w:t>
      </w:r>
      <w:r>
        <w:rPr>
          <w:rFonts w:ascii="宋体" w:hAnsi="宋体" w:eastAsia="宋体" w:cs="宋体"/>
          <w:spacing w:val="61"/>
          <w:sz w:val="24"/>
          <w:szCs w:val="24"/>
        </w:rPr>
        <w:t xml:space="preserve"> </w:t>
      </w:r>
      <w:r>
        <w:rPr>
          <w:rFonts w:ascii="宋体" w:hAnsi="宋体" w:eastAsia="宋体" w:cs="宋体"/>
          <w:spacing w:val="-6"/>
          <w:sz w:val="24"/>
          <w:szCs w:val="24"/>
        </w:rPr>
        <w:t>环境风险等级低于三级，在做好上述各项防范措施</w:t>
      </w:r>
      <w:r>
        <w:rPr>
          <w:rFonts w:ascii="宋体" w:hAnsi="宋体" w:eastAsia="宋体" w:cs="宋体"/>
          <w:sz w:val="24"/>
          <w:szCs w:val="24"/>
        </w:rPr>
        <w:t xml:space="preserve"> </w:t>
      </w:r>
      <w:r>
        <w:rPr>
          <w:rFonts w:ascii="宋体" w:hAnsi="宋体" w:eastAsia="宋体" w:cs="宋体"/>
          <w:spacing w:val="-1"/>
          <w:sz w:val="24"/>
          <w:szCs w:val="24"/>
        </w:rPr>
        <w:t>后，本项目生产过程的环境风险是可控的。</w:t>
      </w:r>
    </w:p>
    <w:p w14:paraId="092E950B">
      <w:pPr>
        <w:spacing w:before="7" w:line="228" w:lineRule="auto"/>
        <w:ind w:left="269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6"/>
          <w:sz w:val="20"/>
          <w:szCs w:val="20"/>
        </w:rPr>
        <w:t xml:space="preserve">5.2-20 </w:t>
      </w:r>
      <w:r>
        <w:rPr>
          <w:rFonts w:ascii="宋体" w:hAnsi="宋体" w:eastAsia="宋体" w:cs="宋体"/>
          <w:b/>
          <w:bCs/>
          <w:spacing w:val="6"/>
          <w:sz w:val="20"/>
          <w:szCs w:val="20"/>
        </w:rPr>
        <w:t>建设项目环境风险简单分析内容表</w:t>
      </w:r>
    </w:p>
    <w:p w14:paraId="7A457344">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6"/>
        <w:gridCol w:w="1624"/>
        <w:gridCol w:w="1758"/>
        <w:gridCol w:w="1624"/>
        <w:gridCol w:w="1748"/>
      </w:tblGrid>
      <w:tr w14:paraId="635AF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96" w:type="dxa"/>
            <w:vAlign w:val="top"/>
          </w:tcPr>
          <w:p w14:paraId="23E300D6">
            <w:pPr>
              <w:pStyle w:val="6"/>
              <w:spacing w:before="62" w:line="229" w:lineRule="auto"/>
              <w:ind w:left="476"/>
            </w:pPr>
            <w:r>
              <w:rPr>
                <w:spacing w:val="7"/>
              </w:rPr>
              <w:t>建设项目名称</w:t>
            </w:r>
          </w:p>
        </w:tc>
        <w:tc>
          <w:tcPr>
            <w:tcW w:w="6754" w:type="dxa"/>
            <w:gridSpan w:val="4"/>
            <w:vAlign w:val="top"/>
          </w:tcPr>
          <w:p w14:paraId="156B4267">
            <w:pPr>
              <w:pStyle w:val="6"/>
              <w:spacing w:before="62" w:line="228" w:lineRule="auto"/>
              <w:ind w:left="1388"/>
            </w:pPr>
            <w:r>
              <w:rPr>
                <w:spacing w:val="9"/>
              </w:rPr>
              <w:t>汕尾市天磊联信种养有限公司生猪养殖项目</w:t>
            </w:r>
          </w:p>
        </w:tc>
      </w:tr>
      <w:tr w14:paraId="0EC1D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96" w:type="dxa"/>
            <w:vAlign w:val="top"/>
          </w:tcPr>
          <w:p w14:paraId="7B081293">
            <w:pPr>
              <w:pStyle w:val="6"/>
              <w:spacing w:before="58" w:line="230" w:lineRule="auto"/>
              <w:ind w:left="685"/>
            </w:pPr>
            <w:r>
              <w:rPr>
                <w:spacing w:val="6"/>
              </w:rPr>
              <w:t>建设地点</w:t>
            </w:r>
          </w:p>
        </w:tc>
        <w:tc>
          <w:tcPr>
            <w:tcW w:w="6754" w:type="dxa"/>
            <w:gridSpan w:val="4"/>
            <w:vAlign w:val="top"/>
          </w:tcPr>
          <w:p w14:paraId="6A7CF8DC">
            <w:pPr>
              <w:pStyle w:val="6"/>
              <w:spacing w:before="58" w:line="228" w:lineRule="auto"/>
              <w:ind w:left="2017"/>
            </w:pPr>
            <w:r>
              <w:rPr>
                <w:spacing w:val="9"/>
              </w:rPr>
              <w:t>汕尾市天磊联信种养有限公司</w:t>
            </w:r>
          </w:p>
        </w:tc>
      </w:tr>
      <w:tr w14:paraId="34F11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96" w:type="dxa"/>
            <w:vAlign w:val="top"/>
          </w:tcPr>
          <w:p w14:paraId="07AFE724">
            <w:pPr>
              <w:pStyle w:val="6"/>
              <w:spacing w:before="58" w:line="229" w:lineRule="auto"/>
              <w:ind w:left="683"/>
            </w:pPr>
            <w:r>
              <w:rPr>
                <w:spacing w:val="7"/>
              </w:rPr>
              <w:t>地理坐标</w:t>
            </w:r>
          </w:p>
        </w:tc>
        <w:tc>
          <w:tcPr>
            <w:tcW w:w="1624" w:type="dxa"/>
            <w:vAlign w:val="top"/>
          </w:tcPr>
          <w:p w14:paraId="6B75B687">
            <w:pPr>
              <w:pStyle w:val="6"/>
              <w:spacing w:before="58" w:line="229" w:lineRule="auto"/>
              <w:ind w:left="608"/>
            </w:pPr>
            <w:r>
              <w:rPr>
                <w:spacing w:val="3"/>
              </w:rPr>
              <w:t>经度</w:t>
            </w:r>
          </w:p>
        </w:tc>
        <w:tc>
          <w:tcPr>
            <w:tcW w:w="1758" w:type="dxa"/>
            <w:vAlign w:val="top"/>
          </w:tcPr>
          <w:p w14:paraId="560B6595">
            <w:pPr>
              <w:spacing w:before="27" w:line="274"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115.407802°</w:t>
            </w:r>
          </w:p>
        </w:tc>
        <w:tc>
          <w:tcPr>
            <w:tcW w:w="1624" w:type="dxa"/>
            <w:vAlign w:val="top"/>
          </w:tcPr>
          <w:p w14:paraId="6B5DF5DD">
            <w:pPr>
              <w:pStyle w:val="6"/>
              <w:spacing w:before="58" w:line="229" w:lineRule="auto"/>
              <w:ind w:left="609"/>
            </w:pPr>
            <w:r>
              <w:rPr>
                <w:spacing w:val="4"/>
              </w:rPr>
              <w:t>纬度</w:t>
            </w:r>
          </w:p>
        </w:tc>
        <w:tc>
          <w:tcPr>
            <w:tcW w:w="1748" w:type="dxa"/>
            <w:vAlign w:val="top"/>
          </w:tcPr>
          <w:p w14:paraId="214DC1C2">
            <w:pPr>
              <w:spacing w:before="27" w:line="274"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23.034166°</w:t>
            </w:r>
          </w:p>
        </w:tc>
      </w:tr>
      <w:tr w14:paraId="6718E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96" w:type="dxa"/>
            <w:vAlign w:val="top"/>
          </w:tcPr>
          <w:p w14:paraId="6E65EDFB">
            <w:pPr>
              <w:pStyle w:val="6"/>
              <w:spacing w:before="57" w:line="228" w:lineRule="auto"/>
              <w:ind w:left="161"/>
            </w:pPr>
            <w:r>
              <w:rPr>
                <w:spacing w:val="8"/>
              </w:rPr>
              <w:t>主要危险物质及分布</w:t>
            </w:r>
          </w:p>
        </w:tc>
        <w:tc>
          <w:tcPr>
            <w:tcW w:w="6754" w:type="dxa"/>
            <w:gridSpan w:val="4"/>
            <w:vAlign w:val="top"/>
          </w:tcPr>
          <w:p w14:paraId="53F08094">
            <w:pPr>
              <w:spacing w:before="27" w:line="274" w:lineRule="exact"/>
              <w:ind w:left="33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C6F6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2196" w:type="dxa"/>
            <w:vAlign w:val="top"/>
          </w:tcPr>
          <w:p w14:paraId="03FFF9C0">
            <w:pPr>
              <w:spacing w:line="318" w:lineRule="auto"/>
              <w:rPr>
                <w:rFonts w:ascii="Arial"/>
                <w:sz w:val="21"/>
              </w:rPr>
            </w:pPr>
          </w:p>
          <w:p w14:paraId="6D93AFBA">
            <w:pPr>
              <w:pStyle w:val="6"/>
              <w:spacing w:before="65" w:line="228" w:lineRule="auto"/>
              <w:ind w:left="159"/>
            </w:pPr>
            <w:r>
              <w:rPr>
                <w:spacing w:val="8"/>
              </w:rPr>
              <w:t>环境影响途径及危害</w:t>
            </w:r>
          </w:p>
          <w:p w14:paraId="1D667C03">
            <w:pPr>
              <w:pStyle w:val="6"/>
              <w:spacing w:before="79" w:line="228" w:lineRule="auto"/>
              <w:ind w:right="12"/>
              <w:jc w:val="right"/>
            </w:pPr>
            <w:r>
              <w:rPr>
                <w:spacing w:val="5"/>
              </w:rPr>
              <w:t>后果（大气、地表水、</w:t>
            </w:r>
          </w:p>
          <w:p w14:paraId="2D6261EB">
            <w:pPr>
              <w:pStyle w:val="6"/>
              <w:spacing w:before="79" w:line="228" w:lineRule="auto"/>
              <w:ind w:left="579"/>
            </w:pPr>
            <w:r>
              <w:rPr>
                <w:spacing w:val="5"/>
              </w:rPr>
              <w:t>地下水等）</w:t>
            </w:r>
          </w:p>
        </w:tc>
        <w:tc>
          <w:tcPr>
            <w:tcW w:w="6754" w:type="dxa"/>
            <w:gridSpan w:val="4"/>
            <w:vAlign w:val="top"/>
          </w:tcPr>
          <w:p w14:paraId="590E718A">
            <w:pPr>
              <w:pStyle w:val="6"/>
              <w:spacing w:before="27" w:line="274" w:lineRule="exact"/>
              <w:ind w:left="122"/>
            </w:pPr>
            <w:r>
              <w:rPr>
                <w:spacing w:val="8"/>
                <w:position w:val="1"/>
              </w:rPr>
              <w:t>（</w:t>
            </w:r>
            <w:r>
              <w:rPr>
                <w:rFonts w:ascii="Times New Roman" w:hAnsi="Times New Roman" w:eastAsia="Times New Roman" w:cs="Times New Roman"/>
                <w:spacing w:val="8"/>
                <w:position w:val="1"/>
              </w:rPr>
              <w:t>1</w:t>
            </w:r>
            <w:r>
              <w:rPr>
                <w:spacing w:val="8"/>
                <w:position w:val="1"/>
              </w:rPr>
              <w:t>）粪污事故性排放风险</w:t>
            </w:r>
          </w:p>
          <w:p w14:paraId="49914B11">
            <w:pPr>
              <w:pStyle w:val="6"/>
              <w:spacing w:before="83" w:line="228" w:lineRule="auto"/>
              <w:ind w:right="13"/>
              <w:jc w:val="right"/>
            </w:pPr>
            <w:r>
              <w:rPr>
                <w:spacing w:val="7"/>
              </w:rPr>
              <w:t>项目粪污管线及构筑物泄漏排放到周边环境，造成土壤及地下</w:t>
            </w:r>
            <w:r>
              <w:rPr>
                <w:spacing w:val="6"/>
              </w:rPr>
              <w:t>水体污染。</w:t>
            </w:r>
          </w:p>
          <w:p w14:paraId="0AFA6E0B">
            <w:pPr>
              <w:pStyle w:val="6"/>
              <w:spacing w:before="48" w:line="274" w:lineRule="exact"/>
              <w:ind w:left="122"/>
            </w:pPr>
            <w:r>
              <w:rPr>
                <w:spacing w:val="7"/>
                <w:position w:val="1"/>
              </w:rPr>
              <w:t>（</w:t>
            </w:r>
            <w:r>
              <w:rPr>
                <w:rFonts w:ascii="Times New Roman" w:hAnsi="Times New Roman" w:eastAsia="Times New Roman" w:cs="Times New Roman"/>
                <w:spacing w:val="7"/>
                <w:position w:val="1"/>
              </w:rPr>
              <w:t>3</w:t>
            </w:r>
            <w:r>
              <w:rPr>
                <w:spacing w:val="7"/>
                <w:position w:val="1"/>
              </w:rPr>
              <w:t>）动物病疫事故风险</w:t>
            </w:r>
          </w:p>
          <w:p w14:paraId="28023497">
            <w:pPr>
              <w:pStyle w:val="6"/>
              <w:spacing w:before="83" w:line="270" w:lineRule="auto"/>
              <w:ind w:left="111" w:right="110" w:firstLine="7"/>
            </w:pPr>
            <w:r>
              <w:rPr>
                <w:spacing w:val="10"/>
              </w:rPr>
              <w:t>患人畜共患的传染病的猪和工作人员接触后引发工作人员发病，病猪的</w:t>
            </w:r>
            <w:r>
              <w:rPr>
                <w:spacing w:val="8"/>
              </w:rPr>
              <w:t xml:space="preserve"> 猪粪和工作人员接触后引发工作人员发病。</w:t>
            </w:r>
          </w:p>
        </w:tc>
      </w:tr>
      <w:tr w14:paraId="6AE6D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4" w:hRule="atLeast"/>
        </w:trPr>
        <w:tc>
          <w:tcPr>
            <w:tcW w:w="2196" w:type="dxa"/>
            <w:vAlign w:val="top"/>
          </w:tcPr>
          <w:p w14:paraId="19C0F84A">
            <w:pPr>
              <w:spacing w:line="242" w:lineRule="auto"/>
              <w:rPr>
                <w:rFonts w:ascii="Arial"/>
                <w:sz w:val="21"/>
              </w:rPr>
            </w:pPr>
          </w:p>
          <w:p w14:paraId="4BF25ABE">
            <w:pPr>
              <w:spacing w:line="242" w:lineRule="auto"/>
              <w:rPr>
                <w:rFonts w:ascii="Arial"/>
                <w:sz w:val="21"/>
              </w:rPr>
            </w:pPr>
          </w:p>
          <w:p w14:paraId="136FBCA5">
            <w:pPr>
              <w:spacing w:line="242" w:lineRule="auto"/>
              <w:rPr>
                <w:rFonts w:ascii="Arial"/>
                <w:sz w:val="21"/>
              </w:rPr>
            </w:pPr>
          </w:p>
          <w:p w14:paraId="2873C15E">
            <w:pPr>
              <w:spacing w:line="242" w:lineRule="auto"/>
              <w:rPr>
                <w:rFonts w:ascii="Arial"/>
                <w:sz w:val="21"/>
              </w:rPr>
            </w:pPr>
          </w:p>
          <w:p w14:paraId="028A0314">
            <w:pPr>
              <w:spacing w:line="243" w:lineRule="auto"/>
              <w:rPr>
                <w:rFonts w:ascii="Arial"/>
                <w:sz w:val="21"/>
              </w:rPr>
            </w:pPr>
          </w:p>
          <w:p w14:paraId="37938493">
            <w:pPr>
              <w:pStyle w:val="6"/>
              <w:spacing w:before="65" w:line="229" w:lineRule="auto"/>
              <w:ind w:left="263"/>
            </w:pPr>
            <w:r>
              <w:rPr>
                <w:spacing w:val="8"/>
              </w:rPr>
              <w:t>风险防范措施要求</w:t>
            </w:r>
          </w:p>
        </w:tc>
        <w:tc>
          <w:tcPr>
            <w:tcW w:w="6754" w:type="dxa"/>
            <w:gridSpan w:val="4"/>
            <w:vAlign w:val="top"/>
          </w:tcPr>
          <w:p w14:paraId="4622A2A7">
            <w:pPr>
              <w:pStyle w:val="6"/>
              <w:spacing w:before="31" w:line="274" w:lineRule="exact"/>
              <w:ind w:left="122"/>
            </w:pPr>
            <w:r>
              <w:rPr>
                <w:spacing w:val="8"/>
                <w:position w:val="1"/>
              </w:rPr>
              <w:t>（</w:t>
            </w:r>
            <w:r>
              <w:rPr>
                <w:rFonts w:ascii="Times New Roman" w:hAnsi="Times New Roman" w:eastAsia="Times New Roman" w:cs="Times New Roman"/>
                <w:spacing w:val="8"/>
                <w:position w:val="1"/>
              </w:rPr>
              <w:t>1</w:t>
            </w:r>
            <w:r>
              <w:rPr>
                <w:spacing w:val="8"/>
                <w:position w:val="1"/>
              </w:rPr>
              <w:t>）粪污事故排放风险防范措施</w:t>
            </w:r>
          </w:p>
          <w:p w14:paraId="273D4BFA">
            <w:pPr>
              <w:pStyle w:val="6"/>
              <w:spacing w:before="83" w:line="301" w:lineRule="auto"/>
              <w:ind w:left="111" w:right="39" w:firstLine="3"/>
            </w:pPr>
            <w:r>
              <w:rPr>
                <w:spacing w:val="10"/>
              </w:rPr>
              <w:t>设置事故应急池；在生产区边界预先准备适量的沙包，在场界围墙有泄</w:t>
            </w:r>
            <w:r>
              <w:rPr>
                <w:spacing w:val="12"/>
              </w:rPr>
              <w:t xml:space="preserve"> </w:t>
            </w:r>
            <w:r>
              <w:rPr>
                <w:spacing w:val="10"/>
              </w:rPr>
              <w:t>漏的地方进行封堵，防止事故排放粪污向场外泄漏；在生产区和沼气池</w:t>
            </w:r>
            <w:r>
              <w:rPr>
                <w:spacing w:val="15"/>
              </w:rPr>
              <w:t xml:space="preserve"> </w:t>
            </w:r>
            <w:r>
              <w:rPr>
                <w:spacing w:val="6"/>
              </w:rPr>
              <w:t>四周设置环形的事故截流沟；对粪污处理系统应定期巡检、调节、保养、</w:t>
            </w:r>
            <w:r>
              <w:rPr>
                <w:spacing w:val="5"/>
              </w:rPr>
              <w:t xml:space="preserve"> </w:t>
            </w:r>
            <w:r>
              <w:rPr>
                <w:spacing w:val="9"/>
              </w:rPr>
              <w:t>维修，及时发现可能引起事故的异常运行苗头，消除事故隐患；</w:t>
            </w:r>
          </w:p>
          <w:p w14:paraId="4581E6AF">
            <w:pPr>
              <w:pStyle w:val="6"/>
              <w:spacing w:before="48" w:line="275" w:lineRule="exact"/>
              <w:ind w:left="122"/>
            </w:pPr>
            <w:r>
              <w:rPr>
                <w:spacing w:val="8"/>
                <w:position w:val="1"/>
              </w:rPr>
              <w:t>（</w:t>
            </w:r>
            <w:r>
              <w:rPr>
                <w:rFonts w:ascii="Times New Roman" w:hAnsi="Times New Roman" w:eastAsia="Times New Roman" w:cs="Times New Roman"/>
                <w:spacing w:val="8"/>
                <w:position w:val="1"/>
              </w:rPr>
              <w:t>2</w:t>
            </w:r>
            <w:r>
              <w:rPr>
                <w:spacing w:val="8"/>
                <w:position w:val="1"/>
              </w:rPr>
              <w:t>）动物疫情事故风险防范措施</w:t>
            </w:r>
          </w:p>
          <w:p w14:paraId="0D5D69E0">
            <w:pPr>
              <w:pStyle w:val="6"/>
              <w:spacing w:before="164" w:line="269" w:lineRule="auto"/>
              <w:ind w:left="112" w:right="110"/>
            </w:pPr>
            <w:r>
              <w:rPr>
                <w:spacing w:val="10"/>
              </w:rPr>
              <w:t>提高员工专业素质，增强防病观念；做好卫生管理和环境消毒；药物防</w:t>
            </w:r>
            <w:r>
              <w:rPr>
                <w:spacing w:val="15"/>
              </w:rPr>
              <w:t xml:space="preserve"> </w:t>
            </w:r>
            <w:r>
              <w:rPr>
                <w:spacing w:val="9"/>
              </w:rPr>
              <w:t>疫；猪的免疫接种；建立疫病报告制度；妥善处理病死猪尸体处置。</w:t>
            </w:r>
          </w:p>
        </w:tc>
      </w:tr>
      <w:tr w14:paraId="45EA7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950" w:type="dxa"/>
            <w:gridSpan w:val="5"/>
            <w:vAlign w:val="top"/>
          </w:tcPr>
          <w:p w14:paraId="01960013">
            <w:pPr>
              <w:pStyle w:val="6"/>
              <w:spacing w:before="33" w:line="274" w:lineRule="exact"/>
              <w:ind w:left="2091"/>
              <w:rPr>
                <w:rFonts w:ascii="Times New Roman" w:hAnsi="Times New Roman" w:eastAsia="Times New Roman" w:cs="Times New Roman"/>
              </w:rPr>
            </w:pPr>
            <w:r>
              <w:rPr>
                <w:spacing w:val="8"/>
                <w:position w:val="1"/>
              </w:rPr>
              <w:t>填表说明（列出项目相关信息及评价说明</w:t>
            </w:r>
            <w:r>
              <w:rPr>
                <w:spacing w:val="15"/>
                <w:position w:val="1"/>
              </w:rPr>
              <w:t>）：</w:t>
            </w:r>
            <w:r>
              <w:rPr>
                <w:spacing w:val="6"/>
                <w:position w:val="1"/>
              </w:rPr>
              <w:t xml:space="preserve">     </w:t>
            </w:r>
            <w:r>
              <w:rPr>
                <w:rFonts w:ascii="Times New Roman" w:hAnsi="Times New Roman" w:eastAsia="Times New Roman" w:cs="Times New Roman"/>
                <w:spacing w:val="8"/>
                <w:position w:val="1"/>
              </w:rPr>
              <w:t>/</w:t>
            </w:r>
          </w:p>
        </w:tc>
      </w:tr>
    </w:tbl>
    <w:p w14:paraId="17A55AB1">
      <w:pPr>
        <w:pStyle w:val="2"/>
      </w:pPr>
    </w:p>
    <w:p w14:paraId="0321F3A6">
      <w:pPr>
        <w:sectPr>
          <w:footerReference r:id="rId151" w:type="default"/>
          <w:pgSz w:w="11906" w:h="16839"/>
          <w:pgMar w:top="400" w:right="1475" w:bottom="1485" w:left="1475" w:header="0" w:footer="1249" w:gutter="0"/>
          <w:cols w:space="720" w:num="1"/>
        </w:sectPr>
      </w:pPr>
    </w:p>
    <w:p w14:paraId="0F85703D">
      <w:pPr>
        <w:pStyle w:val="2"/>
        <w:spacing w:line="250" w:lineRule="auto"/>
      </w:pPr>
    </w:p>
    <w:p w14:paraId="0C21DDFD">
      <w:pPr>
        <w:pStyle w:val="2"/>
        <w:spacing w:line="250" w:lineRule="auto"/>
      </w:pPr>
    </w:p>
    <w:p w14:paraId="1E82815B">
      <w:pPr>
        <w:pStyle w:val="2"/>
        <w:spacing w:line="250" w:lineRule="auto"/>
      </w:pPr>
    </w:p>
    <w:p w14:paraId="5F408A28">
      <w:pPr>
        <w:pStyle w:val="2"/>
        <w:spacing w:line="250" w:lineRule="auto"/>
      </w:pPr>
    </w:p>
    <w:p w14:paraId="0D270C89">
      <w:pPr>
        <w:spacing w:before="140" w:line="637" w:lineRule="exact"/>
        <w:ind w:left="1406"/>
        <w:outlineLvl w:val="0"/>
        <w:rPr>
          <w:rFonts w:ascii="黑体" w:hAnsi="黑体" w:eastAsia="黑体" w:cs="黑体"/>
          <w:sz w:val="43"/>
          <w:szCs w:val="43"/>
        </w:rPr>
      </w:pPr>
      <w:bookmarkStart w:id="37" w:name="bookmark33"/>
      <w:bookmarkEnd w:id="37"/>
      <w:bookmarkStart w:id="38" w:name="bookmark34"/>
      <w:bookmarkEnd w:id="38"/>
      <w:r>
        <w:rPr>
          <w:rFonts w:ascii="Calibri" w:hAnsi="Calibri" w:eastAsia="Calibri" w:cs="Calibri"/>
          <w:spacing w:val="7"/>
          <w:position w:val="3"/>
          <w:sz w:val="43"/>
          <w:szCs w:val="43"/>
        </w:rPr>
        <w:t>6</w:t>
      </w:r>
      <w:r>
        <w:rPr>
          <w:rFonts w:ascii="黑体" w:hAnsi="黑体" w:eastAsia="黑体" w:cs="黑体"/>
          <w:spacing w:val="7"/>
          <w:position w:val="3"/>
          <w:sz w:val="43"/>
          <w:szCs w:val="43"/>
        </w:rPr>
        <w:t>环境保护措施及其可行性论证</w:t>
      </w:r>
    </w:p>
    <w:p w14:paraId="7565EC25">
      <w:pPr>
        <w:pStyle w:val="2"/>
        <w:spacing w:line="414" w:lineRule="auto"/>
      </w:pPr>
    </w:p>
    <w:p w14:paraId="00B844DC">
      <w:pPr>
        <w:spacing w:before="101" w:line="225" w:lineRule="auto"/>
        <w:ind w:left="3"/>
        <w:outlineLvl w:val="1"/>
        <w:rPr>
          <w:rFonts w:ascii="宋体" w:hAnsi="宋体" w:eastAsia="宋体" w:cs="宋体"/>
          <w:sz w:val="31"/>
          <w:szCs w:val="31"/>
        </w:rPr>
      </w:pPr>
      <w:bookmarkStart w:id="39" w:name="bookmark62"/>
      <w:bookmarkEnd w:id="39"/>
      <w:r>
        <w:rPr>
          <w:rFonts w:ascii="Times New Roman" w:hAnsi="Times New Roman" w:eastAsia="Times New Roman" w:cs="Times New Roman"/>
          <w:b/>
          <w:bCs/>
          <w:spacing w:val="5"/>
          <w:sz w:val="31"/>
          <w:szCs w:val="31"/>
        </w:rPr>
        <w:t>6.1</w:t>
      </w:r>
      <w:r>
        <w:rPr>
          <w:rFonts w:ascii="宋体" w:hAnsi="宋体" w:eastAsia="宋体" w:cs="宋体"/>
          <w:b/>
          <w:bCs/>
          <w:spacing w:val="5"/>
          <w:sz w:val="31"/>
          <w:szCs w:val="31"/>
        </w:rPr>
        <w:t>地下水污染防治措施</w:t>
      </w:r>
    </w:p>
    <w:p w14:paraId="7E423A49">
      <w:pPr>
        <w:pStyle w:val="2"/>
        <w:spacing w:line="409" w:lineRule="auto"/>
      </w:pPr>
    </w:p>
    <w:p w14:paraId="73E3BFB7">
      <w:pPr>
        <w:spacing w:before="78" w:line="369" w:lineRule="auto"/>
        <w:ind w:right="78" w:firstLine="480"/>
        <w:jc w:val="both"/>
        <w:rPr>
          <w:rFonts w:ascii="宋体" w:hAnsi="宋体" w:eastAsia="宋体" w:cs="宋体"/>
          <w:sz w:val="24"/>
          <w:szCs w:val="24"/>
        </w:rPr>
      </w:pPr>
      <w:r>
        <w:rPr>
          <w:rFonts w:ascii="宋体" w:hAnsi="宋体" w:eastAsia="宋体" w:cs="宋体"/>
          <w:spacing w:val="2"/>
          <w:sz w:val="24"/>
          <w:szCs w:val="24"/>
        </w:rPr>
        <w:t>本项目设施均有防渗方面的要求，全部混凝土硬质化处理，正常情况下不会对</w:t>
      </w:r>
      <w:r>
        <w:rPr>
          <w:rFonts w:ascii="宋体" w:hAnsi="宋体" w:eastAsia="宋体" w:cs="宋体"/>
          <w:spacing w:val="9"/>
          <w:sz w:val="24"/>
          <w:szCs w:val="24"/>
        </w:rPr>
        <w:t xml:space="preserve"> </w:t>
      </w:r>
      <w:r>
        <w:rPr>
          <w:rFonts w:ascii="宋体" w:hAnsi="宋体" w:eastAsia="宋体" w:cs="宋体"/>
          <w:spacing w:val="2"/>
          <w:sz w:val="24"/>
          <w:szCs w:val="24"/>
        </w:rPr>
        <w:t>地下水排放污染物，另外由于开发活动导致地面硬质化，造成渗透力大大减小，可</w:t>
      </w:r>
      <w:r>
        <w:rPr>
          <w:rFonts w:ascii="宋体" w:hAnsi="宋体" w:eastAsia="宋体" w:cs="宋体"/>
          <w:spacing w:val="6"/>
          <w:sz w:val="24"/>
          <w:szCs w:val="24"/>
        </w:rPr>
        <w:t xml:space="preserve"> </w:t>
      </w:r>
      <w:r>
        <w:rPr>
          <w:rFonts w:ascii="宋体" w:hAnsi="宋体" w:eastAsia="宋体" w:cs="宋体"/>
          <w:spacing w:val="2"/>
          <w:sz w:val="24"/>
          <w:szCs w:val="24"/>
        </w:rPr>
        <w:t>使重点污染区单元防渗层渗透系数≤</w:t>
      </w:r>
      <w:r>
        <w:rPr>
          <w:rFonts w:ascii="Times New Roman" w:hAnsi="Times New Roman" w:eastAsia="Times New Roman" w:cs="Times New Roman"/>
          <w:spacing w:val="2"/>
          <w:sz w:val="24"/>
          <w:szCs w:val="24"/>
        </w:rPr>
        <w:t>10</w:t>
      </w:r>
      <w:r>
        <w:rPr>
          <w:rFonts w:ascii="Times New Roman" w:hAnsi="Times New Roman" w:eastAsia="Times New Roman" w:cs="Times New Roman"/>
          <w:sz w:val="24"/>
          <w:szCs w:val="24"/>
        </w:rPr>
        <w:t>cm</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，地面雨水中的污染物对地下水影响也</w:t>
      </w:r>
      <w:r>
        <w:rPr>
          <w:rFonts w:ascii="宋体" w:hAnsi="宋体" w:eastAsia="宋体" w:cs="宋体"/>
          <w:sz w:val="24"/>
          <w:szCs w:val="24"/>
        </w:rPr>
        <w:t xml:space="preserve"> </w:t>
      </w:r>
      <w:r>
        <w:rPr>
          <w:rFonts w:ascii="宋体" w:hAnsi="宋体" w:eastAsia="宋体" w:cs="宋体"/>
          <w:spacing w:val="-4"/>
          <w:sz w:val="24"/>
          <w:szCs w:val="24"/>
        </w:rPr>
        <w:t>减少。</w:t>
      </w:r>
    </w:p>
    <w:p w14:paraId="1D27DEEF">
      <w:pPr>
        <w:spacing w:line="361" w:lineRule="exact"/>
        <w:ind w:left="499"/>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7"/>
          <w:position w:val="2"/>
          <w:sz w:val="24"/>
          <w:szCs w:val="24"/>
        </w:rPr>
        <w:t>、污染防治分区</w:t>
      </w:r>
    </w:p>
    <w:p w14:paraId="3610E629">
      <w:pPr>
        <w:spacing w:before="164" w:line="368" w:lineRule="auto"/>
        <w:ind w:left="1" w:right="73" w:firstLine="479"/>
        <w:rPr>
          <w:rFonts w:ascii="宋体" w:hAnsi="宋体" w:eastAsia="宋体" w:cs="宋体"/>
          <w:sz w:val="24"/>
          <w:szCs w:val="24"/>
        </w:rPr>
      </w:pPr>
      <w:r>
        <w:rPr>
          <w:rFonts w:ascii="宋体" w:hAnsi="宋体" w:eastAsia="宋体" w:cs="宋体"/>
          <w:spacing w:val="2"/>
          <w:sz w:val="24"/>
          <w:szCs w:val="24"/>
        </w:rPr>
        <w:t>根据各区域的特点可将项目区域划分为重点污染防治区、一般污染防治和非污</w:t>
      </w:r>
      <w:r>
        <w:rPr>
          <w:rFonts w:ascii="宋体" w:hAnsi="宋体" w:eastAsia="宋体" w:cs="宋体"/>
          <w:spacing w:val="10"/>
          <w:sz w:val="24"/>
          <w:szCs w:val="24"/>
        </w:rPr>
        <w:t xml:space="preserve"> </w:t>
      </w:r>
      <w:r>
        <w:rPr>
          <w:rFonts w:ascii="宋体" w:hAnsi="宋体" w:eastAsia="宋体" w:cs="宋体"/>
          <w:spacing w:val="2"/>
          <w:sz w:val="24"/>
          <w:szCs w:val="24"/>
        </w:rPr>
        <w:t>染防治区，针对不同的区域提出相应的防渗要求。项目防渗措施参照《石油化工程</w:t>
      </w:r>
      <w:r>
        <w:rPr>
          <w:rFonts w:ascii="宋体" w:hAnsi="宋体" w:eastAsia="宋体" w:cs="宋体"/>
          <w:spacing w:val="5"/>
          <w:sz w:val="24"/>
          <w:szCs w:val="24"/>
        </w:rPr>
        <w:t xml:space="preserve"> </w:t>
      </w:r>
      <w:r>
        <w:rPr>
          <w:rFonts w:ascii="宋体" w:hAnsi="宋体" w:eastAsia="宋体" w:cs="宋体"/>
          <w:spacing w:val="1"/>
          <w:sz w:val="24"/>
          <w:szCs w:val="24"/>
        </w:rPr>
        <w:t>防渗技术规范》（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/T50934-2013</w:t>
      </w:r>
      <w:r>
        <w:rPr>
          <w:rFonts w:ascii="宋体" w:hAnsi="宋体" w:eastAsia="宋体" w:cs="宋体"/>
          <w:spacing w:val="1"/>
          <w:sz w:val="24"/>
          <w:szCs w:val="24"/>
        </w:rPr>
        <w:t>）、《一般工业固体废物贮存、处置场污染控制</w:t>
      </w:r>
      <w:r>
        <w:rPr>
          <w:rFonts w:ascii="宋体" w:hAnsi="宋体" w:eastAsia="宋体" w:cs="宋体"/>
          <w:spacing w:val="12"/>
          <w:sz w:val="24"/>
          <w:szCs w:val="24"/>
        </w:rPr>
        <w:t xml:space="preserve"> </w:t>
      </w:r>
      <w:r>
        <w:rPr>
          <w:rFonts w:ascii="宋体" w:hAnsi="宋体" w:eastAsia="宋体" w:cs="宋体"/>
          <w:sz w:val="24"/>
          <w:szCs w:val="24"/>
        </w:rPr>
        <w:t>标准》（</w:t>
      </w:r>
      <w:r>
        <w:rPr>
          <w:rFonts w:ascii="Times New Roman" w:hAnsi="Times New Roman" w:eastAsia="Times New Roman" w:cs="Times New Roman"/>
          <w:sz w:val="24"/>
          <w:szCs w:val="24"/>
        </w:rPr>
        <w:t>GB18599-2001</w:t>
      </w:r>
      <w:r>
        <w:rPr>
          <w:rFonts w:ascii="宋体" w:hAnsi="宋体" w:eastAsia="宋体" w:cs="宋体"/>
          <w:sz w:val="24"/>
          <w:szCs w:val="24"/>
        </w:rPr>
        <w:t>）和《危险废物贮存污</w:t>
      </w:r>
      <w:r>
        <w:rPr>
          <w:rFonts w:ascii="宋体" w:hAnsi="宋体" w:eastAsia="宋体" w:cs="宋体"/>
          <w:spacing w:val="-1"/>
          <w:sz w:val="24"/>
          <w:szCs w:val="24"/>
        </w:rPr>
        <w:t>染控制标准》（</w:t>
      </w:r>
      <w:r>
        <w:rPr>
          <w:rFonts w:ascii="Times New Roman" w:hAnsi="Times New Roman" w:eastAsia="Times New Roman" w:cs="Times New Roman"/>
          <w:spacing w:val="-1"/>
          <w:sz w:val="24"/>
          <w:szCs w:val="24"/>
        </w:rPr>
        <w:t>GB18597-2001</w:t>
      </w:r>
      <w:r>
        <w:rPr>
          <w:rFonts w:ascii="宋体" w:hAnsi="宋体" w:eastAsia="宋体" w:cs="宋体"/>
          <w:spacing w:val="-1"/>
          <w:sz w:val="24"/>
          <w:szCs w:val="24"/>
        </w:rPr>
        <w:t>）进行</w:t>
      </w:r>
      <w:r>
        <w:rPr>
          <w:rFonts w:ascii="宋体" w:hAnsi="宋体" w:eastAsia="宋体" w:cs="宋体"/>
          <w:sz w:val="24"/>
          <w:szCs w:val="24"/>
        </w:rPr>
        <w:t xml:space="preserve"> </w:t>
      </w:r>
      <w:r>
        <w:rPr>
          <w:rFonts w:ascii="宋体" w:hAnsi="宋体" w:eastAsia="宋体" w:cs="宋体"/>
          <w:spacing w:val="-3"/>
          <w:sz w:val="24"/>
          <w:szCs w:val="24"/>
        </w:rPr>
        <w:t>防渗设计。</w:t>
      </w:r>
    </w:p>
    <w:p w14:paraId="0447BD29">
      <w:pPr>
        <w:spacing w:before="17" w:line="361" w:lineRule="exact"/>
        <w:ind w:left="492"/>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）重点污染防治区</w:t>
      </w:r>
    </w:p>
    <w:p w14:paraId="78C851D1">
      <w:pPr>
        <w:spacing w:before="165" w:line="369" w:lineRule="auto"/>
        <w:ind w:firstLine="482"/>
        <w:jc w:val="both"/>
        <w:rPr>
          <w:rFonts w:ascii="宋体" w:hAnsi="宋体" w:eastAsia="宋体" w:cs="宋体"/>
          <w:sz w:val="24"/>
          <w:szCs w:val="24"/>
        </w:rPr>
      </w:pPr>
      <w:r>
        <w:rPr>
          <w:rFonts w:ascii="宋体" w:hAnsi="宋体" w:eastAsia="宋体" w:cs="宋体"/>
          <w:spacing w:val="2"/>
          <w:sz w:val="24"/>
          <w:szCs w:val="24"/>
        </w:rPr>
        <w:t>指对地下水环境有污染的物料或泄漏后，不能及时发现和处理的区域部位重点</w:t>
      </w:r>
      <w:r>
        <w:rPr>
          <w:rFonts w:ascii="宋体" w:hAnsi="宋体" w:eastAsia="宋体" w:cs="宋体"/>
          <w:spacing w:val="7"/>
          <w:sz w:val="24"/>
          <w:szCs w:val="24"/>
        </w:rPr>
        <w:t xml:space="preserve"> </w:t>
      </w:r>
      <w:r>
        <w:rPr>
          <w:rFonts w:ascii="宋体" w:hAnsi="宋体" w:eastAsia="宋体" w:cs="宋体"/>
          <w:spacing w:val="-2"/>
          <w:sz w:val="24"/>
          <w:szCs w:val="24"/>
        </w:rPr>
        <w:t>污染防治区中的依托环保设施已按相关要求设计。污水管道、管沟</w:t>
      </w:r>
      <w:r>
        <w:rPr>
          <w:rFonts w:ascii="宋体" w:hAnsi="宋体" w:eastAsia="宋体" w:cs="宋体"/>
          <w:spacing w:val="-3"/>
          <w:sz w:val="24"/>
          <w:szCs w:val="24"/>
        </w:rPr>
        <w:t>、污水处理设施、</w:t>
      </w:r>
      <w:r>
        <w:rPr>
          <w:rFonts w:ascii="宋体" w:hAnsi="宋体" w:eastAsia="宋体" w:cs="宋体"/>
          <w:sz w:val="24"/>
          <w:szCs w:val="24"/>
        </w:rPr>
        <w:t xml:space="preserve"> </w:t>
      </w:r>
      <w:r>
        <w:rPr>
          <w:rFonts w:ascii="宋体" w:hAnsi="宋体" w:eastAsia="宋体" w:cs="宋体"/>
          <w:spacing w:val="1"/>
          <w:sz w:val="24"/>
          <w:szCs w:val="24"/>
        </w:rPr>
        <w:t>事故池的防渗措施应满足《石油化工程防渗技术规范》（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/T50934-2013</w:t>
      </w:r>
      <w:r>
        <w:rPr>
          <w:rFonts w:ascii="宋体" w:hAnsi="宋体" w:eastAsia="宋体" w:cs="宋体"/>
          <w:spacing w:val="1"/>
          <w:sz w:val="24"/>
          <w:szCs w:val="24"/>
        </w:rPr>
        <w:t>）中的要</w:t>
      </w:r>
      <w:r>
        <w:rPr>
          <w:rFonts w:ascii="宋体" w:hAnsi="宋体" w:eastAsia="宋体" w:cs="宋体"/>
          <w:spacing w:val="13"/>
          <w:sz w:val="24"/>
          <w:szCs w:val="24"/>
        </w:rPr>
        <w:t xml:space="preserve"> </w:t>
      </w:r>
      <w:r>
        <w:rPr>
          <w:rFonts w:ascii="宋体" w:hAnsi="宋体" w:eastAsia="宋体" w:cs="宋体"/>
          <w:spacing w:val="-5"/>
          <w:sz w:val="24"/>
          <w:szCs w:val="24"/>
        </w:rPr>
        <w:t>求。</w:t>
      </w:r>
    </w:p>
    <w:p w14:paraId="5CCE24B5">
      <w:pPr>
        <w:spacing w:before="1" w:line="361" w:lineRule="exact"/>
        <w:ind w:left="492"/>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）一般污染防治区</w:t>
      </w:r>
    </w:p>
    <w:p w14:paraId="79F06B7C">
      <w:pPr>
        <w:spacing w:before="163" w:line="369" w:lineRule="auto"/>
        <w:ind w:left="3" w:right="81" w:firstLine="480"/>
        <w:jc w:val="both"/>
        <w:rPr>
          <w:rFonts w:ascii="宋体" w:hAnsi="宋体" w:eastAsia="宋体" w:cs="宋体"/>
          <w:sz w:val="24"/>
          <w:szCs w:val="24"/>
        </w:rPr>
      </w:pPr>
      <w:r>
        <w:rPr>
          <w:rFonts w:ascii="宋体" w:hAnsi="宋体" w:eastAsia="宋体" w:cs="宋体"/>
          <w:spacing w:val="2"/>
          <w:sz w:val="24"/>
          <w:szCs w:val="24"/>
        </w:rPr>
        <w:t>指对地下水环境有污染的物料或泄漏后，可及时发现和处理的区域部位。主要</w:t>
      </w:r>
      <w:r>
        <w:rPr>
          <w:rFonts w:ascii="宋体" w:hAnsi="宋体" w:eastAsia="宋体" w:cs="宋体"/>
          <w:spacing w:val="7"/>
          <w:sz w:val="24"/>
          <w:szCs w:val="24"/>
        </w:rPr>
        <w:t xml:space="preserve"> </w:t>
      </w:r>
      <w:r>
        <w:rPr>
          <w:rFonts w:ascii="宋体" w:hAnsi="宋体" w:eastAsia="宋体" w:cs="宋体"/>
          <w:spacing w:val="-9"/>
          <w:sz w:val="24"/>
          <w:szCs w:val="24"/>
        </w:rPr>
        <w:t>为</w:t>
      </w:r>
      <w:r>
        <w:rPr>
          <w:rFonts w:ascii="宋体" w:hAnsi="宋体" w:eastAsia="宋体" w:cs="宋体"/>
          <w:spacing w:val="-67"/>
          <w:sz w:val="24"/>
          <w:szCs w:val="24"/>
        </w:rPr>
        <w:t xml:space="preserve"> </w:t>
      </w:r>
      <w:r>
        <w:rPr>
          <w:rFonts w:ascii="宋体" w:hAnsi="宋体" w:eastAsia="宋体" w:cs="宋体"/>
          <w:spacing w:val="-9"/>
          <w:sz w:val="24"/>
          <w:szCs w:val="24"/>
        </w:rPr>
        <w:t>猪</w:t>
      </w:r>
      <w:r>
        <w:rPr>
          <w:rFonts w:ascii="宋体" w:hAnsi="宋体" w:eastAsia="宋体" w:cs="宋体"/>
          <w:spacing w:val="-67"/>
          <w:sz w:val="24"/>
          <w:szCs w:val="24"/>
        </w:rPr>
        <w:t xml:space="preserve"> </w:t>
      </w:r>
      <w:r>
        <w:rPr>
          <w:rFonts w:ascii="宋体" w:hAnsi="宋体" w:eastAsia="宋体" w:cs="宋体"/>
          <w:spacing w:val="-9"/>
          <w:sz w:val="24"/>
          <w:szCs w:val="24"/>
        </w:rPr>
        <w:t>舍</w:t>
      </w:r>
      <w:r>
        <w:rPr>
          <w:rFonts w:ascii="宋体" w:hAnsi="宋体" w:eastAsia="宋体" w:cs="宋体"/>
          <w:spacing w:val="-65"/>
          <w:sz w:val="24"/>
          <w:szCs w:val="24"/>
        </w:rPr>
        <w:t xml:space="preserve"> </w:t>
      </w:r>
      <w:r>
        <w:rPr>
          <w:rFonts w:ascii="宋体" w:hAnsi="宋体" w:eastAsia="宋体" w:cs="宋体"/>
          <w:spacing w:val="-9"/>
          <w:sz w:val="24"/>
          <w:szCs w:val="24"/>
        </w:rPr>
        <w:t>等</w:t>
      </w:r>
      <w:r>
        <w:rPr>
          <w:rFonts w:ascii="宋体" w:hAnsi="宋体" w:eastAsia="宋体" w:cs="宋体"/>
          <w:spacing w:val="-44"/>
          <w:sz w:val="24"/>
          <w:szCs w:val="24"/>
        </w:rPr>
        <w:t xml:space="preserve"> </w:t>
      </w:r>
      <w:r>
        <w:rPr>
          <w:rFonts w:ascii="宋体" w:hAnsi="宋体" w:eastAsia="宋体" w:cs="宋体"/>
          <w:spacing w:val="-9"/>
          <w:sz w:val="24"/>
          <w:szCs w:val="24"/>
        </w:rPr>
        <w:t>。</w:t>
      </w:r>
      <w:r>
        <w:rPr>
          <w:rFonts w:ascii="宋体" w:hAnsi="宋体" w:eastAsia="宋体" w:cs="宋体"/>
          <w:spacing w:val="-65"/>
          <w:sz w:val="24"/>
          <w:szCs w:val="24"/>
        </w:rPr>
        <w:t xml:space="preserve"> </w:t>
      </w:r>
      <w:r>
        <w:rPr>
          <w:rFonts w:ascii="宋体" w:hAnsi="宋体" w:eastAsia="宋体" w:cs="宋体"/>
          <w:spacing w:val="-9"/>
          <w:sz w:val="24"/>
          <w:szCs w:val="24"/>
        </w:rPr>
        <w:t>一</w:t>
      </w:r>
      <w:r>
        <w:rPr>
          <w:rFonts w:ascii="宋体" w:hAnsi="宋体" w:eastAsia="宋体" w:cs="宋体"/>
          <w:spacing w:val="-71"/>
          <w:sz w:val="24"/>
          <w:szCs w:val="24"/>
        </w:rPr>
        <w:t xml:space="preserve"> </w:t>
      </w:r>
      <w:r>
        <w:rPr>
          <w:rFonts w:ascii="宋体" w:hAnsi="宋体" w:eastAsia="宋体" w:cs="宋体"/>
          <w:spacing w:val="-9"/>
          <w:sz w:val="24"/>
          <w:szCs w:val="24"/>
        </w:rPr>
        <w:t>般</w:t>
      </w:r>
      <w:r>
        <w:rPr>
          <w:rFonts w:ascii="宋体" w:hAnsi="宋体" w:eastAsia="宋体" w:cs="宋体"/>
          <w:spacing w:val="-65"/>
          <w:sz w:val="24"/>
          <w:szCs w:val="24"/>
        </w:rPr>
        <w:t xml:space="preserve"> </w:t>
      </w:r>
      <w:r>
        <w:rPr>
          <w:rFonts w:ascii="宋体" w:hAnsi="宋体" w:eastAsia="宋体" w:cs="宋体"/>
          <w:spacing w:val="-9"/>
          <w:sz w:val="24"/>
          <w:szCs w:val="24"/>
        </w:rPr>
        <w:t>污</w:t>
      </w:r>
      <w:r>
        <w:rPr>
          <w:rFonts w:ascii="宋体" w:hAnsi="宋体" w:eastAsia="宋体" w:cs="宋体"/>
          <w:spacing w:val="-64"/>
          <w:sz w:val="24"/>
          <w:szCs w:val="24"/>
        </w:rPr>
        <w:t xml:space="preserve"> </w:t>
      </w:r>
      <w:r>
        <w:rPr>
          <w:rFonts w:ascii="宋体" w:hAnsi="宋体" w:eastAsia="宋体" w:cs="宋体"/>
          <w:spacing w:val="-9"/>
          <w:sz w:val="24"/>
          <w:szCs w:val="24"/>
        </w:rPr>
        <w:t>染</w:t>
      </w:r>
      <w:r>
        <w:rPr>
          <w:rFonts w:ascii="宋体" w:hAnsi="宋体" w:eastAsia="宋体" w:cs="宋体"/>
          <w:spacing w:val="-52"/>
          <w:sz w:val="24"/>
          <w:szCs w:val="24"/>
        </w:rPr>
        <w:t xml:space="preserve"> </w:t>
      </w:r>
      <w:r>
        <w:rPr>
          <w:rFonts w:ascii="宋体" w:hAnsi="宋体" w:eastAsia="宋体" w:cs="宋体"/>
          <w:spacing w:val="-9"/>
          <w:sz w:val="24"/>
          <w:szCs w:val="24"/>
        </w:rPr>
        <w:t>防</w:t>
      </w:r>
      <w:r>
        <w:rPr>
          <w:rFonts w:ascii="宋体" w:hAnsi="宋体" w:eastAsia="宋体" w:cs="宋体"/>
          <w:spacing w:val="-62"/>
          <w:sz w:val="24"/>
          <w:szCs w:val="24"/>
        </w:rPr>
        <w:t xml:space="preserve"> </w:t>
      </w:r>
      <w:r>
        <w:rPr>
          <w:rFonts w:ascii="宋体" w:hAnsi="宋体" w:eastAsia="宋体" w:cs="宋体"/>
          <w:spacing w:val="-9"/>
          <w:sz w:val="24"/>
          <w:szCs w:val="24"/>
        </w:rPr>
        <w:t>治区</w:t>
      </w:r>
      <w:r>
        <w:rPr>
          <w:rFonts w:ascii="宋体" w:hAnsi="宋体" w:eastAsia="宋体" w:cs="宋体"/>
          <w:spacing w:val="-67"/>
          <w:sz w:val="24"/>
          <w:szCs w:val="24"/>
        </w:rPr>
        <w:t xml:space="preserve"> </w:t>
      </w:r>
      <w:r>
        <w:rPr>
          <w:rFonts w:ascii="宋体" w:hAnsi="宋体" w:eastAsia="宋体" w:cs="宋体"/>
          <w:spacing w:val="-9"/>
          <w:sz w:val="24"/>
          <w:szCs w:val="24"/>
        </w:rPr>
        <w:t>地</w:t>
      </w:r>
      <w:r>
        <w:rPr>
          <w:rFonts w:ascii="宋体" w:hAnsi="宋体" w:eastAsia="宋体" w:cs="宋体"/>
          <w:spacing w:val="-67"/>
          <w:sz w:val="24"/>
          <w:szCs w:val="24"/>
        </w:rPr>
        <w:t xml:space="preserve"> </w:t>
      </w:r>
      <w:r>
        <w:rPr>
          <w:rFonts w:ascii="宋体" w:hAnsi="宋体" w:eastAsia="宋体" w:cs="宋体"/>
          <w:spacing w:val="-9"/>
          <w:sz w:val="24"/>
          <w:szCs w:val="24"/>
        </w:rPr>
        <w:t>面</w:t>
      </w:r>
      <w:r>
        <w:rPr>
          <w:rFonts w:ascii="宋体" w:hAnsi="宋体" w:eastAsia="宋体" w:cs="宋体"/>
          <w:spacing w:val="-52"/>
          <w:sz w:val="24"/>
          <w:szCs w:val="24"/>
        </w:rPr>
        <w:t xml:space="preserve"> </w:t>
      </w:r>
      <w:r>
        <w:rPr>
          <w:rFonts w:ascii="宋体" w:hAnsi="宋体" w:eastAsia="宋体" w:cs="宋体"/>
          <w:spacing w:val="-9"/>
          <w:sz w:val="24"/>
          <w:szCs w:val="24"/>
        </w:rPr>
        <w:t>防</w:t>
      </w:r>
      <w:r>
        <w:rPr>
          <w:rFonts w:ascii="宋体" w:hAnsi="宋体" w:eastAsia="宋体" w:cs="宋体"/>
          <w:spacing w:val="-67"/>
          <w:sz w:val="24"/>
          <w:szCs w:val="24"/>
        </w:rPr>
        <w:t xml:space="preserve"> </w:t>
      </w:r>
      <w:r>
        <w:rPr>
          <w:rFonts w:ascii="宋体" w:hAnsi="宋体" w:eastAsia="宋体" w:cs="宋体"/>
          <w:spacing w:val="-9"/>
          <w:sz w:val="24"/>
          <w:szCs w:val="24"/>
        </w:rPr>
        <w:t>渗</w:t>
      </w:r>
      <w:r>
        <w:rPr>
          <w:rFonts w:ascii="宋体" w:hAnsi="宋体" w:eastAsia="宋体" w:cs="宋体"/>
          <w:spacing w:val="-65"/>
          <w:sz w:val="24"/>
          <w:szCs w:val="24"/>
        </w:rPr>
        <w:t xml:space="preserve"> </w:t>
      </w:r>
      <w:r>
        <w:rPr>
          <w:rFonts w:ascii="宋体" w:hAnsi="宋体" w:eastAsia="宋体" w:cs="宋体"/>
          <w:spacing w:val="-9"/>
          <w:sz w:val="24"/>
          <w:szCs w:val="24"/>
        </w:rPr>
        <w:t>参</w:t>
      </w:r>
      <w:r>
        <w:rPr>
          <w:rFonts w:ascii="宋体" w:hAnsi="宋体" w:eastAsia="宋体" w:cs="宋体"/>
          <w:spacing w:val="-67"/>
          <w:sz w:val="24"/>
          <w:szCs w:val="24"/>
        </w:rPr>
        <w:t xml:space="preserve"> </w:t>
      </w:r>
      <w:r>
        <w:rPr>
          <w:rFonts w:ascii="宋体" w:hAnsi="宋体" w:eastAsia="宋体" w:cs="宋体"/>
          <w:spacing w:val="-9"/>
          <w:sz w:val="24"/>
          <w:szCs w:val="24"/>
        </w:rPr>
        <w:t>照《</w:t>
      </w:r>
      <w:r>
        <w:rPr>
          <w:rFonts w:ascii="宋体" w:hAnsi="宋体" w:eastAsia="宋体" w:cs="宋体"/>
          <w:spacing w:val="-43"/>
          <w:sz w:val="24"/>
          <w:szCs w:val="24"/>
        </w:rPr>
        <w:t xml:space="preserve"> </w:t>
      </w:r>
      <w:r>
        <w:rPr>
          <w:rFonts w:ascii="宋体" w:hAnsi="宋体" w:eastAsia="宋体" w:cs="宋体"/>
          <w:spacing w:val="-9"/>
          <w:sz w:val="24"/>
          <w:szCs w:val="24"/>
        </w:rPr>
        <w:t>石</w:t>
      </w:r>
      <w:r>
        <w:rPr>
          <w:rFonts w:ascii="宋体" w:hAnsi="宋体" w:eastAsia="宋体" w:cs="宋体"/>
          <w:spacing w:val="-63"/>
          <w:sz w:val="24"/>
          <w:szCs w:val="24"/>
        </w:rPr>
        <w:t xml:space="preserve"> </w:t>
      </w:r>
      <w:r>
        <w:rPr>
          <w:rFonts w:ascii="宋体" w:hAnsi="宋体" w:eastAsia="宋体" w:cs="宋体"/>
          <w:spacing w:val="-9"/>
          <w:sz w:val="24"/>
          <w:szCs w:val="24"/>
        </w:rPr>
        <w:t>油</w:t>
      </w:r>
      <w:r>
        <w:rPr>
          <w:rFonts w:ascii="宋体" w:hAnsi="宋体" w:eastAsia="宋体" w:cs="宋体"/>
          <w:spacing w:val="-67"/>
          <w:sz w:val="24"/>
          <w:szCs w:val="24"/>
        </w:rPr>
        <w:t xml:space="preserve"> </w:t>
      </w:r>
      <w:r>
        <w:rPr>
          <w:rFonts w:ascii="宋体" w:hAnsi="宋体" w:eastAsia="宋体" w:cs="宋体"/>
          <w:spacing w:val="-9"/>
          <w:sz w:val="24"/>
          <w:szCs w:val="24"/>
        </w:rPr>
        <w:t>化</w:t>
      </w:r>
      <w:r>
        <w:rPr>
          <w:rFonts w:ascii="宋体" w:hAnsi="宋体" w:eastAsia="宋体" w:cs="宋体"/>
          <w:spacing w:val="-64"/>
          <w:sz w:val="24"/>
          <w:szCs w:val="24"/>
        </w:rPr>
        <w:t xml:space="preserve"> </w:t>
      </w:r>
      <w:r>
        <w:rPr>
          <w:rFonts w:ascii="宋体" w:hAnsi="宋体" w:eastAsia="宋体" w:cs="宋体"/>
          <w:spacing w:val="-9"/>
          <w:sz w:val="24"/>
          <w:szCs w:val="24"/>
        </w:rPr>
        <w:t>工</w:t>
      </w:r>
      <w:r>
        <w:rPr>
          <w:rFonts w:ascii="宋体" w:hAnsi="宋体" w:eastAsia="宋体" w:cs="宋体"/>
          <w:spacing w:val="-69"/>
          <w:sz w:val="24"/>
          <w:szCs w:val="24"/>
        </w:rPr>
        <w:t xml:space="preserve"> </w:t>
      </w:r>
      <w:r>
        <w:rPr>
          <w:rFonts w:ascii="宋体" w:hAnsi="宋体" w:eastAsia="宋体" w:cs="宋体"/>
          <w:spacing w:val="-9"/>
          <w:sz w:val="24"/>
          <w:szCs w:val="24"/>
        </w:rPr>
        <w:t>程</w:t>
      </w:r>
      <w:r>
        <w:rPr>
          <w:rFonts w:ascii="宋体" w:hAnsi="宋体" w:eastAsia="宋体" w:cs="宋体"/>
          <w:spacing w:val="-52"/>
          <w:sz w:val="24"/>
          <w:szCs w:val="24"/>
        </w:rPr>
        <w:t xml:space="preserve"> </w:t>
      </w:r>
      <w:r>
        <w:rPr>
          <w:rFonts w:ascii="宋体" w:hAnsi="宋体" w:eastAsia="宋体" w:cs="宋体"/>
          <w:spacing w:val="-9"/>
          <w:sz w:val="24"/>
          <w:szCs w:val="24"/>
        </w:rPr>
        <w:t>防</w:t>
      </w:r>
      <w:r>
        <w:rPr>
          <w:rFonts w:ascii="宋体" w:hAnsi="宋体" w:eastAsia="宋体" w:cs="宋体"/>
          <w:spacing w:val="-66"/>
          <w:sz w:val="24"/>
          <w:szCs w:val="24"/>
        </w:rPr>
        <w:t xml:space="preserve"> </w:t>
      </w:r>
      <w:r>
        <w:rPr>
          <w:rFonts w:ascii="宋体" w:hAnsi="宋体" w:eastAsia="宋体" w:cs="宋体"/>
          <w:spacing w:val="-9"/>
          <w:sz w:val="24"/>
          <w:szCs w:val="24"/>
        </w:rPr>
        <w:t>渗</w:t>
      </w:r>
      <w:r>
        <w:rPr>
          <w:rFonts w:ascii="宋体" w:hAnsi="宋体" w:eastAsia="宋体" w:cs="宋体"/>
          <w:spacing w:val="-67"/>
          <w:sz w:val="24"/>
          <w:szCs w:val="24"/>
        </w:rPr>
        <w:t xml:space="preserve"> </w:t>
      </w:r>
      <w:r>
        <w:rPr>
          <w:rFonts w:ascii="宋体" w:hAnsi="宋体" w:eastAsia="宋体" w:cs="宋体"/>
          <w:spacing w:val="-9"/>
          <w:sz w:val="24"/>
          <w:szCs w:val="24"/>
        </w:rPr>
        <w:t>技</w:t>
      </w:r>
      <w:r>
        <w:rPr>
          <w:rFonts w:ascii="宋体" w:hAnsi="宋体" w:eastAsia="宋体" w:cs="宋体"/>
          <w:spacing w:val="-65"/>
          <w:sz w:val="24"/>
          <w:szCs w:val="24"/>
        </w:rPr>
        <w:t xml:space="preserve"> </w:t>
      </w:r>
      <w:r>
        <w:rPr>
          <w:rFonts w:ascii="宋体" w:hAnsi="宋体" w:eastAsia="宋体" w:cs="宋体"/>
          <w:spacing w:val="-10"/>
          <w:sz w:val="24"/>
          <w:szCs w:val="24"/>
        </w:rPr>
        <w:t>术</w:t>
      </w:r>
      <w:r>
        <w:rPr>
          <w:rFonts w:ascii="宋体" w:hAnsi="宋体" w:eastAsia="宋体" w:cs="宋体"/>
          <w:spacing w:val="-67"/>
          <w:sz w:val="24"/>
          <w:szCs w:val="24"/>
        </w:rPr>
        <w:t xml:space="preserve"> </w:t>
      </w:r>
      <w:r>
        <w:rPr>
          <w:rFonts w:ascii="宋体" w:hAnsi="宋体" w:eastAsia="宋体" w:cs="宋体"/>
          <w:spacing w:val="-10"/>
          <w:sz w:val="24"/>
          <w:szCs w:val="24"/>
        </w:rPr>
        <w:t>规</w:t>
      </w:r>
      <w:r>
        <w:rPr>
          <w:rFonts w:ascii="宋体" w:hAnsi="宋体" w:eastAsia="宋体" w:cs="宋体"/>
          <w:spacing w:val="-62"/>
          <w:sz w:val="24"/>
          <w:szCs w:val="24"/>
        </w:rPr>
        <w:t xml:space="preserve"> </w:t>
      </w:r>
      <w:r>
        <w:rPr>
          <w:rFonts w:ascii="宋体" w:hAnsi="宋体" w:eastAsia="宋体" w:cs="宋体"/>
          <w:spacing w:val="-10"/>
          <w:sz w:val="24"/>
          <w:szCs w:val="24"/>
        </w:rPr>
        <w:t>范》</w:t>
      </w:r>
      <w:r>
        <w:rPr>
          <w:rFonts w:ascii="宋体" w:hAnsi="宋体" w:eastAsia="宋体" w:cs="宋体"/>
          <w:sz w:val="24"/>
          <w:szCs w:val="24"/>
        </w:rPr>
        <w:t xml:space="preserve"> </w:t>
      </w:r>
      <w:r>
        <w:rPr>
          <w:rFonts w:ascii="宋体" w:hAnsi="宋体" w:eastAsia="宋体" w:cs="宋体"/>
          <w:spacing w:val="-8"/>
          <w:sz w:val="24"/>
          <w:szCs w:val="24"/>
        </w:rPr>
        <w:t>（</w:t>
      </w:r>
      <w:r>
        <w:rPr>
          <w:rFonts w:ascii="宋体" w:hAnsi="宋体" w:eastAsia="宋体" w:cs="宋体"/>
          <w:spacing w:val="-71"/>
          <w:sz w:val="24"/>
          <w:szCs w:val="24"/>
        </w:rPr>
        <w:t xml:space="preserve"> </w:t>
      </w:r>
      <w:r>
        <w:rPr>
          <w:rFonts w:ascii="Times New Roman" w:hAnsi="Times New Roman" w:eastAsia="Times New Roman" w:cs="Times New Roman"/>
          <w:spacing w:val="-8"/>
          <w:sz w:val="24"/>
          <w:szCs w:val="24"/>
        </w:rPr>
        <w:t>GB/T50934-2013</w:t>
      </w:r>
      <w:r>
        <w:rPr>
          <w:rFonts w:ascii="Times New Roman" w:hAnsi="Times New Roman" w:eastAsia="Times New Roman" w:cs="Times New Roman"/>
          <w:spacing w:val="18"/>
          <w:w w:val="101"/>
          <w:sz w:val="24"/>
          <w:szCs w:val="24"/>
        </w:rPr>
        <w:t xml:space="preserve"> </w:t>
      </w:r>
      <w:r>
        <w:rPr>
          <w:rFonts w:ascii="宋体" w:hAnsi="宋体" w:eastAsia="宋体" w:cs="宋体"/>
          <w:spacing w:val="-8"/>
          <w:sz w:val="24"/>
          <w:szCs w:val="24"/>
        </w:rPr>
        <w:t>）</w:t>
      </w:r>
      <w:r>
        <w:rPr>
          <w:rFonts w:ascii="宋体" w:hAnsi="宋体" w:eastAsia="宋体" w:cs="宋体"/>
          <w:spacing w:val="-71"/>
          <w:sz w:val="24"/>
          <w:szCs w:val="24"/>
        </w:rPr>
        <w:t xml:space="preserve"> </w:t>
      </w:r>
      <w:r>
        <w:rPr>
          <w:rFonts w:ascii="宋体" w:hAnsi="宋体" w:eastAsia="宋体" w:cs="宋体"/>
          <w:spacing w:val="-8"/>
          <w:sz w:val="24"/>
          <w:szCs w:val="24"/>
        </w:rPr>
        <w:t>及《</w:t>
      </w:r>
      <w:r>
        <w:rPr>
          <w:rFonts w:ascii="宋体" w:hAnsi="宋体" w:eastAsia="宋体" w:cs="宋体"/>
          <w:spacing w:val="-43"/>
          <w:sz w:val="24"/>
          <w:szCs w:val="24"/>
        </w:rPr>
        <w:t xml:space="preserve"> </w:t>
      </w:r>
      <w:r>
        <w:rPr>
          <w:rFonts w:ascii="宋体" w:hAnsi="宋体" w:eastAsia="宋体" w:cs="宋体"/>
          <w:spacing w:val="-8"/>
          <w:sz w:val="24"/>
          <w:szCs w:val="24"/>
        </w:rPr>
        <w:t>一</w:t>
      </w:r>
      <w:r>
        <w:rPr>
          <w:rFonts w:ascii="宋体" w:hAnsi="宋体" w:eastAsia="宋体" w:cs="宋体"/>
          <w:spacing w:val="-70"/>
          <w:sz w:val="24"/>
          <w:szCs w:val="24"/>
        </w:rPr>
        <w:t xml:space="preserve"> </w:t>
      </w:r>
      <w:r>
        <w:rPr>
          <w:rFonts w:ascii="宋体" w:hAnsi="宋体" w:eastAsia="宋体" w:cs="宋体"/>
          <w:spacing w:val="-8"/>
          <w:sz w:val="24"/>
          <w:szCs w:val="24"/>
        </w:rPr>
        <w:t>般</w:t>
      </w:r>
      <w:r>
        <w:rPr>
          <w:rFonts w:ascii="宋体" w:hAnsi="宋体" w:eastAsia="宋体" w:cs="宋体"/>
          <w:spacing w:val="-67"/>
          <w:sz w:val="24"/>
          <w:szCs w:val="24"/>
        </w:rPr>
        <w:t xml:space="preserve"> </w:t>
      </w:r>
      <w:r>
        <w:rPr>
          <w:rFonts w:ascii="宋体" w:hAnsi="宋体" w:eastAsia="宋体" w:cs="宋体"/>
          <w:spacing w:val="-8"/>
          <w:sz w:val="24"/>
          <w:szCs w:val="24"/>
        </w:rPr>
        <w:t>工</w:t>
      </w:r>
      <w:r>
        <w:rPr>
          <w:rFonts w:ascii="宋体" w:hAnsi="宋体" w:eastAsia="宋体" w:cs="宋体"/>
          <w:spacing w:val="-69"/>
          <w:sz w:val="24"/>
          <w:szCs w:val="24"/>
        </w:rPr>
        <w:t xml:space="preserve"> </w:t>
      </w:r>
      <w:r>
        <w:rPr>
          <w:rFonts w:ascii="宋体" w:hAnsi="宋体" w:eastAsia="宋体" w:cs="宋体"/>
          <w:spacing w:val="-8"/>
          <w:sz w:val="24"/>
          <w:szCs w:val="24"/>
        </w:rPr>
        <w:t>业</w:t>
      </w:r>
      <w:r>
        <w:rPr>
          <w:rFonts w:ascii="宋体" w:hAnsi="宋体" w:eastAsia="宋体" w:cs="宋体"/>
          <w:spacing w:val="-49"/>
          <w:sz w:val="24"/>
          <w:szCs w:val="24"/>
        </w:rPr>
        <w:t xml:space="preserve"> </w:t>
      </w:r>
      <w:r>
        <w:rPr>
          <w:rFonts w:ascii="宋体" w:hAnsi="宋体" w:eastAsia="宋体" w:cs="宋体"/>
          <w:spacing w:val="-8"/>
          <w:sz w:val="24"/>
          <w:szCs w:val="24"/>
        </w:rPr>
        <w:t>固</w:t>
      </w:r>
      <w:r>
        <w:rPr>
          <w:rFonts w:ascii="宋体" w:hAnsi="宋体" w:eastAsia="宋体" w:cs="宋体"/>
          <w:spacing w:val="-70"/>
          <w:sz w:val="24"/>
          <w:szCs w:val="24"/>
        </w:rPr>
        <w:t xml:space="preserve"> </w:t>
      </w:r>
      <w:r>
        <w:rPr>
          <w:rFonts w:ascii="宋体" w:hAnsi="宋体" w:eastAsia="宋体" w:cs="宋体"/>
          <w:spacing w:val="-8"/>
          <w:sz w:val="24"/>
          <w:szCs w:val="24"/>
        </w:rPr>
        <w:t>体</w:t>
      </w:r>
      <w:r>
        <w:rPr>
          <w:rFonts w:ascii="宋体" w:hAnsi="宋体" w:eastAsia="宋体" w:cs="宋体"/>
          <w:spacing w:val="-71"/>
          <w:sz w:val="24"/>
          <w:szCs w:val="24"/>
        </w:rPr>
        <w:t xml:space="preserve"> </w:t>
      </w:r>
      <w:r>
        <w:rPr>
          <w:rFonts w:ascii="宋体" w:hAnsi="宋体" w:eastAsia="宋体" w:cs="宋体"/>
          <w:spacing w:val="-8"/>
          <w:sz w:val="24"/>
          <w:szCs w:val="24"/>
        </w:rPr>
        <w:t>废</w:t>
      </w:r>
      <w:r>
        <w:rPr>
          <w:rFonts w:ascii="宋体" w:hAnsi="宋体" w:eastAsia="宋体" w:cs="宋体"/>
          <w:spacing w:val="-70"/>
          <w:sz w:val="24"/>
          <w:szCs w:val="24"/>
        </w:rPr>
        <w:t xml:space="preserve"> </w:t>
      </w:r>
      <w:r>
        <w:rPr>
          <w:rFonts w:ascii="宋体" w:hAnsi="宋体" w:eastAsia="宋体" w:cs="宋体"/>
          <w:spacing w:val="-8"/>
          <w:sz w:val="24"/>
          <w:szCs w:val="24"/>
        </w:rPr>
        <w:t>物</w:t>
      </w:r>
      <w:r>
        <w:rPr>
          <w:rFonts w:ascii="宋体" w:hAnsi="宋体" w:eastAsia="宋体" w:cs="宋体"/>
          <w:spacing w:val="-68"/>
          <w:sz w:val="24"/>
          <w:szCs w:val="24"/>
        </w:rPr>
        <w:t xml:space="preserve"> </w:t>
      </w:r>
      <w:r>
        <w:rPr>
          <w:rFonts w:ascii="宋体" w:hAnsi="宋体" w:eastAsia="宋体" w:cs="宋体"/>
          <w:spacing w:val="-8"/>
          <w:sz w:val="24"/>
          <w:szCs w:val="24"/>
        </w:rPr>
        <w:t>贮</w:t>
      </w:r>
      <w:r>
        <w:rPr>
          <w:rFonts w:ascii="宋体" w:hAnsi="宋体" w:eastAsia="宋体" w:cs="宋体"/>
          <w:spacing w:val="-71"/>
          <w:sz w:val="24"/>
          <w:szCs w:val="24"/>
        </w:rPr>
        <w:t xml:space="preserve"> </w:t>
      </w:r>
      <w:r>
        <w:rPr>
          <w:rFonts w:ascii="宋体" w:hAnsi="宋体" w:eastAsia="宋体" w:cs="宋体"/>
          <w:spacing w:val="-8"/>
          <w:sz w:val="24"/>
          <w:szCs w:val="24"/>
        </w:rPr>
        <w:t>存</w:t>
      </w:r>
      <w:r>
        <w:rPr>
          <w:rFonts w:ascii="宋体" w:hAnsi="宋体" w:eastAsia="宋体" w:cs="宋体"/>
          <w:spacing w:val="-53"/>
          <w:sz w:val="24"/>
          <w:szCs w:val="24"/>
        </w:rPr>
        <w:t xml:space="preserve"> </w:t>
      </w:r>
      <w:r>
        <w:rPr>
          <w:rFonts w:ascii="宋体" w:hAnsi="宋体" w:eastAsia="宋体" w:cs="宋体"/>
          <w:spacing w:val="-8"/>
          <w:sz w:val="24"/>
          <w:szCs w:val="24"/>
        </w:rPr>
        <w:t>、</w:t>
      </w:r>
      <w:r>
        <w:rPr>
          <w:rFonts w:ascii="宋体" w:hAnsi="宋体" w:eastAsia="宋体" w:cs="宋体"/>
          <w:spacing w:val="-65"/>
          <w:sz w:val="24"/>
          <w:szCs w:val="24"/>
        </w:rPr>
        <w:t xml:space="preserve"> </w:t>
      </w:r>
      <w:r>
        <w:rPr>
          <w:rFonts w:ascii="宋体" w:hAnsi="宋体" w:eastAsia="宋体" w:cs="宋体"/>
          <w:spacing w:val="-8"/>
          <w:sz w:val="24"/>
          <w:szCs w:val="24"/>
        </w:rPr>
        <w:t>处</w:t>
      </w:r>
      <w:r>
        <w:rPr>
          <w:rFonts w:ascii="宋体" w:hAnsi="宋体" w:eastAsia="宋体" w:cs="宋体"/>
          <w:spacing w:val="-72"/>
          <w:sz w:val="24"/>
          <w:szCs w:val="24"/>
        </w:rPr>
        <w:t xml:space="preserve"> </w:t>
      </w:r>
      <w:r>
        <w:rPr>
          <w:rFonts w:ascii="宋体" w:hAnsi="宋体" w:eastAsia="宋体" w:cs="宋体"/>
          <w:spacing w:val="-8"/>
          <w:sz w:val="24"/>
          <w:szCs w:val="24"/>
        </w:rPr>
        <w:t>置</w:t>
      </w:r>
      <w:r>
        <w:rPr>
          <w:rFonts w:ascii="宋体" w:hAnsi="宋体" w:eastAsia="宋体" w:cs="宋体"/>
          <w:spacing w:val="-68"/>
          <w:sz w:val="24"/>
          <w:szCs w:val="24"/>
        </w:rPr>
        <w:t xml:space="preserve"> </w:t>
      </w:r>
      <w:r>
        <w:rPr>
          <w:rFonts w:ascii="宋体" w:hAnsi="宋体" w:eastAsia="宋体" w:cs="宋体"/>
          <w:spacing w:val="-8"/>
          <w:sz w:val="24"/>
          <w:szCs w:val="24"/>
        </w:rPr>
        <w:t>场</w:t>
      </w:r>
      <w:r>
        <w:rPr>
          <w:rFonts w:ascii="宋体" w:hAnsi="宋体" w:eastAsia="宋体" w:cs="宋体"/>
          <w:spacing w:val="-68"/>
          <w:sz w:val="24"/>
          <w:szCs w:val="24"/>
        </w:rPr>
        <w:t xml:space="preserve"> </w:t>
      </w:r>
      <w:r>
        <w:rPr>
          <w:rFonts w:ascii="宋体" w:hAnsi="宋体" w:eastAsia="宋体" w:cs="宋体"/>
          <w:spacing w:val="-8"/>
          <w:sz w:val="24"/>
          <w:szCs w:val="24"/>
        </w:rPr>
        <w:t>污</w:t>
      </w:r>
      <w:r>
        <w:rPr>
          <w:rFonts w:ascii="宋体" w:hAnsi="宋体" w:eastAsia="宋体" w:cs="宋体"/>
          <w:spacing w:val="-66"/>
          <w:sz w:val="24"/>
          <w:szCs w:val="24"/>
        </w:rPr>
        <w:t xml:space="preserve"> </w:t>
      </w:r>
      <w:r>
        <w:rPr>
          <w:rFonts w:ascii="宋体" w:hAnsi="宋体" w:eastAsia="宋体" w:cs="宋体"/>
          <w:spacing w:val="-8"/>
          <w:sz w:val="24"/>
          <w:szCs w:val="24"/>
        </w:rPr>
        <w:t>染</w:t>
      </w:r>
      <w:r>
        <w:rPr>
          <w:rFonts w:ascii="宋体" w:hAnsi="宋体" w:eastAsia="宋体" w:cs="宋体"/>
          <w:spacing w:val="-71"/>
          <w:sz w:val="24"/>
          <w:szCs w:val="24"/>
        </w:rPr>
        <w:t xml:space="preserve"> </w:t>
      </w:r>
      <w:r>
        <w:rPr>
          <w:rFonts w:ascii="宋体" w:hAnsi="宋体" w:eastAsia="宋体" w:cs="宋体"/>
          <w:spacing w:val="-8"/>
          <w:sz w:val="24"/>
          <w:szCs w:val="24"/>
        </w:rPr>
        <w:t>控</w:t>
      </w:r>
      <w:r>
        <w:rPr>
          <w:rFonts w:ascii="宋体" w:hAnsi="宋体" w:eastAsia="宋体" w:cs="宋体"/>
          <w:spacing w:val="-69"/>
          <w:sz w:val="24"/>
          <w:szCs w:val="24"/>
        </w:rPr>
        <w:t xml:space="preserve"> </w:t>
      </w:r>
      <w:r>
        <w:rPr>
          <w:rFonts w:ascii="宋体" w:hAnsi="宋体" w:eastAsia="宋体" w:cs="宋体"/>
          <w:spacing w:val="-8"/>
          <w:sz w:val="24"/>
          <w:szCs w:val="24"/>
        </w:rPr>
        <w:t>制</w:t>
      </w:r>
      <w:r>
        <w:rPr>
          <w:rFonts w:ascii="宋体" w:hAnsi="宋体" w:eastAsia="宋体" w:cs="宋体"/>
          <w:spacing w:val="-69"/>
          <w:sz w:val="24"/>
          <w:szCs w:val="24"/>
        </w:rPr>
        <w:t xml:space="preserve"> </w:t>
      </w:r>
      <w:r>
        <w:rPr>
          <w:rFonts w:ascii="宋体" w:hAnsi="宋体" w:eastAsia="宋体" w:cs="宋体"/>
          <w:spacing w:val="-9"/>
          <w:sz w:val="24"/>
          <w:szCs w:val="24"/>
        </w:rPr>
        <w:t>标</w:t>
      </w:r>
      <w:r>
        <w:rPr>
          <w:rFonts w:ascii="宋体" w:hAnsi="宋体" w:eastAsia="宋体" w:cs="宋体"/>
          <w:spacing w:val="-68"/>
          <w:sz w:val="24"/>
          <w:szCs w:val="24"/>
        </w:rPr>
        <w:t xml:space="preserve"> </w:t>
      </w:r>
      <w:r>
        <w:rPr>
          <w:rFonts w:ascii="宋体" w:hAnsi="宋体" w:eastAsia="宋体" w:cs="宋体"/>
          <w:spacing w:val="-9"/>
          <w:sz w:val="24"/>
          <w:szCs w:val="24"/>
        </w:rPr>
        <w:t>准</w:t>
      </w:r>
      <w:r>
        <w:rPr>
          <w:rFonts w:ascii="宋体" w:hAnsi="宋体" w:eastAsia="宋体" w:cs="宋体"/>
          <w:spacing w:val="-56"/>
          <w:sz w:val="24"/>
          <w:szCs w:val="24"/>
        </w:rPr>
        <w:t xml:space="preserve"> </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GB18599-2001</w:t>
      </w:r>
      <w:r>
        <w:rPr>
          <w:rFonts w:ascii="宋体" w:hAnsi="宋体" w:eastAsia="宋体" w:cs="宋体"/>
          <w:spacing w:val="-1"/>
          <w:sz w:val="24"/>
          <w:szCs w:val="24"/>
        </w:rPr>
        <w:t>）中的要求。</w:t>
      </w:r>
    </w:p>
    <w:p w14:paraId="5A6DB65B">
      <w:pPr>
        <w:spacing w:line="362"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）非污染防治区</w:t>
      </w:r>
    </w:p>
    <w:p w14:paraId="2006C3A4">
      <w:pPr>
        <w:spacing w:before="166" w:line="362" w:lineRule="auto"/>
        <w:ind w:firstLine="483"/>
        <w:rPr>
          <w:rFonts w:ascii="宋体" w:hAnsi="宋体" w:eastAsia="宋体" w:cs="宋体"/>
          <w:sz w:val="24"/>
          <w:szCs w:val="24"/>
        </w:rPr>
      </w:pPr>
      <w:r>
        <w:rPr>
          <w:rFonts w:ascii="宋体" w:hAnsi="宋体" w:eastAsia="宋体" w:cs="宋体"/>
          <w:spacing w:val="-2"/>
          <w:sz w:val="24"/>
          <w:szCs w:val="24"/>
        </w:rPr>
        <w:t>指一般和重点防治区以外的区域或部位。主要包</w:t>
      </w:r>
      <w:r>
        <w:rPr>
          <w:rFonts w:ascii="宋体" w:hAnsi="宋体" w:eastAsia="宋体" w:cs="宋体"/>
          <w:spacing w:val="-3"/>
          <w:sz w:val="24"/>
          <w:szCs w:val="24"/>
        </w:rPr>
        <w:t>括配套生活区、绿化及道路等。</w:t>
      </w:r>
      <w:r>
        <w:rPr>
          <w:rFonts w:ascii="宋体" w:hAnsi="宋体" w:eastAsia="宋体" w:cs="宋体"/>
          <w:sz w:val="24"/>
          <w:szCs w:val="24"/>
        </w:rPr>
        <w:t xml:space="preserve"> </w:t>
      </w:r>
      <w:r>
        <w:rPr>
          <w:rFonts w:ascii="宋体" w:hAnsi="宋体" w:eastAsia="宋体" w:cs="宋体"/>
          <w:spacing w:val="-2"/>
          <w:sz w:val="24"/>
          <w:szCs w:val="24"/>
        </w:rPr>
        <w:t>对于基本上不产生污染物的非污染防治区，不采取专门针对地下水污染</w:t>
      </w:r>
      <w:r>
        <w:rPr>
          <w:rFonts w:ascii="宋体" w:hAnsi="宋体" w:eastAsia="宋体" w:cs="宋体"/>
          <w:spacing w:val="-3"/>
          <w:sz w:val="24"/>
          <w:szCs w:val="24"/>
        </w:rPr>
        <w:t>的防治措施。</w:t>
      </w:r>
    </w:p>
    <w:p w14:paraId="08F500F7">
      <w:pPr>
        <w:spacing w:line="360" w:lineRule="exact"/>
        <w:ind w:left="476"/>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、地下水防治措施</w:t>
      </w:r>
    </w:p>
    <w:p w14:paraId="126C0A73">
      <w:pPr>
        <w:spacing w:line="360" w:lineRule="exact"/>
        <w:rPr>
          <w:rFonts w:ascii="宋体" w:hAnsi="宋体" w:eastAsia="宋体" w:cs="宋体"/>
          <w:sz w:val="24"/>
          <w:szCs w:val="24"/>
        </w:rPr>
        <w:sectPr>
          <w:footerReference r:id="rId152" w:type="default"/>
          <w:pgSz w:w="11906" w:h="16839"/>
          <w:pgMar w:top="400" w:right="1507" w:bottom="1485" w:left="1597" w:header="0" w:footer="1249" w:gutter="0"/>
          <w:cols w:space="720" w:num="1"/>
        </w:sectPr>
      </w:pPr>
    </w:p>
    <w:p w14:paraId="71A3307B">
      <w:pPr>
        <w:pStyle w:val="2"/>
        <w:spacing w:line="264" w:lineRule="auto"/>
      </w:pPr>
    </w:p>
    <w:p w14:paraId="0100E241">
      <w:pPr>
        <w:pStyle w:val="2"/>
        <w:spacing w:line="264" w:lineRule="auto"/>
      </w:pPr>
    </w:p>
    <w:p w14:paraId="25E9AA51">
      <w:pPr>
        <w:pStyle w:val="2"/>
        <w:spacing w:line="264" w:lineRule="auto"/>
      </w:pPr>
    </w:p>
    <w:p w14:paraId="1F9DC602">
      <w:pPr>
        <w:pStyle w:val="2"/>
        <w:spacing w:line="265" w:lineRule="auto"/>
      </w:pPr>
    </w:p>
    <w:p w14:paraId="72E533A2">
      <w:pPr>
        <w:spacing w:before="78" w:line="219" w:lineRule="auto"/>
        <w:ind w:left="485"/>
        <w:rPr>
          <w:rFonts w:ascii="宋体" w:hAnsi="宋体" w:eastAsia="宋体" w:cs="宋体"/>
          <w:sz w:val="24"/>
          <w:szCs w:val="24"/>
        </w:rPr>
      </w:pPr>
      <w:r>
        <w:rPr>
          <w:rFonts w:ascii="宋体" w:hAnsi="宋体" w:eastAsia="宋体" w:cs="宋体"/>
          <w:spacing w:val="-1"/>
          <w:sz w:val="24"/>
          <w:szCs w:val="24"/>
        </w:rPr>
        <w:t>本项目为防治地下污染，在遵循以上规则的前提下采取以下措施：</w:t>
      </w:r>
    </w:p>
    <w:p w14:paraId="6AF83C2A">
      <w:pPr>
        <w:spacing w:before="169" w:line="360"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）场内生产区地面全部水泥硬化，管道防渗；</w:t>
      </w:r>
    </w:p>
    <w:p w14:paraId="32C66831">
      <w:pPr>
        <w:spacing w:before="126" w:line="361"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）粪污处理系统四周及底部必须人工加强防渗措施避免废水下渗；</w:t>
      </w:r>
    </w:p>
    <w:p w14:paraId="4CE5D9E7">
      <w:pPr>
        <w:spacing w:before="128" w:line="334" w:lineRule="auto"/>
        <w:ind w:left="5" w:right="6"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）定期检修集污池、集污管，加强防渗处理的工程管理，发生设备故障、泄</w:t>
      </w:r>
      <w:r>
        <w:rPr>
          <w:rFonts w:ascii="宋体" w:hAnsi="宋体" w:eastAsia="宋体" w:cs="宋体"/>
          <w:spacing w:val="16"/>
          <w:sz w:val="24"/>
          <w:szCs w:val="24"/>
        </w:rPr>
        <w:t xml:space="preserve"> </w:t>
      </w:r>
      <w:r>
        <w:rPr>
          <w:rFonts w:ascii="宋体" w:hAnsi="宋体" w:eastAsia="宋体" w:cs="宋体"/>
          <w:spacing w:val="2"/>
          <w:sz w:val="24"/>
          <w:szCs w:val="24"/>
        </w:rPr>
        <w:t>漏事故等意外时，应及时采取有效措施，如采用备用设备、紧急停运检修等，降低</w:t>
      </w:r>
      <w:r>
        <w:rPr>
          <w:rFonts w:ascii="宋体" w:hAnsi="宋体" w:eastAsia="宋体" w:cs="宋体"/>
          <w:spacing w:val="6"/>
          <w:sz w:val="24"/>
          <w:szCs w:val="24"/>
        </w:rPr>
        <w:t xml:space="preserve"> </w:t>
      </w:r>
      <w:r>
        <w:rPr>
          <w:rFonts w:ascii="宋体" w:hAnsi="宋体" w:eastAsia="宋体" w:cs="宋体"/>
          <w:spacing w:val="-2"/>
          <w:sz w:val="24"/>
          <w:szCs w:val="24"/>
        </w:rPr>
        <w:t>风险环境影响；</w:t>
      </w:r>
    </w:p>
    <w:p w14:paraId="3DCA7B69">
      <w:pPr>
        <w:spacing w:before="166" w:line="312" w:lineRule="auto"/>
        <w:ind w:left="6" w:right="1475" w:firstLine="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）严格控制处理单元的处理参数等，确保处理效果的稳定性；</w:t>
      </w:r>
      <w:r>
        <w:rPr>
          <w:rFonts w:ascii="宋体" w:hAnsi="宋体" w:eastAsia="宋体" w:cs="宋体"/>
          <w:spacing w:val="4"/>
          <w:sz w:val="24"/>
          <w:szCs w:val="24"/>
        </w:rPr>
        <w:t xml:space="preserve"> </w:t>
      </w:r>
      <w:r>
        <w:rPr>
          <w:rFonts w:ascii="宋体" w:hAnsi="宋体" w:eastAsia="宋体" w:cs="宋体"/>
          <w:spacing w:val="-1"/>
          <w:sz w:val="24"/>
          <w:szCs w:val="24"/>
        </w:rPr>
        <w:t>经采取以上措施，可防止粪污事故排放影响地下水水质。</w:t>
      </w:r>
    </w:p>
    <w:p w14:paraId="17883AFA">
      <w:pPr>
        <w:pStyle w:val="2"/>
        <w:spacing w:line="403" w:lineRule="auto"/>
      </w:pPr>
    </w:p>
    <w:p w14:paraId="59ABE809">
      <w:pPr>
        <w:spacing w:before="100" w:line="226" w:lineRule="auto"/>
        <w:ind w:left="7"/>
        <w:outlineLvl w:val="1"/>
        <w:rPr>
          <w:rFonts w:ascii="宋体" w:hAnsi="宋体" w:eastAsia="宋体" w:cs="宋体"/>
          <w:sz w:val="31"/>
          <w:szCs w:val="31"/>
        </w:rPr>
      </w:pPr>
      <w:bookmarkStart w:id="40" w:name="bookmark35"/>
      <w:bookmarkEnd w:id="40"/>
      <w:r>
        <w:rPr>
          <w:rFonts w:ascii="Times New Roman" w:hAnsi="Times New Roman" w:eastAsia="Times New Roman" w:cs="Times New Roman"/>
          <w:b/>
          <w:bCs/>
          <w:spacing w:val="6"/>
          <w:sz w:val="31"/>
          <w:szCs w:val="31"/>
        </w:rPr>
        <w:t>6.2</w:t>
      </w:r>
      <w:r>
        <w:rPr>
          <w:rFonts w:ascii="宋体" w:hAnsi="宋体" w:eastAsia="宋体" w:cs="宋体"/>
          <w:b/>
          <w:bCs/>
          <w:spacing w:val="6"/>
          <w:sz w:val="31"/>
          <w:szCs w:val="31"/>
        </w:rPr>
        <w:t>大气污染防治措施可行性分析</w:t>
      </w:r>
    </w:p>
    <w:p w14:paraId="339E7FFA">
      <w:pPr>
        <w:pStyle w:val="2"/>
        <w:spacing w:line="444" w:lineRule="auto"/>
      </w:pPr>
    </w:p>
    <w:p w14:paraId="4547A0FB">
      <w:pPr>
        <w:spacing w:before="79" w:line="221" w:lineRule="auto"/>
        <w:ind w:left="4"/>
        <w:outlineLvl w:val="2"/>
        <w:rPr>
          <w:rFonts w:ascii="宋体" w:hAnsi="宋体" w:eastAsia="宋体" w:cs="宋体"/>
          <w:sz w:val="24"/>
          <w:szCs w:val="24"/>
        </w:rPr>
      </w:pPr>
      <w:r>
        <w:rPr>
          <w:rFonts w:ascii="Times New Roman" w:hAnsi="Times New Roman" w:eastAsia="Times New Roman" w:cs="Times New Roman"/>
          <w:b/>
          <w:bCs/>
          <w:spacing w:val="-2"/>
          <w:sz w:val="24"/>
          <w:szCs w:val="24"/>
        </w:rPr>
        <w:t>6.2.1</w:t>
      </w:r>
      <w:r>
        <w:rPr>
          <w:rFonts w:ascii="宋体" w:hAnsi="宋体" w:eastAsia="宋体" w:cs="宋体"/>
          <w:b/>
          <w:bCs/>
          <w:spacing w:val="-2"/>
          <w:sz w:val="24"/>
          <w:szCs w:val="24"/>
        </w:rPr>
        <w:t>大气污染物防治措施</w:t>
      </w:r>
    </w:p>
    <w:p w14:paraId="19C65BCD">
      <w:pPr>
        <w:pStyle w:val="2"/>
        <w:spacing w:line="278" w:lineRule="auto"/>
      </w:pPr>
    </w:p>
    <w:p w14:paraId="2BCAFD06">
      <w:pPr>
        <w:spacing w:before="79" w:line="220" w:lineRule="auto"/>
        <w:ind w:left="491"/>
        <w:rPr>
          <w:rFonts w:ascii="宋体" w:hAnsi="宋体" w:eastAsia="宋体" w:cs="宋体"/>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1"/>
          <w:sz w:val="24"/>
          <w:szCs w:val="24"/>
        </w:rPr>
        <w:t xml:space="preserve"> </w:t>
      </w:r>
      <w:r>
        <w:rPr>
          <w:rFonts w:ascii="宋体" w:hAnsi="宋体" w:eastAsia="宋体" w:cs="宋体"/>
          <w:b/>
          <w:bCs/>
          <w:spacing w:val="-9"/>
          <w:sz w:val="24"/>
          <w:szCs w:val="24"/>
        </w:rPr>
        <w:t>、猪舍恶臭</w:t>
      </w:r>
    </w:p>
    <w:p w14:paraId="5DD7F86B">
      <w:pPr>
        <w:spacing w:before="116" w:line="359" w:lineRule="auto"/>
        <w:ind w:left="4" w:right="7" w:firstLine="481"/>
        <w:rPr>
          <w:rFonts w:ascii="宋体" w:hAnsi="宋体" w:eastAsia="宋体" w:cs="宋体"/>
          <w:sz w:val="24"/>
          <w:szCs w:val="24"/>
        </w:rPr>
      </w:pPr>
      <w:r>
        <w:rPr>
          <w:rFonts w:ascii="宋体" w:hAnsi="宋体" w:eastAsia="宋体" w:cs="宋体"/>
          <w:spacing w:val="2"/>
          <w:sz w:val="24"/>
          <w:szCs w:val="24"/>
        </w:rPr>
        <w:t>气味的控制方法有多种，但最有效的控制方法是控制气味产生的源头和扩散渠</w:t>
      </w:r>
      <w:r>
        <w:rPr>
          <w:rFonts w:ascii="宋体" w:hAnsi="宋体" w:eastAsia="宋体" w:cs="宋体"/>
          <w:spacing w:val="9"/>
          <w:sz w:val="24"/>
          <w:szCs w:val="24"/>
        </w:rPr>
        <w:t xml:space="preserve"> </w:t>
      </w:r>
      <w:r>
        <w:rPr>
          <w:rFonts w:ascii="宋体" w:hAnsi="宋体" w:eastAsia="宋体" w:cs="宋体"/>
          <w:sz w:val="24"/>
          <w:szCs w:val="24"/>
        </w:rPr>
        <w:t>道。这就要从整个场区的设计入手。本报告提出如下两</w:t>
      </w:r>
      <w:r>
        <w:rPr>
          <w:rFonts w:ascii="宋体" w:hAnsi="宋体" w:eastAsia="宋体" w:cs="宋体"/>
          <w:spacing w:val="-1"/>
          <w:sz w:val="24"/>
          <w:szCs w:val="24"/>
        </w:rPr>
        <w:t>种治理措施并做比较。</w:t>
      </w:r>
    </w:p>
    <w:p w14:paraId="5BC6FCED">
      <w:pPr>
        <w:spacing w:before="53" w:line="361" w:lineRule="exact"/>
        <w:ind w:left="503"/>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1</w:t>
      </w:r>
      <w:r>
        <w:rPr>
          <w:rFonts w:ascii="宋体" w:hAnsi="宋体" w:eastAsia="宋体" w:cs="宋体"/>
          <w:spacing w:val="-4"/>
          <w:position w:val="2"/>
          <w:sz w:val="24"/>
          <w:szCs w:val="24"/>
        </w:rPr>
        <w:t>）综合治理方法</w:t>
      </w:r>
    </w:p>
    <w:p w14:paraId="1B9B61FA">
      <w:pPr>
        <w:spacing w:before="163" w:line="376" w:lineRule="auto"/>
        <w:ind w:right="6" w:firstLine="485"/>
        <w:rPr>
          <w:rFonts w:ascii="宋体" w:hAnsi="宋体" w:eastAsia="宋体" w:cs="宋体"/>
          <w:sz w:val="24"/>
          <w:szCs w:val="24"/>
        </w:rPr>
      </w:pPr>
      <w:r>
        <w:rPr>
          <w:rFonts w:ascii="宋体" w:hAnsi="宋体" w:eastAsia="宋体" w:cs="宋体"/>
          <w:spacing w:val="-2"/>
          <w:sz w:val="24"/>
          <w:szCs w:val="24"/>
        </w:rPr>
        <w:t>这种方法从源头入手，分为三个阶段减少恶臭的产生。即优化饲料</w:t>
      </w:r>
      <w:r>
        <w:rPr>
          <w:rFonts w:ascii="Times New Roman" w:hAnsi="Times New Roman" w:eastAsia="Times New Roman" w:cs="Times New Roman"/>
          <w:spacing w:val="-2"/>
          <w:sz w:val="24"/>
          <w:szCs w:val="24"/>
        </w:rPr>
        <w:t>+</w:t>
      </w:r>
      <w:r>
        <w:rPr>
          <w:rFonts w:ascii="宋体" w:hAnsi="宋体" w:eastAsia="宋体" w:cs="宋体"/>
          <w:spacing w:val="-2"/>
          <w:sz w:val="24"/>
          <w:szCs w:val="24"/>
        </w:rPr>
        <w:t>喷洒除臭剂</w:t>
      </w:r>
      <w:r>
        <w:rPr>
          <w:rFonts w:ascii="宋体" w:hAnsi="宋体" w:eastAsia="宋体" w:cs="宋体"/>
          <w:spacing w:val="12"/>
          <w:sz w:val="24"/>
          <w:szCs w:val="24"/>
        </w:rPr>
        <w:t xml:space="preserve"> </w:t>
      </w:r>
      <w:r>
        <w:rPr>
          <w:rFonts w:ascii="Times New Roman" w:hAnsi="Times New Roman" w:eastAsia="Times New Roman" w:cs="Times New Roman"/>
          <w:spacing w:val="-1"/>
          <w:sz w:val="24"/>
          <w:szCs w:val="24"/>
        </w:rPr>
        <w:t>+</w:t>
      </w:r>
      <w:r>
        <w:rPr>
          <w:rFonts w:ascii="宋体" w:hAnsi="宋体" w:eastAsia="宋体" w:cs="宋体"/>
          <w:spacing w:val="-1"/>
          <w:sz w:val="24"/>
          <w:szCs w:val="24"/>
        </w:rPr>
        <w:t>加强绿化。分述如下：</w:t>
      </w:r>
    </w:p>
    <w:p w14:paraId="21844067">
      <w:pPr>
        <w:spacing w:before="1" w:line="217" w:lineRule="auto"/>
        <w:ind w:left="484"/>
        <w:outlineLvl w:val="0"/>
        <w:rPr>
          <w:rFonts w:ascii="宋体" w:hAnsi="宋体" w:eastAsia="宋体" w:cs="宋体"/>
          <w:sz w:val="24"/>
          <w:szCs w:val="24"/>
        </w:rPr>
      </w:pPr>
      <w:r>
        <w:rPr>
          <w:rFonts w:ascii="宋体" w:hAnsi="宋体" w:eastAsia="宋体" w:cs="宋体"/>
          <w:spacing w:val="-2"/>
          <w:sz w:val="24"/>
          <w:szCs w:val="24"/>
        </w:rPr>
        <w:t>①优化饲料</w:t>
      </w:r>
    </w:p>
    <w:p w14:paraId="12F8322D">
      <w:pPr>
        <w:spacing w:before="206" w:line="358" w:lineRule="auto"/>
        <w:ind w:left="4" w:firstLine="480"/>
        <w:jc w:val="both"/>
        <w:rPr>
          <w:rFonts w:ascii="宋体" w:hAnsi="宋体" w:eastAsia="宋体" w:cs="宋体"/>
          <w:sz w:val="24"/>
          <w:szCs w:val="24"/>
        </w:rPr>
      </w:pPr>
      <w:r>
        <w:rPr>
          <w:rFonts w:ascii="宋体" w:hAnsi="宋体" w:eastAsia="宋体" w:cs="宋体"/>
          <w:b/>
          <w:bCs/>
          <w:sz w:val="24"/>
          <w:szCs w:val="24"/>
        </w:rPr>
        <w:t>科学配置饲料：</w:t>
      </w:r>
      <w:r>
        <w:rPr>
          <w:rFonts w:ascii="宋体" w:hAnsi="宋体" w:eastAsia="宋体" w:cs="宋体"/>
          <w:sz w:val="24"/>
          <w:szCs w:val="24"/>
        </w:rPr>
        <w:t>选用绿色饲料添加剂，</w:t>
      </w:r>
      <w:r>
        <w:rPr>
          <w:rFonts w:ascii="宋体" w:hAnsi="宋体" w:eastAsia="宋体" w:cs="宋体"/>
          <w:spacing w:val="-53"/>
          <w:sz w:val="24"/>
          <w:szCs w:val="24"/>
        </w:rPr>
        <w:t xml:space="preserve"> </w:t>
      </w:r>
      <w:r>
        <w:rPr>
          <w:rFonts w:ascii="宋体" w:hAnsi="宋体" w:eastAsia="宋体" w:cs="宋体"/>
          <w:sz w:val="24"/>
          <w:szCs w:val="24"/>
        </w:rPr>
        <w:t xml:space="preserve">目前常用的绿色饲料添加剂主要为酶制 </w:t>
      </w:r>
      <w:r>
        <w:rPr>
          <w:rFonts w:ascii="宋体" w:hAnsi="宋体" w:eastAsia="宋体" w:cs="宋体"/>
          <w:spacing w:val="2"/>
          <w:sz w:val="24"/>
          <w:szCs w:val="24"/>
        </w:rPr>
        <w:t>剂、益生素和丝兰属植物提取物。酶制剂可将饲料中难以为单胃动物消化吸收的植</w:t>
      </w:r>
      <w:r>
        <w:rPr>
          <w:rFonts w:ascii="宋体" w:hAnsi="宋体" w:eastAsia="宋体" w:cs="宋体"/>
          <w:spacing w:val="7"/>
          <w:sz w:val="24"/>
          <w:szCs w:val="24"/>
        </w:rPr>
        <w:t xml:space="preserve"> </w:t>
      </w:r>
      <w:r>
        <w:rPr>
          <w:rFonts w:ascii="宋体" w:hAnsi="宋体" w:eastAsia="宋体" w:cs="宋体"/>
          <w:spacing w:val="2"/>
          <w:sz w:val="24"/>
          <w:szCs w:val="24"/>
        </w:rPr>
        <w:t>酸盐降解为易消化吸收的正磷酸盐，这样就可以减少饲料中无机磷的添加率从而减</w:t>
      </w:r>
      <w:r>
        <w:rPr>
          <w:rFonts w:ascii="宋体" w:hAnsi="宋体" w:eastAsia="宋体" w:cs="宋体"/>
          <w:spacing w:val="7"/>
          <w:sz w:val="24"/>
          <w:szCs w:val="24"/>
        </w:rPr>
        <w:t xml:space="preserve"> </w:t>
      </w:r>
      <w:r>
        <w:rPr>
          <w:rFonts w:ascii="宋体" w:hAnsi="宋体" w:eastAsia="宋体" w:cs="宋体"/>
          <w:spacing w:val="2"/>
          <w:sz w:val="24"/>
          <w:szCs w:val="24"/>
        </w:rPr>
        <w:t>少猪粪便中的磷污染。益生素能排斥和抑制大肠杆菌、沙门菌等病原微生物的生长</w:t>
      </w:r>
      <w:r>
        <w:rPr>
          <w:rFonts w:ascii="宋体" w:hAnsi="宋体" w:eastAsia="宋体" w:cs="宋体"/>
          <w:spacing w:val="7"/>
          <w:sz w:val="24"/>
          <w:szCs w:val="24"/>
        </w:rPr>
        <w:t xml:space="preserve"> </w:t>
      </w:r>
      <w:r>
        <w:rPr>
          <w:rFonts w:ascii="宋体" w:hAnsi="宋体" w:eastAsia="宋体" w:cs="宋体"/>
          <w:spacing w:val="2"/>
          <w:sz w:val="24"/>
          <w:szCs w:val="24"/>
        </w:rPr>
        <w:t>繁殖，促进乳酸菌等有益微生物的生产，减少动物患病的机会，还能减少粪便中臭</w:t>
      </w:r>
      <w:r>
        <w:rPr>
          <w:rFonts w:ascii="宋体" w:hAnsi="宋体" w:eastAsia="宋体" w:cs="宋体"/>
          <w:spacing w:val="7"/>
          <w:sz w:val="24"/>
          <w:szCs w:val="24"/>
        </w:rPr>
        <w:t xml:space="preserve"> </w:t>
      </w:r>
      <w:r>
        <w:rPr>
          <w:rFonts w:ascii="宋体" w:hAnsi="宋体" w:eastAsia="宋体" w:cs="宋体"/>
          <w:spacing w:val="2"/>
          <w:sz w:val="24"/>
          <w:szCs w:val="24"/>
        </w:rPr>
        <w:t>气的产生量。丝兰素植物提取物是植物提取天然制品。它具有两个生物活性成分，</w:t>
      </w:r>
      <w:r>
        <w:rPr>
          <w:rFonts w:ascii="宋体" w:hAnsi="宋体" w:eastAsia="宋体" w:cs="宋体"/>
          <w:spacing w:val="14"/>
          <w:sz w:val="24"/>
          <w:szCs w:val="24"/>
        </w:rPr>
        <w:t xml:space="preserve"> </w:t>
      </w:r>
      <w:r>
        <w:rPr>
          <w:rFonts w:ascii="宋体" w:hAnsi="宋体" w:eastAsia="宋体" w:cs="宋体"/>
          <w:spacing w:val="2"/>
          <w:sz w:val="24"/>
          <w:szCs w:val="24"/>
        </w:rPr>
        <w:t>一个可以和氨结合，另一个可以和硫化氢、甲基吲哚等有毒有害气体结合，因而可</w:t>
      </w:r>
      <w:r>
        <w:rPr>
          <w:rFonts w:ascii="宋体" w:hAnsi="宋体" w:eastAsia="宋体" w:cs="宋体"/>
          <w:spacing w:val="7"/>
          <w:sz w:val="24"/>
          <w:szCs w:val="24"/>
        </w:rPr>
        <w:t xml:space="preserve"> </w:t>
      </w:r>
      <w:r>
        <w:rPr>
          <w:rFonts w:ascii="宋体" w:hAnsi="宋体" w:eastAsia="宋体" w:cs="宋体"/>
          <w:spacing w:val="2"/>
          <w:sz w:val="24"/>
          <w:szCs w:val="24"/>
        </w:rPr>
        <w:t>控制养猪场地恶臭的作用，该物质还与肠道内的微生物作用，帮助消化饲料，有资</w:t>
      </w:r>
      <w:r>
        <w:rPr>
          <w:rFonts w:ascii="宋体" w:hAnsi="宋体" w:eastAsia="宋体" w:cs="宋体"/>
          <w:spacing w:val="7"/>
          <w:sz w:val="24"/>
          <w:szCs w:val="24"/>
        </w:rPr>
        <w:t xml:space="preserve"> </w:t>
      </w:r>
      <w:r>
        <w:rPr>
          <w:rFonts w:ascii="宋体" w:hAnsi="宋体" w:eastAsia="宋体" w:cs="宋体"/>
          <w:spacing w:val="-3"/>
          <w:sz w:val="24"/>
          <w:szCs w:val="24"/>
        </w:rPr>
        <w:t>料显示，采用此类饲料添加剂后，可减少粪尿中氨的排放量</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40~60</w:t>
      </w:r>
      <w:r>
        <w:rPr>
          <w:rFonts w:ascii="宋体" w:hAnsi="宋体" w:eastAsia="宋体" w:cs="宋体"/>
          <w:spacing w:val="-3"/>
          <w:sz w:val="24"/>
          <w:szCs w:val="24"/>
        </w:rPr>
        <w:t>％之多。从而减少</w:t>
      </w:r>
      <w:r>
        <w:rPr>
          <w:rFonts w:ascii="宋体" w:hAnsi="宋体" w:eastAsia="宋体" w:cs="宋体"/>
          <w:sz w:val="24"/>
          <w:szCs w:val="24"/>
        </w:rPr>
        <w:t xml:space="preserve"> </w:t>
      </w:r>
      <w:r>
        <w:rPr>
          <w:rFonts w:ascii="宋体" w:hAnsi="宋体" w:eastAsia="宋体" w:cs="宋体"/>
          <w:spacing w:val="-1"/>
          <w:sz w:val="24"/>
          <w:szCs w:val="24"/>
        </w:rPr>
        <w:t>了场区恶臭的产生量。</w:t>
      </w:r>
    </w:p>
    <w:p w14:paraId="3A233EF6">
      <w:pPr>
        <w:spacing w:line="358" w:lineRule="auto"/>
        <w:rPr>
          <w:rFonts w:ascii="宋体" w:hAnsi="宋体" w:eastAsia="宋体" w:cs="宋体"/>
          <w:sz w:val="24"/>
          <w:szCs w:val="24"/>
        </w:rPr>
        <w:sectPr>
          <w:footerReference r:id="rId153" w:type="default"/>
          <w:pgSz w:w="11906" w:h="16839"/>
          <w:pgMar w:top="400" w:right="1581" w:bottom="1485" w:left="1593" w:header="0" w:footer="1249" w:gutter="0"/>
          <w:cols w:space="720" w:num="1"/>
        </w:sectPr>
      </w:pPr>
    </w:p>
    <w:p w14:paraId="58EE8E7C">
      <w:pPr>
        <w:pStyle w:val="2"/>
        <w:spacing w:line="264" w:lineRule="auto"/>
      </w:pPr>
    </w:p>
    <w:p w14:paraId="3B454FAC">
      <w:pPr>
        <w:pStyle w:val="2"/>
        <w:spacing w:line="264" w:lineRule="auto"/>
      </w:pPr>
    </w:p>
    <w:p w14:paraId="5F7CC955">
      <w:pPr>
        <w:pStyle w:val="2"/>
        <w:spacing w:line="264" w:lineRule="auto"/>
      </w:pPr>
    </w:p>
    <w:p w14:paraId="1EAEF145">
      <w:pPr>
        <w:pStyle w:val="2"/>
        <w:spacing w:line="264" w:lineRule="auto"/>
      </w:pPr>
    </w:p>
    <w:p w14:paraId="325E5039">
      <w:pPr>
        <w:spacing w:before="78" w:line="377" w:lineRule="auto"/>
        <w:ind w:left="4" w:right="68" w:firstLine="494"/>
        <w:rPr>
          <w:rFonts w:ascii="宋体" w:hAnsi="宋体" w:eastAsia="宋体" w:cs="宋体"/>
          <w:sz w:val="24"/>
          <w:szCs w:val="24"/>
        </w:rPr>
      </w:pPr>
      <w:r>
        <w:rPr>
          <w:rFonts w:ascii="宋体" w:hAnsi="宋体" w:eastAsia="宋体" w:cs="宋体"/>
          <w:b/>
          <w:bCs/>
          <w:spacing w:val="1"/>
          <w:sz w:val="24"/>
          <w:szCs w:val="24"/>
        </w:rPr>
        <w:t>降低养殖饲料中的硫份含量：</w:t>
      </w:r>
      <w:r>
        <w:rPr>
          <w:rFonts w:ascii="宋体" w:hAnsi="宋体" w:eastAsia="宋体" w:cs="宋体"/>
          <w:spacing w:val="1"/>
          <w:sz w:val="24"/>
          <w:szCs w:val="24"/>
        </w:rPr>
        <w:t>通过减少硫元素的摄入，减少猪粪中硫元素的排</w:t>
      </w:r>
      <w:r>
        <w:rPr>
          <w:rFonts w:ascii="宋体" w:hAnsi="宋体" w:eastAsia="宋体" w:cs="宋体"/>
          <w:spacing w:val="4"/>
          <w:sz w:val="24"/>
          <w:szCs w:val="24"/>
        </w:rPr>
        <w:t xml:space="preserve"> </w:t>
      </w:r>
      <w:r>
        <w:rPr>
          <w:rFonts w:ascii="宋体" w:hAnsi="宋体" w:eastAsia="宋体" w:cs="宋体"/>
          <w:spacing w:val="-2"/>
          <w:sz w:val="24"/>
          <w:szCs w:val="24"/>
        </w:rPr>
        <w:t xml:space="preserve">泄，进而减少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、甲硫醇等恶臭气体的排放。</w:t>
      </w:r>
    </w:p>
    <w:p w14:paraId="06751B04">
      <w:pPr>
        <w:spacing w:line="298" w:lineRule="auto"/>
        <w:ind w:left="1" w:right="80" w:firstLine="479"/>
        <w:outlineLvl w:val="0"/>
        <w:rPr>
          <w:rFonts w:ascii="宋体" w:hAnsi="宋体" w:eastAsia="宋体" w:cs="宋体"/>
          <w:sz w:val="24"/>
          <w:szCs w:val="24"/>
        </w:rPr>
      </w:pPr>
      <w:r>
        <w:rPr>
          <w:rFonts w:ascii="宋体" w:hAnsi="宋体" w:eastAsia="宋体" w:cs="宋体"/>
          <w:spacing w:val="2"/>
          <w:sz w:val="24"/>
          <w:szCs w:val="24"/>
        </w:rPr>
        <w:t>根据不同饲养阶段给以不同营养组分的饲料，使饲料养分更接近猪只的生长需</w:t>
      </w:r>
      <w:r>
        <w:rPr>
          <w:rFonts w:ascii="宋体" w:hAnsi="宋体" w:eastAsia="宋体" w:cs="宋体"/>
          <w:spacing w:val="10"/>
          <w:sz w:val="24"/>
          <w:szCs w:val="24"/>
        </w:rPr>
        <w:t xml:space="preserve"> </w:t>
      </w:r>
      <w:r>
        <w:rPr>
          <w:rFonts w:ascii="宋体" w:hAnsi="宋体" w:eastAsia="宋体" w:cs="宋体"/>
          <w:spacing w:val="-1"/>
          <w:sz w:val="24"/>
          <w:szCs w:val="24"/>
        </w:rPr>
        <w:t>要，避免养分的浪费和对环境的污染。</w:t>
      </w:r>
    </w:p>
    <w:p w14:paraId="17BF0926">
      <w:pPr>
        <w:spacing w:before="200" w:line="218" w:lineRule="auto"/>
        <w:ind w:left="479"/>
        <w:outlineLvl w:val="0"/>
        <w:rPr>
          <w:rFonts w:ascii="宋体" w:hAnsi="宋体" w:eastAsia="宋体" w:cs="宋体"/>
          <w:sz w:val="24"/>
          <w:szCs w:val="24"/>
        </w:rPr>
      </w:pPr>
      <w:r>
        <w:rPr>
          <w:rFonts w:ascii="宋体" w:hAnsi="宋体" w:eastAsia="宋体" w:cs="宋体"/>
          <w:spacing w:val="-2"/>
          <w:sz w:val="24"/>
          <w:szCs w:val="24"/>
        </w:rPr>
        <w:t>②喷洒除臭剂</w:t>
      </w:r>
    </w:p>
    <w:p w14:paraId="56991C94">
      <w:pPr>
        <w:spacing w:before="206" w:line="376" w:lineRule="auto"/>
        <w:ind w:left="1" w:right="80" w:firstLine="478"/>
        <w:jc w:val="both"/>
        <w:rPr>
          <w:rFonts w:ascii="宋体" w:hAnsi="宋体" w:eastAsia="宋体" w:cs="宋体"/>
          <w:sz w:val="24"/>
          <w:szCs w:val="24"/>
        </w:rPr>
      </w:pPr>
      <w:r>
        <w:rPr>
          <w:rFonts w:ascii="宋体" w:hAnsi="宋体" w:eastAsia="宋体" w:cs="宋体"/>
          <w:spacing w:val="2"/>
          <w:sz w:val="24"/>
          <w:szCs w:val="24"/>
        </w:rPr>
        <w:t>在各养猪档口安装除臭剂，用一种较强烈、能散发令人愉快的芳香气味去掩盖</w:t>
      </w:r>
      <w:r>
        <w:rPr>
          <w:rFonts w:ascii="宋体" w:hAnsi="宋体" w:eastAsia="宋体" w:cs="宋体"/>
          <w:spacing w:val="11"/>
          <w:sz w:val="24"/>
          <w:szCs w:val="24"/>
        </w:rPr>
        <w:t xml:space="preserve"> </w:t>
      </w:r>
      <w:r>
        <w:rPr>
          <w:rFonts w:ascii="宋体" w:hAnsi="宋体" w:eastAsia="宋体" w:cs="宋体"/>
          <w:spacing w:val="2"/>
          <w:sz w:val="24"/>
          <w:szCs w:val="24"/>
        </w:rPr>
        <w:t>令人不快的臭味，达到除臭的目的，具体的有喷洒除臭剂、放置除臭丸和烧香等，</w:t>
      </w:r>
      <w:r>
        <w:rPr>
          <w:rFonts w:ascii="宋体" w:hAnsi="宋体" w:eastAsia="宋体" w:cs="宋体"/>
          <w:spacing w:val="5"/>
          <w:sz w:val="24"/>
          <w:szCs w:val="24"/>
        </w:rPr>
        <w:t xml:space="preserve"> </w:t>
      </w:r>
      <w:r>
        <w:rPr>
          <w:rFonts w:ascii="宋体" w:hAnsi="宋体" w:eastAsia="宋体" w:cs="宋体"/>
          <w:spacing w:val="-1"/>
          <w:sz w:val="24"/>
          <w:szCs w:val="24"/>
        </w:rPr>
        <w:t>该除臭方法使用比较广泛。</w:t>
      </w:r>
    </w:p>
    <w:p w14:paraId="7E881B7C">
      <w:pPr>
        <w:spacing w:before="3" w:line="376" w:lineRule="auto"/>
        <w:ind w:right="80" w:firstLine="480"/>
        <w:jc w:val="both"/>
        <w:rPr>
          <w:rFonts w:ascii="宋体" w:hAnsi="宋体" w:eastAsia="宋体" w:cs="宋体"/>
          <w:sz w:val="24"/>
          <w:szCs w:val="24"/>
        </w:rPr>
      </w:pPr>
      <w:r>
        <w:rPr>
          <w:rFonts w:ascii="宋体" w:hAnsi="宋体" w:eastAsia="宋体" w:cs="宋体"/>
          <w:spacing w:val="2"/>
          <w:sz w:val="24"/>
          <w:szCs w:val="24"/>
        </w:rPr>
        <w:t>对于本项目可采用向猪舍喷洒除臭剂方法，将场区产生令人不愉快的气味掩盖</w:t>
      </w:r>
      <w:r>
        <w:rPr>
          <w:rFonts w:ascii="宋体" w:hAnsi="宋体" w:eastAsia="宋体" w:cs="宋体"/>
          <w:spacing w:val="11"/>
          <w:sz w:val="24"/>
          <w:szCs w:val="24"/>
        </w:rPr>
        <w:t xml:space="preserve"> </w:t>
      </w:r>
      <w:r>
        <w:rPr>
          <w:rFonts w:ascii="宋体" w:hAnsi="宋体" w:eastAsia="宋体" w:cs="宋体"/>
          <w:spacing w:val="2"/>
          <w:sz w:val="24"/>
          <w:szCs w:val="24"/>
        </w:rPr>
        <w:t>住，达到除臭的效果。这种方法投资较小，简便易行，具有较好的效果。但采用的</w:t>
      </w:r>
      <w:r>
        <w:rPr>
          <w:rFonts w:ascii="宋体" w:hAnsi="宋体" w:eastAsia="宋体" w:cs="宋体"/>
          <w:spacing w:val="7"/>
          <w:sz w:val="24"/>
          <w:szCs w:val="24"/>
        </w:rPr>
        <w:t xml:space="preserve"> </w:t>
      </w:r>
      <w:r>
        <w:rPr>
          <w:rFonts w:ascii="宋体" w:hAnsi="宋体" w:eastAsia="宋体" w:cs="宋体"/>
          <w:spacing w:val="-1"/>
          <w:sz w:val="24"/>
          <w:szCs w:val="24"/>
        </w:rPr>
        <w:t>除臭剂必须是无毒、无害，在环境中不会蓄积的。</w:t>
      </w:r>
    </w:p>
    <w:p w14:paraId="66A9D9B7">
      <w:pPr>
        <w:spacing w:before="3" w:line="370" w:lineRule="auto"/>
        <w:ind w:firstLine="525"/>
        <w:rPr>
          <w:rFonts w:ascii="宋体" w:hAnsi="宋体" w:eastAsia="宋体" w:cs="宋体"/>
          <w:sz w:val="24"/>
          <w:szCs w:val="24"/>
        </w:rPr>
      </w:pPr>
      <w:r>
        <w:rPr>
          <w:rFonts w:ascii="宋体" w:hAnsi="宋体" w:eastAsia="宋体" w:cs="宋体"/>
          <w:spacing w:val="-4"/>
          <w:sz w:val="24"/>
          <w:szCs w:val="24"/>
        </w:rPr>
        <w:t>目前除臭剂的种类较多，主要有姜满添加剂、沸石、绿矾、高锰酸钾、磷酸钙、</w:t>
      </w:r>
      <w:r>
        <w:rPr>
          <w:rFonts w:ascii="宋体" w:hAnsi="宋体" w:eastAsia="宋体" w:cs="宋体"/>
          <w:spacing w:val="12"/>
          <w:sz w:val="24"/>
          <w:szCs w:val="24"/>
        </w:rPr>
        <w:t xml:space="preserve"> </w:t>
      </w:r>
      <w:r>
        <w:rPr>
          <w:rFonts w:ascii="宋体" w:hAnsi="宋体" w:eastAsia="宋体" w:cs="宋体"/>
          <w:spacing w:val="-3"/>
          <w:sz w:val="24"/>
          <w:szCs w:val="24"/>
        </w:rPr>
        <w:t>过氧化氢和</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Bio—G</w:t>
      </w:r>
      <w:r>
        <w:rPr>
          <w:rFonts w:ascii="Times New Roman" w:hAnsi="Times New Roman" w:eastAsia="Times New Roman" w:cs="Times New Roman"/>
          <w:spacing w:val="23"/>
          <w:w w:val="101"/>
          <w:sz w:val="24"/>
          <w:szCs w:val="24"/>
        </w:rPr>
        <w:t xml:space="preserve"> </w:t>
      </w:r>
      <w:r>
        <w:rPr>
          <w:rFonts w:ascii="宋体" w:hAnsi="宋体" w:eastAsia="宋体" w:cs="宋体"/>
          <w:spacing w:val="-3"/>
          <w:sz w:val="24"/>
          <w:szCs w:val="24"/>
        </w:rPr>
        <w:t>除臭剂等，这些除臭剂的除臭效果好，运行比较稳定。建议采用</w:t>
      </w:r>
      <w:r>
        <w:rPr>
          <w:rFonts w:ascii="宋体" w:hAnsi="宋体" w:eastAsia="宋体" w:cs="宋体"/>
          <w:sz w:val="24"/>
          <w:szCs w:val="24"/>
        </w:rPr>
        <w:t xml:space="preserve"> </w:t>
      </w:r>
      <w:r>
        <w:rPr>
          <w:rFonts w:ascii="宋体" w:hAnsi="宋体" w:eastAsia="宋体" w:cs="宋体"/>
          <w:spacing w:val="-2"/>
          <w:sz w:val="24"/>
          <w:szCs w:val="24"/>
        </w:rPr>
        <w:t>过氧化氢和</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Bio—G</w:t>
      </w:r>
      <w:r>
        <w:rPr>
          <w:rFonts w:ascii="Times New Roman" w:hAnsi="Times New Roman" w:eastAsia="Times New Roman" w:cs="Times New Roman"/>
          <w:spacing w:val="25"/>
          <w:w w:val="101"/>
          <w:sz w:val="24"/>
          <w:szCs w:val="24"/>
        </w:rPr>
        <w:t xml:space="preserve"> </w:t>
      </w:r>
      <w:r>
        <w:rPr>
          <w:rFonts w:ascii="宋体" w:hAnsi="宋体" w:eastAsia="宋体" w:cs="宋体"/>
          <w:spacing w:val="-2"/>
          <w:sz w:val="24"/>
          <w:szCs w:val="24"/>
        </w:rPr>
        <w:t>除臭剂，</w:t>
      </w:r>
      <w:r>
        <w:rPr>
          <w:rFonts w:ascii="Times New Roman" w:hAnsi="Times New Roman" w:eastAsia="Times New Roman" w:cs="Times New Roman"/>
          <w:spacing w:val="-2"/>
          <w:sz w:val="24"/>
          <w:szCs w:val="24"/>
        </w:rPr>
        <w:t>Bio—G</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除臭剂系沙果、香蕉、</w:t>
      </w:r>
      <w:r>
        <w:rPr>
          <w:rFonts w:ascii="宋体" w:hAnsi="宋体" w:eastAsia="宋体" w:cs="宋体"/>
          <w:spacing w:val="-3"/>
          <w:sz w:val="24"/>
          <w:szCs w:val="24"/>
        </w:rPr>
        <w:t>甜瓜、橙子、红萝 卜、</w:t>
      </w:r>
      <w:r>
        <w:rPr>
          <w:rFonts w:ascii="宋体" w:hAnsi="宋体" w:eastAsia="宋体" w:cs="宋体"/>
          <w:sz w:val="24"/>
          <w:szCs w:val="24"/>
        </w:rPr>
        <w:t xml:space="preserve"> </w:t>
      </w:r>
      <w:r>
        <w:rPr>
          <w:rFonts w:ascii="宋体" w:hAnsi="宋体" w:eastAsia="宋体" w:cs="宋体"/>
          <w:spacing w:val="-2"/>
          <w:sz w:val="24"/>
          <w:szCs w:val="24"/>
        </w:rPr>
        <w:t>柿子、番茄、桔子、树叶、蜂蜜、草药等按一定配比制成的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3"/>
          <w:sz w:val="24"/>
          <w:szCs w:val="24"/>
        </w:rPr>
        <w:t>%</w:t>
      </w:r>
      <w:r>
        <w:rPr>
          <w:rFonts w:ascii="宋体" w:hAnsi="宋体" w:eastAsia="宋体" w:cs="宋体"/>
          <w:spacing w:val="-3"/>
          <w:sz w:val="24"/>
          <w:szCs w:val="24"/>
        </w:rPr>
        <w:t>天然发酵液，这两</w:t>
      </w:r>
      <w:r>
        <w:rPr>
          <w:rFonts w:ascii="宋体" w:hAnsi="宋体" w:eastAsia="宋体" w:cs="宋体"/>
          <w:sz w:val="24"/>
          <w:szCs w:val="24"/>
        </w:rPr>
        <w:t xml:space="preserve"> </w:t>
      </w:r>
      <w:r>
        <w:rPr>
          <w:rFonts w:ascii="宋体" w:hAnsi="宋体" w:eastAsia="宋体" w:cs="宋体"/>
          <w:spacing w:val="-1"/>
          <w:sz w:val="24"/>
          <w:szCs w:val="24"/>
        </w:rPr>
        <w:t>种除臭剂使用过程无二次污染，除臭效果可达</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50%</w:t>
      </w:r>
      <w:r>
        <w:rPr>
          <w:rFonts w:ascii="宋体" w:hAnsi="宋体" w:eastAsia="宋体" w:cs="宋体"/>
          <w:spacing w:val="-1"/>
          <w:sz w:val="24"/>
          <w:szCs w:val="24"/>
        </w:rPr>
        <w:t>以上。</w:t>
      </w:r>
    </w:p>
    <w:p w14:paraId="19E4F49A">
      <w:pPr>
        <w:spacing w:before="35" w:line="218" w:lineRule="auto"/>
        <w:ind w:left="479"/>
        <w:outlineLvl w:val="0"/>
        <w:rPr>
          <w:rFonts w:ascii="宋体" w:hAnsi="宋体" w:eastAsia="宋体" w:cs="宋体"/>
          <w:sz w:val="24"/>
          <w:szCs w:val="24"/>
        </w:rPr>
      </w:pPr>
      <w:r>
        <w:rPr>
          <w:rFonts w:ascii="宋体" w:hAnsi="宋体" w:eastAsia="宋体" w:cs="宋体"/>
          <w:spacing w:val="-2"/>
          <w:sz w:val="24"/>
          <w:szCs w:val="24"/>
        </w:rPr>
        <w:t>③加强绿化</w:t>
      </w:r>
    </w:p>
    <w:p w14:paraId="566C050F">
      <w:pPr>
        <w:spacing w:before="112" w:line="361" w:lineRule="auto"/>
        <w:ind w:firstLine="479"/>
        <w:jc w:val="both"/>
        <w:rPr>
          <w:rFonts w:ascii="宋体" w:hAnsi="宋体" w:eastAsia="宋体" w:cs="宋体"/>
          <w:sz w:val="24"/>
          <w:szCs w:val="24"/>
        </w:rPr>
      </w:pPr>
      <w:r>
        <w:rPr>
          <w:rFonts w:ascii="宋体" w:hAnsi="宋体" w:eastAsia="宋体" w:cs="宋体"/>
          <w:spacing w:val="-2"/>
          <w:sz w:val="24"/>
          <w:szCs w:val="24"/>
        </w:rPr>
        <w:t>在养猪场地以及周围种植绿色植物是为了防止气味扩散</w:t>
      </w:r>
      <w:r>
        <w:rPr>
          <w:rFonts w:ascii="宋体" w:hAnsi="宋体" w:eastAsia="宋体" w:cs="宋体"/>
          <w:spacing w:val="-3"/>
          <w:sz w:val="24"/>
          <w:szCs w:val="24"/>
        </w:rPr>
        <w:t>，降低场区温度和噪音、</w:t>
      </w:r>
      <w:r>
        <w:rPr>
          <w:rFonts w:ascii="宋体" w:hAnsi="宋体" w:eastAsia="宋体" w:cs="宋体"/>
          <w:sz w:val="24"/>
          <w:szCs w:val="24"/>
        </w:rPr>
        <w:t xml:space="preserve"> </w:t>
      </w:r>
      <w:r>
        <w:rPr>
          <w:rFonts w:ascii="宋体" w:hAnsi="宋体" w:eastAsia="宋体" w:cs="宋体"/>
          <w:spacing w:val="2"/>
          <w:sz w:val="24"/>
          <w:szCs w:val="24"/>
        </w:rPr>
        <w:t>提高环境质量最有效的手段。种植绿色植物首先可以降低风速，防止气味传播到更</w:t>
      </w:r>
      <w:r>
        <w:rPr>
          <w:rFonts w:ascii="宋体" w:hAnsi="宋体" w:eastAsia="宋体" w:cs="宋体"/>
          <w:spacing w:val="6"/>
          <w:sz w:val="24"/>
          <w:szCs w:val="24"/>
        </w:rPr>
        <w:t xml:space="preserve"> </w:t>
      </w:r>
      <w:r>
        <w:rPr>
          <w:rFonts w:ascii="宋体" w:hAnsi="宋体" w:eastAsia="宋体" w:cs="宋体"/>
          <w:spacing w:val="2"/>
          <w:sz w:val="24"/>
          <w:szCs w:val="24"/>
        </w:rPr>
        <w:t>远的距离，减少气味的污染范围。根据国内的研究资料表明，在场区上风向种植防</w:t>
      </w:r>
      <w:r>
        <w:rPr>
          <w:rFonts w:ascii="宋体" w:hAnsi="宋体" w:eastAsia="宋体" w:cs="宋体"/>
          <w:spacing w:val="6"/>
          <w:sz w:val="24"/>
          <w:szCs w:val="24"/>
        </w:rPr>
        <w:t xml:space="preserve"> </w:t>
      </w:r>
      <w:r>
        <w:rPr>
          <w:rFonts w:ascii="宋体" w:hAnsi="宋体" w:eastAsia="宋体" w:cs="宋体"/>
          <w:spacing w:val="-1"/>
          <w:sz w:val="24"/>
          <w:szCs w:val="24"/>
        </w:rPr>
        <w:t>风林可使场区风速降低</w:t>
      </w:r>
      <w:r>
        <w:rPr>
          <w:rFonts w:ascii="Times New Roman" w:hAnsi="Times New Roman" w:eastAsia="Times New Roman" w:cs="Times New Roman"/>
          <w:spacing w:val="-1"/>
          <w:sz w:val="24"/>
          <w:szCs w:val="24"/>
        </w:rPr>
        <w:t>75</w:t>
      </w:r>
      <w:r>
        <w:rPr>
          <w:rFonts w:ascii="宋体" w:hAnsi="宋体" w:eastAsia="宋体" w:cs="宋体"/>
          <w:spacing w:val="-1"/>
          <w:sz w:val="24"/>
          <w:szCs w:val="24"/>
        </w:rPr>
        <w:t>～</w:t>
      </w:r>
      <w:r>
        <w:rPr>
          <w:rFonts w:ascii="Times New Roman" w:hAnsi="Times New Roman" w:eastAsia="Times New Roman" w:cs="Times New Roman"/>
          <w:spacing w:val="-1"/>
          <w:sz w:val="24"/>
          <w:szCs w:val="24"/>
        </w:rPr>
        <w:t>80%</w:t>
      </w:r>
      <w:r>
        <w:rPr>
          <w:rFonts w:ascii="宋体" w:hAnsi="宋体" w:eastAsia="宋体" w:cs="宋体"/>
          <w:spacing w:val="-1"/>
          <w:sz w:val="24"/>
          <w:szCs w:val="24"/>
        </w:rPr>
        <w:t>，有效范围可达树高的</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倍。同时绿色植物还可通</w:t>
      </w:r>
      <w:r>
        <w:rPr>
          <w:rFonts w:ascii="宋体" w:hAnsi="宋体" w:eastAsia="宋体" w:cs="宋体"/>
          <w:sz w:val="24"/>
          <w:szCs w:val="24"/>
        </w:rPr>
        <w:t xml:space="preserve"> </w:t>
      </w:r>
      <w:r>
        <w:rPr>
          <w:rFonts w:ascii="宋体" w:hAnsi="宋体" w:eastAsia="宋体" w:cs="宋体"/>
          <w:spacing w:val="2"/>
          <w:sz w:val="24"/>
          <w:szCs w:val="24"/>
        </w:rPr>
        <w:t>过控制温度改善局部环境。树叶还可以直接吸收、过滤含有气味的气体和尘粒，从</w:t>
      </w:r>
      <w:r>
        <w:rPr>
          <w:rFonts w:ascii="宋体" w:hAnsi="宋体" w:eastAsia="宋体" w:cs="宋体"/>
          <w:spacing w:val="6"/>
          <w:sz w:val="24"/>
          <w:szCs w:val="24"/>
        </w:rPr>
        <w:t xml:space="preserve"> </w:t>
      </w:r>
      <w:r>
        <w:rPr>
          <w:rFonts w:ascii="宋体" w:hAnsi="宋体" w:eastAsia="宋体" w:cs="宋体"/>
          <w:spacing w:val="1"/>
          <w:sz w:val="24"/>
          <w:szCs w:val="24"/>
        </w:rPr>
        <w:t>而减少空气中的气味，有害气体经过绿化带后，至少有</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25%</w:t>
      </w:r>
      <w:r>
        <w:rPr>
          <w:rFonts w:ascii="宋体" w:hAnsi="宋体" w:eastAsia="宋体" w:cs="宋体"/>
          <w:spacing w:val="1"/>
          <w:sz w:val="24"/>
          <w:szCs w:val="24"/>
        </w:rPr>
        <w:t>被吸收，恶臭可减少约</w:t>
      </w:r>
      <w:r>
        <w:rPr>
          <w:rFonts w:ascii="宋体" w:hAnsi="宋体" w:eastAsia="宋体" w:cs="宋体"/>
          <w:sz w:val="24"/>
          <w:szCs w:val="24"/>
        </w:rPr>
        <w:t xml:space="preserve"> </w:t>
      </w:r>
      <w:r>
        <w:rPr>
          <w:rFonts w:ascii="Times New Roman" w:hAnsi="Times New Roman" w:eastAsia="Times New Roman" w:cs="Times New Roman"/>
          <w:spacing w:val="-3"/>
          <w:sz w:val="24"/>
          <w:szCs w:val="24"/>
        </w:rPr>
        <w:t>55%</w:t>
      </w:r>
      <w:r>
        <w:rPr>
          <w:rFonts w:ascii="宋体" w:hAnsi="宋体" w:eastAsia="宋体" w:cs="宋体"/>
          <w:spacing w:val="-3"/>
          <w:sz w:val="24"/>
          <w:szCs w:val="24"/>
        </w:rPr>
        <w:t>。树木通过光合作用吸收空气中的二氧化碳、释放氧气，可使动物</w:t>
      </w:r>
      <w:r>
        <w:rPr>
          <w:rFonts w:ascii="宋体" w:hAnsi="宋体" w:eastAsia="宋体" w:cs="宋体"/>
          <w:spacing w:val="-4"/>
          <w:sz w:val="24"/>
          <w:szCs w:val="24"/>
        </w:rPr>
        <w:t>呼出的二氧化</w:t>
      </w:r>
      <w:r>
        <w:rPr>
          <w:rFonts w:ascii="宋体" w:hAnsi="宋体" w:eastAsia="宋体" w:cs="宋体"/>
          <w:sz w:val="24"/>
          <w:szCs w:val="24"/>
        </w:rPr>
        <w:t xml:space="preserve"> </w:t>
      </w:r>
      <w:r>
        <w:rPr>
          <w:rFonts w:ascii="宋体" w:hAnsi="宋体" w:eastAsia="宋体" w:cs="宋体"/>
          <w:spacing w:val="1"/>
          <w:sz w:val="24"/>
          <w:szCs w:val="24"/>
        </w:rPr>
        <w:t>碳减少</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，改善空气质量。</w:t>
      </w:r>
    </w:p>
    <w:p w14:paraId="7BB7119C">
      <w:pPr>
        <w:spacing w:before="39" w:line="359" w:lineRule="exact"/>
        <w:ind w:left="476"/>
        <w:outlineLvl w:val="0"/>
        <w:rPr>
          <w:rFonts w:ascii="宋体" w:hAnsi="宋体" w:eastAsia="宋体" w:cs="宋体"/>
          <w:sz w:val="24"/>
          <w:szCs w:val="24"/>
        </w:rPr>
      </w:pP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）机械、化学处理方法</w:t>
      </w:r>
    </w:p>
    <w:p w14:paraId="3B1062E6">
      <w:pPr>
        <w:spacing w:before="165" w:line="324" w:lineRule="auto"/>
        <w:ind w:left="1" w:right="80" w:firstLine="481"/>
        <w:jc w:val="both"/>
        <w:rPr>
          <w:rFonts w:ascii="宋体" w:hAnsi="宋体" w:eastAsia="宋体" w:cs="宋体"/>
          <w:sz w:val="24"/>
          <w:szCs w:val="24"/>
        </w:rPr>
      </w:pPr>
      <w:r>
        <w:rPr>
          <w:rFonts w:ascii="宋体" w:hAnsi="宋体" w:eastAsia="宋体" w:cs="宋体"/>
          <w:spacing w:val="2"/>
          <w:sz w:val="24"/>
          <w:szCs w:val="24"/>
        </w:rPr>
        <w:t>从技术角度来看，恶臭最有效的治理方法是将散发恶臭的面源密闭，将恶臭集</w:t>
      </w:r>
      <w:r>
        <w:rPr>
          <w:rFonts w:ascii="宋体" w:hAnsi="宋体" w:eastAsia="宋体" w:cs="宋体"/>
          <w:spacing w:val="7"/>
          <w:sz w:val="24"/>
          <w:szCs w:val="24"/>
        </w:rPr>
        <w:t xml:space="preserve"> </w:t>
      </w:r>
      <w:r>
        <w:rPr>
          <w:rFonts w:ascii="宋体" w:hAnsi="宋体" w:eastAsia="宋体" w:cs="宋体"/>
          <w:spacing w:val="2"/>
          <w:sz w:val="24"/>
          <w:szCs w:val="24"/>
        </w:rPr>
        <w:t>中收集再进行有效的处理，即采用机械方法处理，机械处理方法即使用处理设备对</w:t>
      </w:r>
      <w:r>
        <w:rPr>
          <w:rFonts w:ascii="宋体" w:hAnsi="宋体" w:eastAsia="宋体" w:cs="宋体"/>
          <w:spacing w:val="5"/>
          <w:sz w:val="24"/>
          <w:szCs w:val="24"/>
        </w:rPr>
        <w:t xml:space="preserve"> </w:t>
      </w:r>
      <w:r>
        <w:rPr>
          <w:rFonts w:ascii="宋体" w:hAnsi="宋体" w:eastAsia="宋体" w:cs="宋体"/>
          <w:spacing w:val="2"/>
          <w:sz w:val="24"/>
          <w:szCs w:val="24"/>
        </w:rPr>
        <w:t>恶臭进行吸收或吸附，利用恶臭气体的物理或化学性质，使用水或化学吸收液对恶</w:t>
      </w:r>
    </w:p>
    <w:p w14:paraId="281F53BF">
      <w:pPr>
        <w:spacing w:line="324" w:lineRule="auto"/>
        <w:rPr>
          <w:rFonts w:ascii="宋体" w:hAnsi="宋体" w:eastAsia="宋体" w:cs="宋体"/>
          <w:sz w:val="24"/>
          <w:szCs w:val="24"/>
        </w:rPr>
        <w:sectPr>
          <w:footerReference r:id="rId154" w:type="default"/>
          <w:pgSz w:w="11906" w:h="16839"/>
          <w:pgMar w:top="400" w:right="1508" w:bottom="1485" w:left="1597" w:header="0" w:footer="1249" w:gutter="0"/>
          <w:cols w:space="720" w:num="1"/>
        </w:sectPr>
      </w:pPr>
    </w:p>
    <w:p w14:paraId="462E4070">
      <w:pPr>
        <w:pStyle w:val="2"/>
        <w:spacing w:line="264" w:lineRule="auto"/>
      </w:pPr>
    </w:p>
    <w:p w14:paraId="57236261">
      <w:pPr>
        <w:pStyle w:val="2"/>
        <w:spacing w:line="264" w:lineRule="auto"/>
      </w:pPr>
    </w:p>
    <w:p w14:paraId="5D1CC1E0">
      <w:pPr>
        <w:pStyle w:val="2"/>
        <w:spacing w:line="264" w:lineRule="auto"/>
      </w:pPr>
    </w:p>
    <w:p w14:paraId="5D5AA500">
      <w:pPr>
        <w:pStyle w:val="2"/>
        <w:spacing w:line="264" w:lineRule="auto"/>
      </w:pPr>
    </w:p>
    <w:p w14:paraId="529CF61F">
      <w:pPr>
        <w:spacing w:before="78" w:line="377" w:lineRule="auto"/>
        <w:ind w:left="1" w:right="63" w:hanging="1"/>
        <w:rPr>
          <w:rFonts w:ascii="宋体" w:hAnsi="宋体" w:eastAsia="宋体" w:cs="宋体"/>
          <w:sz w:val="24"/>
          <w:szCs w:val="24"/>
        </w:rPr>
      </w:pPr>
      <w:r>
        <w:rPr>
          <w:rFonts w:ascii="宋体" w:hAnsi="宋体" w:eastAsia="宋体" w:cs="宋体"/>
          <w:spacing w:val="2"/>
          <w:sz w:val="24"/>
          <w:szCs w:val="24"/>
        </w:rPr>
        <w:t>臭进行物理或化学吸收除臭的方法。即使用适当的液体作为吸收液，使恶臭气体与</w:t>
      </w:r>
      <w:r>
        <w:rPr>
          <w:rFonts w:ascii="宋体" w:hAnsi="宋体" w:eastAsia="宋体" w:cs="宋体"/>
          <w:spacing w:val="6"/>
          <w:sz w:val="24"/>
          <w:szCs w:val="24"/>
        </w:rPr>
        <w:t xml:space="preserve"> </w:t>
      </w:r>
      <w:r>
        <w:rPr>
          <w:rFonts w:ascii="宋体" w:hAnsi="宋体" w:eastAsia="宋体" w:cs="宋体"/>
          <w:spacing w:val="-1"/>
          <w:sz w:val="24"/>
          <w:szCs w:val="24"/>
        </w:rPr>
        <w:t>之接触，并使这些有害气体溶于吸收剂中，达到气体净化的目的。</w:t>
      </w:r>
    </w:p>
    <w:p w14:paraId="4F23E28A">
      <w:pPr>
        <w:spacing w:before="1" w:line="376" w:lineRule="auto"/>
        <w:ind w:left="2" w:right="63" w:firstLine="459"/>
        <w:jc w:val="both"/>
        <w:rPr>
          <w:rFonts w:ascii="宋体" w:hAnsi="宋体" w:eastAsia="宋体" w:cs="宋体"/>
          <w:sz w:val="24"/>
          <w:szCs w:val="24"/>
        </w:rPr>
      </w:pPr>
      <w:r>
        <w:rPr>
          <w:rFonts w:ascii="宋体" w:hAnsi="宋体" w:eastAsia="宋体" w:cs="宋体"/>
          <w:spacing w:val="3"/>
          <w:sz w:val="24"/>
          <w:szCs w:val="24"/>
        </w:rPr>
        <w:t>化学法一般有燃烧法、常温氧化法、吸收法、吸附法和冷凝法。</w:t>
      </w:r>
      <w:r>
        <w:rPr>
          <w:rFonts w:ascii="宋体" w:hAnsi="宋体" w:eastAsia="宋体" w:cs="宋体"/>
          <w:spacing w:val="2"/>
          <w:sz w:val="24"/>
          <w:szCs w:val="24"/>
        </w:rPr>
        <w:t>燃烧、氧化法</w:t>
      </w:r>
      <w:r>
        <w:rPr>
          <w:rFonts w:ascii="宋体" w:hAnsi="宋体" w:eastAsia="宋体" w:cs="宋体"/>
          <w:sz w:val="24"/>
          <w:szCs w:val="24"/>
        </w:rPr>
        <w:t xml:space="preserve"> </w:t>
      </w:r>
      <w:r>
        <w:rPr>
          <w:rFonts w:ascii="宋体" w:hAnsi="宋体" w:eastAsia="宋体" w:cs="宋体"/>
          <w:spacing w:val="2"/>
          <w:sz w:val="24"/>
          <w:szCs w:val="24"/>
        </w:rPr>
        <w:t>可以将产生恶臭物质彻底分解、去除，但要消耗大量燃料；而对于吸收法需要处理</w:t>
      </w:r>
      <w:r>
        <w:rPr>
          <w:rFonts w:ascii="宋体" w:hAnsi="宋体" w:eastAsia="宋体" w:cs="宋体"/>
          <w:spacing w:val="4"/>
          <w:sz w:val="24"/>
          <w:szCs w:val="24"/>
        </w:rPr>
        <w:t xml:space="preserve"> </w:t>
      </w:r>
      <w:r>
        <w:rPr>
          <w:rFonts w:ascii="宋体" w:hAnsi="宋体" w:eastAsia="宋体" w:cs="宋体"/>
          <w:spacing w:val="2"/>
          <w:sz w:val="24"/>
          <w:szCs w:val="24"/>
        </w:rPr>
        <w:t>吸收后产生的废液；吸附法还需要对浓集后再脱附的恶臭物质的进行处理和吸附剂</w:t>
      </w:r>
      <w:r>
        <w:rPr>
          <w:rFonts w:ascii="宋体" w:hAnsi="宋体" w:eastAsia="宋体" w:cs="宋体"/>
          <w:spacing w:val="4"/>
          <w:sz w:val="24"/>
          <w:szCs w:val="24"/>
        </w:rPr>
        <w:t xml:space="preserve"> </w:t>
      </w:r>
      <w:r>
        <w:rPr>
          <w:rFonts w:ascii="宋体" w:hAnsi="宋体" w:eastAsia="宋体" w:cs="宋体"/>
          <w:spacing w:val="2"/>
          <w:sz w:val="24"/>
          <w:szCs w:val="24"/>
        </w:rPr>
        <w:t>的再生；采用这些防治对策的前提是首先能将恶臭气体收集起来，并且气体排放量</w:t>
      </w:r>
      <w:r>
        <w:rPr>
          <w:rFonts w:ascii="宋体" w:hAnsi="宋体" w:eastAsia="宋体" w:cs="宋体"/>
          <w:spacing w:val="4"/>
          <w:sz w:val="24"/>
          <w:szCs w:val="24"/>
        </w:rPr>
        <w:t xml:space="preserve"> </w:t>
      </w:r>
      <w:r>
        <w:rPr>
          <w:rFonts w:ascii="宋体" w:hAnsi="宋体" w:eastAsia="宋体" w:cs="宋体"/>
          <w:spacing w:val="-1"/>
          <w:sz w:val="24"/>
          <w:szCs w:val="24"/>
        </w:rPr>
        <w:t>不大，这对于有组织排放气体容易做到。</w:t>
      </w:r>
    </w:p>
    <w:p w14:paraId="7EF83406">
      <w:pPr>
        <w:spacing w:before="5" w:line="375" w:lineRule="auto"/>
        <w:ind w:right="63" w:firstLine="460"/>
        <w:jc w:val="both"/>
        <w:rPr>
          <w:rFonts w:ascii="宋体" w:hAnsi="宋体" w:eastAsia="宋体" w:cs="宋体"/>
          <w:sz w:val="24"/>
          <w:szCs w:val="24"/>
        </w:rPr>
      </w:pPr>
      <w:r>
        <w:rPr>
          <w:rFonts w:ascii="宋体" w:hAnsi="宋体" w:eastAsia="宋体" w:cs="宋体"/>
          <w:spacing w:val="3"/>
          <w:sz w:val="24"/>
          <w:szCs w:val="24"/>
        </w:rPr>
        <w:t>对于本项目来讲，不能采用燃烧和氧化法。项目主要恶臭物质氨和硫</w:t>
      </w:r>
      <w:r>
        <w:rPr>
          <w:rFonts w:ascii="宋体" w:hAnsi="宋体" w:eastAsia="宋体" w:cs="宋体"/>
          <w:spacing w:val="2"/>
          <w:sz w:val="24"/>
          <w:szCs w:val="24"/>
        </w:rPr>
        <w:t>化氢，一</w:t>
      </w:r>
      <w:r>
        <w:rPr>
          <w:rFonts w:ascii="宋体" w:hAnsi="宋体" w:eastAsia="宋体" w:cs="宋体"/>
          <w:sz w:val="24"/>
          <w:szCs w:val="24"/>
        </w:rPr>
        <w:t xml:space="preserve"> </w:t>
      </w:r>
      <w:r>
        <w:rPr>
          <w:rFonts w:ascii="宋体" w:hAnsi="宋体" w:eastAsia="宋体" w:cs="宋体"/>
          <w:spacing w:val="2"/>
          <w:sz w:val="24"/>
          <w:szCs w:val="24"/>
        </w:rPr>
        <w:t>般采用乙醛以及氢氧化钠和次氯酸钠的混合液进行吸收处理。由于产生恶臭的养猪</w:t>
      </w:r>
      <w:r>
        <w:rPr>
          <w:rFonts w:ascii="宋体" w:hAnsi="宋体" w:eastAsia="宋体" w:cs="宋体"/>
          <w:spacing w:val="7"/>
          <w:sz w:val="24"/>
          <w:szCs w:val="24"/>
        </w:rPr>
        <w:t xml:space="preserve"> </w:t>
      </w:r>
      <w:r>
        <w:rPr>
          <w:rFonts w:ascii="宋体" w:hAnsi="宋体" w:eastAsia="宋体" w:cs="宋体"/>
          <w:spacing w:val="2"/>
          <w:sz w:val="24"/>
          <w:szCs w:val="24"/>
        </w:rPr>
        <w:t>场区是个大型的敞开空间，如果采用该种方法治理恶臭首先要将养殖场区进行封闭</w:t>
      </w:r>
      <w:r>
        <w:rPr>
          <w:rFonts w:ascii="宋体" w:hAnsi="宋体" w:eastAsia="宋体" w:cs="宋体"/>
          <w:spacing w:val="7"/>
          <w:sz w:val="24"/>
          <w:szCs w:val="24"/>
        </w:rPr>
        <w:t xml:space="preserve"> </w:t>
      </w:r>
      <w:r>
        <w:rPr>
          <w:rFonts w:ascii="宋体" w:hAnsi="宋体" w:eastAsia="宋体" w:cs="宋体"/>
          <w:spacing w:val="2"/>
          <w:sz w:val="24"/>
          <w:szCs w:val="24"/>
        </w:rPr>
        <w:t>（至少半封闭</w:t>
      </w:r>
      <w:r>
        <w:rPr>
          <w:rFonts w:ascii="宋体" w:hAnsi="宋体" w:eastAsia="宋体" w:cs="宋体"/>
          <w:spacing w:val="10"/>
          <w:sz w:val="24"/>
          <w:szCs w:val="24"/>
        </w:rPr>
        <w:t>），</w:t>
      </w:r>
      <w:r>
        <w:rPr>
          <w:rFonts w:ascii="宋体" w:hAnsi="宋体" w:eastAsia="宋体" w:cs="宋体"/>
          <w:spacing w:val="2"/>
          <w:sz w:val="24"/>
          <w:szCs w:val="24"/>
        </w:rPr>
        <w:t>然后对抽吸其中的空气，再送到吸收塔或者</w:t>
      </w:r>
      <w:r>
        <w:rPr>
          <w:rFonts w:ascii="宋体" w:hAnsi="宋体" w:eastAsia="宋体" w:cs="宋体"/>
          <w:spacing w:val="1"/>
          <w:sz w:val="24"/>
          <w:szCs w:val="24"/>
        </w:rPr>
        <w:t>吸附器进行处理。但</w:t>
      </w:r>
      <w:r>
        <w:rPr>
          <w:rFonts w:ascii="宋体" w:hAnsi="宋体" w:eastAsia="宋体" w:cs="宋体"/>
          <w:sz w:val="24"/>
          <w:szCs w:val="24"/>
        </w:rPr>
        <w:t xml:space="preserve"> </w:t>
      </w:r>
      <w:r>
        <w:rPr>
          <w:rFonts w:ascii="宋体" w:hAnsi="宋体" w:eastAsia="宋体" w:cs="宋体"/>
          <w:spacing w:val="-1"/>
          <w:sz w:val="24"/>
          <w:szCs w:val="24"/>
        </w:rPr>
        <w:t>这种恶臭处理方案对于该拟建项目是不可行的。</w:t>
      </w:r>
    </w:p>
    <w:p w14:paraId="45FC720E">
      <w:pPr>
        <w:spacing w:line="220" w:lineRule="auto"/>
        <w:ind w:left="481"/>
        <w:outlineLvl w:val="0"/>
        <w:rPr>
          <w:rFonts w:ascii="宋体" w:hAnsi="宋体" w:eastAsia="宋体" w:cs="宋体"/>
          <w:sz w:val="24"/>
          <w:szCs w:val="24"/>
        </w:rPr>
      </w:pPr>
      <w:r>
        <w:rPr>
          <w:rFonts w:ascii="宋体" w:hAnsi="宋体" w:eastAsia="宋体" w:cs="宋体"/>
          <w:spacing w:val="2"/>
          <w:sz w:val="24"/>
          <w:szCs w:val="24"/>
        </w:rPr>
        <w:t>养殖场地是一个巨大的空间，其所含恶臭气体的体积十分庞大，抽吸这些气体</w:t>
      </w:r>
    </w:p>
    <w:p w14:paraId="49D356FF">
      <w:pPr>
        <w:spacing w:before="203" w:line="359" w:lineRule="auto"/>
        <w:ind w:left="1" w:right="63" w:firstLine="18"/>
        <w:jc w:val="both"/>
        <w:rPr>
          <w:rFonts w:ascii="宋体" w:hAnsi="宋体" w:eastAsia="宋体" w:cs="宋体"/>
          <w:sz w:val="24"/>
          <w:szCs w:val="24"/>
        </w:rPr>
      </w:pPr>
      <w:r>
        <w:rPr>
          <w:rFonts w:ascii="宋体" w:hAnsi="宋体" w:eastAsia="宋体" w:cs="宋体"/>
          <w:spacing w:val="2"/>
          <w:sz w:val="24"/>
          <w:szCs w:val="24"/>
        </w:rPr>
        <w:t>的风机耗能将很高，而且吸收和吸附剂的消耗量也</w:t>
      </w:r>
      <w:r>
        <w:rPr>
          <w:rFonts w:ascii="宋体" w:hAnsi="宋体" w:eastAsia="宋体" w:cs="宋体"/>
          <w:spacing w:val="1"/>
          <w:sz w:val="24"/>
          <w:szCs w:val="24"/>
        </w:rPr>
        <w:t>很大，由此而产生的费用在我国</w:t>
      </w:r>
      <w:r>
        <w:rPr>
          <w:rFonts w:ascii="宋体" w:hAnsi="宋体" w:eastAsia="宋体" w:cs="宋体"/>
          <w:sz w:val="24"/>
          <w:szCs w:val="24"/>
        </w:rPr>
        <w:t xml:space="preserve"> </w:t>
      </w:r>
      <w:r>
        <w:rPr>
          <w:rFonts w:ascii="宋体" w:hAnsi="宋体" w:eastAsia="宋体" w:cs="宋体"/>
          <w:spacing w:val="2"/>
          <w:sz w:val="24"/>
          <w:szCs w:val="24"/>
        </w:rPr>
        <w:t>目前的社会经济发展水平而言，任何建设单位是无法承受。另外，由于需要抽取的</w:t>
      </w:r>
      <w:r>
        <w:rPr>
          <w:rFonts w:ascii="宋体" w:hAnsi="宋体" w:eastAsia="宋体" w:cs="宋体"/>
          <w:spacing w:val="5"/>
          <w:sz w:val="24"/>
          <w:szCs w:val="24"/>
        </w:rPr>
        <w:t xml:space="preserve"> </w:t>
      </w:r>
      <w:r>
        <w:rPr>
          <w:rFonts w:ascii="宋体" w:hAnsi="宋体" w:eastAsia="宋体" w:cs="宋体"/>
          <w:spacing w:val="2"/>
          <w:sz w:val="24"/>
          <w:szCs w:val="24"/>
        </w:rPr>
        <w:t>风量巨大，必将采用大功率的风机，由此带来的风机运行噪声也将对猪的生长造成</w:t>
      </w:r>
      <w:r>
        <w:rPr>
          <w:rFonts w:ascii="宋体" w:hAnsi="宋体" w:eastAsia="宋体" w:cs="宋体"/>
          <w:spacing w:val="5"/>
          <w:sz w:val="24"/>
          <w:szCs w:val="24"/>
        </w:rPr>
        <w:t xml:space="preserve"> </w:t>
      </w:r>
      <w:r>
        <w:rPr>
          <w:rFonts w:ascii="宋体" w:hAnsi="宋体" w:eastAsia="宋体" w:cs="宋体"/>
          <w:spacing w:val="-1"/>
          <w:sz w:val="24"/>
          <w:szCs w:val="24"/>
        </w:rPr>
        <w:t>一定的影响。因此，项目机械、化学处理方法不可行。</w:t>
      </w:r>
    </w:p>
    <w:p w14:paraId="3711463A">
      <w:pPr>
        <w:spacing w:before="2" w:line="359" w:lineRule="auto"/>
        <w:ind w:right="62" w:firstLine="464"/>
        <w:rPr>
          <w:rFonts w:ascii="宋体" w:hAnsi="宋体" w:eastAsia="宋体" w:cs="宋体"/>
          <w:sz w:val="24"/>
          <w:szCs w:val="24"/>
        </w:rPr>
      </w:pPr>
      <w:r>
        <w:rPr>
          <w:rFonts w:ascii="宋体" w:hAnsi="宋体" w:eastAsia="宋体" w:cs="宋体"/>
          <w:spacing w:val="2"/>
          <w:sz w:val="24"/>
          <w:szCs w:val="24"/>
        </w:rPr>
        <w:t>故本项目猪舍的恶臭应采取综合预防、防治的方法，即优化饲料</w:t>
      </w:r>
      <w:r>
        <w:rPr>
          <w:rFonts w:ascii="Times New Roman" w:hAnsi="Times New Roman" w:eastAsia="Times New Roman" w:cs="Times New Roman"/>
          <w:spacing w:val="1"/>
          <w:sz w:val="24"/>
          <w:szCs w:val="24"/>
        </w:rPr>
        <w:t>+</w:t>
      </w:r>
      <w:r>
        <w:rPr>
          <w:rFonts w:ascii="宋体" w:hAnsi="宋体" w:eastAsia="宋体" w:cs="宋体"/>
          <w:spacing w:val="1"/>
          <w:sz w:val="24"/>
          <w:szCs w:val="24"/>
        </w:rPr>
        <w:t>喷洒除臭剂</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加强绿化，则不会对周围环境空气和环境敏感点造成明显影响。</w:t>
      </w:r>
    </w:p>
    <w:p w14:paraId="6BE350D4">
      <w:pPr>
        <w:spacing w:before="50" w:line="359" w:lineRule="exact"/>
        <w:ind w:left="476"/>
        <w:outlineLvl w:val="0"/>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、有机肥发酵车间恶臭</w:t>
      </w:r>
    </w:p>
    <w:p w14:paraId="561DCB41">
      <w:pPr>
        <w:spacing w:before="78" w:line="359" w:lineRule="auto"/>
        <w:ind w:left="2" w:firstLine="527"/>
        <w:jc w:val="both"/>
        <w:rPr>
          <w:rFonts w:ascii="宋体" w:hAnsi="宋体" w:eastAsia="宋体" w:cs="宋体"/>
          <w:sz w:val="24"/>
          <w:szCs w:val="24"/>
        </w:rPr>
      </w:pPr>
      <w:r>
        <w:rPr>
          <w:rFonts w:ascii="宋体" w:hAnsi="宋体" w:eastAsia="宋体" w:cs="宋体"/>
          <w:spacing w:val="-4"/>
          <w:sz w:val="24"/>
          <w:szCs w:val="24"/>
        </w:rPr>
        <w:t>恶臭防治方法也有两类，一类是机械抽风化学吸附法。由于有</w:t>
      </w:r>
      <w:r>
        <w:rPr>
          <w:rFonts w:ascii="宋体" w:hAnsi="宋体" w:eastAsia="宋体" w:cs="宋体"/>
          <w:spacing w:val="-5"/>
          <w:sz w:val="24"/>
          <w:szCs w:val="24"/>
        </w:rPr>
        <w:t>机肥车间空间大，</w:t>
      </w:r>
      <w:r>
        <w:rPr>
          <w:rFonts w:ascii="宋体" w:hAnsi="宋体" w:eastAsia="宋体" w:cs="宋体"/>
          <w:sz w:val="24"/>
          <w:szCs w:val="24"/>
        </w:rPr>
        <w:t xml:space="preserve"> </w:t>
      </w:r>
      <w:r>
        <w:rPr>
          <w:rFonts w:ascii="宋体" w:hAnsi="宋体" w:eastAsia="宋体" w:cs="宋体"/>
          <w:spacing w:val="2"/>
          <w:sz w:val="24"/>
          <w:szCs w:val="24"/>
        </w:rPr>
        <w:t>投资运行费用较高，且风机噪声容易对牲畜的生长造成一定影响，故对本项目而言</w:t>
      </w:r>
      <w:r>
        <w:rPr>
          <w:rFonts w:ascii="宋体" w:hAnsi="宋体" w:eastAsia="宋体" w:cs="宋体"/>
          <w:spacing w:val="4"/>
          <w:sz w:val="24"/>
          <w:szCs w:val="24"/>
        </w:rPr>
        <w:t xml:space="preserve"> </w:t>
      </w:r>
      <w:r>
        <w:rPr>
          <w:rFonts w:ascii="宋体" w:hAnsi="宋体" w:eastAsia="宋体" w:cs="宋体"/>
          <w:sz w:val="24"/>
          <w:szCs w:val="24"/>
        </w:rPr>
        <w:t>经济上是不能承受的。另一类是添加发酵除臭菌剂</w:t>
      </w:r>
      <w:r>
        <w:rPr>
          <w:rFonts w:ascii="宋体" w:hAnsi="宋体" w:eastAsia="宋体" w:cs="宋体"/>
          <w:spacing w:val="-1"/>
          <w:sz w:val="24"/>
          <w:szCs w:val="24"/>
        </w:rPr>
        <w:t>从源头上减少恶臭的散发量。</w:t>
      </w:r>
    </w:p>
    <w:p w14:paraId="78FD7F20">
      <w:pPr>
        <w:spacing w:before="2" w:line="352" w:lineRule="auto"/>
        <w:ind w:right="63" w:firstLine="480"/>
        <w:rPr>
          <w:rFonts w:ascii="宋体" w:hAnsi="宋体" w:eastAsia="宋体" w:cs="宋体"/>
          <w:sz w:val="24"/>
          <w:szCs w:val="24"/>
        </w:rPr>
      </w:pPr>
      <w:r>
        <w:rPr>
          <w:rFonts w:ascii="宋体" w:hAnsi="宋体" w:eastAsia="宋体" w:cs="宋体"/>
          <w:spacing w:val="2"/>
          <w:sz w:val="24"/>
          <w:szCs w:val="24"/>
        </w:rPr>
        <w:t>根据《上海农学院学报》，禽畜粪便产生恶臭的原因主要是氨的挥发，在恶臭</w:t>
      </w:r>
      <w:r>
        <w:rPr>
          <w:rFonts w:ascii="宋体" w:hAnsi="宋体" w:eastAsia="宋体" w:cs="宋体"/>
          <w:spacing w:val="10"/>
          <w:sz w:val="24"/>
          <w:szCs w:val="24"/>
        </w:rPr>
        <w:t xml:space="preserve"> </w:t>
      </w:r>
      <w:r>
        <w:rPr>
          <w:rFonts w:ascii="宋体" w:hAnsi="宋体" w:eastAsia="宋体" w:cs="宋体"/>
          <w:spacing w:val="-1"/>
          <w:sz w:val="24"/>
          <w:szCs w:val="24"/>
        </w:rPr>
        <w:t>扩散的同时，堆肥中的氨养分大量损失，从而降低了农用价值。</w:t>
      </w:r>
    </w:p>
    <w:p w14:paraId="671F7204">
      <w:pPr>
        <w:spacing w:before="1" w:line="353" w:lineRule="auto"/>
        <w:ind w:left="3" w:right="59" w:firstLine="479"/>
        <w:jc w:val="both"/>
        <w:rPr>
          <w:rFonts w:ascii="宋体" w:hAnsi="宋体" w:eastAsia="宋体" w:cs="宋体"/>
          <w:sz w:val="24"/>
          <w:szCs w:val="24"/>
        </w:rPr>
      </w:pPr>
      <w:r>
        <w:rPr>
          <w:rFonts w:ascii="宋体" w:hAnsi="宋体" w:eastAsia="宋体" w:cs="宋体"/>
          <w:spacing w:val="-2"/>
          <w:sz w:val="24"/>
          <w:szCs w:val="24"/>
        </w:rPr>
        <w:t>禽畜粪便中有许多易降解的氮类物质，它们被迅速降解为</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4</w:t>
      </w:r>
      <w:r>
        <w:rPr>
          <w:rFonts w:ascii="宋体" w:hAnsi="宋体" w:eastAsia="宋体" w:cs="宋体"/>
          <w:spacing w:val="-2"/>
          <w:position w:val="11"/>
          <w:sz w:val="12"/>
          <w:szCs w:val="12"/>
        </w:rPr>
        <w:t>＋</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，除部分</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4</w:t>
      </w:r>
      <w:r>
        <w:rPr>
          <w:rFonts w:ascii="Times New Roman" w:hAnsi="Times New Roman" w:eastAsia="Times New Roman" w:cs="Times New Roman"/>
          <w:position w:val="-1"/>
          <w:sz w:val="15"/>
          <w:szCs w:val="15"/>
        </w:rPr>
        <w:t xml:space="preserve"> </w:t>
      </w:r>
      <w:r>
        <w:rPr>
          <w:rFonts w:ascii="宋体" w:hAnsi="宋体" w:eastAsia="宋体" w:cs="宋体"/>
          <w:spacing w:val="1"/>
          <w:position w:val="11"/>
          <w:sz w:val="12"/>
          <w:szCs w:val="12"/>
        </w:rPr>
        <w:t>+</w:t>
      </w:r>
      <w:r>
        <w:rPr>
          <w:rFonts w:ascii="宋体" w:hAnsi="宋体" w:eastAsia="宋体" w:cs="宋体"/>
          <w:spacing w:val="-35"/>
          <w:position w:val="11"/>
          <w:sz w:val="12"/>
          <w:szCs w:val="12"/>
        </w:rPr>
        <w:t xml:space="preserve"> </w:t>
      </w:r>
      <w:r>
        <w:rPr>
          <w:rFonts w:ascii="Times New Roman" w:hAnsi="Times New Roman" w:eastAsia="Times New Roman" w:cs="Times New Roman"/>
          <w:spacing w:val="1"/>
          <w:sz w:val="24"/>
          <w:szCs w:val="24"/>
        </w:rPr>
        <w:t xml:space="preserve">-N </w:t>
      </w:r>
      <w:r>
        <w:rPr>
          <w:rFonts w:ascii="宋体" w:hAnsi="宋体" w:eastAsia="宋体" w:cs="宋体"/>
          <w:spacing w:val="1"/>
          <w:sz w:val="24"/>
          <w:szCs w:val="24"/>
        </w:rPr>
        <w:t>被微生物进一步转化为有机氮和硝态氮外，大部分</w:t>
      </w:r>
      <w:r>
        <w:rPr>
          <w:rFonts w:ascii="宋体" w:hAnsi="宋体" w:eastAsia="宋体" w:cs="宋体"/>
          <w:sz w:val="24"/>
          <w:szCs w:val="24"/>
        </w:rPr>
        <w:t>来不及转化的</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4</w:t>
      </w:r>
      <w:r>
        <w:rPr>
          <w:rFonts w:ascii="宋体" w:hAnsi="宋体" w:eastAsia="宋体" w:cs="宋体"/>
          <w:position w:val="11"/>
          <w:sz w:val="12"/>
          <w:szCs w:val="12"/>
        </w:rPr>
        <w:t>＋</w:t>
      </w:r>
      <w:r>
        <w:rPr>
          <w:rFonts w:ascii="Times New Roman" w:hAnsi="Times New Roman" w:eastAsia="Times New Roman" w:cs="Times New Roman"/>
          <w:sz w:val="24"/>
          <w:szCs w:val="24"/>
        </w:rPr>
        <w:t xml:space="preserve">-N </w:t>
      </w:r>
      <w:r>
        <w:rPr>
          <w:rFonts w:ascii="宋体" w:hAnsi="宋体" w:eastAsia="宋体" w:cs="宋体"/>
          <w:sz w:val="24"/>
          <w:szCs w:val="24"/>
        </w:rPr>
        <w:t>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pacing w:val="1"/>
          <w:sz w:val="24"/>
          <w:szCs w:val="24"/>
        </w:rPr>
        <w:t>大于</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的环境中（腐熟堆肥中</w:t>
      </w:r>
      <w:r>
        <w:rPr>
          <w:rFonts w:ascii="Times New Roman" w:hAnsi="Times New Roman" w:eastAsia="Times New Roman" w:cs="Times New Roman"/>
          <w:sz w:val="24"/>
          <w:szCs w:val="24"/>
        </w:rPr>
        <w:t>PH</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通常大于</w:t>
      </w:r>
      <w:r>
        <w:rPr>
          <w:rFonts w:ascii="Times New Roman" w:hAnsi="Times New Roman" w:eastAsia="Times New Roman" w:cs="Times New Roman"/>
          <w:spacing w:val="1"/>
          <w:sz w:val="24"/>
          <w:szCs w:val="24"/>
        </w:rPr>
        <w:t>7</w:t>
      </w:r>
      <w:r>
        <w:rPr>
          <w:rFonts w:ascii="宋体" w:hAnsi="宋体" w:eastAsia="宋体" w:cs="宋体"/>
          <w:spacing w:val="1"/>
          <w:sz w:val="24"/>
          <w:szCs w:val="24"/>
        </w:rPr>
        <w:t>）以气态的形式挥发，这不仅仅</w:t>
      </w:r>
      <w:r>
        <w:rPr>
          <w:rFonts w:ascii="宋体" w:hAnsi="宋体" w:eastAsia="宋体" w:cs="宋体"/>
          <w:sz w:val="24"/>
          <w:szCs w:val="24"/>
        </w:rPr>
        <w:t>是氮元 素的损失途径，也是禽畜肥的主要致臭原因，控制发酵过程中氮类物质以</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4</w:t>
      </w:r>
      <w:r>
        <w:rPr>
          <w:rFonts w:ascii="Times New Roman" w:hAnsi="Times New Roman" w:eastAsia="Times New Roman" w:cs="Times New Roman"/>
          <w:position w:val="8"/>
          <w:sz w:val="15"/>
          <w:szCs w:val="15"/>
        </w:rPr>
        <w:t>-</w:t>
      </w:r>
      <w:r>
        <w:rPr>
          <w:rFonts w:ascii="Times New Roman" w:hAnsi="Times New Roman" w:eastAsia="Times New Roman" w:cs="Times New Roman"/>
          <w:sz w:val="24"/>
          <w:szCs w:val="24"/>
        </w:rPr>
        <w:t>N</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的</w:t>
      </w:r>
    </w:p>
    <w:p w14:paraId="23169130">
      <w:pPr>
        <w:spacing w:line="353" w:lineRule="auto"/>
        <w:rPr>
          <w:rFonts w:ascii="宋体" w:hAnsi="宋体" w:eastAsia="宋体" w:cs="宋体"/>
          <w:sz w:val="24"/>
          <w:szCs w:val="24"/>
        </w:rPr>
        <w:sectPr>
          <w:footerReference r:id="rId155" w:type="default"/>
          <w:pgSz w:w="11906" w:h="16839"/>
          <w:pgMar w:top="400" w:right="1525" w:bottom="1485" w:left="1597" w:header="0" w:footer="1249" w:gutter="0"/>
          <w:cols w:space="720" w:num="1"/>
        </w:sectPr>
      </w:pPr>
    </w:p>
    <w:p w14:paraId="0C1DAA12">
      <w:pPr>
        <w:pStyle w:val="2"/>
        <w:spacing w:line="242" w:lineRule="auto"/>
      </w:pPr>
    </w:p>
    <w:p w14:paraId="2DBA719B">
      <w:pPr>
        <w:pStyle w:val="2"/>
        <w:spacing w:line="243" w:lineRule="auto"/>
      </w:pPr>
    </w:p>
    <w:p w14:paraId="78C31923">
      <w:pPr>
        <w:pStyle w:val="2"/>
        <w:spacing w:line="243" w:lineRule="auto"/>
      </w:pPr>
    </w:p>
    <w:p w14:paraId="79EF0CE8">
      <w:pPr>
        <w:pStyle w:val="2"/>
        <w:spacing w:line="243" w:lineRule="auto"/>
      </w:pPr>
    </w:p>
    <w:p w14:paraId="5AB9EE39">
      <w:pPr>
        <w:spacing w:before="78" w:line="359" w:lineRule="auto"/>
        <w:ind w:left="1" w:firstLine="2"/>
        <w:jc w:val="both"/>
        <w:rPr>
          <w:rFonts w:ascii="Times New Roman" w:hAnsi="Times New Roman" w:eastAsia="Times New Roman" w:cs="Times New Roman"/>
          <w:sz w:val="24"/>
          <w:szCs w:val="24"/>
        </w:rPr>
      </w:pPr>
      <w:r>
        <w:rPr>
          <w:rFonts w:ascii="宋体" w:hAnsi="宋体" w:eastAsia="宋体" w:cs="宋体"/>
          <w:spacing w:val="2"/>
          <w:sz w:val="24"/>
          <w:szCs w:val="24"/>
        </w:rPr>
        <w:t>形式是臭味控制和提高氮养分保留率的关键所在，试验表明，添加多维复合发酵除</w:t>
      </w:r>
      <w:r>
        <w:rPr>
          <w:rFonts w:ascii="宋体" w:hAnsi="宋体" w:eastAsia="宋体" w:cs="宋体"/>
          <w:spacing w:val="3"/>
          <w:sz w:val="24"/>
          <w:szCs w:val="24"/>
        </w:rPr>
        <w:t xml:space="preserve"> </w:t>
      </w:r>
      <w:r>
        <w:rPr>
          <w:rFonts w:ascii="宋体" w:hAnsi="宋体" w:eastAsia="宋体" w:cs="宋体"/>
          <w:spacing w:val="2"/>
          <w:sz w:val="24"/>
          <w:szCs w:val="24"/>
        </w:rPr>
        <w:t>臭剂后可以显著减少</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4</w:t>
      </w:r>
      <w:r>
        <w:rPr>
          <w:rFonts w:ascii="Times New Roman" w:hAnsi="Times New Roman" w:eastAsia="Times New Roman" w:cs="Times New Roman"/>
          <w:spacing w:val="2"/>
          <w:position w:val="7"/>
          <w:sz w:val="15"/>
          <w:szCs w:val="15"/>
        </w:rPr>
        <w:t>-</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积累，多维复合发酵除臭剂处理的</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4</w:t>
      </w:r>
      <w:r>
        <w:rPr>
          <w:rFonts w:ascii="Times New Roman" w:hAnsi="Times New Roman" w:eastAsia="Times New Roman" w:cs="Times New Roman"/>
          <w:spacing w:val="-22"/>
          <w:position w:val="-1"/>
          <w:sz w:val="15"/>
          <w:szCs w:val="15"/>
        </w:rPr>
        <w:t xml:space="preserve"> </w:t>
      </w:r>
      <w:r>
        <w:rPr>
          <w:rFonts w:ascii="宋体" w:hAnsi="宋体" w:eastAsia="宋体" w:cs="宋体"/>
          <w:spacing w:val="1"/>
          <w:position w:val="11"/>
          <w:sz w:val="12"/>
          <w:szCs w:val="12"/>
        </w:rPr>
        <w:t>＋</w:t>
      </w:r>
      <w:r>
        <w:rPr>
          <w:rFonts w:ascii="Times New Roman" w:hAnsi="Times New Roman" w:eastAsia="Times New Roman" w:cs="Times New Roman"/>
          <w:spacing w:val="1"/>
          <w:sz w:val="24"/>
          <w:szCs w:val="24"/>
        </w:rPr>
        <w:t xml:space="preserve">-N </w:t>
      </w:r>
      <w:r>
        <w:rPr>
          <w:rFonts w:ascii="宋体" w:hAnsi="宋体" w:eastAsia="宋体" w:cs="宋体"/>
          <w:spacing w:val="1"/>
          <w:sz w:val="24"/>
          <w:szCs w:val="24"/>
        </w:rPr>
        <w:t>含量较自然</w:t>
      </w:r>
      <w:r>
        <w:rPr>
          <w:rFonts w:ascii="宋体" w:hAnsi="宋体" w:eastAsia="宋体" w:cs="宋体"/>
          <w:sz w:val="24"/>
          <w:szCs w:val="24"/>
        </w:rPr>
        <w:t xml:space="preserve"> </w:t>
      </w:r>
      <w:r>
        <w:rPr>
          <w:rFonts w:ascii="宋体" w:hAnsi="宋体" w:eastAsia="宋体" w:cs="宋体"/>
          <w:spacing w:val="-1"/>
          <w:sz w:val="24"/>
          <w:szCs w:val="24"/>
        </w:rPr>
        <w:t>发酵减少</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72.3</w:t>
      </w:r>
      <w:r>
        <w:rPr>
          <w:rFonts w:ascii="宋体" w:hAnsi="宋体" w:eastAsia="宋体" w:cs="宋体"/>
          <w:spacing w:val="-1"/>
          <w:sz w:val="24"/>
          <w:szCs w:val="24"/>
        </w:rPr>
        <w:t>～</w:t>
      </w:r>
      <w:r>
        <w:rPr>
          <w:rFonts w:ascii="Times New Roman" w:hAnsi="Times New Roman" w:eastAsia="Times New Roman" w:cs="Times New Roman"/>
          <w:spacing w:val="-1"/>
          <w:sz w:val="24"/>
          <w:szCs w:val="24"/>
        </w:rPr>
        <w:t>96.2</w:t>
      </w:r>
      <w:r>
        <w:rPr>
          <w:rFonts w:ascii="宋体" w:hAnsi="宋体" w:eastAsia="宋体" w:cs="宋体"/>
          <w:spacing w:val="-4"/>
          <w:sz w:val="24"/>
          <w:szCs w:val="24"/>
        </w:rPr>
        <w:t>％，</w:t>
      </w:r>
      <w:r>
        <w:rPr>
          <w:rFonts w:ascii="宋体" w:hAnsi="宋体" w:eastAsia="宋体" w:cs="宋体"/>
          <w:spacing w:val="-1"/>
          <w:sz w:val="24"/>
          <w:szCs w:val="24"/>
        </w:rPr>
        <w:t>全氮含量增加</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25.98</w:t>
      </w:r>
      <w:r>
        <w:rPr>
          <w:rFonts w:ascii="宋体" w:hAnsi="宋体" w:eastAsia="宋体" w:cs="宋体"/>
          <w:spacing w:val="-4"/>
          <w:sz w:val="24"/>
          <w:szCs w:val="24"/>
        </w:rPr>
        <w:t>％～</w:t>
      </w:r>
      <w:r>
        <w:rPr>
          <w:rFonts w:ascii="Times New Roman" w:hAnsi="Times New Roman" w:eastAsia="Times New Roman" w:cs="Times New Roman"/>
          <w:spacing w:val="-1"/>
          <w:sz w:val="24"/>
          <w:szCs w:val="24"/>
        </w:rPr>
        <w:t>23.20</w:t>
      </w:r>
      <w:r>
        <w:rPr>
          <w:rFonts w:ascii="宋体" w:hAnsi="宋体" w:eastAsia="宋体" w:cs="宋体"/>
          <w:spacing w:val="-1"/>
          <w:sz w:val="24"/>
          <w:szCs w:val="24"/>
        </w:rPr>
        <w:t>％。试验表明，经过多维复合</w:t>
      </w:r>
      <w:r>
        <w:rPr>
          <w:rFonts w:ascii="宋体" w:hAnsi="宋体" w:eastAsia="宋体" w:cs="宋体"/>
          <w:sz w:val="24"/>
          <w:szCs w:val="24"/>
        </w:rPr>
        <w:t xml:space="preserve"> </w:t>
      </w:r>
      <w:r>
        <w:rPr>
          <w:rFonts w:ascii="宋体" w:hAnsi="宋体" w:eastAsia="宋体" w:cs="宋体"/>
          <w:spacing w:val="2"/>
          <w:sz w:val="24"/>
          <w:szCs w:val="24"/>
        </w:rPr>
        <w:t>发酵除臭剂处理的氨臭味很淡，由于该除臭剂中含有大量的除臭菌、放线菌、酵母</w:t>
      </w:r>
      <w:r>
        <w:rPr>
          <w:rFonts w:ascii="宋体" w:hAnsi="宋体" w:eastAsia="宋体" w:cs="宋体"/>
          <w:spacing w:val="6"/>
          <w:sz w:val="24"/>
          <w:szCs w:val="24"/>
        </w:rPr>
        <w:t xml:space="preserve"> </w:t>
      </w:r>
      <w:r>
        <w:rPr>
          <w:rFonts w:ascii="宋体" w:hAnsi="宋体" w:eastAsia="宋体" w:cs="宋体"/>
          <w:spacing w:val="-3"/>
          <w:sz w:val="24"/>
          <w:szCs w:val="24"/>
        </w:rPr>
        <w:t>菌、曲霉菌等好气有益土壤微生物菌群，它们一方面保持着碳、氮物质的同步代谢，</w:t>
      </w:r>
      <w:r>
        <w:rPr>
          <w:rFonts w:ascii="宋体" w:hAnsi="宋体" w:eastAsia="宋体" w:cs="宋体"/>
          <w:spacing w:val="12"/>
          <w:sz w:val="24"/>
          <w:szCs w:val="24"/>
        </w:rPr>
        <w:t xml:space="preserve"> </w:t>
      </w:r>
      <w:r>
        <w:rPr>
          <w:rFonts w:ascii="宋体" w:hAnsi="宋体" w:eastAsia="宋体" w:cs="宋体"/>
          <w:spacing w:val="-3"/>
          <w:sz w:val="24"/>
          <w:szCs w:val="24"/>
        </w:rPr>
        <w:t>另一方面又使氮类物质在分解代谢时形成的较多的</w:t>
      </w:r>
      <w:r>
        <w:rPr>
          <w:rFonts w:ascii="宋体" w:hAnsi="宋体" w:eastAsia="宋体" w:cs="宋体"/>
          <w:spacing w:val="-4"/>
          <w:sz w:val="24"/>
          <w:szCs w:val="24"/>
        </w:rPr>
        <w:t>芳香小分子有机物。粪便发酵</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10d</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左右，散发浓郁的酒香，这种香味随着堆制时间的延长而浓烈，掩盖了仅存的少量</w:t>
      </w:r>
      <w:r>
        <w:rPr>
          <w:rFonts w:ascii="宋体" w:hAnsi="宋体" w:eastAsia="宋体" w:cs="宋体"/>
          <w:spacing w:val="6"/>
          <w:sz w:val="24"/>
          <w:szCs w:val="24"/>
        </w:rPr>
        <w:t xml:space="preserve"> </w:t>
      </w:r>
      <w:r>
        <w:rPr>
          <w:rFonts w:ascii="宋体" w:hAnsi="宋体" w:eastAsia="宋体" w:cs="宋体"/>
          <w:spacing w:val="2"/>
          <w:sz w:val="24"/>
          <w:szCs w:val="24"/>
        </w:rPr>
        <w:t>异味，多维复合发酵除臭剂能够有效的控制堆肥的臭味，除臭原因与其降低鸡粪堆</w:t>
      </w:r>
      <w:r>
        <w:rPr>
          <w:rFonts w:ascii="宋体" w:hAnsi="宋体" w:eastAsia="宋体" w:cs="宋体"/>
          <w:spacing w:val="6"/>
          <w:sz w:val="24"/>
          <w:szCs w:val="24"/>
        </w:rPr>
        <w:t xml:space="preserve"> </w:t>
      </w:r>
      <w:r>
        <w:rPr>
          <w:rFonts w:ascii="宋体" w:hAnsi="宋体" w:eastAsia="宋体" w:cs="宋体"/>
          <w:spacing w:val="1"/>
          <w:sz w:val="24"/>
          <w:szCs w:val="24"/>
        </w:rPr>
        <w:t>肥中的</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4</w:t>
      </w:r>
      <w:r>
        <w:rPr>
          <w:rFonts w:ascii="Times New Roman" w:hAnsi="Times New Roman" w:eastAsia="Times New Roman" w:cs="Times New Roman"/>
          <w:spacing w:val="1"/>
          <w:position w:val="7"/>
          <w:sz w:val="15"/>
          <w:szCs w:val="15"/>
        </w:rPr>
        <w:t>-</w:t>
      </w:r>
      <w:r>
        <w:rPr>
          <w:rFonts w:ascii="Times New Roman" w:hAnsi="Times New Roman" w:eastAsia="Times New Roman" w:cs="Times New Roman"/>
          <w:spacing w:val="1"/>
          <w:sz w:val="24"/>
          <w:szCs w:val="24"/>
        </w:rPr>
        <w:t xml:space="preserve">N </w:t>
      </w:r>
      <w:r>
        <w:rPr>
          <w:rFonts w:ascii="宋体" w:hAnsi="宋体" w:eastAsia="宋体" w:cs="宋体"/>
          <w:spacing w:val="1"/>
          <w:sz w:val="24"/>
          <w:szCs w:val="24"/>
        </w:rPr>
        <w:t>含量，促进氮类物质香蛋白氮和硝基氮、碳类物质降解转化为芳香小</w:t>
      </w:r>
      <w:r>
        <w:rPr>
          <w:rFonts w:ascii="宋体" w:hAnsi="宋体" w:eastAsia="宋体" w:cs="宋体"/>
          <w:sz w:val="24"/>
          <w:szCs w:val="24"/>
        </w:rPr>
        <w:t xml:space="preserve"> </w:t>
      </w:r>
      <w:r>
        <w:rPr>
          <w:rFonts w:ascii="宋体" w:hAnsi="宋体" w:eastAsia="宋体" w:cs="宋体"/>
          <w:spacing w:val="2"/>
          <w:sz w:val="24"/>
          <w:szCs w:val="24"/>
        </w:rPr>
        <w:t>分子有机物有关。本项目除添加多维复合发酵除臭剂外，有机肥车间周围还设有绿</w:t>
      </w:r>
      <w:r>
        <w:rPr>
          <w:rFonts w:ascii="宋体" w:hAnsi="宋体" w:eastAsia="宋体" w:cs="宋体"/>
          <w:spacing w:val="6"/>
          <w:sz w:val="24"/>
          <w:szCs w:val="24"/>
        </w:rPr>
        <w:t xml:space="preserve"> </w:t>
      </w:r>
      <w:r>
        <w:rPr>
          <w:rFonts w:ascii="宋体" w:hAnsi="宋体" w:eastAsia="宋体" w:cs="宋体"/>
          <w:spacing w:val="-1"/>
          <w:sz w:val="24"/>
          <w:szCs w:val="24"/>
        </w:rPr>
        <w:t>化带，定时在有机肥车间周边喷洒除臭剂，采取以上措施后，处理效率能达到</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70%</w:t>
      </w:r>
    </w:p>
    <w:p w14:paraId="50DC7D80">
      <w:pPr>
        <w:spacing w:before="2" w:line="359" w:lineRule="auto"/>
        <w:ind w:left="1" w:right="63" w:firstLine="483"/>
        <w:rPr>
          <w:rFonts w:ascii="宋体" w:hAnsi="宋体" w:eastAsia="宋体" w:cs="宋体"/>
          <w:sz w:val="24"/>
          <w:szCs w:val="24"/>
        </w:rPr>
      </w:pPr>
      <w:r>
        <w:rPr>
          <w:rFonts w:ascii="宋体" w:hAnsi="宋体" w:eastAsia="宋体" w:cs="宋体"/>
          <w:spacing w:val="2"/>
          <w:sz w:val="24"/>
          <w:szCs w:val="24"/>
        </w:rPr>
        <w:t>故从经济角度出发，建设单位拟在粪污中加入发酵除臭菌剂来减少恶臭的散发</w:t>
      </w:r>
      <w:r>
        <w:rPr>
          <w:rFonts w:ascii="宋体" w:hAnsi="宋体" w:eastAsia="宋体" w:cs="宋体"/>
          <w:spacing w:val="6"/>
          <w:sz w:val="24"/>
          <w:szCs w:val="24"/>
        </w:rPr>
        <w:t xml:space="preserve"> </w:t>
      </w:r>
      <w:r>
        <w:rPr>
          <w:rFonts w:ascii="宋体" w:hAnsi="宋体" w:eastAsia="宋体" w:cs="宋体"/>
          <w:spacing w:val="-1"/>
          <w:sz w:val="24"/>
          <w:szCs w:val="24"/>
        </w:rPr>
        <w:t>量、定时在有机肥发酵车间周边喷洒除臭剂以及加强周边绿化。</w:t>
      </w:r>
    </w:p>
    <w:p w14:paraId="4B93B0FA">
      <w:pPr>
        <w:spacing w:before="50" w:line="372" w:lineRule="auto"/>
        <w:ind w:left="2" w:right="63" w:firstLine="480"/>
        <w:rPr>
          <w:rFonts w:ascii="宋体" w:hAnsi="宋体" w:eastAsia="宋体" w:cs="宋体"/>
          <w:sz w:val="24"/>
          <w:szCs w:val="24"/>
        </w:rPr>
      </w:pPr>
      <w:r>
        <w:rPr>
          <w:rFonts w:ascii="宋体" w:hAnsi="宋体" w:eastAsia="宋体" w:cs="宋体"/>
          <w:spacing w:val="-1"/>
          <w:sz w:val="24"/>
          <w:szCs w:val="24"/>
        </w:rPr>
        <w:t>本项目在臭气的治理上投资约为</w:t>
      </w:r>
      <w:r>
        <w:rPr>
          <w:rFonts w:ascii="Times New Roman" w:hAnsi="Times New Roman" w:eastAsia="Times New Roman" w:cs="Times New Roman"/>
          <w:spacing w:val="-1"/>
          <w:sz w:val="24"/>
          <w:szCs w:val="24"/>
        </w:rPr>
        <w:t>40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万元，占项目总投资的</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，用于室内外通</w:t>
      </w:r>
      <w:r>
        <w:rPr>
          <w:rFonts w:ascii="宋体" w:hAnsi="宋体" w:eastAsia="宋体" w:cs="宋体"/>
          <w:sz w:val="24"/>
          <w:szCs w:val="24"/>
        </w:rPr>
        <w:t xml:space="preserve"> </w:t>
      </w:r>
      <w:r>
        <w:rPr>
          <w:rFonts w:ascii="宋体" w:hAnsi="宋体" w:eastAsia="宋体" w:cs="宋体"/>
          <w:spacing w:val="-1"/>
          <w:sz w:val="24"/>
          <w:szCs w:val="24"/>
        </w:rPr>
        <w:t>风的投资约</w:t>
      </w:r>
      <w:r>
        <w:rPr>
          <w:rFonts w:ascii="宋体" w:hAnsi="宋体" w:eastAsia="宋体" w:cs="宋体"/>
          <w:spacing w:val="-15"/>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万，占项目总投资的</w:t>
      </w:r>
      <w:r>
        <w:rPr>
          <w:rFonts w:ascii="Times New Roman" w:hAnsi="Times New Roman" w:eastAsia="Times New Roman" w:cs="Times New Roman"/>
          <w:spacing w:val="-1"/>
          <w:sz w:val="24"/>
          <w:szCs w:val="24"/>
        </w:rPr>
        <w:t>0.7%</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，上述投入对本项目而言，是可承受的。</w:t>
      </w:r>
    </w:p>
    <w:p w14:paraId="1FB4D9CB">
      <w:pPr>
        <w:pStyle w:val="2"/>
        <w:spacing w:line="265" w:lineRule="auto"/>
      </w:pPr>
    </w:p>
    <w:p w14:paraId="4AF4BF9C">
      <w:pPr>
        <w:spacing w:before="78" w:line="221" w:lineRule="auto"/>
        <w:ind w:left="1"/>
        <w:outlineLvl w:val="1"/>
        <w:rPr>
          <w:rFonts w:ascii="宋体" w:hAnsi="宋体" w:eastAsia="宋体" w:cs="宋体"/>
          <w:sz w:val="24"/>
          <w:szCs w:val="24"/>
        </w:rPr>
      </w:pPr>
      <w:r>
        <w:rPr>
          <w:rFonts w:ascii="Times New Roman" w:hAnsi="Times New Roman" w:eastAsia="Times New Roman" w:cs="Times New Roman"/>
          <w:b/>
          <w:bCs/>
          <w:spacing w:val="-2"/>
          <w:sz w:val="24"/>
          <w:szCs w:val="24"/>
        </w:rPr>
        <w:t>6.2.2</w:t>
      </w:r>
      <w:r>
        <w:rPr>
          <w:rFonts w:ascii="宋体" w:hAnsi="宋体" w:eastAsia="宋体" w:cs="宋体"/>
          <w:b/>
          <w:bCs/>
          <w:spacing w:val="-2"/>
          <w:sz w:val="24"/>
          <w:szCs w:val="24"/>
        </w:rPr>
        <w:t>废气治理经济可行性分析</w:t>
      </w:r>
    </w:p>
    <w:p w14:paraId="60F12D78">
      <w:pPr>
        <w:pStyle w:val="2"/>
        <w:spacing w:line="278" w:lineRule="auto"/>
      </w:pPr>
    </w:p>
    <w:p w14:paraId="1B52FF37">
      <w:pPr>
        <w:spacing w:before="78" w:line="373" w:lineRule="auto"/>
        <w:ind w:left="2" w:right="63" w:firstLine="482"/>
        <w:jc w:val="both"/>
        <w:rPr>
          <w:rFonts w:ascii="宋体" w:hAnsi="宋体" w:eastAsia="宋体" w:cs="宋体"/>
          <w:sz w:val="24"/>
          <w:szCs w:val="24"/>
        </w:rPr>
      </w:pPr>
      <w:r>
        <w:rPr>
          <w:rFonts w:ascii="宋体" w:hAnsi="宋体" w:eastAsia="宋体" w:cs="宋体"/>
          <w:spacing w:val="2"/>
          <w:sz w:val="24"/>
          <w:szCs w:val="24"/>
        </w:rPr>
        <w:t>为切实保护大气环境，建设单位需要投资建设的大气污染防治措施主要有：需</w:t>
      </w:r>
      <w:r>
        <w:rPr>
          <w:rFonts w:ascii="宋体" w:hAnsi="宋体" w:eastAsia="宋体" w:cs="宋体"/>
          <w:spacing w:val="7"/>
          <w:sz w:val="24"/>
          <w:szCs w:val="24"/>
        </w:rPr>
        <w:t xml:space="preserve"> </w:t>
      </w:r>
      <w:r>
        <w:rPr>
          <w:rFonts w:ascii="宋体" w:hAnsi="宋体" w:eastAsia="宋体" w:cs="宋体"/>
          <w:spacing w:val="-2"/>
          <w:sz w:val="24"/>
          <w:szCs w:val="24"/>
        </w:rPr>
        <w:t>要购买微生物发酵除臭剂、通风设施等。废气治理费用约</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万元，占项目总投资的</w:t>
      </w:r>
      <w:r>
        <w:rPr>
          <w:rFonts w:ascii="宋体" w:hAnsi="宋体" w:eastAsia="宋体" w:cs="宋体"/>
          <w:sz w:val="24"/>
          <w:szCs w:val="24"/>
        </w:rPr>
        <w:t xml:space="preserve"> </w:t>
      </w:r>
      <w:r>
        <w:rPr>
          <w:rFonts w:ascii="Times New Roman" w:hAnsi="Times New Roman" w:eastAsia="Times New Roman" w:cs="Times New Roman"/>
          <w:spacing w:val="-3"/>
          <w:sz w:val="24"/>
          <w:szCs w:val="24"/>
        </w:rPr>
        <w:t>3.8%</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，可以被建设单位接受。</w:t>
      </w:r>
    </w:p>
    <w:p w14:paraId="2BE97B81">
      <w:pPr>
        <w:spacing w:before="317" w:line="226" w:lineRule="auto"/>
        <w:ind w:left="4"/>
        <w:outlineLvl w:val="1"/>
        <w:rPr>
          <w:rFonts w:ascii="宋体" w:hAnsi="宋体" w:eastAsia="宋体" w:cs="宋体"/>
          <w:sz w:val="31"/>
          <w:szCs w:val="31"/>
        </w:rPr>
      </w:pPr>
      <w:bookmarkStart w:id="41" w:name="bookmark36"/>
      <w:bookmarkEnd w:id="41"/>
      <w:r>
        <w:rPr>
          <w:rFonts w:ascii="Times New Roman" w:hAnsi="Times New Roman" w:eastAsia="Times New Roman" w:cs="Times New Roman"/>
          <w:b/>
          <w:bCs/>
          <w:spacing w:val="6"/>
          <w:sz w:val="31"/>
          <w:szCs w:val="31"/>
        </w:rPr>
        <w:t>6.3</w:t>
      </w:r>
      <w:r>
        <w:rPr>
          <w:rFonts w:ascii="宋体" w:hAnsi="宋体" w:eastAsia="宋体" w:cs="宋体"/>
          <w:b/>
          <w:bCs/>
          <w:spacing w:val="6"/>
          <w:sz w:val="31"/>
          <w:szCs w:val="31"/>
        </w:rPr>
        <w:t>噪声污染防治措施可行性分析</w:t>
      </w:r>
    </w:p>
    <w:p w14:paraId="02382AF9">
      <w:pPr>
        <w:pStyle w:val="2"/>
        <w:spacing w:line="318" w:lineRule="auto"/>
      </w:pPr>
    </w:p>
    <w:p w14:paraId="5CF671A4">
      <w:pPr>
        <w:spacing w:before="79" w:line="219" w:lineRule="auto"/>
        <w:ind w:left="480"/>
        <w:rPr>
          <w:rFonts w:ascii="宋体" w:hAnsi="宋体" w:eastAsia="宋体" w:cs="宋体"/>
          <w:sz w:val="24"/>
          <w:szCs w:val="24"/>
        </w:rPr>
      </w:pPr>
      <w:r>
        <w:rPr>
          <w:rFonts w:ascii="宋体" w:hAnsi="宋体" w:eastAsia="宋体" w:cs="宋体"/>
          <w:spacing w:val="-1"/>
          <w:sz w:val="24"/>
          <w:szCs w:val="24"/>
        </w:rPr>
        <w:t>在噪声防治方面，建设项目主要采取以下防治措施：</w:t>
      </w:r>
    </w:p>
    <w:p w14:paraId="15EEBCE1">
      <w:pPr>
        <w:spacing w:before="145" w:line="360" w:lineRule="exact"/>
        <w:ind w:left="493"/>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）在设备选型上，选择低噪音设备，从源头上进行噪声防治。</w:t>
      </w:r>
    </w:p>
    <w:p w14:paraId="12399918">
      <w:pPr>
        <w:spacing w:before="107" w:line="304" w:lineRule="auto"/>
        <w:ind w:right="60" w:firstLine="49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）对风机、泵类等机械设备置于室内，</w:t>
      </w:r>
      <w:r>
        <w:rPr>
          <w:rFonts w:ascii="宋体" w:hAnsi="宋体" w:eastAsia="宋体" w:cs="宋体"/>
          <w:spacing w:val="-2"/>
          <w:sz w:val="24"/>
          <w:szCs w:val="24"/>
        </w:rPr>
        <w:t>并设置减振基础；将其他强噪声设备</w:t>
      </w:r>
      <w:r>
        <w:rPr>
          <w:rFonts w:ascii="宋体" w:hAnsi="宋体" w:eastAsia="宋体" w:cs="宋体"/>
          <w:sz w:val="24"/>
          <w:szCs w:val="24"/>
        </w:rPr>
        <w:t xml:space="preserve"> </w:t>
      </w:r>
      <w:r>
        <w:rPr>
          <w:rFonts w:ascii="宋体" w:hAnsi="宋体" w:eastAsia="宋体" w:cs="宋体"/>
          <w:spacing w:val="-1"/>
          <w:sz w:val="24"/>
          <w:szCs w:val="24"/>
        </w:rPr>
        <w:t>置于室内，并安装隔声罩。</w:t>
      </w:r>
    </w:p>
    <w:p w14:paraId="44BE7E42">
      <w:pPr>
        <w:spacing w:before="144" w:line="359" w:lineRule="exact"/>
        <w:ind w:left="493"/>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）操作间设置隔声门窗并附吸声材料来减少噪声对工作人员的伤害。</w:t>
      </w:r>
    </w:p>
    <w:p w14:paraId="4083BF72">
      <w:pPr>
        <w:spacing w:before="107" w:line="303" w:lineRule="auto"/>
        <w:ind w:left="2" w:right="63"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）为进一步降低噪声避免厂界噪声超标，应对厂房内墙壁进行处理，减少声</w:t>
      </w:r>
      <w:r>
        <w:rPr>
          <w:rFonts w:ascii="宋体" w:hAnsi="宋体" w:eastAsia="宋体" w:cs="宋体"/>
          <w:spacing w:val="16"/>
          <w:sz w:val="24"/>
          <w:szCs w:val="24"/>
        </w:rPr>
        <w:t xml:space="preserve"> </w:t>
      </w:r>
      <w:r>
        <w:rPr>
          <w:rFonts w:ascii="宋体" w:hAnsi="宋体" w:eastAsia="宋体" w:cs="宋体"/>
          <w:spacing w:val="-1"/>
          <w:sz w:val="24"/>
          <w:szCs w:val="24"/>
        </w:rPr>
        <w:t>反射，并对墙壁进行隔音处理，将风机等高噪声设备建在隔音间内。</w:t>
      </w:r>
    </w:p>
    <w:p w14:paraId="286BB514">
      <w:pPr>
        <w:spacing w:line="303" w:lineRule="auto"/>
        <w:rPr>
          <w:rFonts w:ascii="宋体" w:hAnsi="宋体" w:eastAsia="宋体" w:cs="宋体"/>
          <w:sz w:val="24"/>
          <w:szCs w:val="24"/>
        </w:rPr>
        <w:sectPr>
          <w:footerReference r:id="rId156" w:type="default"/>
          <w:pgSz w:w="11906" w:h="16839"/>
          <w:pgMar w:top="400" w:right="1525" w:bottom="1485" w:left="1596" w:header="0" w:footer="1249" w:gutter="0"/>
          <w:cols w:space="720" w:num="1"/>
        </w:sectPr>
      </w:pPr>
    </w:p>
    <w:p w14:paraId="1AD2C321">
      <w:pPr>
        <w:pStyle w:val="2"/>
        <w:spacing w:line="242" w:lineRule="auto"/>
      </w:pPr>
    </w:p>
    <w:p w14:paraId="2CD6FD50">
      <w:pPr>
        <w:pStyle w:val="2"/>
        <w:spacing w:line="242" w:lineRule="auto"/>
      </w:pPr>
    </w:p>
    <w:p w14:paraId="5AFD599A">
      <w:pPr>
        <w:pStyle w:val="2"/>
        <w:spacing w:line="242" w:lineRule="auto"/>
      </w:pPr>
    </w:p>
    <w:p w14:paraId="1A4A82E2">
      <w:pPr>
        <w:pStyle w:val="2"/>
        <w:spacing w:line="243" w:lineRule="auto"/>
      </w:pPr>
    </w:p>
    <w:p w14:paraId="06C9AA76">
      <w:pPr>
        <w:spacing w:before="78" w:line="289" w:lineRule="auto"/>
        <w:ind w:left="3" w:right="63"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）对引风机等产噪设备，对其置于室内</w:t>
      </w:r>
      <w:r>
        <w:rPr>
          <w:rFonts w:ascii="宋体" w:hAnsi="宋体" w:eastAsia="宋体" w:cs="宋体"/>
          <w:spacing w:val="-2"/>
          <w:sz w:val="24"/>
          <w:szCs w:val="24"/>
        </w:rPr>
        <w:t>，必要时可对墙壁进行吸声处理，并</w:t>
      </w:r>
      <w:r>
        <w:rPr>
          <w:rFonts w:ascii="宋体" w:hAnsi="宋体" w:eastAsia="宋体" w:cs="宋体"/>
          <w:sz w:val="24"/>
          <w:szCs w:val="24"/>
        </w:rPr>
        <w:t xml:space="preserve"> </w:t>
      </w:r>
      <w:r>
        <w:rPr>
          <w:rFonts w:ascii="宋体" w:hAnsi="宋体" w:eastAsia="宋体" w:cs="宋体"/>
          <w:spacing w:val="-1"/>
          <w:sz w:val="24"/>
          <w:szCs w:val="24"/>
        </w:rPr>
        <w:t>建设便于观察和控制生产过程的隔声间。</w:t>
      </w:r>
    </w:p>
    <w:p w14:paraId="3318CC22">
      <w:pPr>
        <w:spacing w:before="147" w:line="303" w:lineRule="auto"/>
        <w:ind w:right="65"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）加强设备维护，确保设备处于良好的运转状态，杜绝因设备不正常运转时</w:t>
      </w:r>
      <w:r>
        <w:rPr>
          <w:rFonts w:ascii="宋体" w:hAnsi="宋体" w:eastAsia="宋体" w:cs="宋体"/>
          <w:spacing w:val="16"/>
          <w:sz w:val="24"/>
          <w:szCs w:val="24"/>
        </w:rPr>
        <w:t xml:space="preserve"> </w:t>
      </w:r>
      <w:r>
        <w:rPr>
          <w:rFonts w:ascii="宋体" w:hAnsi="宋体" w:eastAsia="宋体" w:cs="宋体"/>
          <w:spacing w:val="-1"/>
          <w:sz w:val="24"/>
          <w:szCs w:val="24"/>
        </w:rPr>
        <w:t>产生的高噪声现象，如水泵的维护，风机的接管等。</w:t>
      </w:r>
    </w:p>
    <w:p w14:paraId="50B66AD8">
      <w:pPr>
        <w:spacing w:before="181" w:line="345" w:lineRule="auto"/>
        <w:ind w:left="4" w:right="65" w:firstLine="478"/>
        <w:rPr>
          <w:rFonts w:ascii="宋体" w:hAnsi="宋体" w:eastAsia="宋体" w:cs="宋体"/>
          <w:sz w:val="24"/>
          <w:szCs w:val="24"/>
        </w:rPr>
      </w:pPr>
      <w:r>
        <w:rPr>
          <w:rFonts w:ascii="宋体" w:hAnsi="宋体" w:eastAsia="宋体" w:cs="宋体"/>
          <w:spacing w:val="2"/>
          <w:sz w:val="24"/>
          <w:szCs w:val="24"/>
        </w:rPr>
        <w:t>经采取上述措施后，本工程环境噪声强度将大为降低，项目边界昼夜噪声值满</w:t>
      </w:r>
      <w:r>
        <w:rPr>
          <w:rFonts w:ascii="宋体" w:hAnsi="宋体" w:eastAsia="宋体" w:cs="宋体"/>
          <w:spacing w:val="8"/>
          <w:sz w:val="24"/>
          <w:szCs w:val="24"/>
        </w:rPr>
        <w:t xml:space="preserve"> </w:t>
      </w:r>
      <w:r>
        <w:rPr>
          <w:rFonts w:ascii="宋体" w:hAnsi="宋体" w:eastAsia="宋体" w:cs="宋体"/>
          <w:sz w:val="24"/>
          <w:szCs w:val="24"/>
        </w:rPr>
        <w:t>足《工业企业厂界环境噪声排放标准》（</w:t>
      </w:r>
      <w:r>
        <w:rPr>
          <w:rFonts w:ascii="Times New Roman" w:hAnsi="Times New Roman" w:eastAsia="Times New Roman" w:cs="Times New Roman"/>
          <w:sz w:val="24"/>
          <w:szCs w:val="24"/>
        </w:rPr>
        <w:t>GB1234</w:t>
      </w:r>
      <w:r>
        <w:rPr>
          <w:rFonts w:ascii="Times New Roman" w:hAnsi="Times New Roman" w:eastAsia="Times New Roman" w:cs="Times New Roman"/>
          <w:spacing w:val="-1"/>
          <w:sz w:val="24"/>
          <w:szCs w:val="24"/>
        </w:rPr>
        <w:t>8-2008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类标准要求。</w:t>
      </w:r>
    </w:p>
    <w:p w14:paraId="0E950C48">
      <w:pPr>
        <w:spacing w:before="2" w:line="351" w:lineRule="auto"/>
        <w:ind w:right="63" w:firstLine="480"/>
        <w:rPr>
          <w:rFonts w:ascii="宋体" w:hAnsi="宋体" w:eastAsia="宋体" w:cs="宋体"/>
          <w:sz w:val="24"/>
          <w:szCs w:val="24"/>
        </w:rPr>
      </w:pPr>
      <w:r>
        <w:rPr>
          <w:rFonts w:ascii="宋体" w:hAnsi="宋体" w:eastAsia="宋体" w:cs="宋体"/>
          <w:spacing w:val="-3"/>
          <w:sz w:val="24"/>
          <w:szCs w:val="24"/>
        </w:rPr>
        <w:t>本项目噪声防治措施投资</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万元，占总投资的</w:t>
      </w:r>
      <w:r>
        <w:rPr>
          <w:rFonts w:ascii="Times New Roman" w:hAnsi="Times New Roman" w:eastAsia="Times New Roman" w:cs="Times New Roman"/>
          <w:spacing w:val="-3"/>
          <w:sz w:val="24"/>
          <w:szCs w:val="24"/>
        </w:rPr>
        <w:t>0.8%</w:t>
      </w:r>
      <w:r>
        <w:rPr>
          <w:rFonts w:ascii="宋体" w:hAnsi="宋体" w:eastAsia="宋体" w:cs="宋体"/>
          <w:spacing w:val="-3"/>
          <w:sz w:val="24"/>
          <w:szCs w:val="24"/>
        </w:rPr>
        <w:t>，从经济上是可行的，可以</w:t>
      </w:r>
      <w:r>
        <w:rPr>
          <w:rFonts w:ascii="宋体" w:hAnsi="宋体" w:eastAsia="宋体" w:cs="宋体"/>
          <w:sz w:val="24"/>
          <w:szCs w:val="24"/>
        </w:rPr>
        <w:t xml:space="preserve"> </w:t>
      </w:r>
      <w:r>
        <w:rPr>
          <w:rFonts w:ascii="宋体" w:hAnsi="宋体" w:eastAsia="宋体" w:cs="宋体"/>
          <w:spacing w:val="-2"/>
          <w:sz w:val="24"/>
          <w:szCs w:val="24"/>
        </w:rPr>
        <w:t>被建设单位接受。</w:t>
      </w:r>
    </w:p>
    <w:p w14:paraId="6F7CE667">
      <w:pPr>
        <w:pStyle w:val="2"/>
        <w:spacing w:line="344" w:lineRule="auto"/>
      </w:pPr>
    </w:p>
    <w:p w14:paraId="1F863F0D">
      <w:pPr>
        <w:spacing w:before="100" w:line="226" w:lineRule="auto"/>
        <w:ind w:left="3"/>
        <w:outlineLvl w:val="1"/>
        <w:rPr>
          <w:rFonts w:ascii="宋体" w:hAnsi="宋体" w:eastAsia="宋体" w:cs="宋体"/>
          <w:sz w:val="31"/>
          <w:szCs w:val="31"/>
        </w:rPr>
      </w:pPr>
      <w:bookmarkStart w:id="42" w:name="bookmark37"/>
      <w:bookmarkEnd w:id="42"/>
      <w:r>
        <w:rPr>
          <w:rFonts w:ascii="Times New Roman" w:hAnsi="Times New Roman" w:eastAsia="Times New Roman" w:cs="Times New Roman"/>
          <w:b/>
          <w:bCs/>
          <w:spacing w:val="6"/>
          <w:sz w:val="31"/>
          <w:szCs w:val="31"/>
        </w:rPr>
        <w:t>6.4</w:t>
      </w:r>
      <w:r>
        <w:rPr>
          <w:rFonts w:ascii="宋体" w:hAnsi="宋体" w:eastAsia="宋体" w:cs="宋体"/>
          <w:b/>
          <w:bCs/>
          <w:spacing w:val="6"/>
          <w:sz w:val="31"/>
          <w:szCs w:val="31"/>
        </w:rPr>
        <w:t>固体废物污染防治措施可行性分析</w:t>
      </w:r>
    </w:p>
    <w:p w14:paraId="42B49E5F">
      <w:pPr>
        <w:pStyle w:val="2"/>
        <w:spacing w:line="447" w:lineRule="auto"/>
      </w:pPr>
    </w:p>
    <w:p w14:paraId="7787164B">
      <w:pPr>
        <w:spacing w:before="79"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6.4.1</w:t>
      </w:r>
      <w:r>
        <w:rPr>
          <w:rFonts w:ascii="宋体" w:hAnsi="宋体" w:eastAsia="宋体" w:cs="宋体"/>
          <w:b/>
          <w:bCs/>
          <w:spacing w:val="-2"/>
          <w:sz w:val="24"/>
          <w:szCs w:val="24"/>
        </w:rPr>
        <w:t>固体废物处置措施</w:t>
      </w:r>
    </w:p>
    <w:p w14:paraId="3BE5F299">
      <w:pPr>
        <w:pStyle w:val="2"/>
        <w:spacing w:line="276" w:lineRule="auto"/>
      </w:pPr>
    </w:p>
    <w:p w14:paraId="3DB7892A">
      <w:pPr>
        <w:spacing w:before="78" w:line="328" w:lineRule="auto"/>
        <w:ind w:right="66" w:firstLine="484"/>
        <w:rPr>
          <w:rFonts w:ascii="宋体" w:hAnsi="宋体" w:eastAsia="宋体" w:cs="宋体"/>
          <w:sz w:val="24"/>
          <w:szCs w:val="24"/>
        </w:rPr>
      </w:pPr>
      <w:r>
        <w:rPr>
          <w:rFonts w:ascii="宋体" w:hAnsi="宋体" w:eastAsia="宋体" w:cs="宋体"/>
          <w:spacing w:val="2"/>
          <w:sz w:val="24"/>
          <w:szCs w:val="24"/>
        </w:rPr>
        <w:t>项目营运期产生固体废物主要是猪只粪便、病死猪尸体、办公生活垃圾、医疗</w:t>
      </w:r>
      <w:r>
        <w:rPr>
          <w:rFonts w:ascii="宋体" w:hAnsi="宋体" w:eastAsia="宋体" w:cs="宋体"/>
          <w:spacing w:val="6"/>
          <w:sz w:val="24"/>
          <w:szCs w:val="24"/>
        </w:rPr>
        <w:t xml:space="preserve"> </w:t>
      </w:r>
      <w:r>
        <w:rPr>
          <w:rFonts w:ascii="宋体" w:hAnsi="宋体" w:eastAsia="宋体" w:cs="宋体"/>
          <w:spacing w:val="-2"/>
          <w:sz w:val="24"/>
          <w:szCs w:val="24"/>
        </w:rPr>
        <w:t>废物、废包装物。</w:t>
      </w:r>
    </w:p>
    <w:p w14:paraId="4AE74B4F">
      <w:pPr>
        <w:spacing w:line="360"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w:t>
      </w:r>
      <w:r>
        <w:rPr>
          <w:rFonts w:ascii="宋体" w:hAnsi="宋体" w:eastAsia="宋体" w:cs="宋体"/>
          <w:spacing w:val="-70"/>
          <w:position w:val="2"/>
          <w:sz w:val="24"/>
          <w:szCs w:val="24"/>
        </w:rPr>
        <w:t xml:space="preserve"> </w:t>
      </w:r>
      <w:r>
        <w:rPr>
          <w:rFonts w:ascii="宋体" w:hAnsi="宋体" w:eastAsia="宋体" w:cs="宋体"/>
          <w:spacing w:val="-3"/>
          <w:position w:val="2"/>
          <w:sz w:val="24"/>
          <w:szCs w:val="24"/>
        </w:rPr>
        <w:t>日常生活垃圾定期交由当地环卫部门卫生清运。</w:t>
      </w:r>
    </w:p>
    <w:p w14:paraId="68CEF2A1">
      <w:pPr>
        <w:spacing w:before="109" w:line="303" w:lineRule="auto"/>
        <w:ind w:left="4" w:right="65"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）粪便与尿液、猪舍冲洗水一起收集后，采用异位发酵床技术进行好氧高温</w:t>
      </w:r>
      <w:r>
        <w:rPr>
          <w:rFonts w:ascii="宋体" w:hAnsi="宋体" w:eastAsia="宋体" w:cs="宋体"/>
          <w:spacing w:val="16"/>
          <w:sz w:val="24"/>
          <w:szCs w:val="24"/>
        </w:rPr>
        <w:t xml:space="preserve"> </w:t>
      </w:r>
      <w:r>
        <w:rPr>
          <w:rFonts w:ascii="宋体" w:hAnsi="宋体" w:eastAsia="宋体" w:cs="宋体"/>
          <w:spacing w:val="-2"/>
          <w:sz w:val="24"/>
          <w:szCs w:val="24"/>
        </w:rPr>
        <w:t>发酵成有机肥半成品外售。</w:t>
      </w:r>
    </w:p>
    <w:p w14:paraId="4CACCC1A">
      <w:pPr>
        <w:spacing w:before="145"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）病死猪尸体进行安全填埋处理。</w:t>
      </w:r>
    </w:p>
    <w:p w14:paraId="4C253DB7">
      <w:pPr>
        <w:spacing w:before="107"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）畜牧医疗废物定期交有资质单位处理。</w:t>
      </w:r>
    </w:p>
    <w:p w14:paraId="4B3BF1AF">
      <w:pPr>
        <w:spacing w:before="143"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）废包装物收集后交由供应商处理。</w:t>
      </w:r>
    </w:p>
    <w:p w14:paraId="180665AB">
      <w:pPr>
        <w:pStyle w:val="2"/>
        <w:spacing w:line="242" w:lineRule="auto"/>
      </w:pPr>
    </w:p>
    <w:p w14:paraId="2813DA2E">
      <w:pPr>
        <w:pStyle w:val="2"/>
        <w:spacing w:line="243" w:lineRule="auto"/>
      </w:pPr>
    </w:p>
    <w:p w14:paraId="09924DAA">
      <w:pPr>
        <w:spacing w:before="79"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6.4.2</w:t>
      </w:r>
      <w:r>
        <w:rPr>
          <w:rFonts w:ascii="宋体" w:hAnsi="宋体" w:eastAsia="宋体" w:cs="宋体"/>
          <w:b/>
          <w:bCs/>
          <w:spacing w:val="-2"/>
          <w:sz w:val="24"/>
          <w:szCs w:val="24"/>
        </w:rPr>
        <w:t>固废处置措施技术可行性分析</w:t>
      </w:r>
    </w:p>
    <w:p w14:paraId="47EC82E5">
      <w:pPr>
        <w:pStyle w:val="2"/>
        <w:spacing w:line="244" w:lineRule="auto"/>
      </w:pPr>
    </w:p>
    <w:p w14:paraId="39F993E8">
      <w:pPr>
        <w:spacing w:before="79" w:line="360" w:lineRule="exact"/>
        <w:ind w:left="499"/>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、粪污</w:t>
      </w:r>
    </w:p>
    <w:p w14:paraId="752155F2">
      <w:pPr>
        <w:spacing w:before="132" w:line="367" w:lineRule="auto"/>
        <w:ind w:left="5" w:firstLine="476"/>
        <w:rPr>
          <w:rFonts w:ascii="宋体" w:hAnsi="宋体" w:eastAsia="宋体" w:cs="宋体"/>
          <w:sz w:val="24"/>
          <w:szCs w:val="24"/>
        </w:rPr>
      </w:pPr>
      <w:r>
        <w:rPr>
          <w:rFonts w:ascii="宋体" w:hAnsi="宋体" w:eastAsia="宋体" w:cs="宋体"/>
          <w:sz w:val="24"/>
          <w:szCs w:val="24"/>
        </w:rPr>
        <w:t>本项目收集最大粪污量为</w:t>
      </w:r>
      <w:r>
        <w:rPr>
          <w:rFonts w:ascii="Times New Roman" w:hAnsi="Times New Roman" w:eastAsia="Times New Roman" w:cs="Times New Roman"/>
          <w:sz w:val="24"/>
          <w:szCs w:val="24"/>
        </w:rPr>
        <w:t>44.96t/d</w:t>
      </w:r>
      <w:r>
        <w:rPr>
          <w:rFonts w:ascii="宋体" w:hAnsi="宋体" w:eastAsia="宋体" w:cs="宋体"/>
          <w:sz w:val="24"/>
          <w:szCs w:val="24"/>
        </w:rPr>
        <w:t>（</w:t>
      </w:r>
      <w:r>
        <w:rPr>
          <w:rFonts w:ascii="Times New Roman" w:hAnsi="Times New Roman" w:eastAsia="Times New Roman" w:cs="Times New Roman"/>
          <w:sz w:val="24"/>
          <w:szCs w:val="24"/>
        </w:rPr>
        <w:t>14018.26 t/a</w:t>
      </w:r>
      <w:r>
        <w:rPr>
          <w:rFonts w:ascii="宋体" w:hAnsi="宋体" w:eastAsia="宋体" w:cs="宋体"/>
          <w:sz w:val="24"/>
          <w:szCs w:val="24"/>
        </w:rPr>
        <w:t>）。本项目拟建设的异位发酵床</w:t>
      </w:r>
      <w:r>
        <w:rPr>
          <w:rFonts w:ascii="宋体" w:hAnsi="宋体" w:eastAsia="宋体" w:cs="宋体"/>
          <w:spacing w:val="9"/>
          <w:sz w:val="24"/>
          <w:szCs w:val="24"/>
        </w:rPr>
        <w:t xml:space="preserve"> </w:t>
      </w:r>
      <w:r>
        <w:rPr>
          <w:rFonts w:ascii="宋体" w:hAnsi="宋体" w:eastAsia="宋体" w:cs="宋体"/>
          <w:spacing w:val="-5"/>
          <w:sz w:val="24"/>
          <w:szCs w:val="24"/>
        </w:rPr>
        <w:t>处理系统的发酵床垫料为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1188m</w:t>
      </w:r>
      <w:r>
        <w:rPr>
          <w:rFonts w:ascii="Times New Roman" w:hAnsi="Times New Roman" w:eastAsia="Times New Roman" w:cs="Times New Roman"/>
          <w:spacing w:val="-5"/>
          <w:position w:val="7"/>
          <w:sz w:val="15"/>
          <w:szCs w:val="15"/>
        </w:rPr>
        <w:t>3</w:t>
      </w:r>
      <w:r>
        <w:rPr>
          <w:rFonts w:ascii="宋体" w:hAnsi="宋体" w:eastAsia="宋体" w:cs="宋体"/>
          <w:spacing w:val="-5"/>
          <w:sz w:val="24"/>
          <w:szCs w:val="24"/>
        </w:rPr>
        <w:t>，发酵床每天浇灌一次，每立方米浇灌量约为</w:t>
      </w:r>
      <w:r>
        <w:rPr>
          <w:rFonts w:ascii="Times New Roman" w:hAnsi="Times New Roman" w:eastAsia="Times New Roman" w:cs="Times New Roman"/>
          <w:spacing w:val="-5"/>
          <w:sz w:val="24"/>
          <w:szCs w:val="24"/>
        </w:rPr>
        <w:t>0.15</w:t>
      </w:r>
      <w:r>
        <w:rPr>
          <w:rFonts w:ascii="Times New Roman" w:hAnsi="Times New Roman" w:eastAsia="Times New Roman" w:cs="Times New Roman"/>
          <w:spacing w:val="-6"/>
          <w:sz w:val="24"/>
          <w:szCs w:val="24"/>
        </w:rPr>
        <w:t>t</w:t>
      </w:r>
      <w:r>
        <w:rPr>
          <w:rFonts w:ascii="宋体" w:hAnsi="宋体" w:eastAsia="宋体" w:cs="宋体"/>
          <w:spacing w:val="-6"/>
          <w:sz w:val="24"/>
          <w:szCs w:val="24"/>
        </w:rPr>
        <w:t>，</w:t>
      </w:r>
      <w:r>
        <w:rPr>
          <w:rFonts w:ascii="宋体" w:hAnsi="宋体" w:eastAsia="宋体" w:cs="宋体"/>
          <w:sz w:val="24"/>
          <w:szCs w:val="24"/>
        </w:rPr>
        <w:t xml:space="preserve"> 则项目拟设置的异位发酵床处理规模为</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178.</w:t>
      </w:r>
      <w:r>
        <w:rPr>
          <w:rFonts w:ascii="Times New Roman" w:hAnsi="Times New Roman" w:eastAsia="Times New Roman" w:cs="Times New Roman"/>
          <w:spacing w:val="-1"/>
          <w:sz w:val="24"/>
          <w:szCs w:val="24"/>
        </w:rPr>
        <w:t>4t/d</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65116t/a</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，能够满足本项目的粪污</w:t>
      </w:r>
      <w:r>
        <w:rPr>
          <w:rFonts w:ascii="宋体" w:hAnsi="宋体" w:eastAsia="宋体" w:cs="宋体"/>
          <w:sz w:val="24"/>
          <w:szCs w:val="24"/>
        </w:rPr>
        <w:t xml:space="preserve"> </w:t>
      </w:r>
      <w:r>
        <w:rPr>
          <w:rFonts w:ascii="宋体" w:hAnsi="宋体" w:eastAsia="宋体" w:cs="宋体"/>
          <w:spacing w:val="-5"/>
          <w:sz w:val="24"/>
          <w:szCs w:val="24"/>
        </w:rPr>
        <w:t>处理。</w:t>
      </w:r>
    </w:p>
    <w:p w14:paraId="6F17A3DF">
      <w:pPr>
        <w:spacing w:before="80" w:line="378" w:lineRule="auto"/>
        <w:ind w:right="51" w:firstLine="483"/>
        <w:rPr>
          <w:rFonts w:ascii="宋体" w:hAnsi="宋体" w:eastAsia="宋体" w:cs="宋体"/>
          <w:sz w:val="24"/>
          <w:szCs w:val="24"/>
        </w:rPr>
      </w:pPr>
      <w:r>
        <w:rPr>
          <w:rFonts w:ascii="宋体" w:hAnsi="宋体" w:eastAsia="宋体" w:cs="宋体"/>
          <w:b/>
          <w:bCs/>
          <w:spacing w:val="2"/>
          <w:sz w:val="24"/>
          <w:szCs w:val="24"/>
        </w:rPr>
        <w:t>异位发酵床粪污综合处理技术：</w:t>
      </w:r>
      <w:r>
        <w:rPr>
          <w:rFonts w:ascii="宋体" w:hAnsi="宋体" w:eastAsia="宋体" w:cs="宋体"/>
          <w:spacing w:val="2"/>
          <w:sz w:val="24"/>
          <w:szCs w:val="24"/>
        </w:rPr>
        <w:t>猪舍粪污从管</w:t>
      </w:r>
      <w:r>
        <w:rPr>
          <w:rFonts w:ascii="宋体" w:hAnsi="宋体" w:eastAsia="宋体" w:cs="宋体"/>
          <w:spacing w:val="1"/>
          <w:sz w:val="24"/>
          <w:szCs w:val="24"/>
        </w:rPr>
        <w:t>道流入集污池，经切割泵与搅拌</w:t>
      </w:r>
      <w:r>
        <w:rPr>
          <w:rFonts w:ascii="宋体" w:hAnsi="宋体" w:eastAsia="宋体" w:cs="宋体"/>
          <w:sz w:val="24"/>
          <w:szCs w:val="24"/>
        </w:rPr>
        <w:t xml:space="preserve"> </w:t>
      </w:r>
      <w:r>
        <w:rPr>
          <w:rFonts w:ascii="宋体" w:hAnsi="宋体" w:eastAsia="宋体" w:cs="宋体"/>
          <w:spacing w:val="2"/>
          <w:sz w:val="24"/>
          <w:szCs w:val="24"/>
        </w:rPr>
        <w:t>机切割搅拌，确保搅拌均匀后，通过自动喷淋装置，将粪污均匀喷洒在垫料上，粪</w:t>
      </w:r>
    </w:p>
    <w:p w14:paraId="6310BB9C">
      <w:pPr>
        <w:spacing w:line="378" w:lineRule="auto"/>
        <w:rPr>
          <w:rFonts w:ascii="宋体" w:hAnsi="宋体" w:eastAsia="宋体" w:cs="宋体"/>
          <w:sz w:val="24"/>
          <w:szCs w:val="24"/>
        </w:rPr>
        <w:sectPr>
          <w:footerReference r:id="rId157" w:type="default"/>
          <w:pgSz w:w="11906" w:h="16839"/>
          <w:pgMar w:top="400" w:right="1522" w:bottom="1485" w:left="1597" w:header="0" w:footer="1249" w:gutter="0"/>
          <w:cols w:space="720" w:num="1"/>
        </w:sectPr>
      </w:pPr>
    </w:p>
    <w:p w14:paraId="6956C6F2">
      <w:pPr>
        <w:pStyle w:val="2"/>
        <w:spacing w:line="263" w:lineRule="auto"/>
      </w:pPr>
    </w:p>
    <w:p w14:paraId="3D883893">
      <w:pPr>
        <w:pStyle w:val="2"/>
        <w:spacing w:line="264" w:lineRule="auto"/>
      </w:pPr>
    </w:p>
    <w:p w14:paraId="6A45FF39">
      <w:pPr>
        <w:pStyle w:val="2"/>
        <w:spacing w:line="264" w:lineRule="auto"/>
      </w:pPr>
    </w:p>
    <w:p w14:paraId="35CFB042">
      <w:pPr>
        <w:pStyle w:val="2"/>
        <w:spacing w:line="264" w:lineRule="auto"/>
      </w:pPr>
    </w:p>
    <w:p w14:paraId="0BC9F679">
      <w:pPr>
        <w:spacing w:before="78" w:line="362" w:lineRule="auto"/>
        <w:ind w:left="2"/>
        <w:jc w:val="both"/>
        <w:rPr>
          <w:rFonts w:ascii="宋体" w:hAnsi="宋体" w:eastAsia="宋体" w:cs="宋体"/>
          <w:sz w:val="24"/>
          <w:szCs w:val="24"/>
        </w:rPr>
      </w:pPr>
      <w:r>
        <w:rPr>
          <w:rFonts w:ascii="宋体" w:hAnsi="宋体" w:eastAsia="宋体" w:cs="宋体"/>
          <w:spacing w:val="2"/>
          <w:sz w:val="24"/>
          <w:szCs w:val="24"/>
        </w:rPr>
        <w:t>污将被治污微生物菌群进行生物降解处理，在降解处理过程中，发酵床温度上升到</w:t>
      </w:r>
      <w:r>
        <w:rPr>
          <w:rFonts w:ascii="宋体" w:hAnsi="宋体" w:eastAsia="宋体" w:cs="宋体"/>
          <w:spacing w:val="4"/>
          <w:sz w:val="24"/>
          <w:szCs w:val="24"/>
        </w:rPr>
        <w:t xml:space="preserve"> </w:t>
      </w:r>
      <w:r>
        <w:rPr>
          <w:rFonts w:ascii="Times New Roman" w:hAnsi="Times New Roman" w:eastAsia="Times New Roman" w:cs="Times New Roman"/>
          <w:spacing w:val="-5"/>
          <w:sz w:val="24"/>
          <w:szCs w:val="24"/>
        </w:rPr>
        <w:t>55</w:t>
      </w:r>
      <w:r>
        <w:rPr>
          <w:rFonts w:ascii="宋体" w:hAnsi="宋体" w:eastAsia="宋体" w:cs="宋体"/>
          <w:spacing w:val="-5"/>
          <w:sz w:val="24"/>
          <w:szCs w:val="24"/>
        </w:rPr>
        <w:t>—</w:t>
      </w:r>
      <w:r>
        <w:rPr>
          <w:rFonts w:ascii="Times New Roman" w:hAnsi="Times New Roman" w:eastAsia="Times New Roman" w:cs="Times New Roman"/>
          <w:spacing w:val="-5"/>
          <w:sz w:val="24"/>
          <w:szCs w:val="24"/>
        </w:rPr>
        <w:t>68</w:t>
      </w:r>
      <w:r>
        <w:rPr>
          <w:rFonts w:ascii="宋体" w:hAnsi="宋体" w:eastAsia="宋体" w:cs="宋体"/>
          <w:spacing w:val="-5"/>
          <w:sz w:val="24"/>
          <w:szCs w:val="24"/>
        </w:rPr>
        <w:t>℃</w:t>
      </w:r>
      <w:r>
        <w:rPr>
          <w:rFonts w:ascii="宋体" w:hAnsi="宋体" w:eastAsia="宋体" w:cs="宋体"/>
          <w:spacing w:val="-78"/>
          <w:sz w:val="24"/>
          <w:szCs w:val="24"/>
        </w:rPr>
        <w:t xml:space="preserve"> </w:t>
      </w:r>
      <w:r>
        <w:rPr>
          <w:rFonts w:ascii="宋体" w:hAnsi="宋体" w:eastAsia="宋体" w:cs="宋体"/>
          <w:spacing w:val="-5"/>
          <w:sz w:val="24"/>
          <w:szCs w:val="24"/>
        </w:rPr>
        <w:t>,</w:t>
      </w:r>
      <w:r>
        <w:rPr>
          <w:rFonts w:ascii="宋体" w:hAnsi="宋体" w:eastAsia="宋体" w:cs="宋体"/>
          <w:spacing w:val="52"/>
          <w:sz w:val="24"/>
          <w:szCs w:val="24"/>
        </w:rPr>
        <w:t xml:space="preserve"> </w:t>
      </w:r>
      <w:r>
        <w:rPr>
          <w:rFonts w:ascii="宋体" w:hAnsi="宋体" w:eastAsia="宋体" w:cs="宋体"/>
          <w:spacing w:val="-5"/>
          <w:sz w:val="24"/>
          <w:szCs w:val="24"/>
        </w:rPr>
        <w:t>水分蒸发，自动翻耙机对发酵床进行翻耙，促进猪粪便与垫料充分混合，</w:t>
      </w:r>
      <w:r>
        <w:rPr>
          <w:rFonts w:ascii="宋体" w:hAnsi="宋体" w:eastAsia="宋体" w:cs="宋体"/>
          <w:sz w:val="24"/>
          <w:szCs w:val="24"/>
        </w:rPr>
        <w:t xml:space="preserve"> </w:t>
      </w:r>
      <w:r>
        <w:rPr>
          <w:rFonts w:ascii="宋体" w:hAnsi="宋体" w:eastAsia="宋体" w:cs="宋体"/>
          <w:spacing w:val="-1"/>
          <w:sz w:val="24"/>
          <w:szCs w:val="24"/>
        </w:rPr>
        <w:t>最终使猪粪污转化成生物有机肥，从而实现污染物的资源化利用。</w:t>
      </w:r>
    </w:p>
    <w:p w14:paraId="54D0C7EE">
      <w:pPr>
        <w:spacing w:before="61" w:line="370" w:lineRule="auto"/>
        <w:ind w:right="63" w:firstLine="481"/>
        <w:jc w:val="both"/>
        <w:rPr>
          <w:rFonts w:ascii="宋体" w:hAnsi="宋体" w:eastAsia="宋体" w:cs="宋体"/>
          <w:sz w:val="24"/>
          <w:szCs w:val="24"/>
        </w:rPr>
      </w:pPr>
      <w:r>
        <w:rPr>
          <w:rFonts w:ascii="宋体" w:hAnsi="宋体" w:eastAsia="宋体" w:cs="宋体"/>
          <w:spacing w:val="2"/>
          <w:sz w:val="24"/>
          <w:szCs w:val="24"/>
        </w:rPr>
        <w:t>有机肥发酵剂按一定比例参拌锯末、谷壳、木屑等材料，制成有机垫料。将这</w:t>
      </w:r>
      <w:r>
        <w:rPr>
          <w:rFonts w:ascii="宋体" w:hAnsi="宋体" w:eastAsia="宋体" w:cs="宋体"/>
          <w:spacing w:val="9"/>
          <w:sz w:val="24"/>
          <w:szCs w:val="24"/>
        </w:rPr>
        <w:t xml:space="preserve"> </w:t>
      </w:r>
      <w:r>
        <w:rPr>
          <w:rFonts w:ascii="宋体" w:hAnsi="宋体" w:eastAsia="宋体" w:cs="宋体"/>
          <w:spacing w:val="2"/>
          <w:sz w:val="24"/>
          <w:szCs w:val="24"/>
        </w:rPr>
        <w:t>些垫料铺设成一定厚度的发酵床，使垫料和猪粪污充分混合，通过微生物的分解发</w:t>
      </w:r>
      <w:r>
        <w:rPr>
          <w:rFonts w:ascii="宋体" w:hAnsi="宋体" w:eastAsia="宋体" w:cs="宋体"/>
          <w:spacing w:val="7"/>
          <w:sz w:val="24"/>
          <w:szCs w:val="24"/>
        </w:rPr>
        <w:t xml:space="preserve"> </w:t>
      </w:r>
      <w:r>
        <w:rPr>
          <w:rFonts w:ascii="宋体" w:hAnsi="宋体" w:eastAsia="宋体" w:cs="宋体"/>
          <w:spacing w:val="2"/>
          <w:sz w:val="24"/>
          <w:szCs w:val="24"/>
        </w:rPr>
        <w:t>酵，使猪粪便中的有机物质得到充分的分解和转化，达到降解和消化猪尿水、除异</w:t>
      </w:r>
      <w:r>
        <w:rPr>
          <w:rFonts w:ascii="宋体" w:hAnsi="宋体" w:eastAsia="宋体" w:cs="宋体"/>
          <w:spacing w:val="7"/>
          <w:sz w:val="24"/>
          <w:szCs w:val="24"/>
        </w:rPr>
        <w:t xml:space="preserve"> </w:t>
      </w:r>
      <w:r>
        <w:rPr>
          <w:rFonts w:ascii="宋体" w:hAnsi="宋体" w:eastAsia="宋体" w:cs="宋体"/>
          <w:spacing w:val="2"/>
          <w:sz w:val="24"/>
          <w:szCs w:val="24"/>
        </w:rPr>
        <w:t>味、杀菌消毒除虫及升温除水的效果，最终产出富含有机质以及具备解氮、解磷及</w:t>
      </w:r>
      <w:r>
        <w:rPr>
          <w:rFonts w:ascii="宋体" w:hAnsi="宋体" w:eastAsia="宋体" w:cs="宋体"/>
          <w:spacing w:val="7"/>
          <w:sz w:val="24"/>
          <w:szCs w:val="24"/>
        </w:rPr>
        <w:t xml:space="preserve"> </w:t>
      </w:r>
      <w:r>
        <w:rPr>
          <w:rFonts w:ascii="宋体" w:hAnsi="宋体" w:eastAsia="宋体" w:cs="宋体"/>
          <w:spacing w:val="-1"/>
          <w:sz w:val="24"/>
          <w:szCs w:val="24"/>
        </w:rPr>
        <w:t>解钾能力的有益菌群的生物有机肥。</w:t>
      </w:r>
    </w:p>
    <w:p w14:paraId="006997AC">
      <w:pPr>
        <w:spacing w:line="376" w:lineRule="auto"/>
        <w:ind w:left="2" w:right="60" w:firstLine="478"/>
        <w:jc w:val="both"/>
        <w:rPr>
          <w:rFonts w:ascii="宋体" w:hAnsi="宋体" w:eastAsia="宋体" w:cs="宋体"/>
          <w:sz w:val="24"/>
          <w:szCs w:val="24"/>
        </w:rPr>
      </w:pPr>
      <w:r>
        <w:rPr>
          <w:rFonts w:ascii="宋体" w:hAnsi="宋体" w:eastAsia="宋体" w:cs="宋体"/>
          <w:spacing w:val="-1"/>
          <w:sz w:val="24"/>
          <w:szCs w:val="24"/>
        </w:rPr>
        <w:t>湿度检测：翻耙后湿度控制在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45%~50%</w:t>
      </w:r>
      <w:r>
        <w:rPr>
          <w:rFonts w:ascii="宋体" w:hAnsi="宋体" w:eastAsia="宋体" w:cs="宋体"/>
          <w:spacing w:val="-1"/>
          <w:sz w:val="24"/>
          <w:szCs w:val="24"/>
        </w:rPr>
        <w:t>左右。简单的判断方法，抓一把搅拌好</w:t>
      </w:r>
      <w:r>
        <w:rPr>
          <w:rFonts w:ascii="宋体" w:hAnsi="宋体" w:eastAsia="宋体" w:cs="宋体"/>
          <w:sz w:val="24"/>
          <w:szCs w:val="24"/>
        </w:rPr>
        <w:t xml:space="preserve"> </w:t>
      </w:r>
      <w:r>
        <w:rPr>
          <w:rFonts w:ascii="宋体" w:hAnsi="宋体" w:eastAsia="宋体" w:cs="宋体"/>
          <w:spacing w:val="2"/>
          <w:sz w:val="24"/>
          <w:szCs w:val="24"/>
        </w:rPr>
        <w:t>的发酵垫料，用力握紧，如果有水从指缝中渗出，说明湿度过大，需将污水泵开关</w:t>
      </w:r>
      <w:r>
        <w:rPr>
          <w:rFonts w:ascii="宋体" w:hAnsi="宋体" w:eastAsia="宋体" w:cs="宋体"/>
          <w:spacing w:val="4"/>
          <w:sz w:val="24"/>
          <w:szCs w:val="24"/>
        </w:rPr>
        <w:t xml:space="preserve"> </w:t>
      </w:r>
      <w:r>
        <w:rPr>
          <w:rFonts w:ascii="宋体" w:hAnsi="宋体" w:eastAsia="宋体" w:cs="宋体"/>
          <w:spacing w:val="2"/>
          <w:sz w:val="24"/>
          <w:szCs w:val="24"/>
        </w:rPr>
        <w:t>调小，或检查锯末质量及比例，或检查翻耙前进行程；如果没有水渗出，松开后，</w:t>
      </w:r>
      <w:r>
        <w:rPr>
          <w:rFonts w:ascii="宋体" w:hAnsi="宋体" w:eastAsia="宋体" w:cs="宋体"/>
          <w:spacing w:val="6"/>
          <w:sz w:val="24"/>
          <w:szCs w:val="24"/>
        </w:rPr>
        <w:t xml:space="preserve"> </w:t>
      </w:r>
      <w:r>
        <w:rPr>
          <w:rFonts w:ascii="宋体" w:hAnsi="宋体" w:eastAsia="宋体" w:cs="宋体"/>
          <w:spacing w:val="-1"/>
          <w:sz w:val="24"/>
          <w:szCs w:val="24"/>
        </w:rPr>
        <w:t>发酵垫料不成团，能松散的落下，说明湿度比较合适。</w:t>
      </w:r>
    </w:p>
    <w:p w14:paraId="07862ACF">
      <w:pPr>
        <w:spacing w:before="1" w:line="376" w:lineRule="auto"/>
        <w:ind w:left="1" w:right="63" w:firstLine="480"/>
        <w:jc w:val="both"/>
        <w:rPr>
          <w:rFonts w:ascii="宋体" w:hAnsi="宋体" w:eastAsia="宋体" w:cs="宋体"/>
          <w:sz w:val="24"/>
          <w:szCs w:val="24"/>
        </w:rPr>
      </w:pPr>
      <w:r>
        <w:rPr>
          <w:rFonts w:ascii="宋体" w:hAnsi="宋体" w:eastAsia="宋体" w:cs="宋体"/>
          <w:sz w:val="24"/>
          <w:szCs w:val="24"/>
        </w:rPr>
        <w:t>温度检测：每天测量发酵的温度，通常</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24</w:t>
      </w:r>
      <w:r>
        <w:rPr>
          <w:rFonts w:ascii="Times New Roman" w:hAnsi="Times New Roman" w:eastAsia="Times New Roman" w:cs="Times New Roman"/>
          <w:spacing w:val="16"/>
          <w:w w:val="101"/>
          <w:sz w:val="24"/>
          <w:szCs w:val="24"/>
        </w:rPr>
        <w:t xml:space="preserve"> </w:t>
      </w:r>
      <w:r>
        <w:rPr>
          <w:rFonts w:ascii="宋体" w:hAnsi="宋体" w:eastAsia="宋体" w:cs="宋体"/>
          <w:sz w:val="24"/>
          <w:szCs w:val="24"/>
        </w:rPr>
        <w:t>小时后发</w:t>
      </w:r>
      <w:r>
        <w:rPr>
          <w:rFonts w:ascii="宋体" w:hAnsi="宋体" w:eastAsia="宋体" w:cs="宋体"/>
          <w:spacing w:val="-1"/>
          <w:sz w:val="24"/>
          <w:szCs w:val="24"/>
        </w:rPr>
        <w:t>酵床表面以下</w:t>
      </w:r>
      <w:r>
        <w:rPr>
          <w:rFonts w:ascii="Times New Roman" w:hAnsi="Times New Roman" w:eastAsia="Times New Roman" w:cs="Times New Roman"/>
          <w:spacing w:val="-1"/>
          <w:sz w:val="24"/>
          <w:szCs w:val="24"/>
        </w:rPr>
        <w:t xml:space="preserve">30~35 </w:t>
      </w:r>
      <w:r>
        <w:rPr>
          <w:rFonts w:ascii="宋体" w:hAnsi="宋体" w:eastAsia="宋体" w:cs="宋体"/>
          <w:spacing w:val="-1"/>
          <w:sz w:val="24"/>
          <w:szCs w:val="24"/>
        </w:rPr>
        <w:t>厘米处</w:t>
      </w:r>
      <w:r>
        <w:rPr>
          <w:rFonts w:ascii="宋体" w:hAnsi="宋体" w:eastAsia="宋体" w:cs="宋体"/>
          <w:sz w:val="24"/>
          <w:szCs w:val="24"/>
        </w:rPr>
        <w:t xml:space="preserve"> </w:t>
      </w:r>
      <w:r>
        <w:rPr>
          <w:rFonts w:ascii="宋体" w:hAnsi="宋体" w:eastAsia="宋体" w:cs="宋体"/>
          <w:spacing w:val="-1"/>
          <w:sz w:val="24"/>
          <w:szCs w:val="24"/>
        </w:rPr>
        <w:t>的温度应该在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45</w:t>
      </w:r>
      <w:r>
        <w:rPr>
          <w:rFonts w:ascii="宋体" w:hAnsi="宋体" w:eastAsia="宋体" w:cs="宋体"/>
          <w:spacing w:val="-1"/>
          <w:sz w:val="24"/>
          <w:szCs w:val="24"/>
        </w:rPr>
        <w:t>℃左右，以后温度便逐渐上升</w:t>
      </w:r>
      <w:r>
        <w:rPr>
          <w:rFonts w:ascii="宋体" w:hAnsi="宋体" w:eastAsia="宋体" w:cs="宋体"/>
          <w:spacing w:val="-2"/>
          <w:sz w:val="24"/>
          <w:szCs w:val="24"/>
        </w:rPr>
        <w:t>，</w:t>
      </w:r>
      <w:r>
        <w:rPr>
          <w:rFonts w:ascii="Times New Roman" w:hAnsi="Times New Roman" w:eastAsia="Times New Roman" w:cs="Times New Roman"/>
          <w:spacing w:val="-2"/>
          <w:sz w:val="24"/>
          <w:szCs w:val="24"/>
        </w:rPr>
        <w:t>48</w:t>
      </w:r>
      <w:r>
        <w:rPr>
          <w:rFonts w:ascii="宋体" w:hAnsi="宋体" w:eastAsia="宋体" w:cs="宋体"/>
          <w:spacing w:val="-2"/>
          <w:sz w:val="24"/>
          <w:szCs w:val="24"/>
        </w:rPr>
        <w:t>小时后应达至</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60</w:t>
      </w:r>
      <w:r>
        <w:rPr>
          <w:rFonts w:ascii="宋体" w:hAnsi="宋体" w:eastAsia="宋体" w:cs="宋体"/>
          <w:spacing w:val="-2"/>
          <w:sz w:val="24"/>
          <w:szCs w:val="24"/>
        </w:rPr>
        <w:t>℃以上，如此发</w:t>
      </w:r>
      <w:r>
        <w:rPr>
          <w:rFonts w:ascii="宋体" w:hAnsi="宋体" w:eastAsia="宋体" w:cs="宋体"/>
          <w:sz w:val="24"/>
          <w:szCs w:val="24"/>
        </w:rPr>
        <w:t xml:space="preserve"> </w:t>
      </w:r>
      <w:r>
        <w:rPr>
          <w:rFonts w:ascii="宋体" w:hAnsi="宋体" w:eastAsia="宋体" w:cs="宋体"/>
          <w:spacing w:val="2"/>
          <w:sz w:val="24"/>
          <w:szCs w:val="24"/>
        </w:rPr>
        <w:t>酵效果最佳。此时发酵床制作完成，可再次喷淋粪污进行发酵处理。如出现异常，</w:t>
      </w:r>
      <w:r>
        <w:rPr>
          <w:rFonts w:ascii="宋体" w:hAnsi="宋体" w:eastAsia="宋体" w:cs="宋体"/>
          <w:spacing w:val="5"/>
          <w:sz w:val="24"/>
          <w:szCs w:val="24"/>
        </w:rPr>
        <w:t xml:space="preserve"> </w:t>
      </w:r>
      <w:r>
        <w:rPr>
          <w:rFonts w:ascii="宋体" w:hAnsi="宋体" w:eastAsia="宋体" w:cs="宋体"/>
          <w:spacing w:val="2"/>
          <w:sz w:val="24"/>
          <w:szCs w:val="24"/>
        </w:rPr>
        <w:t>未能达到相应温度，需检查菌种及垫料湿度是否过湿，或检查场内周围保温措施是</w:t>
      </w:r>
      <w:r>
        <w:rPr>
          <w:rFonts w:ascii="宋体" w:hAnsi="宋体" w:eastAsia="宋体" w:cs="宋体"/>
          <w:spacing w:val="5"/>
          <w:sz w:val="24"/>
          <w:szCs w:val="24"/>
        </w:rPr>
        <w:t xml:space="preserve"> </w:t>
      </w:r>
      <w:r>
        <w:rPr>
          <w:rFonts w:ascii="宋体" w:hAnsi="宋体" w:eastAsia="宋体" w:cs="宋体"/>
          <w:spacing w:val="-3"/>
          <w:sz w:val="24"/>
          <w:szCs w:val="24"/>
        </w:rPr>
        <w:t>否不当。</w:t>
      </w:r>
    </w:p>
    <w:p w14:paraId="50A3DF77">
      <w:pPr>
        <w:spacing w:before="4" w:line="375" w:lineRule="auto"/>
        <w:ind w:left="1" w:right="58" w:firstLine="482"/>
        <w:jc w:val="both"/>
        <w:rPr>
          <w:rFonts w:ascii="宋体" w:hAnsi="宋体" w:eastAsia="宋体" w:cs="宋体"/>
          <w:sz w:val="24"/>
          <w:szCs w:val="24"/>
        </w:rPr>
      </w:pPr>
      <w:r>
        <w:rPr>
          <w:rFonts w:ascii="宋体" w:hAnsi="宋体" w:eastAsia="宋体" w:cs="宋体"/>
          <w:spacing w:val="1"/>
          <w:sz w:val="24"/>
          <w:szCs w:val="24"/>
        </w:rPr>
        <w:t>项目粪污经异位发酵床处理后，成为有机肥半成品，水分</w:t>
      </w:r>
      <w:r>
        <w:rPr>
          <w:rFonts w:ascii="宋体" w:hAnsi="宋体" w:eastAsia="宋体" w:cs="宋体"/>
          <w:sz w:val="24"/>
          <w:szCs w:val="24"/>
        </w:rPr>
        <w:t>（鲜样）</w:t>
      </w:r>
      <w:r>
        <w:rPr>
          <w:rFonts w:ascii="宋体" w:hAnsi="宋体" w:eastAsia="宋体" w:cs="宋体"/>
          <w:spacing w:val="-9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30%,</w:t>
      </w:r>
      <w:r>
        <w:rPr>
          <w:rFonts w:ascii="宋体" w:hAnsi="宋体" w:eastAsia="宋体" w:cs="宋体"/>
          <w:sz w:val="24"/>
          <w:szCs w:val="24"/>
        </w:rPr>
        <w:t xml:space="preserve">有机 </w:t>
      </w:r>
      <w:r>
        <w:rPr>
          <w:rFonts w:ascii="宋体" w:hAnsi="宋体" w:eastAsia="宋体" w:cs="宋体"/>
          <w:spacing w:val="-1"/>
          <w:sz w:val="24"/>
          <w:szCs w:val="24"/>
        </w:rPr>
        <w:t>质（以干基计）</w:t>
      </w:r>
      <w:r>
        <w:rPr>
          <w:rFonts w:ascii="宋体" w:hAnsi="宋体" w:eastAsia="宋体" w:cs="宋体"/>
          <w:spacing w:val="-8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45%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，总养分（</w:t>
      </w:r>
      <w:r>
        <w:rPr>
          <w:rFonts w:ascii="Times New Roman" w:hAnsi="Times New Roman" w:eastAsia="Times New Roman" w:cs="Times New Roman"/>
          <w:spacing w:val="-1"/>
          <w:sz w:val="24"/>
          <w:szCs w:val="24"/>
        </w:rPr>
        <w:t>N+P</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
          <w:sz w:val="24"/>
          <w:szCs w:val="24"/>
        </w:rPr>
        <w:t>+K</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O</w:t>
      </w:r>
      <w:r>
        <w:rPr>
          <w:rFonts w:ascii="宋体" w:hAnsi="宋体" w:eastAsia="宋体" w:cs="宋体"/>
          <w:spacing w:val="-1"/>
          <w:sz w:val="24"/>
          <w:szCs w:val="24"/>
        </w:rPr>
        <w:t>）的质量分数（以干基计</w:t>
      </w:r>
      <w:r>
        <w:rPr>
          <w:rFonts w:ascii="宋体" w:hAnsi="宋体" w:eastAsia="宋体" w:cs="宋体"/>
          <w:spacing w:val="-8"/>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r>
        <w:rPr>
          <w:rFonts w:ascii="宋体" w:hAnsi="宋体" w:eastAsia="宋体" w:cs="宋体"/>
          <w:spacing w:val="-86"/>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5.0%</w:t>
      </w:r>
      <w:r>
        <w:rPr>
          <w:rFonts w:ascii="宋体" w:hAnsi="宋体" w:eastAsia="宋体" w:cs="宋体"/>
          <w:spacing w:val="-3"/>
          <w:sz w:val="24"/>
          <w:szCs w:val="24"/>
        </w:rPr>
        <w:t>。</w:t>
      </w:r>
    </w:p>
    <w:p w14:paraId="54A32B9E">
      <w:pPr>
        <w:spacing w:line="361" w:lineRule="exact"/>
        <w:ind w:left="476"/>
        <w:outlineLvl w:val="0"/>
        <w:rPr>
          <w:rFonts w:ascii="宋体" w:hAnsi="宋体" w:eastAsia="宋体" w:cs="宋体"/>
          <w:sz w:val="24"/>
          <w:szCs w:val="24"/>
        </w:rPr>
      </w:pPr>
      <w:r>
        <w:rPr>
          <w:rFonts w:ascii="Times New Roman" w:hAnsi="Times New Roman" w:eastAsia="Times New Roman" w:cs="Times New Roman"/>
          <w:spacing w:val="-5"/>
          <w:position w:val="2"/>
          <w:sz w:val="24"/>
          <w:szCs w:val="24"/>
        </w:rPr>
        <w:t>2</w:t>
      </w:r>
      <w:r>
        <w:rPr>
          <w:rFonts w:ascii="Times New Roman" w:hAnsi="Times New Roman" w:eastAsia="Times New Roman" w:cs="Times New Roman"/>
          <w:spacing w:val="-32"/>
          <w:position w:val="2"/>
          <w:sz w:val="24"/>
          <w:szCs w:val="24"/>
        </w:rPr>
        <w:t xml:space="preserve"> </w:t>
      </w:r>
      <w:r>
        <w:rPr>
          <w:rFonts w:ascii="宋体" w:hAnsi="宋体" w:eastAsia="宋体" w:cs="宋体"/>
          <w:spacing w:val="-5"/>
          <w:position w:val="2"/>
          <w:sz w:val="24"/>
          <w:szCs w:val="24"/>
        </w:rPr>
        <w:t>、病死猪尸体</w:t>
      </w:r>
    </w:p>
    <w:p w14:paraId="620B7AF9">
      <w:pPr>
        <w:spacing w:before="165" w:line="377" w:lineRule="auto"/>
        <w:ind w:right="60" w:firstLine="479"/>
        <w:jc w:val="both"/>
        <w:rPr>
          <w:rFonts w:ascii="宋体" w:hAnsi="宋体" w:eastAsia="宋体" w:cs="宋体"/>
          <w:sz w:val="24"/>
          <w:szCs w:val="24"/>
        </w:rPr>
      </w:pPr>
      <w:r>
        <w:rPr>
          <w:rFonts w:ascii="宋体" w:hAnsi="宋体" w:eastAsia="宋体" w:cs="宋体"/>
          <w:spacing w:val="2"/>
          <w:sz w:val="24"/>
          <w:szCs w:val="24"/>
        </w:rPr>
        <w:t>对于不明原因病死牲畜、其排泄物以及被污染的垫料、饲料和其他物品，可能</w:t>
      </w:r>
      <w:r>
        <w:rPr>
          <w:rFonts w:ascii="宋体" w:hAnsi="宋体" w:eastAsia="宋体" w:cs="宋体"/>
          <w:spacing w:val="11"/>
          <w:sz w:val="24"/>
          <w:szCs w:val="24"/>
        </w:rPr>
        <w:t xml:space="preserve"> </w:t>
      </w:r>
      <w:r>
        <w:rPr>
          <w:rFonts w:ascii="宋体" w:hAnsi="宋体" w:eastAsia="宋体" w:cs="宋体"/>
          <w:spacing w:val="2"/>
          <w:sz w:val="24"/>
          <w:szCs w:val="24"/>
        </w:rPr>
        <w:t>带有病源微生物，易传播疾病，给人畜带来危害，必须进行无害化处理。被传染病</w:t>
      </w:r>
      <w:r>
        <w:rPr>
          <w:rFonts w:ascii="宋体" w:hAnsi="宋体" w:eastAsia="宋体" w:cs="宋体"/>
          <w:spacing w:val="6"/>
          <w:sz w:val="24"/>
          <w:szCs w:val="24"/>
        </w:rPr>
        <w:t xml:space="preserve"> </w:t>
      </w:r>
      <w:r>
        <w:rPr>
          <w:rFonts w:ascii="宋体" w:hAnsi="宋体" w:eastAsia="宋体" w:cs="宋体"/>
          <w:spacing w:val="2"/>
          <w:sz w:val="24"/>
          <w:szCs w:val="24"/>
        </w:rPr>
        <w:t>感染的死猪和粪便属于广东省严控废物，应按《病死及病害动物无害化处理技术规</w:t>
      </w:r>
      <w:r>
        <w:rPr>
          <w:rFonts w:ascii="宋体" w:hAnsi="宋体" w:eastAsia="宋体" w:cs="宋体"/>
          <w:spacing w:val="6"/>
          <w:sz w:val="24"/>
          <w:szCs w:val="24"/>
        </w:rPr>
        <w:t xml:space="preserve"> </w:t>
      </w:r>
      <w:r>
        <w:rPr>
          <w:rFonts w:ascii="宋体" w:hAnsi="宋体" w:eastAsia="宋体" w:cs="宋体"/>
          <w:spacing w:val="-1"/>
          <w:sz w:val="24"/>
          <w:szCs w:val="24"/>
        </w:rPr>
        <w:t>范》（农医发</w:t>
      </w:r>
      <w:r>
        <w:rPr>
          <w:rFonts w:ascii="Times New Roman" w:hAnsi="Times New Roman" w:eastAsia="Times New Roman" w:cs="Times New Roman"/>
          <w:spacing w:val="-1"/>
          <w:sz w:val="24"/>
          <w:szCs w:val="24"/>
        </w:rPr>
        <w:t>201725</w:t>
      </w:r>
      <w:r>
        <w:rPr>
          <w:rFonts w:ascii="Times New Roman" w:hAnsi="Times New Roman" w:eastAsia="Times New Roman" w:cs="Times New Roman"/>
          <w:spacing w:val="28"/>
          <w:w w:val="101"/>
          <w:sz w:val="24"/>
          <w:szCs w:val="24"/>
        </w:rPr>
        <w:t xml:space="preserve"> </w:t>
      </w:r>
      <w:r>
        <w:rPr>
          <w:rFonts w:ascii="宋体" w:hAnsi="宋体" w:eastAsia="宋体" w:cs="宋体"/>
          <w:spacing w:val="-1"/>
          <w:sz w:val="24"/>
          <w:szCs w:val="24"/>
        </w:rPr>
        <w:t>号）处理。本项目病死猪尸产生量为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3.75t/a</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，依托海丰县公平</w:t>
      </w:r>
      <w:r>
        <w:rPr>
          <w:rFonts w:ascii="宋体" w:hAnsi="宋体" w:eastAsia="宋体" w:cs="宋体"/>
          <w:sz w:val="24"/>
          <w:szCs w:val="24"/>
        </w:rPr>
        <w:t xml:space="preserve"> </w:t>
      </w:r>
      <w:r>
        <w:rPr>
          <w:rFonts w:ascii="宋体" w:hAnsi="宋体" w:eastAsia="宋体" w:cs="宋体"/>
          <w:spacing w:val="-3"/>
          <w:sz w:val="24"/>
          <w:szCs w:val="24"/>
        </w:rPr>
        <w:t>镇龙寨实成种养专业合作社项目中的安全填埋井对本项目病死猪尸体进行处理，其</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个安全填埋井位于本项目东南面约</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195m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处，安全填埋井距离本项目很近，且中间间</w:t>
      </w:r>
      <w:r>
        <w:rPr>
          <w:rFonts w:ascii="宋体" w:hAnsi="宋体" w:eastAsia="宋体" w:cs="宋体"/>
          <w:sz w:val="24"/>
          <w:szCs w:val="24"/>
        </w:rPr>
        <w:t xml:space="preserve"> </w:t>
      </w:r>
      <w:r>
        <w:rPr>
          <w:rFonts w:ascii="宋体" w:hAnsi="宋体" w:eastAsia="宋体" w:cs="宋体"/>
          <w:spacing w:val="-1"/>
          <w:sz w:val="24"/>
          <w:szCs w:val="24"/>
        </w:rPr>
        <w:t>隔没有环境敏感点，运输上不影响周边环境。填埋井建</w:t>
      </w:r>
      <w:r>
        <w:rPr>
          <w:rFonts w:ascii="宋体" w:hAnsi="宋体" w:eastAsia="宋体" w:cs="宋体"/>
          <w:spacing w:val="-2"/>
          <w:sz w:val="24"/>
          <w:szCs w:val="24"/>
        </w:rPr>
        <w:t>设深度</w:t>
      </w:r>
      <w:r>
        <w:rPr>
          <w:rFonts w:ascii="Times New Roman" w:hAnsi="Times New Roman" w:eastAsia="Times New Roman" w:cs="Times New Roman"/>
          <w:spacing w:val="-2"/>
          <w:sz w:val="24"/>
          <w:szCs w:val="24"/>
        </w:rPr>
        <w:t>6.5m</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，直径为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1.6m</w:t>
      </w:r>
      <w:r>
        <w:rPr>
          <w:rFonts w:ascii="宋体" w:hAnsi="宋体" w:eastAsia="宋体" w:cs="宋体"/>
          <w:spacing w:val="-2"/>
          <w:sz w:val="24"/>
          <w:szCs w:val="24"/>
        </w:rPr>
        <w:t>，</w:t>
      </w:r>
    </w:p>
    <w:p w14:paraId="22E0266F">
      <w:pPr>
        <w:spacing w:line="377" w:lineRule="auto"/>
        <w:rPr>
          <w:rFonts w:ascii="宋体" w:hAnsi="宋体" w:eastAsia="宋体" w:cs="宋体"/>
          <w:sz w:val="24"/>
          <w:szCs w:val="24"/>
        </w:rPr>
        <w:sectPr>
          <w:footerReference r:id="rId158" w:type="default"/>
          <w:pgSz w:w="11906" w:h="16839"/>
          <w:pgMar w:top="400" w:right="1525" w:bottom="1485" w:left="1597" w:header="0" w:footer="1249" w:gutter="0"/>
          <w:cols w:space="720" w:num="1"/>
        </w:sectPr>
      </w:pPr>
    </w:p>
    <w:p w14:paraId="6407D600">
      <w:pPr>
        <w:pStyle w:val="2"/>
        <w:spacing w:line="255" w:lineRule="auto"/>
      </w:pPr>
    </w:p>
    <w:p w14:paraId="5DF62BB3">
      <w:pPr>
        <w:pStyle w:val="2"/>
        <w:spacing w:line="255" w:lineRule="auto"/>
      </w:pPr>
    </w:p>
    <w:p w14:paraId="1BEDE06D">
      <w:pPr>
        <w:pStyle w:val="2"/>
        <w:spacing w:line="256" w:lineRule="auto"/>
      </w:pPr>
    </w:p>
    <w:p w14:paraId="74D7134B">
      <w:pPr>
        <w:pStyle w:val="2"/>
        <w:spacing w:line="256" w:lineRule="auto"/>
      </w:pPr>
    </w:p>
    <w:p w14:paraId="02EAFC50">
      <w:pPr>
        <w:spacing w:before="78" w:line="376" w:lineRule="auto"/>
        <w:ind w:left="1" w:right="58"/>
        <w:jc w:val="both"/>
        <w:rPr>
          <w:rFonts w:ascii="宋体" w:hAnsi="宋体" w:eastAsia="宋体" w:cs="宋体"/>
          <w:sz w:val="24"/>
          <w:szCs w:val="24"/>
        </w:rPr>
      </w:pPr>
      <w:r>
        <w:rPr>
          <w:rFonts w:ascii="宋体" w:hAnsi="宋体" w:eastAsia="宋体" w:cs="宋体"/>
          <w:spacing w:val="-1"/>
          <w:sz w:val="24"/>
          <w:szCs w:val="24"/>
        </w:rPr>
        <w:t>加盖密封。</w:t>
      </w:r>
      <w:r>
        <w:rPr>
          <w:rFonts w:ascii="宋体" w:hAnsi="宋体" w:eastAsia="宋体" w:cs="宋体"/>
          <w:spacing w:val="-63"/>
          <w:sz w:val="24"/>
          <w:szCs w:val="24"/>
        </w:rPr>
        <w:t xml:space="preserve"> </w:t>
      </w:r>
      <w:r>
        <w:rPr>
          <w:rFonts w:ascii="宋体" w:hAnsi="宋体" w:eastAsia="宋体" w:cs="宋体"/>
          <w:spacing w:val="-1"/>
          <w:sz w:val="24"/>
          <w:szCs w:val="24"/>
        </w:rPr>
        <w:t>目前项目拟依托的安全填埋井从</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2015 </w:t>
      </w:r>
      <w:r>
        <w:rPr>
          <w:rFonts w:ascii="宋体" w:hAnsi="宋体" w:eastAsia="宋体" w:cs="宋体"/>
          <w:spacing w:val="-1"/>
          <w:sz w:val="24"/>
          <w:szCs w:val="24"/>
        </w:rPr>
        <w:t>年使用</w:t>
      </w:r>
      <w:r>
        <w:rPr>
          <w:rFonts w:ascii="宋体" w:hAnsi="宋体" w:eastAsia="宋体" w:cs="宋体"/>
          <w:spacing w:val="-2"/>
          <w:sz w:val="24"/>
          <w:szCs w:val="24"/>
        </w:rPr>
        <w:t>至今，使用容积小于</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剩余足够的容量供两个项目同时使用。海丰县公平镇龙寨实成种养专业合作社接收</w:t>
      </w:r>
      <w:r>
        <w:rPr>
          <w:rFonts w:ascii="宋体" w:hAnsi="宋体" w:eastAsia="宋体" w:cs="宋体"/>
          <w:spacing w:val="6"/>
          <w:sz w:val="24"/>
          <w:szCs w:val="24"/>
        </w:rPr>
        <w:t xml:space="preserve"> </w:t>
      </w:r>
      <w:r>
        <w:rPr>
          <w:rFonts w:ascii="宋体" w:hAnsi="宋体" w:eastAsia="宋体" w:cs="宋体"/>
          <w:spacing w:val="3"/>
          <w:sz w:val="24"/>
          <w:szCs w:val="24"/>
        </w:rPr>
        <w:t>本项目病死猪尸体证明见附件</w:t>
      </w:r>
      <w:r>
        <w:rPr>
          <w:rFonts w:ascii="Times New Roman" w:hAnsi="Times New Roman" w:eastAsia="Times New Roman" w:cs="Times New Roman"/>
          <w:spacing w:val="3"/>
          <w:sz w:val="24"/>
          <w:szCs w:val="24"/>
        </w:rPr>
        <w:t>6</w:t>
      </w:r>
      <w:r>
        <w:rPr>
          <w:rFonts w:ascii="宋体" w:hAnsi="宋体" w:eastAsia="宋体" w:cs="宋体"/>
          <w:spacing w:val="3"/>
          <w:sz w:val="24"/>
          <w:szCs w:val="24"/>
        </w:rPr>
        <w:t>。</w:t>
      </w:r>
    </w:p>
    <w:p w14:paraId="4E221AE8">
      <w:pPr>
        <w:spacing w:before="4" w:line="375" w:lineRule="auto"/>
        <w:ind w:firstLine="483"/>
        <w:rPr>
          <w:rFonts w:ascii="宋体" w:hAnsi="宋体" w:eastAsia="宋体" w:cs="宋体"/>
          <w:sz w:val="24"/>
          <w:szCs w:val="24"/>
        </w:rPr>
      </w:pPr>
      <w:r>
        <w:rPr>
          <w:rFonts w:ascii="宋体" w:hAnsi="宋体" w:eastAsia="宋体" w:cs="宋体"/>
          <w:sz w:val="24"/>
          <w:szCs w:val="24"/>
        </w:rPr>
        <w:t>填埋井填埋时应该严格按照《畜禽养殖业污染防治技术规范》（</w:t>
      </w:r>
      <w:r>
        <w:rPr>
          <w:rFonts w:ascii="Times New Roman" w:hAnsi="Times New Roman" w:eastAsia="Times New Roman" w:cs="Times New Roman"/>
          <w:sz w:val="24"/>
          <w:szCs w:val="24"/>
        </w:rPr>
        <w:t>HJ/T81-200</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要求进行，填埋井采用混凝土结构并做好防渗措施，对填埋点、运输车辆、工具等</w:t>
      </w:r>
      <w:r>
        <w:rPr>
          <w:rFonts w:ascii="宋体" w:hAnsi="宋体" w:eastAsia="宋体" w:cs="宋体"/>
          <w:spacing w:val="8"/>
          <w:sz w:val="24"/>
          <w:szCs w:val="24"/>
        </w:rPr>
        <w:t xml:space="preserve"> </w:t>
      </w:r>
      <w:r>
        <w:rPr>
          <w:rFonts w:ascii="宋体" w:hAnsi="宋体" w:eastAsia="宋体" w:cs="宋体"/>
          <w:spacing w:val="3"/>
          <w:sz w:val="24"/>
          <w:szCs w:val="24"/>
        </w:rPr>
        <w:t>进行严格的消毒。同事填埋点应设有害物质标志，以作警示，并对周围进行绿化。</w:t>
      </w:r>
      <w:r>
        <w:rPr>
          <w:rFonts w:ascii="宋体" w:hAnsi="宋体" w:eastAsia="宋体" w:cs="宋体"/>
          <w:spacing w:val="4"/>
          <w:sz w:val="24"/>
          <w:szCs w:val="24"/>
        </w:rPr>
        <w:t xml:space="preserve"> </w:t>
      </w:r>
      <w:r>
        <w:rPr>
          <w:rFonts w:ascii="宋体" w:hAnsi="宋体" w:eastAsia="宋体" w:cs="宋体"/>
          <w:spacing w:val="2"/>
          <w:sz w:val="24"/>
          <w:szCs w:val="24"/>
        </w:rPr>
        <w:t>同时要求厂区配置一套常规防疫检测设备。根据《病死及病害动物无害化处理技术</w:t>
      </w:r>
      <w:r>
        <w:rPr>
          <w:rFonts w:ascii="宋体" w:hAnsi="宋体" w:eastAsia="宋体" w:cs="宋体"/>
          <w:spacing w:val="8"/>
          <w:sz w:val="24"/>
          <w:szCs w:val="24"/>
        </w:rPr>
        <w:t xml:space="preserve"> </w:t>
      </w:r>
      <w:r>
        <w:rPr>
          <w:rFonts w:ascii="宋体" w:hAnsi="宋体" w:eastAsia="宋体" w:cs="宋体"/>
          <w:spacing w:val="-4"/>
          <w:sz w:val="24"/>
          <w:szCs w:val="24"/>
        </w:rPr>
        <w:t>规范》（农医发〔</w:t>
      </w:r>
      <w:r>
        <w:rPr>
          <w:rFonts w:ascii="Times New Roman" w:hAnsi="Times New Roman" w:eastAsia="Times New Roman" w:cs="Times New Roman"/>
          <w:spacing w:val="-4"/>
          <w:sz w:val="24"/>
          <w:szCs w:val="24"/>
        </w:rPr>
        <w:t>2017</w:t>
      </w:r>
      <w:r>
        <w:rPr>
          <w:rFonts w:ascii="宋体" w:hAnsi="宋体" w:eastAsia="宋体" w:cs="宋体"/>
          <w:spacing w:val="-4"/>
          <w:sz w:val="24"/>
          <w:szCs w:val="24"/>
        </w:rPr>
        <w:t>〕</w:t>
      </w:r>
      <w:r>
        <w:rPr>
          <w:rFonts w:ascii="Times New Roman" w:hAnsi="Times New Roman" w:eastAsia="Times New Roman" w:cs="Times New Roman"/>
          <w:spacing w:val="-4"/>
          <w:sz w:val="24"/>
          <w:szCs w:val="24"/>
        </w:rPr>
        <w:t>25</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号</w:t>
      </w:r>
      <w:r>
        <w:rPr>
          <w:rFonts w:ascii="宋体" w:hAnsi="宋体" w:eastAsia="宋体" w:cs="宋体"/>
          <w:spacing w:val="13"/>
          <w:sz w:val="24"/>
          <w:szCs w:val="24"/>
        </w:rPr>
        <w:t>），</w:t>
      </w:r>
      <w:r>
        <w:rPr>
          <w:rFonts w:ascii="宋体" w:hAnsi="宋体" w:eastAsia="宋体" w:cs="宋体"/>
          <w:spacing w:val="-4"/>
          <w:sz w:val="24"/>
          <w:szCs w:val="24"/>
        </w:rPr>
        <w:t>填埋井底部应高出地下水位</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37"/>
          <w:w w:val="101"/>
          <w:sz w:val="24"/>
          <w:szCs w:val="24"/>
        </w:rPr>
        <w:t xml:space="preserve"> </w:t>
      </w:r>
      <w:r>
        <w:rPr>
          <w:rFonts w:ascii="宋体" w:hAnsi="宋体" w:eastAsia="宋体" w:cs="宋体"/>
          <w:spacing w:val="-4"/>
          <w:sz w:val="24"/>
          <w:szCs w:val="24"/>
        </w:rPr>
        <w:t>以上，要防渗、</w:t>
      </w:r>
      <w:r>
        <w:rPr>
          <w:rFonts w:ascii="宋体" w:hAnsi="宋体" w:eastAsia="宋体" w:cs="宋体"/>
          <w:sz w:val="24"/>
          <w:szCs w:val="24"/>
        </w:rPr>
        <w:t xml:space="preserve"> </w:t>
      </w:r>
      <w:r>
        <w:rPr>
          <w:rFonts w:ascii="宋体" w:hAnsi="宋体" w:eastAsia="宋体" w:cs="宋体"/>
          <w:spacing w:val="3"/>
          <w:sz w:val="24"/>
          <w:szCs w:val="24"/>
        </w:rPr>
        <w:t>防漏，填埋前井底洒一层厚度为</w:t>
      </w:r>
      <w:r>
        <w:rPr>
          <w:rFonts w:ascii="Times New Roman" w:hAnsi="Times New Roman" w:eastAsia="Times New Roman" w:cs="Times New Roman"/>
          <w:spacing w:val="3"/>
          <w:sz w:val="24"/>
          <w:szCs w:val="24"/>
        </w:rPr>
        <w:t>2-5</w:t>
      </w:r>
      <w:r>
        <w:rPr>
          <w:rFonts w:ascii="Times New Roman" w:hAnsi="Times New Roman" w:eastAsia="Times New Roman" w:cs="Times New Roman"/>
          <w:sz w:val="24"/>
          <w:szCs w:val="24"/>
        </w:rPr>
        <w:t>cm</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的生石灰等</w:t>
      </w:r>
      <w:r>
        <w:rPr>
          <w:rFonts w:ascii="宋体" w:hAnsi="宋体" w:eastAsia="宋体" w:cs="宋体"/>
          <w:spacing w:val="2"/>
          <w:sz w:val="24"/>
          <w:szCs w:val="24"/>
        </w:rPr>
        <w:t>消毒剂，填满时，最上层距离地</w:t>
      </w:r>
      <w:r>
        <w:rPr>
          <w:rFonts w:ascii="宋体" w:hAnsi="宋体" w:eastAsia="宋体" w:cs="宋体"/>
          <w:sz w:val="24"/>
          <w:szCs w:val="24"/>
        </w:rPr>
        <w:t xml:space="preserve"> </w:t>
      </w:r>
      <w:r>
        <w:rPr>
          <w:rFonts w:ascii="宋体" w:hAnsi="宋体" w:eastAsia="宋体" w:cs="宋体"/>
          <w:spacing w:val="-3"/>
          <w:sz w:val="24"/>
          <w:szCs w:val="24"/>
        </w:rPr>
        <w:t>面</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38"/>
          <w:sz w:val="24"/>
          <w:szCs w:val="24"/>
        </w:rPr>
        <w:t xml:space="preserve"> </w:t>
      </w:r>
      <w:r>
        <w:rPr>
          <w:rFonts w:ascii="宋体" w:hAnsi="宋体" w:eastAsia="宋体" w:cs="宋体"/>
          <w:spacing w:val="-3"/>
          <w:sz w:val="24"/>
          <w:szCs w:val="24"/>
        </w:rPr>
        <w:t>以上。进行填埋时，在每次投入畜禽尸体后，覆盖一层厚度</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12cm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的熟石灰</w:t>
      </w:r>
      <w:r>
        <w:rPr>
          <w:rFonts w:ascii="宋体" w:hAnsi="宋体" w:eastAsia="宋体" w:cs="宋体"/>
          <w:sz w:val="24"/>
          <w:szCs w:val="24"/>
        </w:rPr>
        <w:t xml:space="preserve"> </w:t>
      </w:r>
      <w:r>
        <w:rPr>
          <w:rFonts w:ascii="宋体" w:hAnsi="宋体" w:eastAsia="宋体" w:cs="宋体"/>
          <w:spacing w:val="-1"/>
          <w:sz w:val="24"/>
          <w:szCs w:val="24"/>
        </w:rPr>
        <w:t>消毒，经填满后，需用粘土填埋压实并封口。</w:t>
      </w:r>
    </w:p>
    <w:p w14:paraId="1CAB3CB8">
      <w:pPr>
        <w:spacing w:before="7" w:line="361" w:lineRule="exact"/>
        <w:ind w:left="482"/>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、危险废物</w:t>
      </w:r>
    </w:p>
    <w:p w14:paraId="0154B382">
      <w:pPr>
        <w:spacing w:before="163" w:line="362" w:lineRule="auto"/>
        <w:ind w:left="1" w:right="56" w:firstLine="479"/>
        <w:rPr>
          <w:rFonts w:ascii="宋体" w:hAnsi="宋体" w:eastAsia="宋体" w:cs="宋体"/>
          <w:sz w:val="24"/>
          <w:szCs w:val="24"/>
        </w:rPr>
      </w:pPr>
      <w:r>
        <w:rPr>
          <w:rFonts w:ascii="宋体" w:hAnsi="宋体" w:eastAsia="宋体" w:cs="宋体"/>
          <w:spacing w:val="2"/>
          <w:sz w:val="24"/>
          <w:szCs w:val="24"/>
        </w:rPr>
        <w:t>在养殖过程中牲畜需要注射一些疫苗，会产生少量针头、感染过的包装袋等。</w:t>
      </w:r>
      <w:r>
        <w:rPr>
          <w:rFonts w:ascii="宋体" w:hAnsi="宋体" w:eastAsia="宋体" w:cs="宋体"/>
          <w:spacing w:val="13"/>
          <w:sz w:val="24"/>
          <w:szCs w:val="24"/>
        </w:rPr>
        <w:t xml:space="preserve"> </w:t>
      </w:r>
      <w:r>
        <w:rPr>
          <w:rFonts w:ascii="宋体" w:hAnsi="宋体" w:eastAsia="宋体" w:cs="宋体"/>
          <w:sz w:val="24"/>
          <w:szCs w:val="24"/>
        </w:rPr>
        <w:t>类比同类型规模化养殖场，本项目运营期医疗废物的产生量为</w:t>
      </w:r>
      <w:r>
        <w:rPr>
          <w:rFonts w:ascii="Times New Roman" w:hAnsi="Times New Roman" w:eastAsia="Times New Roman" w:cs="Times New Roman"/>
          <w:sz w:val="24"/>
          <w:szCs w:val="24"/>
        </w:rPr>
        <w:t>0.2t/a</w:t>
      </w:r>
      <w:r>
        <w:rPr>
          <w:rFonts w:ascii="Times New Roman" w:hAnsi="Times New Roman" w:eastAsia="Times New Roman" w:cs="Times New Roman"/>
          <w:spacing w:val="-35"/>
          <w:sz w:val="24"/>
          <w:szCs w:val="24"/>
        </w:rPr>
        <w:t xml:space="preserve"> </w:t>
      </w:r>
      <w:r>
        <w:rPr>
          <w:rFonts w:ascii="宋体" w:hAnsi="宋体" w:eastAsia="宋体" w:cs="宋体"/>
          <w:sz w:val="24"/>
          <w:szCs w:val="24"/>
        </w:rPr>
        <w:t>，该</w:t>
      </w:r>
      <w:r>
        <w:rPr>
          <w:rFonts w:ascii="宋体" w:hAnsi="宋体" w:eastAsia="宋体" w:cs="宋体"/>
          <w:spacing w:val="-1"/>
          <w:sz w:val="24"/>
          <w:szCs w:val="24"/>
        </w:rPr>
        <w:t>部分固废属</w:t>
      </w:r>
      <w:r>
        <w:rPr>
          <w:rFonts w:ascii="宋体" w:hAnsi="宋体" w:eastAsia="宋体" w:cs="宋体"/>
          <w:sz w:val="24"/>
          <w:szCs w:val="24"/>
        </w:rPr>
        <w:t xml:space="preserve"> </w:t>
      </w:r>
      <w:r>
        <w:rPr>
          <w:rFonts w:ascii="宋体" w:hAnsi="宋体" w:eastAsia="宋体" w:cs="宋体"/>
          <w:spacing w:val="2"/>
          <w:sz w:val="24"/>
          <w:szCs w:val="24"/>
        </w:rPr>
        <w:t>于危险废物，废物代码为</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2"/>
          <w:sz w:val="24"/>
          <w:szCs w:val="24"/>
        </w:rPr>
        <w:t>01</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，收集后交由有资质的单位处理。</w:t>
      </w:r>
      <w:r>
        <w:rPr>
          <w:rFonts w:ascii="宋体" w:hAnsi="宋体" w:eastAsia="宋体" w:cs="宋体"/>
          <w:spacing w:val="1"/>
          <w:sz w:val="24"/>
          <w:szCs w:val="24"/>
        </w:rPr>
        <w:t>建设单位应对产</w:t>
      </w:r>
      <w:r>
        <w:rPr>
          <w:rFonts w:ascii="宋体" w:hAnsi="宋体" w:eastAsia="宋体" w:cs="宋体"/>
          <w:sz w:val="24"/>
          <w:szCs w:val="24"/>
        </w:rPr>
        <w:t xml:space="preserve"> </w:t>
      </w:r>
      <w:r>
        <w:rPr>
          <w:rFonts w:ascii="宋体" w:hAnsi="宋体" w:eastAsia="宋体" w:cs="宋体"/>
          <w:spacing w:val="-1"/>
          <w:sz w:val="24"/>
          <w:szCs w:val="24"/>
        </w:rPr>
        <w:t>生的危险废物采取如下治理措施：</w:t>
      </w:r>
    </w:p>
    <w:p w14:paraId="612C3248">
      <w:pPr>
        <w:spacing w:before="75" w:line="324" w:lineRule="auto"/>
        <w:ind w:left="1" w:right="61" w:firstLine="479"/>
        <w:rPr>
          <w:rFonts w:ascii="宋体" w:hAnsi="宋体" w:eastAsia="宋体" w:cs="宋体"/>
          <w:sz w:val="24"/>
          <w:szCs w:val="24"/>
        </w:rPr>
      </w:pPr>
      <w:r>
        <w:rPr>
          <w:rFonts w:ascii="宋体" w:hAnsi="宋体" w:eastAsia="宋体" w:cs="宋体"/>
          <w:spacing w:val="2"/>
          <w:sz w:val="24"/>
          <w:szCs w:val="24"/>
        </w:rPr>
        <w:t>①建设单位应当及时分类收集本单位产生的医疗废物，并按照类别分置于防渗</w:t>
      </w:r>
      <w:r>
        <w:rPr>
          <w:rFonts w:ascii="宋体" w:hAnsi="宋体" w:eastAsia="宋体" w:cs="宋体"/>
          <w:spacing w:val="8"/>
          <w:sz w:val="24"/>
          <w:szCs w:val="24"/>
        </w:rPr>
        <w:t xml:space="preserve"> </w:t>
      </w:r>
      <w:r>
        <w:rPr>
          <w:rFonts w:ascii="宋体" w:hAnsi="宋体" w:eastAsia="宋体" w:cs="宋体"/>
          <w:spacing w:val="2"/>
          <w:sz w:val="24"/>
          <w:szCs w:val="24"/>
        </w:rPr>
        <w:t>漏、防锐器穿透的专用包装物或者密闭的容器内，医疗废物和废液专用包装物、容</w:t>
      </w:r>
      <w:r>
        <w:rPr>
          <w:rFonts w:ascii="宋体" w:hAnsi="宋体" w:eastAsia="宋体" w:cs="宋体"/>
          <w:spacing w:val="3"/>
          <w:sz w:val="24"/>
          <w:szCs w:val="24"/>
        </w:rPr>
        <w:t xml:space="preserve"> </w:t>
      </w:r>
      <w:r>
        <w:rPr>
          <w:rFonts w:ascii="宋体" w:hAnsi="宋体" w:eastAsia="宋体" w:cs="宋体"/>
          <w:spacing w:val="-1"/>
          <w:sz w:val="24"/>
          <w:szCs w:val="24"/>
        </w:rPr>
        <w:t>器，应当有明显的警示标识和警示说明。</w:t>
      </w:r>
    </w:p>
    <w:p w14:paraId="133609D8">
      <w:pPr>
        <w:spacing w:before="201" w:line="338" w:lineRule="auto"/>
        <w:ind w:right="58" w:firstLine="479"/>
        <w:rPr>
          <w:rFonts w:ascii="宋体" w:hAnsi="宋体" w:eastAsia="宋体" w:cs="宋体"/>
          <w:sz w:val="24"/>
          <w:szCs w:val="24"/>
        </w:rPr>
      </w:pPr>
      <w:r>
        <w:rPr>
          <w:rFonts w:ascii="宋体" w:hAnsi="宋体" w:eastAsia="宋体" w:cs="宋体"/>
          <w:spacing w:val="2"/>
          <w:sz w:val="24"/>
          <w:szCs w:val="24"/>
        </w:rPr>
        <w:t>②设置危险废物的暂时贮存设施，不得露天存放危险废物；危险废物的暂时贮</w:t>
      </w:r>
      <w:r>
        <w:rPr>
          <w:rFonts w:ascii="宋体" w:hAnsi="宋体" w:eastAsia="宋体" w:cs="宋体"/>
          <w:spacing w:val="12"/>
          <w:sz w:val="24"/>
          <w:szCs w:val="24"/>
        </w:rPr>
        <w:t xml:space="preserve"> </w:t>
      </w:r>
      <w:r>
        <w:rPr>
          <w:rFonts w:ascii="宋体" w:hAnsi="宋体" w:eastAsia="宋体" w:cs="宋体"/>
          <w:spacing w:val="2"/>
          <w:sz w:val="24"/>
          <w:szCs w:val="24"/>
        </w:rPr>
        <w:t>存设施应当远人员活动区以及生活垃圾存放场所，设置明显的警示标识和防渗漏、</w:t>
      </w:r>
      <w:r>
        <w:rPr>
          <w:rFonts w:ascii="宋体" w:hAnsi="宋体" w:eastAsia="宋体" w:cs="宋体"/>
          <w:spacing w:val="7"/>
          <w:sz w:val="24"/>
          <w:szCs w:val="24"/>
        </w:rPr>
        <w:t xml:space="preserve"> </w:t>
      </w:r>
      <w:r>
        <w:rPr>
          <w:rFonts w:ascii="宋体" w:hAnsi="宋体" w:eastAsia="宋体" w:cs="宋体"/>
          <w:spacing w:val="2"/>
          <w:sz w:val="24"/>
          <w:szCs w:val="24"/>
        </w:rPr>
        <w:t>防鼠、防蚊蝇、防蟑螂、防盗以及预防儿童接触等安全措施，并应当定期消毒和清</w:t>
      </w:r>
      <w:r>
        <w:rPr>
          <w:rFonts w:ascii="宋体" w:hAnsi="宋体" w:eastAsia="宋体" w:cs="宋体"/>
          <w:spacing w:val="7"/>
          <w:sz w:val="24"/>
          <w:szCs w:val="24"/>
        </w:rPr>
        <w:t xml:space="preserve"> </w:t>
      </w:r>
      <w:r>
        <w:rPr>
          <w:rFonts w:ascii="宋体" w:hAnsi="宋体" w:eastAsia="宋体" w:cs="宋体"/>
          <w:spacing w:val="-5"/>
          <w:sz w:val="24"/>
          <w:szCs w:val="24"/>
        </w:rPr>
        <w:t>洁。</w:t>
      </w:r>
    </w:p>
    <w:p w14:paraId="600F6768">
      <w:pPr>
        <w:spacing w:before="164" w:line="376" w:lineRule="auto"/>
        <w:ind w:right="56" w:firstLine="481"/>
        <w:jc w:val="both"/>
        <w:rPr>
          <w:rFonts w:ascii="宋体" w:hAnsi="宋体" w:eastAsia="宋体" w:cs="宋体"/>
          <w:sz w:val="24"/>
          <w:szCs w:val="24"/>
        </w:rPr>
      </w:pPr>
      <w:r>
        <w:rPr>
          <w:rFonts w:ascii="宋体" w:hAnsi="宋体" w:eastAsia="宋体" w:cs="宋体"/>
          <w:spacing w:val="1"/>
          <w:sz w:val="24"/>
          <w:szCs w:val="24"/>
        </w:rPr>
        <w:t>根据《危险废物贮存污染控制标准》（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18597-2001</w:t>
      </w:r>
      <w:r>
        <w:rPr>
          <w:rFonts w:ascii="宋体" w:hAnsi="宋体" w:eastAsia="宋体" w:cs="宋体"/>
          <w:sz w:val="24"/>
          <w:szCs w:val="24"/>
        </w:rPr>
        <w:t xml:space="preserve">）的有关要求，本项目设 </w:t>
      </w:r>
      <w:r>
        <w:rPr>
          <w:rFonts w:ascii="宋体" w:hAnsi="宋体" w:eastAsia="宋体" w:cs="宋体"/>
          <w:spacing w:val="2"/>
          <w:sz w:val="24"/>
          <w:szCs w:val="24"/>
        </w:rPr>
        <w:t>置独立的医疗废物暂存间，属地面单层建筑，位于猪舍的西北面，建设单位在做好</w:t>
      </w:r>
      <w:r>
        <w:rPr>
          <w:rFonts w:ascii="宋体" w:hAnsi="宋体" w:eastAsia="宋体" w:cs="宋体"/>
          <w:spacing w:val="8"/>
          <w:sz w:val="24"/>
          <w:szCs w:val="24"/>
        </w:rPr>
        <w:t xml:space="preserve"> </w:t>
      </w:r>
      <w:r>
        <w:rPr>
          <w:rFonts w:ascii="宋体" w:hAnsi="宋体" w:eastAsia="宋体" w:cs="宋体"/>
          <w:spacing w:val="2"/>
          <w:sz w:val="24"/>
          <w:szCs w:val="24"/>
        </w:rPr>
        <w:t>医疗废物暂存间的清洁与除臭消毒措施后，本项目危险废物不会对项目内部及周围</w:t>
      </w:r>
      <w:r>
        <w:rPr>
          <w:rFonts w:ascii="宋体" w:hAnsi="宋体" w:eastAsia="宋体" w:cs="宋体"/>
          <w:spacing w:val="8"/>
          <w:sz w:val="24"/>
          <w:szCs w:val="24"/>
        </w:rPr>
        <w:t xml:space="preserve"> </w:t>
      </w:r>
      <w:r>
        <w:rPr>
          <w:rFonts w:ascii="宋体" w:hAnsi="宋体" w:eastAsia="宋体" w:cs="宋体"/>
          <w:spacing w:val="-1"/>
          <w:sz w:val="24"/>
          <w:szCs w:val="24"/>
        </w:rPr>
        <w:t>环境产生明显不良影响。</w:t>
      </w:r>
    </w:p>
    <w:p w14:paraId="29045FA1">
      <w:pPr>
        <w:spacing w:line="360" w:lineRule="exact"/>
        <w:ind w:left="476"/>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、员工办公生活垃圾</w:t>
      </w:r>
    </w:p>
    <w:p w14:paraId="18FF7E4F">
      <w:pPr>
        <w:spacing w:line="360" w:lineRule="exact"/>
        <w:rPr>
          <w:rFonts w:ascii="宋体" w:hAnsi="宋体" w:eastAsia="宋体" w:cs="宋体"/>
          <w:sz w:val="24"/>
          <w:szCs w:val="24"/>
        </w:rPr>
        <w:sectPr>
          <w:footerReference r:id="rId159" w:type="default"/>
          <w:pgSz w:w="11906" w:h="16839"/>
          <w:pgMar w:top="400" w:right="1529" w:bottom="1485" w:left="1596" w:header="0" w:footer="1249" w:gutter="0"/>
          <w:cols w:space="720" w:num="1"/>
        </w:sectPr>
      </w:pPr>
    </w:p>
    <w:p w14:paraId="103A5CC8">
      <w:pPr>
        <w:pStyle w:val="2"/>
        <w:spacing w:line="264" w:lineRule="auto"/>
      </w:pPr>
    </w:p>
    <w:p w14:paraId="54D738B4">
      <w:pPr>
        <w:pStyle w:val="2"/>
        <w:spacing w:line="264" w:lineRule="auto"/>
      </w:pPr>
    </w:p>
    <w:p w14:paraId="64FC43FA">
      <w:pPr>
        <w:pStyle w:val="2"/>
        <w:spacing w:line="264" w:lineRule="auto"/>
      </w:pPr>
    </w:p>
    <w:p w14:paraId="45895F1A">
      <w:pPr>
        <w:pStyle w:val="2"/>
        <w:spacing w:line="264" w:lineRule="auto"/>
      </w:pPr>
    </w:p>
    <w:p w14:paraId="5A2DE4B7">
      <w:pPr>
        <w:spacing w:before="78" w:line="377" w:lineRule="auto"/>
        <w:ind w:left="30" w:right="81" w:firstLine="451"/>
        <w:rPr>
          <w:rFonts w:ascii="宋体" w:hAnsi="宋体" w:eastAsia="宋体" w:cs="宋体"/>
          <w:sz w:val="24"/>
          <w:szCs w:val="24"/>
        </w:rPr>
      </w:pPr>
      <w:r>
        <w:rPr>
          <w:rFonts w:ascii="宋体" w:hAnsi="宋体" w:eastAsia="宋体" w:cs="宋体"/>
          <w:spacing w:val="2"/>
          <w:sz w:val="24"/>
          <w:szCs w:val="24"/>
        </w:rPr>
        <w:t>本项目在项目区域内布设垃圾桶，并定期将垃圾桶中垃圾收集后集中堆放，交</w:t>
      </w:r>
      <w:r>
        <w:rPr>
          <w:rFonts w:ascii="宋体" w:hAnsi="宋体" w:eastAsia="宋体" w:cs="宋体"/>
          <w:spacing w:val="9"/>
          <w:sz w:val="24"/>
          <w:szCs w:val="24"/>
        </w:rPr>
        <w:t xml:space="preserve"> </w:t>
      </w:r>
      <w:r>
        <w:rPr>
          <w:rFonts w:ascii="宋体" w:hAnsi="宋体" w:eastAsia="宋体" w:cs="宋体"/>
          <w:spacing w:val="-2"/>
          <w:sz w:val="24"/>
          <w:szCs w:val="24"/>
        </w:rPr>
        <w:t>由当地环卫部门处理，并定期清洗、消毒垃圾堆放点。</w:t>
      </w:r>
    </w:p>
    <w:p w14:paraId="7124C2B9">
      <w:pPr>
        <w:spacing w:before="1" w:line="220" w:lineRule="auto"/>
        <w:ind w:left="483"/>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、废包装物</w:t>
      </w:r>
    </w:p>
    <w:p w14:paraId="120D61E0">
      <w:pPr>
        <w:spacing w:before="201" w:line="376" w:lineRule="auto"/>
        <w:ind w:right="81" w:firstLine="481"/>
        <w:rPr>
          <w:rFonts w:ascii="宋体" w:hAnsi="宋体" w:eastAsia="宋体" w:cs="宋体"/>
          <w:sz w:val="24"/>
          <w:szCs w:val="24"/>
        </w:rPr>
      </w:pPr>
      <w:r>
        <w:rPr>
          <w:rFonts w:ascii="宋体" w:hAnsi="宋体" w:eastAsia="宋体" w:cs="宋体"/>
          <w:spacing w:val="2"/>
          <w:sz w:val="24"/>
          <w:szCs w:val="24"/>
        </w:rPr>
        <w:t>主要是废塑料袋、废纸箱、废蛇皮袋等各种原辅材料的废弃包装料，交由原料</w:t>
      </w:r>
      <w:r>
        <w:rPr>
          <w:rFonts w:ascii="宋体" w:hAnsi="宋体" w:eastAsia="宋体" w:cs="宋体"/>
          <w:spacing w:val="8"/>
          <w:sz w:val="24"/>
          <w:szCs w:val="24"/>
        </w:rPr>
        <w:t xml:space="preserve"> </w:t>
      </w:r>
      <w:r>
        <w:rPr>
          <w:rFonts w:ascii="宋体" w:hAnsi="宋体" w:eastAsia="宋体" w:cs="宋体"/>
          <w:sz w:val="24"/>
          <w:szCs w:val="24"/>
        </w:rPr>
        <w:t>供应商回收或由环卫部门统一处理，不会对</w:t>
      </w:r>
      <w:r>
        <w:rPr>
          <w:rFonts w:ascii="宋体" w:hAnsi="宋体" w:eastAsia="宋体" w:cs="宋体"/>
          <w:spacing w:val="-1"/>
          <w:sz w:val="24"/>
          <w:szCs w:val="24"/>
        </w:rPr>
        <w:t>周围环境造成明显影响。</w:t>
      </w:r>
    </w:p>
    <w:p w14:paraId="5EE32181">
      <w:pPr>
        <w:spacing w:line="378" w:lineRule="auto"/>
        <w:ind w:right="81" w:firstLine="483"/>
        <w:rPr>
          <w:rFonts w:ascii="宋体" w:hAnsi="宋体" w:eastAsia="宋体" w:cs="宋体"/>
          <w:sz w:val="24"/>
          <w:szCs w:val="24"/>
        </w:rPr>
      </w:pPr>
      <w:r>
        <w:rPr>
          <w:rFonts w:ascii="宋体" w:hAnsi="宋体" w:eastAsia="宋体" w:cs="宋体"/>
          <w:spacing w:val="2"/>
          <w:sz w:val="24"/>
          <w:szCs w:val="24"/>
        </w:rPr>
        <w:t>综上所述，本项目分类收集、处置固体废物的措施安全有效，去向明确。固体</w:t>
      </w:r>
      <w:r>
        <w:rPr>
          <w:rFonts w:ascii="宋体" w:hAnsi="宋体" w:eastAsia="宋体" w:cs="宋体"/>
          <w:spacing w:val="7"/>
          <w:sz w:val="24"/>
          <w:szCs w:val="24"/>
        </w:rPr>
        <w:t xml:space="preserve"> </w:t>
      </w:r>
      <w:r>
        <w:rPr>
          <w:rFonts w:ascii="宋体" w:hAnsi="宋体" w:eastAsia="宋体" w:cs="宋体"/>
          <w:spacing w:val="-1"/>
          <w:sz w:val="24"/>
          <w:szCs w:val="24"/>
        </w:rPr>
        <w:t>废物经妥善处理后，不会对周围环境产生明显不良影响。</w:t>
      </w:r>
    </w:p>
    <w:p w14:paraId="3E0AF1C9">
      <w:pPr>
        <w:spacing w:before="293"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6.4.3</w:t>
      </w:r>
      <w:r>
        <w:rPr>
          <w:rFonts w:ascii="宋体" w:hAnsi="宋体" w:eastAsia="宋体" w:cs="宋体"/>
          <w:b/>
          <w:bCs/>
          <w:spacing w:val="-2"/>
          <w:sz w:val="24"/>
          <w:szCs w:val="24"/>
        </w:rPr>
        <w:t>固废处置措施经济可行性分析</w:t>
      </w:r>
    </w:p>
    <w:p w14:paraId="1A731A15">
      <w:pPr>
        <w:pStyle w:val="2"/>
      </w:pPr>
    </w:p>
    <w:p w14:paraId="1AE21018">
      <w:pPr>
        <w:spacing w:before="78" w:line="367" w:lineRule="auto"/>
        <w:ind w:left="4" w:right="81" w:firstLine="480"/>
        <w:rPr>
          <w:rFonts w:ascii="宋体" w:hAnsi="宋体" w:eastAsia="宋体" w:cs="宋体"/>
          <w:sz w:val="24"/>
          <w:szCs w:val="24"/>
        </w:rPr>
      </w:pPr>
      <w:r>
        <w:rPr>
          <w:rFonts w:ascii="宋体" w:hAnsi="宋体" w:eastAsia="宋体" w:cs="宋体"/>
          <w:spacing w:val="1"/>
          <w:sz w:val="24"/>
          <w:szCs w:val="24"/>
        </w:rPr>
        <w:t>项目的固体废物处置措施投资约</w:t>
      </w:r>
      <w:r>
        <w:rPr>
          <w:rFonts w:ascii="Times New Roman" w:hAnsi="Times New Roman" w:eastAsia="Times New Roman" w:cs="Times New Roman"/>
          <w:spacing w:val="1"/>
          <w:sz w:val="24"/>
          <w:szCs w:val="24"/>
        </w:rPr>
        <w:t xml:space="preserve">211 </w:t>
      </w:r>
      <w:r>
        <w:rPr>
          <w:rFonts w:ascii="宋体" w:hAnsi="宋体" w:eastAsia="宋体" w:cs="宋体"/>
          <w:spacing w:val="1"/>
          <w:sz w:val="24"/>
          <w:szCs w:val="24"/>
        </w:rPr>
        <w:t>万元，</w:t>
      </w:r>
      <w:r>
        <w:rPr>
          <w:rFonts w:ascii="宋体" w:hAnsi="宋体" w:eastAsia="宋体" w:cs="宋体"/>
          <w:spacing w:val="-57"/>
          <w:sz w:val="24"/>
          <w:szCs w:val="24"/>
        </w:rPr>
        <w:t xml:space="preserve"> </w:t>
      </w:r>
      <w:r>
        <w:rPr>
          <w:rFonts w:ascii="宋体" w:hAnsi="宋体" w:eastAsia="宋体" w:cs="宋体"/>
          <w:spacing w:val="1"/>
          <w:sz w:val="24"/>
          <w:szCs w:val="24"/>
        </w:rPr>
        <w:t>占总投资的</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16.2</w:t>
      </w:r>
      <w:r>
        <w:rPr>
          <w:rFonts w:ascii="宋体" w:hAnsi="宋体" w:eastAsia="宋体" w:cs="宋体"/>
          <w:spacing w:val="1"/>
          <w:sz w:val="24"/>
          <w:szCs w:val="24"/>
        </w:rPr>
        <w:t>％。由于对固废进</w:t>
      </w:r>
      <w:r>
        <w:rPr>
          <w:rFonts w:ascii="宋体" w:hAnsi="宋体" w:eastAsia="宋体" w:cs="宋体"/>
          <w:sz w:val="24"/>
          <w:szCs w:val="24"/>
        </w:rPr>
        <w:t xml:space="preserve"> </w:t>
      </w:r>
      <w:r>
        <w:rPr>
          <w:rFonts w:ascii="宋体" w:hAnsi="宋体" w:eastAsia="宋体" w:cs="宋体"/>
          <w:spacing w:val="-1"/>
          <w:sz w:val="24"/>
          <w:szCs w:val="24"/>
        </w:rPr>
        <w:t>行处理的同时可带来良好的经济效益，因此为建设单位接受。</w:t>
      </w:r>
    </w:p>
    <w:p w14:paraId="3E83FF1E">
      <w:pPr>
        <w:pStyle w:val="2"/>
        <w:spacing w:line="263" w:lineRule="auto"/>
      </w:pPr>
    </w:p>
    <w:p w14:paraId="1B2F8AFF">
      <w:pPr>
        <w:spacing w:before="101" w:line="226" w:lineRule="auto"/>
        <w:ind w:left="3"/>
        <w:outlineLvl w:val="1"/>
        <w:rPr>
          <w:rFonts w:ascii="宋体" w:hAnsi="宋体" w:eastAsia="宋体" w:cs="宋体"/>
          <w:sz w:val="31"/>
          <w:szCs w:val="31"/>
        </w:rPr>
      </w:pPr>
      <w:bookmarkStart w:id="43" w:name="bookmark38"/>
      <w:bookmarkEnd w:id="43"/>
      <w:r>
        <w:rPr>
          <w:rFonts w:ascii="Times New Roman" w:hAnsi="Times New Roman" w:eastAsia="Times New Roman" w:cs="Times New Roman"/>
          <w:b/>
          <w:bCs/>
          <w:spacing w:val="5"/>
          <w:sz w:val="31"/>
          <w:szCs w:val="31"/>
        </w:rPr>
        <w:t>6.5</w:t>
      </w:r>
      <w:r>
        <w:rPr>
          <w:rFonts w:ascii="宋体" w:hAnsi="宋体" w:eastAsia="宋体" w:cs="宋体"/>
          <w:b/>
          <w:bCs/>
          <w:spacing w:val="5"/>
          <w:sz w:val="31"/>
          <w:szCs w:val="31"/>
        </w:rPr>
        <w:t>有害生物防治措施</w:t>
      </w:r>
    </w:p>
    <w:p w14:paraId="492B6751">
      <w:pPr>
        <w:pStyle w:val="2"/>
        <w:spacing w:line="317" w:lineRule="auto"/>
      </w:pPr>
    </w:p>
    <w:p w14:paraId="3B07785B">
      <w:pPr>
        <w:spacing w:before="79" w:line="362" w:lineRule="auto"/>
        <w:ind w:left="3" w:right="106" w:firstLine="600"/>
        <w:rPr>
          <w:rFonts w:ascii="宋体" w:hAnsi="宋体" w:eastAsia="宋体" w:cs="宋体"/>
          <w:sz w:val="24"/>
          <w:szCs w:val="24"/>
        </w:rPr>
      </w:pPr>
      <w:r>
        <w:rPr>
          <w:rFonts w:ascii="宋体" w:hAnsi="宋体" w:eastAsia="宋体" w:cs="宋体"/>
          <w:spacing w:val="-2"/>
          <w:sz w:val="24"/>
          <w:szCs w:val="24"/>
        </w:rPr>
        <w:t>设项目的建设将为蚊、蝇、鼠等有害生物提供了一个极佳的滋生场所，</w:t>
      </w:r>
      <w:r>
        <w:rPr>
          <w:rFonts w:ascii="宋体" w:hAnsi="宋体" w:eastAsia="宋体" w:cs="宋体"/>
          <w:spacing w:val="-3"/>
          <w:sz w:val="24"/>
          <w:szCs w:val="24"/>
        </w:rPr>
        <w:t>因此，</w:t>
      </w:r>
      <w:r>
        <w:rPr>
          <w:rFonts w:ascii="宋体" w:hAnsi="宋体" w:eastAsia="宋体" w:cs="宋体"/>
          <w:sz w:val="24"/>
          <w:szCs w:val="24"/>
        </w:rPr>
        <w:t xml:space="preserve"> </w:t>
      </w:r>
      <w:r>
        <w:rPr>
          <w:rFonts w:ascii="宋体" w:hAnsi="宋体" w:eastAsia="宋体" w:cs="宋体"/>
          <w:spacing w:val="-1"/>
          <w:sz w:val="24"/>
          <w:szCs w:val="24"/>
        </w:rPr>
        <w:t>建设单位必须对蚊、蝇、鼠等有害生物采取有效的措施进行控制。</w:t>
      </w:r>
    </w:p>
    <w:p w14:paraId="48B6F419">
      <w:pPr>
        <w:spacing w:before="47" w:line="360" w:lineRule="exact"/>
        <w:ind w:left="492"/>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）灭蝇、灭蚊</w:t>
      </w:r>
    </w:p>
    <w:p w14:paraId="4A814C86">
      <w:pPr>
        <w:spacing w:before="165" w:line="362" w:lineRule="auto"/>
        <w:ind w:left="3" w:right="81" w:firstLine="476"/>
        <w:rPr>
          <w:rFonts w:ascii="宋体" w:hAnsi="宋体" w:eastAsia="宋体" w:cs="宋体"/>
          <w:sz w:val="24"/>
          <w:szCs w:val="24"/>
        </w:rPr>
      </w:pPr>
      <w:r>
        <w:rPr>
          <w:rFonts w:ascii="宋体" w:hAnsi="宋体" w:eastAsia="宋体" w:cs="宋体"/>
          <w:spacing w:val="2"/>
          <w:sz w:val="24"/>
          <w:szCs w:val="24"/>
        </w:rPr>
        <w:t>场区中的猪粪要及时清除，并对猪粪便收集池及时消毒和清理，可以在池内喷</w:t>
      </w:r>
      <w:r>
        <w:rPr>
          <w:rFonts w:ascii="宋体" w:hAnsi="宋体" w:eastAsia="宋体" w:cs="宋体"/>
          <w:spacing w:val="11"/>
          <w:sz w:val="24"/>
          <w:szCs w:val="24"/>
        </w:rPr>
        <w:t xml:space="preserve"> </w:t>
      </w:r>
      <w:r>
        <w:rPr>
          <w:rFonts w:ascii="宋体" w:hAnsi="宋体" w:eastAsia="宋体" w:cs="宋体"/>
          <w:spacing w:val="-1"/>
          <w:sz w:val="24"/>
          <w:szCs w:val="24"/>
        </w:rPr>
        <w:t>洒拟除虫菊酯类杀虫剂来杀灭蝇蛆。</w:t>
      </w:r>
    </w:p>
    <w:p w14:paraId="190597A6">
      <w:pPr>
        <w:spacing w:before="1" w:line="380" w:lineRule="auto"/>
        <w:ind w:right="78" w:firstLine="480"/>
        <w:jc w:val="both"/>
        <w:rPr>
          <w:rFonts w:ascii="宋体" w:hAnsi="宋体" w:eastAsia="宋体" w:cs="宋体"/>
          <w:sz w:val="24"/>
          <w:szCs w:val="24"/>
        </w:rPr>
      </w:pPr>
      <w:r>
        <w:rPr>
          <w:rFonts w:ascii="宋体" w:hAnsi="宋体" w:eastAsia="宋体" w:cs="宋体"/>
          <w:spacing w:val="-1"/>
          <w:sz w:val="24"/>
          <w:szCs w:val="24"/>
        </w:rPr>
        <w:t>停留面施药：将具有残效、触杀作用的杀虫剂，喷刷在蝇类停落物</w:t>
      </w:r>
      <w:r>
        <w:rPr>
          <w:rFonts w:ascii="宋体" w:hAnsi="宋体" w:eastAsia="宋体" w:cs="宋体"/>
          <w:spacing w:val="-2"/>
          <w:sz w:val="24"/>
          <w:szCs w:val="24"/>
        </w:rPr>
        <w:t>表面，室内</w:t>
      </w:r>
      <w:r>
        <w:rPr>
          <w:rFonts w:ascii="Times New Roman" w:hAnsi="Times New Roman" w:eastAsia="Times New Roman" w:cs="Times New Roman"/>
          <w:spacing w:val="-2"/>
          <w:sz w:val="24"/>
          <w:szCs w:val="24"/>
        </w:rPr>
        <w:t>2</w:t>
      </w:r>
      <w:r>
        <w:rPr>
          <w:rFonts w:ascii="Times New Roman" w:hAnsi="Times New Roman" w:eastAsia="Times New Roman" w:cs="Times New Roman"/>
          <w:sz w:val="24"/>
          <w:szCs w:val="24"/>
        </w:rPr>
        <w:t xml:space="preserve"> </w:t>
      </w:r>
      <w:r>
        <w:rPr>
          <w:rFonts w:ascii="宋体" w:hAnsi="宋体" w:eastAsia="宋体" w:cs="宋体"/>
          <w:spacing w:val="2"/>
          <w:sz w:val="24"/>
          <w:szCs w:val="24"/>
        </w:rPr>
        <w:t>米以上墙、顶。一般吸水性强的表面应低浓度大用量，吸水性差的表面则高浓度低</w:t>
      </w:r>
      <w:r>
        <w:rPr>
          <w:rFonts w:ascii="宋体" w:hAnsi="宋体" w:eastAsia="宋体" w:cs="宋体"/>
          <w:spacing w:val="6"/>
          <w:sz w:val="24"/>
          <w:szCs w:val="24"/>
        </w:rPr>
        <w:t xml:space="preserve"> </w:t>
      </w:r>
      <w:r>
        <w:rPr>
          <w:rFonts w:ascii="宋体" w:hAnsi="宋体" w:eastAsia="宋体" w:cs="宋体"/>
          <w:spacing w:val="-1"/>
          <w:sz w:val="24"/>
          <w:szCs w:val="24"/>
        </w:rPr>
        <w:t>用量的原则进行施药。</w:t>
      </w:r>
    </w:p>
    <w:p w14:paraId="6E10E162">
      <w:pPr>
        <w:spacing w:before="22" w:line="376" w:lineRule="auto"/>
        <w:ind w:left="1" w:firstLine="486"/>
        <w:jc w:val="both"/>
        <w:rPr>
          <w:rFonts w:ascii="宋体" w:hAnsi="宋体" w:eastAsia="宋体" w:cs="宋体"/>
          <w:sz w:val="24"/>
          <w:szCs w:val="24"/>
        </w:rPr>
      </w:pPr>
      <w:r>
        <w:rPr>
          <w:rFonts w:ascii="宋体" w:hAnsi="宋体" w:eastAsia="宋体" w:cs="宋体"/>
          <w:spacing w:val="2"/>
          <w:sz w:val="24"/>
          <w:szCs w:val="24"/>
        </w:rPr>
        <w:t xml:space="preserve">空间喷洒：能快速杀灭成蝇成蚊，但持效时间短，因成蝇要接触到喷洒的雾粒 </w:t>
      </w:r>
      <w:r>
        <w:rPr>
          <w:rFonts w:ascii="宋体" w:hAnsi="宋体" w:eastAsia="宋体" w:cs="宋体"/>
          <w:spacing w:val="-2"/>
          <w:sz w:val="24"/>
          <w:szCs w:val="24"/>
        </w:rPr>
        <w:t>后才能中毒死亡。市售的气雾剂，喷洒剂由于价格昂贵，一般仅用</w:t>
      </w:r>
      <w:r>
        <w:rPr>
          <w:rFonts w:ascii="宋体" w:hAnsi="宋体" w:eastAsia="宋体" w:cs="宋体"/>
          <w:spacing w:val="-3"/>
          <w:sz w:val="24"/>
          <w:szCs w:val="24"/>
        </w:rPr>
        <w:t>于进行空间喷洒。</w:t>
      </w:r>
      <w:r>
        <w:rPr>
          <w:rFonts w:ascii="宋体" w:hAnsi="宋体" w:eastAsia="宋体" w:cs="宋体"/>
          <w:sz w:val="24"/>
          <w:szCs w:val="24"/>
        </w:rPr>
        <w:t xml:space="preserve"> </w:t>
      </w:r>
      <w:r>
        <w:rPr>
          <w:rFonts w:ascii="宋体" w:hAnsi="宋体" w:eastAsia="宋体" w:cs="宋体"/>
          <w:spacing w:val="2"/>
          <w:sz w:val="24"/>
          <w:szCs w:val="24"/>
        </w:rPr>
        <w:t>喷药时喷嘴应朝上，不宜朝地面。悬挂毒蝇绳、布放蝇类毒饵、粘蝇纸、捕蝇笼等</w:t>
      </w:r>
      <w:r>
        <w:rPr>
          <w:rFonts w:ascii="宋体" w:hAnsi="宋体" w:eastAsia="宋体" w:cs="宋体"/>
          <w:spacing w:val="5"/>
          <w:sz w:val="24"/>
          <w:szCs w:val="24"/>
        </w:rPr>
        <w:t xml:space="preserve"> </w:t>
      </w:r>
      <w:r>
        <w:rPr>
          <w:rFonts w:ascii="宋体" w:hAnsi="宋体" w:eastAsia="宋体" w:cs="宋体"/>
          <w:spacing w:val="-1"/>
          <w:sz w:val="24"/>
          <w:szCs w:val="24"/>
        </w:rPr>
        <w:t>均可毒杀或捕获到成蝇。</w:t>
      </w:r>
    </w:p>
    <w:p w14:paraId="577C19A1">
      <w:pPr>
        <w:spacing w:before="1" w:line="374" w:lineRule="auto"/>
        <w:ind w:right="81" w:firstLine="480"/>
        <w:jc w:val="both"/>
        <w:rPr>
          <w:rFonts w:ascii="宋体" w:hAnsi="宋体" w:eastAsia="宋体" w:cs="宋体"/>
          <w:sz w:val="24"/>
          <w:szCs w:val="24"/>
        </w:rPr>
      </w:pPr>
      <w:r>
        <w:rPr>
          <w:rFonts w:ascii="宋体" w:hAnsi="宋体" w:eastAsia="宋体" w:cs="宋体"/>
          <w:spacing w:val="2"/>
          <w:sz w:val="24"/>
          <w:szCs w:val="24"/>
        </w:rPr>
        <w:t>物理机械方法也可配合进行。比如在办公区安装纱窗纱门、采用纱罩阻挡苍蝇</w:t>
      </w:r>
      <w:r>
        <w:rPr>
          <w:rFonts w:ascii="宋体" w:hAnsi="宋体" w:eastAsia="宋体" w:cs="宋体"/>
          <w:spacing w:val="10"/>
          <w:sz w:val="24"/>
          <w:szCs w:val="24"/>
        </w:rPr>
        <w:t xml:space="preserve"> </w:t>
      </w:r>
      <w:r>
        <w:rPr>
          <w:rFonts w:ascii="宋体" w:hAnsi="宋体" w:eastAsia="宋体" w:cs="宋体"/>
          <w:spacing w:val="2"/>
          <w:sz w:val="24"/>
          <w:szCs w:val="24"/>
        </w:rPr>
        <w:t>接触食品等，也可收到一定效果。必须继续完善灭蝇基础卫生设施、及时消除滋生</w:t>
      </w:r>
      <w:r>
        <w:rPr>
          <w:rFonts w:ascii="宋体" w:hAnsi="宋体" w:eastAsia="宋体" w:cs="宋体"/>
          <w:spacing w:val="7"/>
          <w:sz w:val="24"/>
          <w:szCs w:val="24"/>
        </w:rPr>
        <w:t xml:space="preserve"> </w:t>
      </w:r>
      <w:r>
        <w:rPr>
          <w:rFonts w:ascii="宋体" w:hAnsi="宋体" w:eastAsia="宋体" w:cs="宋体"/>
          <w:spacing w:val="2"/>
          <w:sz w:val="24"/>
          <w:szCs w:val="24"/>
        </w:rPr>
        <w:t>物，并及时发现处理新产生的滋生地，定期进行蝇密度临测，把苍蝇的密度控制在</w:t>
      </w:r>
    </w:p>
    <w:p w14:paraId="41BE80B1">
      <w:pPr>
        <w:spacing w:line="374" w:lineRule="auto"/>
        <w:rPr>
          <w:rFonts w:ascii="宋体" w:hAnsi="宋体" w:eastAsia="宋体" w:cs="宋体"/>
          <w:sz w:val="24"/>
          <w:szCs w:val="24"/>
        </w:rPr>
        <w:sectPr>
          <w:footerReference r:id="rId160" w:type="default"/>
          <w:pgSz w:w="11906" w:h="16839"/>
          <w:pgMar w:top="400" w:right="1507" w:bottom="1485" w:left="1597" w:header="0" w:footer="1249" w:gutter="0"/>
          <w:cols w:space="720" w:num="1"/>
        </w:sectPr>
      </w:pPr>
    </w:p>
    <w:p w14:paraId="7CF7D23C">
      <w:pPr>
        <w:pStyle w:val="2"/>
        <w:spacing w:line="264" w:lineRule="auto"/>
      </w:pPr>
    </w:p>
    <w:p w14:paraId="1D7C0938">
      <w:pPr>
        <w:pStyle w:val="2"/>
        <w:spacing w:line="264" w:lineRule="auto"/>
      </w:pPr>
    </w:p>
    <w:p w14:paraId="2E5517D5">
      <w:pPr>
        <w:pStyle w:val="2"/>
        <w:spacing w:line="264" w:lineRule="auto"/>
      </w:pPr>
    </w:p>
    <w:p w14:paraId="412F0390">
      <w:pPr>
        <w:pStyle w:val="2"/>
        <w:spacing w:line="265" w:lineRule="auto"/>
      </w:pPr>
    </w:p>
    <w:p w14:paraId="49AB2866">
      <w:pPr>
        <w:spacing w:before="78" w:line="220" w:lineRule="auto"/>
        <w:ind w:left="3"/>
        <w:rPr>
          <w:rFonts w:ascii="宋体" w:hAnsi="宋体" w:eastAsia="宋体" w:cs="宋体"/>
          <w:sz w:val="24"/>
          <w:szCs w:val="24"/>
        </w:rPr>
      </w:pPr>
      <w:r>
        <w:rPr>
          <w:rFonts w:ascii="宋体" w:hAnsi="宋体" w:eastAsia="宋体" w:cs="宋体"/>
          <w:spacing w:val="-2"/>
          <w:sz w:val="24"/>
          <w:szCs w:val="24"/>
        </w:rPr>
        <w:t>不足为害的水平。</w:t>
      </w:r>
    </w:p>
    <w:p w14:paraId="708C1864">
      <w:pPr>
        <w:spacing w:before="203" w:line="362" w:lineRule="auto"/>
        <w:ind w:left="480" w:right="208"/>
        <w:rPr>
          <w:rFonts w:ascii="宋体" w:hAnsi="宋体" w:eastAsia="宋体" w:cs="宋体"/>
          <w:sz w:val="24"/>
          <w:szCs w:val="24"/>
        </w:rPr>
      </w:pPr>
      <w:r>
        <w:rPr>
          <w:rFonts w:ascii="宋体" w:hAnsi="宋体" w:eastAsia="宋体" w:cs="宋体"/>
          <w:spacing w:val="-2"/>
          <w:sz w:val="24"/>
          <w:szCs w:val="24"/>
        </w:rPr>
        <w:t>其次，可考虑在养猪场区设置若干电子灭蝇、灭蚊等，进行电子灭蝇、灭蚊。</w:t>
      </w:r>
      <w:r>
        <w:rPr>
          <w:rFonts w:ascii="宋体" w:hAnsi="宋体" w:eastAsia="宋体" w:cs="宋体"/>
          <w:spacing w:val="17"/>
          <w:sz w:val="24"/>
          <w:szCs w:val="24"/>
        </w:rPr>
        <w:t xml:space="preserve"> </w:t>
      </w:r>
      <w:r>
        <w:rPr>
          <w:rFonts w:ascii="宋体" w:hAnsi="宋体" w:eastAsia="宋体" w:cs="宋体"/>
          <w:sz w:val="24"/>
          <w:szCs w:val="24"/>
        </w:rPr>
        <w:t>其次要及时清扫场区积水，在场区的景观水塘</w:t>
      </w:r>
      <w:r>
        <w:rPr>
          <w:rFonts w:ascii="宋体" w:hAnsi="宋体" w:eastAsia="宋体" w:cs="宋体"/>
          <w:spacing w:val="-1"/>
          <w:sz w:val="24"/>
          <w:szCs w:val="24"/>
        </w:rPr>
        <w:t>喷洒对环境友好的杀虫剂。</w:t>
      </w:r>
    </w:p>
    <w:p w14:paraId="50C5B7AB">
      <w:pPr>
        <w:spacing w:line="362" w:lineRule="exact"/>
        <w:ind w:left="491"/>
        <w:outlineLvl w:val="0"/>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2</w:t>
      </w:r>
      <w:r>
        <w:rPr>
          <w:rFonts w:ascii="宋体" w:hAnsi="宋体" w:eastAsia="宋体" w:cs="宋体"/>
          <w:spacing w:val="-5"/>
          <w:position w:val="2"/>
          <w:sz w:val="24"/>
          <w:szCs w:val="24"/>
        </w:rPr>
        <w:t>）灭鼠</w:t>
      </w:r>
    </w:p>
    <w:p w14:paraId="4A07C9ED">
      <w:pPr>
        <w:spacing w:before="74" w:line="359" w:lineRule="auto"/>
        <w:ind w:right="169" w:firstLine="479"/>
        <w:rPr>
          <w:rFonts w:ascii="宋体" w:hAnsi="宋体" w:eastAsia="宋体" w:cs="宋体"/>
          <w:sz w:val="24"/>
          <w:szCs w:val="24"/>
        </w:rPr>
      </w:pPr>
      <w:r>
        <w:rPr>
          <w:rFonts w:ascii="宋体" w:hAnsi="宋体" w:eastAsia="宋体" w:cs="宋体"/>
          <w:sz w:val="24"/>
          <w:szCs w:val="24"/>
        </w:rPr>
        <w:t>在鼠经常出入活动的地方投放捕鼠器并及时清除死鼠。</w:t>
      </w:r>
      <w:r>
        <w:rPr>
          <w:rFonts w:ascii="宋体" w:hAnsi="宋体" w:eastAsia="宋体" w:cs="宋体"/>
          <w:spacing w:val="-1"/>
          <w:sz w:val="24"/>
          <w:szCs w:val="24"/>
        </w:rPr>
        <w:t>每月两次在养猪场的饲</w:t>
      </w:r>
      <w:r>
        <w:rPr>
          <w:rFonts w:ascii="宋体" w:hAnsi="宋体" w:eastAsia="宋体" w:cs="宋体"/>
          <w:sz w:val="24"/>
          <w:szCs w:val="24"/>
        </w:rPr>
        <w:t xml:space="preserve"> </w:t>
      </w:r>
      <w:r>
        <w:rPr>
          <w:rFonts w:ascii="宋体" w:hAnsi="宋体" w:eastAsia="宋体" w:cs="宋体"/>
          <w:spacing w:val="-1"/>
          <w:sz w:val="24"/>
          <w:szCs w:val="24"/>
        </w:rPr>
        <w:t>料仓库等设施旁投放鼠药，但要注意避免污染饲料。</w:t>
      </w:r>
    </w:p>
    <w:p w14:paraId="5097C52A">
      <w:pPr>
        <w:spacing w:line="220" w:lineRule="auto"/>
        <w:ind w:left="480"/>
        <w:rPr>
          <w:rFonts w:ascii="宋体" w:hAnsi="宋体" w:eastAsia="宋体" w:cs="宋体"/>
          <w:sz w:val="24"/>
          <w:szCs w:val="24"/>
        </w:rPr>
      </w:pPr>
      <w:r>
        <w:rPr>
          <w:rFonts w:ascii="宋体" w:hAnsi="宋体" w:eastAsia="宋体" w:cs="宋体"/>
          <w:spacing w:val="-1"/>
          <w:sz w:val="24"/>
          <w:szCs w:val="24"/>
        </w:rPr>
        <w:t>养猪场的生产和生活垃圾及时清除，保持外环境的清洁。</w:t>
      </w:r>
    </w:p>
    <w:p w14:paraId="1BE5F799">
      <w:pPr>
        <w:spacing w:before="181" w:line="359" w:lineRule="auto"/>
        <w:ind w:right="169" w:firstLine="480"/>
        <w:rPr>
          <w:rFonts w:ascii="宋体" w:hAnsi="宋体" w:eastAsia="宋体" w:cs="宋体"/>
          <w:sz w:val="24"/>
          <w:szCs w:val="24"/>
        </w:rPr>
      </w:pPr>
      <w:r>
        <w:rPr>
          <w:rFonts w:ascii="宋体" w:hAnsi="宋体" w:eastAsia="宋体" w:cs="宋体"/>
          <w:sz w:val="24"/>
          <w:szCs w:val="24"/>
        </w:rPr>
        <w:t>环境灭鼠：老鼠需要水、食物以及隐蔽的栖息条件，</w:t>
      </w:r>
      <w:r>
        <w:rPr>
          <w:rFonts w:ascii="宋体" w:hAnsi="宋体" w:eastAsia="宋体" w:cs="宋体"/>
          <w:spacing w:val="-1"/>
          <w:sz w:val="24"/>
          <w:szCs w:val="24"/>
        </w:rPr>
        <w:t>才能生存和繁殖。因此，</w:t>
      </w:r>
      <w:r>
        <w:rPr>
          <w:rFonts w:ascii="宋体" w:hAnsi="宋体" w:eastAsia="宋体" w:cs="宋体"/>
          <w:sz w:val="24"/>
          <w:szCs w:val="24"/>
        </w:rPr>
        <w:t xml:space="preserve"> 创造一个不适宜其生存的环境，就能使一个地方的鼠量大</w:t>
      </w:r>
      <w:r>
        <w:rPr>
          <w:rFonts w:ascii="宋体" w:hAnsi="宋体" w:eastAsia="宋体" w:cs="宋体"/>
          <w:spacing w:val="-1"/>
          <w:sz w:val="24"/>
          <w:szCs w:val="24"/>
        </w:rPr>
        <w:t>大下降，并能使灭鼠成果</w:t>
      </w:r>
      <w:r>
        <w:rPr>
          <w:rFonts w:ascii="宋体" w:hAnsi="宋体" w:eastAsia="宋体" w:cs="宋体"/>
          <w:sz w:val="24"/>
          <w:szCs w:val="24"/>
        </w:rPr>
        <w:t xml:space="preserve"> 容易得到巩固。所以我们首先要搞好环境卫生、清除场区</w:t>
      </w:r>
      <w:r>
        <w:rPr>
          <w:rFonts w:ascii="宋体" w:hAnsi="宋体" w:eastAsia="宋体" w:cs="宋体"/>
          <w:spacing w:val="-1"/>
          <w:sz w:val="24"/>
          <w:szCs w:val="24"/>
        </w:rPr>
        <w:t>周围的杂草，进行有序绿</w:t>
      </w:r>
      <w:r>
        <w:rPr>
          <w:rFonts w:ascii="宋体" w:hAnsi="宋体" w:eastAsia="宋体" w:cs="宋体"/>
          <w:sz w:val="24"/>
          <w:szCs w:val="24"/>
        </w:rPr>
        <w:t xml:space="preserve"> 化工作、不得随意堆放的物品，经常清扫场区内外卫生，</w:t>
      </w:r>
      <w:r>
        <w:rPr>
          <w:rFonts w:ascii="宋体" w:hAnsi="宋体" w:eastAsia="宋体" w:cs="宋体"/>
          <w:spacing w:val="-1"/>
          <w:sz w:val="24"/>
          <w:szCs w:val="24"/>
        </w:rPr>
        <w:t>各种用具杂物收拾整齐，</w:t>
      </w:r>
      <w:r>
        <w:rPr>
          <w:rFonts w:ascii="宋体" w:hAnsi="宋体" w:eastAsia="宋体" w:cs="宋体"/>
          <w:sz w:val="24"/>
          <w:szCs w:val="24"/>
        </w:rPr>
        <w:t xml:space="preserve"> </w:t>
      </w:r>
      <w:r>
        <w:rPr>
          <w:rFonts w:ascii="宋体" w:hAnsi="宋体" w:eastAsia="宋体" w:cs="宋体"/>
          <w:spacing w:val="-2"/>
          <w:sz w:val="24"/>
          <w:szCs w:val="24"/>
        </w:rPr>
        <w:t>不使鼠类营巢。</w:t>
      </w:r>
    </w:p>
    <w:p w14:paraId="22E0722A">
      <w:pPr>
        <w:spacing w:before="1" w:line="359" w:lineRule="auto"/>
        <w:ind w:left="6" w:right="121" w:firstLine="530"/>
        <w:jc w:val="both"/>
        <w:rPr>
          <w:rFonts w:ascii="宋体" w:hAnsi="宋体" w:eastAsia="宋体" w:cs="宋体"/>
          <w:sz w:val="24"/>
          <w:szCs w:val="24"/>
        </w:rPr>
      </w:pPr>
      <w:r>
        <w:rPr>
          <w:rFonts w:ascii="宋体" w:hAnsi="宋体" w:eastAsia="宋体" w:cs="宋体"/>
          <w:spacing w:val="-1"/>
          <w:sz w:val="24"/>
          <w:szCs w:val="24"/>
        </w:rPr>
        <w:t>断绝老鼠的食物：鼠的食物不仅包括人的食物，还包括饲料、垃圾、食品行业</w:t>
      </w:r>
      <w:r>
        <w:rPr>
          <w:rFonts w:ascii="宋体" w:hAnsi="宋体" w:eastAsia="宋体" w:cs="宋体"/>
          <w:spacing w:val="14"/>
          <w:sz w:val="24"/>
          <w:szCs w:val="24"/>
        </w:rPr>
        <w:t xml:space="preserve"> </w:t>
      </w:r>
      <w:r>
        <w:rPr>
          <w:rFonts w:ascii="宋体" w:hAnsi="宋体" w:eastAsia="宋体" w:cs="宋体"/>
          <w:sz w:val="24"/>
          <w:szCs w:val="24"/>
        </w:rPr>
        <w:t>的下脚料、粪便等，这些东西要存放在加盖</w:t>
      </w:r>
      <w:r>
        <w:rPr>
          <w:rFonts w:ascii="宋体" w:hAnsi="宋体" w:eastAsia="宋体" w:cs="宋体"/>
          <w:spacing w:val="-1"/>
          <w:sz w:val="24"/>
          <w:szCs w:val="24"/>
        </w:rPr>
        <w:t>的而且没有缝隙的容器内，使老鼠得不</w:t>
      </w:r>
      <w:r>
        <w:rPr>
          <w:rFonts w:ascii="宋体" w:hAnsi="宋体" w:eastAsia="宋体" w:cs="宋体"/>
          <w:sz w:val="24"/>
          <w:szCs w:val="24"/>
        </w:rPr>
        <w:t xml:space="preserve"> </w:t>
      </w:r>
      <w:r>
        <w:rPr>
          <w:rFonts w:ascii="宋体" w:hAnsi="宋体" w:eastAsia="宋体" w:cs="宋体"/>
          <w:spacing w:val="-1"/>
          <w:sz w:val="24"/>
          <w:szCs w:val="24"/>
        </w:rPr>
        <w:t>到食物而被动地去吃投放的毒饵，以达到消灭老鼠的目的。</w:t>
      </w:r>
    </w:p>
    <w:p w14:paraId="02BD2722">
      <w:pPr>
        <w:spacing w:before="1" w:line="359" w:lineRule="auto"/>
        <w:ind w:firstLine="503"/>
        <w:jc w:val="both"/>
        <w:rPr>
          <w:rFonts w:ascii="宋体" w:hAnsi="宋体" w:eastAsia="宋体" w:cs="宋体"/>
          <w:sz w:val="24"/>
          <w:szCs w:val="24"/>
        </w:rPr>
      </w:pPr>
      <w:r>
        <w:rPr>
          <w:rFonts w:ascii="宋体" w:hAnsi="宋体" w:eastAsia="宋体" w:cs="宋体"/>
          <w:sz w:val="24"/>
          <w:szCs w:val="24"/>
        </w:rPr>
        <w:t>物理学灭鼠法：又称器械灭鼠法，应用较久，应用方</w:t>
      </w:r>
      <w:r>
        <w:rPr>
          <w:rFonts w:ascii="宋体" w:hAnsi="宋体" w:eastAsia="宋体" w:cs="宋体"/>
          <w:spacing w:val="-1"/>
          <w:sz w:val="24"/>
          <w:szCs w:val="24"/>
        </w:rPr>
        <w:t>式也较多。它不仅包括各</w:t>
      </w:r>
      <w:r>
        <w:rPr>
          <w:rFonts w:ascii="宋体" w:hAnsi="宋体" w:eastAsia="宋体" w:cs="宋体"/>
          <w:sz w:val="24"/>
          <w:szCs w:val="24"/>
        </w:rPr>
        <w:t xml:space="preserve">  </w:t>
      </w:r>
      <w:r>
        <w:rPr>
          <w:rFonts w:ascii="宋体" w:hAnsi="宋体" w:eastAsia="宋体" w:cs="宋体"/>
          <w:spacing w:val="-2"/>
          <w:sz w:val="24"/>
          <w:szCs w:val="24"/>
        </w:rPr>
        <w:t>种专用捕鼠器，如鼠夹、鼠笼，也包括压、卡、关、夹、翻、灌、挖</w:t>
      </w:r>
      <w:r>
        <w:rPr>
          <w:rFonts w:ascii="宋体" w:hAnsi="宋体" w:eastAsia="宋体" w:cs="宋体"/>
          <w:spacing w:val="-3"/>
          <w:sz w:val="24"/>
          <w:szCs w:val="24"/>
        </w:rPr>
        <w:t>、粘和枪击等。</w:t>
      </w:r>
      <w:r>
        <w:rPr>
          <w:rFonts w:ascii="宋体" w:hAnsi="宋体" w:eastAsia="宋体" w:cs="宋体"/>
          <w:sz w:val="24"/>
          <w:szCs w:val="24"/>
        </w:rPr>
        <w:t xml:space="preserve"> 物理学灭鼠也讲究一定的科学技术，如安放鼠笼（夹）</w:t>
      </w:r>
      <w:r>
        <w:rPr>
          <w:rFonts w:ascii="宋体" w:hAnsi="宋体" w:eastAsia="宋体" w:cs="宋体"/>
          <w:spacing w:val="-1"/>
          <w:sz w:val="24"/>
          <w:szCs w:val="24"/>
        </w:rPr>
        <w:t>要放在鼠洞口，应与鼠洞</w:t>
      </w:r>
      <w:r>
        <w:rPr>
          <w:rFonts w:ascii="宋体" w:hAnsi="宋体" w:eastAsia="宋体" w:cs="宋体"/>
          <w:sz w:val="24"/>
          <w:szCs w:val="24"/>
        </w:rPr>
        <w:t xml:space="preserve">  有一定距离，有时用些伪装，可以提高捕杀率；鼠笼上的</w:t>
      </w:r>
      <w:r>
        <w:rPr>
          <w:rFonts w:ascii="宋体" w:hAnsi="宋体" w:eastAsia="宋体" w:cs="宋体"/>
          <w:spacing w:val="-1"/>
          <w:sz w:val="24"/>
          <w:szCs w:val="24"/>
        </w:rPr>
        <w:t>诱饵要新鲜，应是鼠类爱</w:t>
      </w:r>
      <w:r>
        <w:rPr>
          <w:rFonts w:ascii="宋体" w:hAnsi="宋体" w:eastAsia="宋体" w:cs="宋体"/>
          <w:sz w:val="24"/>
          <w:szCs w:val="24"/>
        </w:rPr>
        <w:t xml:space="preserve">  </w:t>
      </w:r>
      <w:r>
        <w:rPr>
          <w:rFonts w:ascii="宋体" w:hAnsi="宋体" w:eastAsia="宋体" w:cs="宋体"/>
          <w:spacing w:val="-1"/>
          <w:sz w:val="24"/>
          <w:szCs w:val="24"/>
        </w:rPr>
        <w:t>吃的食物。一般第一个晚上老鼠不易上笼因有</w:t>
      </w:r>
      <w:r>
        <w:rPr>
          <w:rFonts w:ascii="Times New Roman" w:hAnsi="Times New Roman" w:eastAsia="Times New Roman" w:cs="Times New Roman"/>
          <w:spacing w:val="-1"/>
          <w:sz w:val="24"/>
          <w:szCs w:val="24"/>
        </w:rPr>
        <w:t>”</w:t>
      </w:r>
      <w:r>
        <w:rPr>
          <w:rFonts w:ascii="宋体" w:hAnsi="宋体" w:eastAsia="宋体" w:cs="宋体"/>
          <w:spacing w:val="-1"/>
          <w:sz w:val="24"/>
          <w:szCs w:val="24"/>
        </w:rPr>
        <w:t>新物反应</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，二、三天后上笼率会提</w:t>
      </w:r>
      <w:r>
        <w:rPr>
          <w:rFonts w:ascii="宋体" w:hAnsi="宋体" w:eastAsia="宋体" w:cs="宋体"/>
          <w:sz w:val="24"/>
          <w:szCs w:val="24"/>
        </w:rPr>
        <w:t xml:space="preserve">  </w:t>
      </w:r>
      <w:r>
        <w:rPr>
          <w:rFonts w:ascii="宋体" w:hAnsi="宋体" w:eastAsia="宋体" w:cs="宋体"/>
          <w:spacing w:val="-5"/>
          <w:sz w:val="24"/>
          <w:szCs w:val="24"/>
        </w:rPr>
        <w:t>高。</w:t>
      </w:r>
    </w:p>
    <w:p w14:paraId="454FFC0B">
      <w:pPr>
        <w:spacing w:before="5" w:line="359" w:lineRule="auto"/>
        <w:ind w:right="81" w:firstLine="600"/>
        <w:jc w:val="both"/>
        <w:rPr>
          <w:rFonts w:ascii="宋体" w:hAnsi="宋体" w:eastAsia="宋体" w:cs="宋体"/>
          <w:sz w:val="24"/>
          <w:szCs w:val="24"/>
        </w:rPr>
      </w:pPr>
      <w:r>
        <w:rPr>
          <w:rFonts w:ascii="宋体" w:hAnsi="宋体" w:eastAsia="宋体" w:cs="宋体"/>
          <w:spacing w:val="-1"/>
          <w:sz w:val="24"/>
          <w:szCs w:val="24"/>
        </w:rPr>
        <w:t>化学灭鼠法：又称药物灭鼠法，是应用最广、效果最好的</w:t>
      </w:r>
      <w:r>
        <w:rPr>
          <w:rFonts w:ascii="宋体" w:hAnsi="宋体" w:eastAsia="宋体" w:cs="宋体"/>
          <w:spacing w:val="-2"/>
          <w:sz w:val="24"/>
          <w:szCs w:val="24"/>
        </w:rPr>
        <w:t>一种灭鼠方法。药物</w:t>
      </w:r>
      <w:r>
        <w:rPr>
          <w:rFonts w:ascii="宋体" w:hAnsi="宋体" w:eastAsia="宋体" w:cs="宋体"/>
          <w:sz w:val="24"/>
          <w:szCs w:val="24"/>
        </w:rPr>
        <w:t xml:space="preserve"> 灭鼠又可分为肠毒物灭鼠和熏蒸灭鼠。作为灭鼠所用的肠</w:t>
      </w:r>
      <w:r>
        <w:rPr>
          <w:rFonts w:ascii="宋体" w:hAnsi="宋体" w:eastAsia="宋体" w:cs="宋体"/>
          <w:spacing w:val="-1"/>
          <w:sz w:val="24"/>
          <w:szCs w:val="24"/>
        </w:rPr>
        <w:t>道灭鼠药，主要是有机化</w:t>
      </w:r>
      <w:r>
        <w:rPr>
          <w:rFonts w:ascii="宋体" w:hAnsi="宋体" w:eastAsia="宋体" w:cs="宋体"/>
          <w:sz w:val="24"/>
          <w:szCs w:val="24"/>
        </w:rPr>
        <w:t xml:space="preserve"> 合物，其次是无机化合物和野生植物及其提取物。胃肠道</w:t>
      </w:r>
      <w:r>
        <w:rPr>
          <w:rFonts w:ascii="宋体" w:hAnsi="宋体" w:eastAsia="宋体" w:cs="宋体"/>
          <w:spacing w:val="-1"/>
          <w:sz w:val="24"/>
          <w:szCs w:val="24"/>
        </w:rPr>
        <w:t>灭鼠药要求对鼠有较好的</w:t>
      </w:r>
      <w:r>
        <w:rPr>
          <w:rFonts w:ascii="宋体" w:hAnsi="宋体" w:eastAsia="宋体" w:cs="宋体"/>
          <w:sz w:val="24"/>
          <w:szCs w:val="24"/>
        </w:rPr>
        <w:t xml:space="preserve"> 适口性，不会拒食，毒力适当。由它为主制成各种毒饵，</w:t>
      </w:r>
      <w:r>
        <w:rPr>
          <w:rFonts w:ascii="宋体" w:hAnsi="宋体" w:eastAsia="宋体" w:cs="宋体"/>
          <w:spacing w:val="-1"/>
          <w:sz w:val="24"/>
          <w:szCs w:val="24"/>
        </w:rPr>
        <w:t>效果好，用法简便，用量</w:t>
      </w:r>
      <w:r>
        <w:rPr>
          <w:rFonts w:ascii="宋体" w:hAnsi="宋体" w:eastAsia="宋体" w:cs="宋体"/>
          <w:sz w:val="24"/>
          <w:szCs w:val="24"/>
        </w:rPr>
        <w:t xml:space="preserve"> 大。其次是毒水、毒粉、毒胶、毒沫等。熏蒸灭鼠，如磷</w:t>
      </w:r>
      <w:r>
        <w:rPr>
          <w:rFonts w:ascii="宋体" w:hAnsi="宋体" w:eastAsia="宋体" w:cs="宋体"/>
          <w:spacing w:val="-1"/>
          <w:sz w:val="24"/>
          <w:szCs w:val="24"/>
        </w:rPr>
        <w:t>化铝、氯化苦，不过鉴于</w:t>
      </w:r>
      <w:r>
        <w:rPr>
          <w:rFonts w:ascii="宋体" w:hAnsi="宋体" w:eastAsia="宋体" w:cs="宋体"/>
          <w:sz w:val="24"/>
          <w:szCs w:val="24"/>
        </w:rPr>
        <w:t xml:space="preserve"> 建设项目特性，出于猪食品安全的考虑，本报告</w:t>
      </w:r>
      <w:r>
        <w:rPr>
          <w:rFonts w:ascii="宋体" w:hAnsi="宋体" w:eastAsia="宋体" w:cs="宋体"/>
          <w:spacing w:val="-1"/>
          <w:sz w:val="24"/>
          <w:szCs w:val="24"/>
        </w:rPr>
        <w:t>不建议使用化学灭鼠法。</w:t>
      </w:r>
    </w:p>
    <w:p w14:paraId="6288F57A">
      <w:pPr>
        <w:spacing w:before="83" w:line="379" w:lineRule="auto"/>
        <w:ind w:right="81" w:firstLine="481"/>
        <w:rPr>
          <w:rFonts w:ascii="宋体" w:hAnsi="宋体" w:eastAsia="宋体" w:cs="宋体"/>
          <w:sz w:val="24"/>
          <w:szCs w:val="24"/>
        </w:rPr>
      </w:pPr>
      <w:r>
        <w:rPr>
          <w:rFonts w:ascii="宋体" w:hAnsi="宋体" w:eastAsia="宋体" w:cs="宋体"/>
          <w:spacing w:val="2"/>
          <w:sz w:val="24"/>
          <w:szCs w:val="24"/>
        </w:rPr>
        <w:t>生态学灭鼠：也就是通过改良环境，包括防鼠建筑、断绝鼠粮、搞好场区内外</w:t>
      </w:r>
      <w:r>
        <w:rPr>
          <w:rFonts w:ascii="宋体" w:hAnsi="宋体" w:eastAsia="宋体" w:cs="宋体"/>
          <w:spacing w:val="8"/>
          <w:sz w:val="24"/>
          <w:szCs w:val="24"/>
        </w:rPr>
        <w:t xml:space="preserve"> </w:t>
      </w:r>
      <w:r>
        <w:rPr>
          <w:rFonts w:ascii="宋体" w:hAnsi="宋体" w:eastAsia="宋体" w:cs="宋体"/>
          <w:spacing w:val="2"/>
          <w:sz w:val="24"/>
          <w:szCs w:val="24"/>
        </w:rPr>
        <w:t>环境卫生、清除鼠类隐蔽处所等，也就是控制、改造、破坏有利于鼠类生存的生活</w:t>
      </w:r>
    </w:p>
    <w:p w14:paraId="040D86D7">
      <w:pPr>
        <w:spacing w:line="379" w:lineRule="auto"/>
        <w:rPr>
          <w:rFonts w:ascii="宋体" w:hAnsi="宋体" w:eastAsia="宋体" w:cs="宋体"/>
          <w:sz w:val="24"/>
          <w:szCs w:val="24"/>
        </w:rPr>
        <w:sectPr>
          <w:footerReference r:id="rId161" w:type="default"/>
          <w:pgSz w:w="11906" w:h="16839"/>
          <w:pgMar w:top="400" w:right="1507" w:bottom="1485" w:left="1598" w:header="0" w:footer="1249" w:gutter="0"/>
          <w:cols w:space="720" w:num="1"/>
        </w:sectPr>
      </w:pPr>
    </w:p>
    <w:p w14:paraId="07216280">
      <w:pPr>
        <w:pStyle w:val="2"/>
        <w:spacing w:line="264" w:lineRule="auto"/>
      </w:pPr>
    </w:p>
    <w:p w14:paraId="0DFAA541">
      <w:pPr>
        <w:pStyle w:val="2"/>
        <w:spacing w:line="264" w:lineRule="auto"/>
      </w:pPr>
    </w:p>
    <w:p w14:paraId="20D1B852">
      <w:pPr>
        <w:pStyle w:val="2"/>
        <w:spacing w:line="264" w:lineRule="auto"/>
      </w:pPr>
    </w:p>
    <w:p w14:paraId="3B5DC2BD">
      <w:pPr>
        <w:pStyle w:val="2"/>
        <w:spacing w:line="265" w:lineRule="auto"/>
      </w:pPr>
    </w:p>
    <w:p w14:paraId="534FF8F1">
      <w:pPr>
        <w:spacing w:before="78" w:line="328" w:lineRule="auto"/>
        <w:rPr>
          <w:rFonts w:ascii="宋体" w:hAnsi="宋体" w:eastAsia="宋体" w:cs="宋体"/>
          <w:sz w:val="24"/>
          <w:szCs w:val="24"/>
        </w:rPr>
      </w:pPr>
      <w:r>
        <w:rPr>
          <w:rFonts w:ascii="宋体" w:hAnsi="宋体" w:eastAsia="宋体" w:cs="宋体"/>
          <w:spacing w:val="2"/>
          <w:sz w:val="24"/>
          <w:szCs w:val="24"/>
        </w:rPr>
        <w:t>环境和条件，使鼠类不能在那些地方生存和繁衍。生态学灭鼠是综合鼠害防治中很</w:t>
      </w:r>
      <w:r>
        <w:rPr>
          <w:rFonts w:ascii="宋体" w:hAnsi="宋体" w:eastAsia="宋体" w:cs="宋体"/>
          <w:spacing w:val="6"/>
          <w:sz w:val="24"/>
          <w:szCs w:val="24"/>
        </w:rPr>
        <w:t xml:space="preserve"> </w:t>
      </w:r>
      <w:r>
        <w:rPr>
          <w:rFonts w:ascii="宋体" w:hAnsi="宋体" w:eastAsia="宋体" w:cs="宋体"/>
          <w:spacing w:val="-2"/>
          <w:sz w:val="24"/>
          <w:szCs w:val="24"/>
        </w:rPr>
        <w:t>重要的一环。</w:t>
      </w:r>
    </w:p>
    <w:p w14:paraId="1037EBD3">
      <w:pPr>
        <w:spacing w:before="2" w:line="351" w:lineRule="auto"/>
        <w:ind w:left="19" w:firstLine="464"/>
        <w:rPr>
          <w:rFonts w:ascii="宋体" w:hAnsi="宋体" w:eastAsia="宋体" w:cs="宋体"/>
          <w:sz w:val="24"/>
          <w:szCs w:val="24"/>
        </w:rPr>
      </w:pPr>
      <w:r>
        <w:rPr>
          <w:rFonts w:ascii="宋体" w:hAnsi="宋体" w:eastAsia="宋体" w:cs="宋体"/>
          <w:sz w:val="24"/>
          <w:szCs w:val="24"/>
        </w:rPr>
        <w:t>项目的有害生物防治措施投资约</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万元，</w:t>
      </w:r>
      <w:r>
        <w:rPr>
          <w:rFonts w:ascii="宋体" w:hAnsi="宋体" w:eastAsia="宋体" w:cs="宋体"/>
          <w:spacing w:val="-69"/>
          <w:sz w:val="24"/>
          <w:szCs w:val="24"/>
        </w:rPr>
        <w:t xml:space="preserve"> </w:t>
      </w:r>
      <w:r>
        <w:rPr>
          <w:rFonts w:ascii="宋体" w:hAnsi="宋体" w:eastAsia="宋体" w:cs="宋体"/>
          <w:sz w:val="24"/>
          <w:szCs w:val="24"/>
        </w:rPr>
        <w:t>占总投资的</w:t>
      </w:r>
      <w:r>
        <w:rPr>
          <w:rFonts w:ascii="Times New Roman" w:hAnsi="Times New Roman" w:eastAsia="Times New Roman" w:cs="Times New Roman"/>
          <w:sz w:val="24"/>
          <w:szCs w:val="24"/>
        </w:rPr>
        <w:t>0.08</w:t>
      </w:r>
      <w:r>
        <w:rPr>
          <w:rFonts w:ascii="宋体" w:hAnsi="宋体" w:eastAsia="宋体" w:cs="宋体"/>
          <w:spacing w:val="17"/>
          <w:sz w:val="24"/>
          <w:szCs w:val="24"/>
        </w:rPr>
        <w:t>％，</w:t>
      </w:r>
      <w:r>
        <w:rPr>
          <w:rFonts w:ascii="宋体" w:hAnsi="宋体" w:eastAsia="宋体" w:cs="宋体"/>
          <w:sz w:val="24"/>
          <w:szCs w:val="24"/>
        </w:rPr>
        <w:t xml:space="preserve">从经济上是可行 </w:t>
      </w:r>
      <w:r>
        <w:rPr>
          <w:rFonts w:ascii="宋体" w:hAnsi="宋体" w:eastAsia="宋体" w:cs="宋体"/>
          <w:spacing w:val="-3"/>
          <w:sz w:val="24"/>
          <w:szCs w:val="24"/>
        </w:rPr>
        <w:t>的，可以被建设单位接受。</w:t>
      </w:r>
    </w:p>
    <w:p w14:paraId="48BE3FE8">
      <w:pPr>
        <w:spacing w:line="351" w:lineRule="auto"/>
        <w:rPr>
          <w:rFonts w:ascii="宋体" w:hAnsi="宋体" w:eastAsia="宋体" w:cs="宋体"/>
          <w:sz w:val="24"/>
          <w:szCs w:val="24"/>
        </w:rPr>
        <w:sectPr>
          <w:footerReference r:id="rId162" w:type="default"/>
          <w:pgSz w:w="11906" w:h="16839"/>
          <w:pgMar w:top="400" w:right="1588" w:bottom="1485" w:left="1598" w:header="0" w:footer="1249" w:gutter="0"/>
          <w:cols w:space="720" w:num="1"/>
        </w:sectPr>
      </w:pPr>
    </w:p>
    <w:p w14:paraId="42E97649">
      <w:pPr>
        <w:pStyle w:val="2"/>
        <w:spacing w:line="250" w:lineRule="auto"/>
      </w:pPr>
    </w:p>
    <w:p w14:paraId="4EE49D0D">
      <w:pPr>
        <w:pStyle w:val="2"/>
        <w:spacing w:line="250" w:lineRule="auto"/>
      </w:pPr>
    </w:p>
    <w:p w14:paraId="32FE8A7A">
      <w:pPr>
        <w:pStyle w:val="2"/>
        <w:spacing w:line="250" w:lineRule="auto"/>
      </w:pPr>
    </w:p>
    <w:p w14:paraId="17E62979">
      <w:pPr>
        <w:pStyle w:val="2"/>
        <w:spacing w:line="250" w:lineRule="auto"/>
      </w:pPr>
    </w:p>
    <w:p w14:paraId="35F30394">
      <w:pPr>
        <w:spacing w:before="140" w:line="637" w:lineRule="exact"/>
        <w:ind w:left="2625"/>
        <w:outlineLvl w:val="0"/>
        <w:rPr>
          <w:rFonts w:ascii="黑体" w:hAnsi="黑体" w:eastAsia="黑体" w:cs="黑体"/>
          <w:sz w:val="43"/>
          <w:szCs w:val="43"/>
        </w:rPr>
      </w:pPr>
      <w:bookmarkStart w:id="44" w:name="bookmark39"/>
      <w:bookmarkEnd w:id="44"/>
      <w:r>
        <w:rPr>
          <w:rFonts w:ascii="Calibri" w:hAnsi="Calibri" w:eastAsia="Calibri" w:cs="Calibri"/>
          <w:spacing w:val="6"/>
          <w:position w:val="4"/>
          <w:sz w:val="43"/>
          <w:szCs w:val="43"/>
        </w:rPr>
        <w:t>7</w:t>
      </w:r>
      <w:r>
        <w:rPr>
          <w:rFonts w:ascii="黑体" w:hAnsi="黑体" w:eastAsia="黑体" w:cs="黑体"/>
          <w:spacing w:val="6"/>
          <w:position w:val="4"/>
          <w:sz w:val="43"/>
          <w:szCs w:val="43"/>
        </w:rPr>
        <w:t>环境经济损益分析</w:t>
      </w:r>
    </w:p>
    <w:p w14:paraId="38DA3176">
      <w:pPr>
        <w:pStyle w:val="2"/>
        <w:spacing w:line="392" w:lineRule="auto"/>
      </w:pPr>
    </w:p>
    <w:p w14:paraId="7EBA3FA7">
      <w:pPr>
        <w:spacing w:before="78" w:line="377" w:lineRule="auto"/>
        <w:ind w:left="124" w:right="113" w:firstLine="478"/>
        <w:jc w:val="both"/>
        <w:rPr>
          <w:rFonts w:ascii="宋体" w:hAnsi="宋体" w:eastAsia="宋体" w:cs="宋体"/>
          <w:sz w:val="24"/>
          <w:szCs w:val="24"/>
        </w:rPr>
      </w:pPr>
      <w:r>
        <w:rPr>
          <w:rFonts w:ascii="宋体" w:hAnsi="宋体" w:eastAsia="宋体" w:cs="宋体"/>
          <w:spacing w:val="2"/>
          <w:sz w:val="24"/>
          <w:szCs w:val="24"/>
        </w:rPr>
        <w:t>环境影响经济损益分析是对项目的环境影响作出经济评价，重点是对有长期影</w:t>
      </w:r>
      <w:r>
        <w:rPr>
          <w:rFonts w:ascii="宋体" w:hAnsi="宋体" w:eastAsia="宋体" w:cs="宋体"/>
          <w:spacing w:val="10"/>
          <w:sz w:val="24"/>
          <w:szCs w:val="24"/>
        </w:rPr>
        <w:t xml:space="preserve"> </w:t>
      </w:r>
      <w:r>
        <w:rPr>
          <w:rFonts w:ascii="宋体" w:hAnsi="宋体" w:eastAsia="宋体" w:cs="宋体"/>
          <w:spacing w:val="2"/>
          <w:sz w:val="24"/>
          <w:szCs w:val="24"/>
        </w:rPr>
        <w:t>响的主要环境因子作出经济损益分析，包括对环境不利和有利因子的分析。在效益</w:t>
      </w:r>
      <w:r>
        <w:rPr>
          <w:rFonts w:ascii="宋体" w:hAnsi="宋体" w:eastAsia="宋体" w:cs="宋体"/>
          <w:spacing w:val="4"/>
          <w:sz w:val="24"/>
          <w:szCs w:val="24"/>
        </w:rPr>
        <w:t xml:space="preserve"> </w:t>
      </w:r>
      <w:r>
        <w:rPr>
          <w:rFonts w:ascii="宋体" w:hAnsi="宋体" w:eastAsia="宋体" w:cs="宋体"/>
          <w:spacing w:val="2"/>
          <w:sz w:val="24"/>
          <w:szCs w:val="24"/>
        </w:rPr>
        <w:t>分析中，考虑直接效益（经济效益）和间接效益（社会效益、环境效益）。根据项</w:t>
      </w:r>
      <w:r>
        <w:rPr>
          <w:rFonts w:ascii="宋体" w:hAnsi="宋体" w:eastAsia="宋体" w:cs="宋体"/>
          <w:spacing w:val="4"/>
          <w:sz w:val="24"/>
          <w:szCs w:val="24"/>
        </w:rPr>
        <w:t xml:space="preserve"> </w:t>
      </w:r>
      <w:r>
        <w:rPr>
          <w:rFonts w:ascii="宋体" w:hAnsi="宋体" w:eastAsia="宋体" w:cs="宋体"/>
          <w:spacing w:val="2"/>
          <w:sz w:val="24"/>
          <w:szCs w:val="24"/>
        </w:rPr>
        <w:t>目特征，拟本项目可能对环境产生不利影响的主要因子为水污染和大气污染。本章</w:t>
      </w:r>
      <w:r>
        <w:rPr>
          <w:rFonts w:ascii="宋体" w:hAnsi="宋体" w:eastAsia="宋体" w:cs="宋体"/>
          <w:spacing w:val="4"/>
          <w:sz w:val="24"/>
          <w:szCs w:val="24"/>
        </w:rPr>
        <w:t xml:space="preserve"> </w:t>
      </w:r>
      <w:r>
        <w:rPr>
          <w:rFonts w:ascii="宋体" w:hAnsi="宋体" w:eastAsia="宋体" w:cs="宋体"/>
          <w:spacing w:val="2"/>
          <w:sz w:val="24"/>
          <w:szCs w:val="24"/>
        </w:rPr>
        <w:t>主要根据企业提供的有关资料，采用类比调查和经济分析评价等方法，对该项目的</w:t>
      </w:r>
      <w:r>
        <w:rPr>
          <w:rFonts w:ascii="宋体" w:hAnsi="宋体" w:eastAsia="宋体" w:cs="宋体"/>
          <w:spacing w:val="4"/>
          <w:sz w:val="24"/>
          <w:szCs w:val="24"/>
        </w:rPr>
        <w:t xml:space="preserve"> </w:t>
      </w:r>
      <w:r>
        <w:rPr>
          <w:rFonts w:ascii="宋体" w:hAnsi="宋体" w:eastAsia="宋体" w:cs="宋体"/>
          <w:spacing w:val="-1"/>
          <w:sz w:val="24"/>
          <w:szCs w:val="24"/>
        </w:rPr>
        <w:t>经济效益、环保投资以及环境资源损失进行简要分析。</w:t>
      </w:r>
    </w:p>
    <w:p w14:paraId="2233E9CD">
      <w:pPr>
        <w:spacing w:before="298" w:line="226" w:lineRule="auto"/>
        <w:ind w:left="124"/>
        <w:outlineLvl w:val="1"/>
        <w:rPr>
          <w:rFonts w:ascii="宋体" w:hAnsi="宋体" w:eastAsia="宋体" w:cs="宋体"/>
          <w:sz w:val="31"/>
          <w:szCs w:val="31"/>
        </w:rPr>
      </w:pPr>
      <w:bookmarkStart w:id="45" w:name="bookmark40"/>
      <w:bookmarkEnd w:id="45"/>
      <w:r>
        <w:rPr>
          <w:rFonts w:ascii="Times New Roman" w:hAnsi="Times New Roman" w:eastAsia="Times New Roman" w:cs="Times New Roman"/>
          <w:b/>
          <w:bCs/>
          <w:spacing w:val="5"/>
          <w:sz w:val="31"/>
          <w:szCs w:val="31"/>
        </w:rPr>
        <w:t>7.1</w:t>
      </w:r>
      <w:r>
        <w:rPr>
          <w:rFonts w:ascii="宋体" w:hAnsi="宋体" w:eastAsia="宋体" w:cs="宋体"/>
          <w:b/>
          <w:bCs/>
          <w:spacing w:val="5"/>
          <w:sz w:val="31"/>
          <w:szCs w:val="31"/>
        </w:rPr>
        <w:t>环境经济效益分析</w:t>
      </w:r>
    </w:p>
    <w:p w14:paraId="04CB9FD4">
      <w:pPr>
        <w:pStyle w:val="2"/>
        <w:spacing w:line="447" w:lineRule="auto"/>
      </w:pPr>
    </w:p>
    <w:p w14:paraId="28AD9E7C">
      <w:pPr>
        <w:spacing w:before="78" w:line="221"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7.1.1</w:t>
      </w:r>
      <w:r>
        <w:rPr>
          <w:rFonts w:ascii="宋体" w:hAnsi="宋体" w:eastAsia="宋体" w:cs="宋体"/>
          <w:b/>
          <w:bCs/>
          <w:spacing w:val="-2"/>
          <w:sz w:val="24"/>
          <w:szCs w:val="24"/>
        </w:rPr>
        <w:t>减少污染物排放</w:t>
      </w:r>
    </w:p>
    <w:p w14:paraId="5053825B">
      <w:pPr>
        <w:pStyle w:val="2"/>
        <w:spacing w:line="274" w:lineRule="auto"/>
      </w:pPr>
    </w:p>
    <w:p w14:paraId="7942AAAB">
      <w:pPr>
        <w:spacing w:before="78" w:line="377" w:lineRule="auto"/>
        <w:ind w:left="122" w:right="113" w:firstLine="480"/>
        <w:jc w:val="both"/>
        <w:rPr>
          <w:rFonts w:ascii="宋体" w:hAnsi="宋体" w:eastAsia="宋体" w:cs="宋体"/>
          <w:sz w:val="24"/>
          <w:szCs w:val="24"/>
        </w:rPr>
      </w:pPr>
      <w:r>
        <w:rPr>
          <w:rFonts w:ascii="宋体" w:hAnsi="宋体" w:eastAsia="宋体" w:cs="宋体"/>
          <w:spacing w:val="2"/>
          <w:sz w:val="24"/>
          <w:szCs w:val="24"/>
        </w:rPr>
        <w:t>本项目产生的猪只尿液、猪舍冲洗水与猪只粪便一起收集，经异位发酵床处理</w:t>
      </w:r>
      <w:r>
        <w:rPr>
          <w:rFonts w:ascii="宋体" w:hAnsi="宋体" w:eastAsia="宋体" w:cs="宋体"/>
          <w:spacing w:val="9"/>
          <w:sz w:val="24"/>
          <w:szCs w:val="24"/>
        </w:rPr>
        <w:t xml:space="preserve"> </w:t>
      </w:r>
      <w:r>
        <w:rPr>
          <w:rFonts w:ascii="宋体" w:hAnsi="宋体" w:eastAsia="宋体" w:cs="宋体"/>
          <w:spacing w:val="2"/>
          <w:sz w:val="24"/>
          <w:szCs w:val="24"/>
        </w:rPr>
        <w:t>制作有机肥半成品，外售，不外排；项目的产生的生活污水也与猪只粪污一起经异</w:t>
      </w:r>
      <w:r>
        <w:rPr>
          <w:rFonts w:ascii="宋体" w:hAnsi="宋体" w:eastAsia="宋体" w:cs="宋体"/>
          <w:spacing w:val="6"/>
          <w:sz w:val="24"/>
          <w:szCs w:val="24"/>
        </w:rPr>
        <w:t xml:space="preserve"> </w:t>
      </w:r>
      <w:r>
        <w:rPr>
          <w:rFonts w:ascii="宋体" w:hAnsi="宋体" w:eastAsia="宋体" w:cs="宋体"/>
          <w:spacing w:val="2"/>
          <w:sz w:val="24"/>
          <w:szCs w:val="24"/>
        </w:rPr>
        <w:t>位发酵床处理制作有机肥半成品，外售，不外排。生活垃圾收集后交由当地环卫部</w:t>
      </w:r>
      <w:r>
        <w:rPr>
          <w:rFonts w:ascii="宋体" w:hAnsi="宋体" w:eastAsia="宋体" w:cs="宋体"/>
          <w:spacing w:val="6"/>
          <w:sz w:val="24"/>
          <w:szCs w:val="24"/>
        </w:rPr>
        <w:t xml:space="preserve"> </w:t>
      </w:r>
      <w:r>
        <w:rPr>
          <w:rFonts w:ascii="宋体" w:hAnsi="宋体" w:eastAsia="宋体" w:cs="宋体"/>
          <w:spacing w:val="2"/>
          <w:sz w:val="24"/>
          <w:szCs w:val="24"/>
        </w:rPr>
        <w:t>门定期清运处理，牲畜粪便转移至有机肥发酵车间经异位发酵床处理制作有机肥半</w:t>
      </w:r>
      <w:r>
        <w:rPr>
          <w:rFonts w:ascii="宋体" w:hAnsi="宋体" w:eastAsia="宋体" w:cs="宋体"/>
          <w:spacing w:val="6"/>
          <w:sz w:val="24"/>
          <w:szCs w:val="24"/>
        </w:rPr>
        <w:t xml:space="preserve"> </w:t>
      </w:r>
      <w:r>
        <w:rPr>
          <w:rFonts w:ascii="宋体" w:hAnsi="宋体" w:eastAsia="宋体" w:cs="宋体"/>
          <w:spacing w:val="2"/>
          <w:sz w:val="24"/>
          <w:szCs w:val="24"/>
        </w:rPr>
        <w:t>成品，外售，不外排；病死猪尸体采用安全填埋井进行填埋处理，牲畜检疫、生病</w:t>
      </w:r>
      <w:r>
        <w:rPr>
          <w:rFonts w:ascii="宋体" w:hAnsi="宋体" w:eastAsia="宋体" w:cs="宋体"/>
          <w:spacing w:val="6"/>
          <w:sz w:val="24"/>
          <w:szCs w:val="24"/>
        </w:rPr>
        <w:t xml:space="preserve"> </w:t>
      </w:r>
      <w:r>
        <w:rPr>
          <w:rFonts w:ascii="宋体" w:hAnsi="宋体" w:eastAsia="宋体" w:cs="宋体"/>
          <w:spacing w:val="-1"/>
          <w:sz w:val="24"/>
          <w:szCs w:val="24"/>
        </w:rPr>
        <w:t>时使用医疗设备会产生少量医疗垃圾收集后交由有资质单位处理。</w:t>
      </w:r>
    </w:p>
    <w:p w14:paraId="2181FF6B">
      <w:pPr>
        <w:spacing w:before="293" w:line="219"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7.1.2</w:t>
      </w:r>
      <w:r>
        <w:rPr>
          <w:rFonts w:ascii="宋体" w:hAnsi="宋体" w:eastAsia="宋体" w:cs="宋体"/>
          <w:b/>
          <w:bCs/>
          <w:spacing w:val="-2"/>
          <w:sz w:val="24"/>
          <w:szCs w:val="24"/>
        </w:rPr>
        <w:t>环保投资估算</w:t>
      </w:r>
    </w:p>
    <w:p w14:paraId="79C5494E">
      <w:pPr>
        <w:pStyle w:val="2"/>
        <w:spacing w:line="246" w:lineRule="auto"/>
      </w:pPr>
    </w:p>
    <w:p w14:paraId="0F916BC4">
      <w:pPr>
        <w:spacing w:before="79" w:line="372" w:lineRule="auto"/>
        <w:ind w:left="124" w:right="113" w:firstLine="481"/>
        <w:rPr>
          <w:rFonts w:ascii="宋体" w:hAnsi="宋体" w:eastAsia="宋体" w:cs="宋体"/>
          <w:sz w:val="24"/>
          <w:szCs w:val="24"/>
        </w:rPr>
      </w:pPr>
      <w:r>
        <w:rPr>
          <w:rFonts w:ascii="宋体" w:hAnsi="宋体" w:eastAsia="宋体" w:cs="宋体"/>
          <w:spacing w:val="-1"/>
          <w:sz w:val="24"/>
          <w:szCs w:val="24"/>
        </w:rPr>
        <w:t>项目总投资为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1300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万，其中环保投资约</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320</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万元，占项目投资的</w:t>
      </w:r>
      <w:r>
        <w:rPr>
          <w:rFonts w:ascii="Times New Roman" w:hAnsi="Times New Roman" w:eastAsia="Times New Roman" w:cs="Times New Roman"/>
          <w:spacing w:val="-1"/>
          <w:sz w:val="24"/>
          <w:szCs w:val="24"/>
        </w:rPr>
        <w:t>24.6%</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，主要</w:t>
      </w:r>
      <w:r>
        <w:rPr>
          <w:rFonts w:ascii="宋体" w:hAnsi="宋体" w:eastAsia="宋体" w:cs="宋体"/>
          <w:sz w:val="24"/>
          <w:szCs w:val="24"/>
        </w:rPr>
        <w:t xml:space="preserve"> </w:t>
      </w:r>
      <w:r>
        <w:rPr>
          <w:rFonts w:ascii="宋体" w:hAnsi="宋体" w:eastAsia="宋体" w:cs="宋体"/>
          <w:spacing w:val="-1"/>
          <w:sz w:val="24"/>
          <w:szCs w:val="24"/>
        </w:rPr>
        <w:t>用于粪污收集和处理、固体废物收集等，详见表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7.1-1</w:t>
      </w:r>
      <w:r>
        <w:rPr>
          <w:rFonts w:ascii="宋体" w:hAnsi="宋体" w:eastAsia="宋体" w:cs="宋体"/>
          <w:spacing w:val="-1"/>
          <w:sz w:val="24"/>
          <w:szCs w:val="24"/>
        </w:rPr>
        <w:t>。</w:t>
      </w:r>
    </w:p>
    <w:p w14:paraId="35AD6A1C">
      <w:pPr>
        <w:spacing w:before="61" w:line="227" w:lineRule="auto"/>
        <w:ind w:left="271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5"/>
          <w:sz w:val="20"/>
          <w:szCs w:val="20"/>
        </w:rPr>
        <w:t xml:space="preserve">7.1-1      </w:t>
      </w:r>
      <w:r>
        <w:rPr>
          <w:rFonts w:ascii="宋体" w:hAnsi="宋体" w:eastAsia="宋体" w:cs="宋体"/>
          <w:b/>
          <w:bCs/>
          <w:spacing w:val="5"/>
          <w:sz w:val="20"/>
          <w:szCs w:val="20"/>
        </w:rPr>
        <w:t>工程三废治理环保投资估算</w:t>
      </w:r>
    </w:p>
    <w:p w14:paraId="703369E7">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3"/>
        <w:gridCol w:w="1529"/>
        <w:gridCol w:w="3854"/>
        <w:gridCol w:w="1684"/>
      </w:tblGrid>
      <w:tr w14:paraId="3CC8D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883" w:type="dxa"/>
            <w:vAlign w:val="top"/>
          </w:tcPr>
          <w:p w14:paraId="1A638303">
            <w:pPr>
              <w:pStyle w:val="6"/>
              <w:spacing w:before="61" w:line="228" w:lineRule="auto"/>
              <w:ind w:left="512"/>
            </w:pPr>
            <w:r>
              <w:rPr>
                <w:b/>
                <w:bCs/>
                <w:spacing w:val="6"/>
              </w:rPr>
              <w:t>环保措施</w:t>
            </w:r>
          </w:p>
        </w:tc>
        <w:tc>
          <w:tcPr>
            <w:tcW w:w="1529" w:type="dxa"/>
            <w:vAlign w:val="top"/>
          </w:tcPr>
          <w:p w14:paraId="2669941B">
            <w:pPr>
              <w:pStyle w:val="6"/>
              <w:spacing w:before="62" w:line="228" w:lineRule="auto"/>
              <w:ind w:left="554"/>
            </w:pPr>
            <w:r>
              <w:rPr>
                <w:b/>
                <w:bCs/>
                <w:spacing w:val="-1"/>
              </w:rPr>
              <w:t>时段</w:t>
            </w:r>
          </w:p>
        </w:tc>
        <w:tc>
          <w:tcPr>
            <w:tcW w:w="3854" w:type="dxa"/>
            <w:vAlign w:val="top"/>
          </w:tcPr>
          <w:p w14:paraId="128C5422">
            <w:pPr>
              <w:pStyle w:val="6"/>
              <w:spacing w:before="62" w:line="227" w:lineRule="auto"/>
              <w:ind w:left="1501"/>
            </w:pPr>
            <w:r>
              <w:rPr>
                <w:b/>
                <w:bCs/>
                <w:spacing w:val="6"/>
              </w:rPr>
              <w:t>主要内容</w:t>
            </w:r>
          </w:p>
        </w:tc>
        <w:tc>
          <w:tcPr>
            <w:tcW w:w="1684" w:type="dxa"/>
            <w:vAlign w:val="top"/>
          </w:tcPr>
          <w:p w14:paraId="5614570A">
            <w:pPr>
              <w:pStyle w:val="6"/>
              <w:spacing w:before="61" w:line="228" w:lineRule="auto"/>
              <w:ind w:left="204"/>
            </w:pPr>
            <w:r>
              <w:rPr>
                <w:b/>
                <w:bCs/>
                <w:spacing w:val="4"/>
              </w:rPr>
              <w:t>投资（万元）</w:t>
            </w:r>
          </w:p>
        </w:tc>
      </w:tr>
      <w:tr w14:paraId="0DD4E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883" w:type="dxa"/>
            <w:vMerge w:val="restart"/>
            <w:tcBorders>
              <w:bottom w:val="nil"/>
            </w:tcBorders>
            <w:vAlign w:val="top"/>
          </w:tcPr>
          <w:p w14:paraId="08EACF07">
            <w:pPr>
              <w:pStyle w:val="6"/>
              <w:spacing w:before="224" w:line="227" w:lineRule="auto"/>
              <w:ind w:left="200"/>
            </w:pPr>
            <w:r>
              <w:rPr>
                <w:spacing w:val="8"/>
              </w:rPr>
              <w:t>水环境保护措施</w:t>
            </w:r>
          </w:p>
        </w:tc>
        <w:tc>
          <w:tcPr>
            <w:tcW w:w="1529" w:type="dxa"/>
            <w:vMerge w:val="restart"/>
            <w:tcBorders>
              <w:bottom w:val="nil"/>
            </w:tcBorders>
            <w:vAlign w:val="top"/>
          </w:tcPr>
          <w:p w14:paraId="7A88DA57">
            <w:pPr>
              <w:pStyle w:val="6"/>
              <w:spacing w:before="224" w:line="228" w:lineRule="auto"/>
              <w:ind w:left="438"/>
            </w:pPr>
            <w:r>
              <w:rPr>
                <w:spacing w:val="7"/>
              </w:rPr>
              <w:t>施工期</w:t>
            </w:r>
          </w:p>
        </w:tc>
        <w:tc>
          <w:tcPr>
            <w:tcW w:w="3854" w:type="dxa"/>
            <w:vAlign w:val="top"/>
          </w:tcPr>
          <w:p w14:paraId="07EF8773">
            <w:pPr>
              <w:pStyle w:val="6"/>
              <w:spacing w:before="58" w:line="228" w:lineRule="auto"/>
              <w:ind w:left="1709"/>
            </w:pPr>
            <w:r>
              <w:rPr>
                <w:spacing w:val="4"/>
              </w:rPr>
              <w:t>堆场</w:t>
            </w:r>
          </w:p>
        </w:tc>
        <w:tc>
          <w:tcPr>
            <w:tcW w:w="1684" w:type="dxa"/>
            <w:vAlign w:val="top"/>
          </w:tcPr>
          <w:p w14:paraId="512147A7">
            <w:pPr>
              <w:spacing w:before="28" w:line="271"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6DBEA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continue"/>
            <w:tcBorders>
              <w:top w:val="nil"/>
            </w:tcBorders>
            <w:vAlign w:val="top"/>
          </w:tcPr>
          <w:p w14:paraId="5BEB195D">
            <w:pPr>
              <w:rPr>
                <w:rFonts w:ascii="Arial"/>
                <w:sz w:val="21"/>
              </w:rPr>
            </w:pPr>
          </w:p>
        </w:tc>
        <w:tc>
          <w:tcPr>
            <w:tcW w:w="1529" w:type="dxa"/>
            <w:vMerge w:val="continue"/>
            <w:tcBorders>
              <w:top w:val="nil"/>
            </w:tcBorders>
            <w:vAlign w:val="top"/>
          </w:tcPr>
          <w:p w14:paraId="431C0BD5">
            <w:pPr>
              <w:rPr>
                <w:rFonts w:ascii="Arial"/>
                <w:sz w:val="21"/>
              </w:rPr>
            </w:pPr>
          </w:p>
        </w:tc>
        <w:tc>
          <w:tcPr>
            <w:tcW w:w="3854" w:type="dxa"/>
            <w:vAlign w:val="top"/>
          </w:tcPr>
          <w:p w14:paraId="3A237274">
            <w:pPr>
              <w:pStyle w:val="6"/>
              <w:spacing w:before="59" w:line="228" w:lineRule="auto"/>
              <w:ind w:left="1603"/>
            </w:pPr>
            <w:r>
              <w:rPr>
                <w:spacing w:val="6"/>
              </w:rPr>
              <w:t>沉淀池</w:t>
            </w:r>
          </w:p>
        </w:tc>
        <w:tc>
          <w:tcPr>
            <w:tcW w:w="1684" w:type="dxa"/>
            <w:vAlign w:val="top"/>
          </w:tcPr>
          <w:p w14:paraId="3D055699">
            <w:pPr>
              <w:spacing w:before="29" w:line="272"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F3A7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883" w:type="dxa"/>
            <w:vMerge w:val="restart"/>
            <w:tcBorders>
              <w:bottom w:val="nil"/>
            </w:tcBorders>
            <w:vAlign w:val="top"/>
          </w:tcPr>
          <w:p w14:paraId="5C678E3D">
            <w:pPr>
              <w:spacing w:line="325" w:lineRule="auto"/>
              <w:rPr>
                <w:rFonts w:ascii="Arial"/>
                <w:sz w:val="21"/>
              </w:rPr>
            </w:pPr>
          </w:p>
          <w:p w14:paraId="64B2C64F">
            <w:pPr>
              <w:pStyle w:val="6"/>
              <w:spacing w:before="65" w:line="228" w:lineRule="auto"/>
              <w:ind w:left="95"/>
            </w:pPr>
            <w:r>
              <w:rPr>
                <w:spacing w:val="8"/>
              </w:rPr>
              <w:t>大气环境保护措施</w:t>
            </w:r>
          </w:p>
        </w:tc>
        <w:tc>
          <w:tcPr>
            <w:tcW w:w="1529" w:type="dxa"/>
            <w:vAlign w:val="top"/>
          </w:tcPr>
          <w:p w14:paraId="3AD1C385">
            <w:pPr>
              <w:pStyle w:val="6"/>
              <w:spacing w:before="59" w:line="228" w:lineRule="auto"/>
              <w:ind w:left="438"/>
            </w:pPr>
            <w:r>
              <w:rPr>
                <w:spacing w:val="7"/>
              </w:rPr>
              <w:t>施工期</w:t>
            </w:r>
          </w:p>
        </w:tc>
        <w:tc>
          <w:tcPr>
            <w:tcW w:w="3854" w:type="dxa"/>
            <w:vAlign w:val="top"/>
          </w:tcPr>
          <w:p w14:paraId="7BD7C701">
            <w:pPr>
              <w:pStyle w:val="6"/>
              <w:spacing w:before="59" w:line="227" w:lineRule="auto"/>
              <w:ind w:left="1499"/>
            </w:pPr>
            <w:r>
              <w:rPr>
                <w:spacing w:val="7"/>
              </w:rPr>
              <w:t>施工围挡</w:t>
            </w:r>
          </w:p>
        </w:tc>
        <w:tc>
          <w:tcPr>
            <w:tcW w:w="1684" w:type="dxa"/>
            <w:vAlign w:val="top"/>
          </w:tcPr>
          <w:p w14:paraId="3A5785B9">
            <w:pPr>
              <w:spacing w:before="29" w:line="272" w:lineRule="exact"/>
              <w:ind w:left="7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1ABED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continue"/>
            <w:tcBorders>
              <w:top w:val="nil"/>
              <w:bottom w:val="nil"/>
            </w:tcBorders>
            <w:vAlign w:val="top"/>
          </w:tcPr>
          <w:p w14:paraId="7D5D3D5C">
            <w:pPr>
              <w:rPr>
                <w:rFonts w:ascii="Arial"/>
                <w:sz w:val="21"/>
              </w:rPr>
            </w:pPr>
          </w:p>
        </w:tc>
        <w:tc>
          <w:tcPr>
            <w:tcW w:w="1529" w:type="dxa"/>
            <w:vMerge w:val="restart"/>
            <w:tcBorders>
              <w:bottom w:val="nil"/>
            </w:tcBorders>
            <w:vAlign w:val="top"/>
          </w:tcPr>
          <w:p w14:paraId="0F116328">
            <w:pPr>
              <w:pStyle w:val="6"/>
              <w:spacing w:before="227" w:line="228" w:lineRule="auto"/>
              <w:ind w:left="445"/>
            </w:pPr>
            <w:r>
              <w:rPr>
                <w:spacing w:val="4"/>
              </w:rPr>
              <w:t>营运期</w:t>
            </w:r>
          </w:p>
        </w:tc>
        <w:tc>
          <w:tcPr>
            <w:tcW w:w="3854" w:type="dxa"/>
            <w:vAlign w:val="top"/>
          </w:tcPr>
          <w:p w14:paraId="40CAE05B">
            <w:pPr>
              <w:pStyle w:val="6"/>
              <w:spacing w:before="60" w:line="227" w:lineRule="auto"/>
              <w:ind w:left="1288"/>
            </w:pPr>
            <w:r>
              <w:rPr>
                <w:spacing w:val="8"/>
              </w:rPr>
              <w:t>臭气防治措施</w:t>
            </w:r>
          </w:p>
        </w:tc>
        <w:tc>
          <w:tcPr>
            <w:tcW w:w="1684" w:type="dxa"/>
            <w:vAlign w:val="top"/>
          </w:tcPr>
          <w:p w14:paraId="379AC4D1">
            <w:pPr>
              <w:spacing w:before="30" w:line="272" w:lineRule="exact"/>
              <w:ind w:left="72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18613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continue"/>
            <w:tcBorders>
              <w:top w:val="nil"/>
            </w:tcBorders>
            <w:vAlign w:val="top"/>
          </w:tcPr>
          <w:p w14:paraId="0B4234F5">
            <w:pPr>
              <w:rPr>
                <w:rFonts w:ascii="Arial"/>
                <w:sz w:val="21"/>
              </w:rPr>
            </w:pPr>
          </w:p>
        </w:tc>
        <w:tc>
          <w:tcPr>
            <w:tcW w:w="1529" w:type="dxa"/>
            <w:vMerge w:val="continue"/>
            <w:tcBorders>
              <w:top w:val="nil"/>
            </w:tcBorders>
            <w:vAlign w:val="top"/>
          </w:tcPr>
          <w:p w14:paraId="42401E9D">
            <w:pPr>
              <w:rPr>
                <w:rFonts w:ascii="Arial"/>
                <w:sz w:val="21"/>
              </w:rPr>
            </w:pPr>
          </w:p>
        </w:tc>
        <w:tc>
          <w:tcPr>
            <w:tcW w:w="3854" w:type="dxa"/>
            <w:vAlign w:val="top"/>
          </w:tcPr>
          <w:p w14:paraId="745C2186">
            <w:pPr>
              <w:pStyle w:val="6"/>
              <w:spacing w:before="61" w:line="227" w:lineRule="auto"/>
              <w:ind w:left="1306"/>
            </w:pPr>
            <w:r>
              <w:rPr>
                <w:spacing w:val="7"/>
              </w:rPr>
              <w:t>室内通风系统</w:t>
            </w:r>
          </w:p>
        </w:tc>
        <w:tc>
          <w:tcPr>
            <w:tcW w:w="1684" w:type="dxa"/>
            <w:vAlign w:val="top"/>
          </w:tcPr>
          <w:p w14:paraId="30804C1E">
            <w:pPr>
              <w:spacing w:before="30" w:line="272"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0E31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restart"/>
            <w:tcBorders>
              <w:bottom w:val="nil"/>
            </w:tcBorders>
            <w:vAlign w:val="top"/>
          </w:tcPr>
          <w:p w14:paraId="065C9398">
            <w:pPr>
              <w:pStyle w:val="6"/>
              <w:spacing w:before="227" w:line="228" w:lineRule="auto"/>
              <w:ind w:left="216"/>
            </w:pPr>
            <w:r>
              <w:rPr>
                <w:spacing w:val="8"/>
              </w:rPr>
              <w:t>声环境保护措施</w:t>
            </w:r>
          </w:p>
        </w:tc>
        <w:tc>
          <w:tcPr>
            <w:tcW w:w="1529" w:type="dxa"/>
            <w:vAlign w:val="top"/>
          </w:tcPr>
          <w:p w14:paraId="7C386E81">
            <w:pPr>
              <w:pStyle w:val="6"/>
              <w:spacing w:before="61" w:line="228" w:lineRule="auto"/>
              <w:ind w:left="452"/>
            </w:pPr>
            <w:r>
              <w:rPr>
                <w:spacing w:val="7"/>
              </w:rPr>
              <w:t>施工期</w:t>
            </w:r>
          </w:p>
        </w:tc>
        <w:tc>
          <w:tcPr>
            <w:tcW w:w="3854" w:type="dxa"/>
            <w:vAlign w:val="top"/>
          </w:tcPr>
          <w:p w14:paraId="5039B386">
            <w:pPr>
              <w:pStyle w:val="6"/>
              <w:spacing w:before="61" w:line="227" w:lineRule="auto"/>
              <w:ind w:left="1524"/>
            </w:pPr>
            <w:r>
              <w:rPr>
                <w:spacing w:val="4"/>
              </w:rPr>
              <w:t>噪声管理</w:t>
            </w:r>
          </w:p>
        </w:tc>
        <w:tc>
          <w:tcPr>
            <w:tcW w:w="1684" w:type="dxa"/>
            <w:vAlign w:val="top"/>
          </w:tcPr>
          <w:p w14:paraId="758837AB">
            <w:pPr>
              <w:spacing w:before="31" w:line="272" w:lineRule="exact"/>
              <w:ind w:left="79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1C8B8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83" w:type="dxa"/>
            <w:vMerge w:val="continue"/>
            <w:tcBorders>
              <w:top w:val="nil"/>
            </w:tcBorders>
            <w:vAlign w:val="top"/>
          </w:tcPr>
          <w:p w14:paraId="540BC616">
            <w:pPr>
              <w:rPr>
                <w:rFonts w:ascii="Arial"/>
                <w:sz w:val="21"/>
              </w:rPr>
            </w:pPr>
          </w:p>
        </w:tc>
        <w:tc>
          <w:tcPr>
            <w:tcW w:w="1529" w:type="dxa"/>
            <w:vAlign w:val="top"/>
          </w:tcPr>
          <w:p w14:paraId="61DA1CEE">
            <w:pPr>
              <w:pStyle w:val="6"/>
              <w:spacing w:before="61" w:line="228" w:lineRule="auto"/>
              <w:ind w:left="460"/>
            </w:pPr>
            <w:r>
              <w:rPr>
                <w:spacing w:val="4"/>
              </w:rPr>
              <w:t>营运期</w:t>
            </w:r>
          </w:p>
        </w:tc>
        <w:tc>
          <w:tcPr>
            <w:tcW w:w="3854" w:type="dxa"/>
            <w:vAlign w:val="top"/>
          </w:tcPr>
          <w:p w14:paraId="0328D87C">
            <w:pPr>
              <w:pStyle w:val="6"/>
              <w:spacing w:before="61" w:line="228" w:lineRule="auto"/>
              <w:ind w:left="1212"/>
            </w:pPr>
            <w:r>
              <w:rPr>
                <w:spacing w:val="6"/>
              </w:rPr>
              <w:t>隔声、减震措施</w:t>
            </w:r>
          </w:p>
        </w:tc>
        <w:tc>
          <w:tcPr>
            <w:tcW w:w="1684" w:type="dxa"/>
            <w:vAlign w:val="top"/>
          </w:tcPr>
          <w:p w14:paraId="780A5B2F">
            <w:pPr>
              <w:spacing w:before="31" w:line="272"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bl>
    <w:p w14:paraId="17726958">
      <w:pPr>
        <w:pStyle w:val="2"/>
        <w:spacing w:line="14" w:lineRule="auto"/>
        <w:rPr>
          <w:sz w:val="2"/>
        </w:rPr>
      </w:pPr>
    </w:p>
    <w:p w14:paraId="44A361A1">
      <w:pPr>
        <w:spacing w:line="14" w:lineRule="auto"/>
        <w:rPr>
          <w:sz w:val="2"/>
          <w:szCs w:val="2"/>
        </w:rPr>
        <w:sectPr>
          <w:footerReference r:id="rId163" w:type="default"/>
          <w:pgSz w:w="11906" w:h="16839"/>
          <w:pgMar w:top="400" w:right="1475" w:bottom="1485" w:left="1475" w:header="0" w:footer="1249" w:gutter="0"/>
          <w:cols w:space="720" w:num="1"/>
        </w:sectPr>
      </w:pPr>
    </w:p>
    <w:p w14:paraId="298B7121">
      <w:pPr>
        <w:spacing w:before="13"/>
      </w:pPr>
    </w:p>
    <w:p w14:paraId="51F509F6">
      <w:pPr>
        <w:spacing w:before="13"/>
      </w:pPr>
    </w:p>
    <w:p w14:paraId="6DA8BA44">
      <w:pPr>
        <w:spacing w:before="13"/>
      </w:pPr>
    </w:p>
    <w:p w14:paraId="66C5A2E8">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3"/>
        <w:gridCol w:w="1529"/>
        <w:gridCol w:w="3854"/>
        <w:gridCol w:w="1684"/>
      </w:tblGrid>
      <w:tr w14:paraId="2D3A3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883" w:type="dxa"/>
            <w:vAlign w:val="top"/>
          </w:tcPr>
          <w:p w14:paraId="1727F0C5">
            <w:pPr>
              <w:pStyle w:val="6"/>
              <w:spacing w:before="64" w:line="229" w:lineRule="auto"/>
              <w:ind w:left="512"/>
            </w:pPr>
            <w:r>
              <w:rPr>
                <w:b/>
                <w:bCs/>
                <w:spacing w:val="6"/>
              </w:rPr>
              <w:t>环保措施</w:t>
            </w:r>
          </w:p>
        </w:tc>
        <w:tc>
          <w:tcPr>
            <w:tcW w:w="1529" w:type="dxa"/>
            <w:vAlign w:val="top"/>
          </w:tcPr>
          <w:p w14:paraId="63D0831D">
            <w:pPr>
              <w:pStyle w:val="6"/>
              <w:spacing w:before="63" w:line="230" w:lineRule="auto"/>
              <w:ind w:left="554"/>
            </w:pPr>
            <w:r>
              <w:rPr>
                <w:b/>
                <w:bCs/>
                <w:spacing w:val="-1"/>
              </w:rPr>
              <w:t>时段</w:t>
            </w:r>
          </w:p>
        </w:tc>
        <w:tc>
          <w:tcPr>
            <w:tcW w:w="3854" w:type="dxa"/>
            <w:vAlign w:val="top"/>
          </w:tcPr>
          <w:p w14:paraId="5F0F8A0C">
            <w:pPr>
              <w:pStyle w:val="6"/>
              <w:spacing w:before="64" w:line="228" w:lineRule="auto"/>
              <w:ind w:left="1501"/>
            </w:pPr>
            <w:r>
              <w:rPr>
                <w:b/>
                <w:bCs/>
                <w:spacing w:val="6"/>
              </w:rPr>
              <w:t>主要内容</w:t>
            </w:r>
          </w:p>
        </w:tc>
        <w:tc>
          <w:tcPr>
            <w:tcW w:w="1684" w:type="dxa"/>
            <w:vAlign w:val="top"/>
          </w:tcPr>
          <w:p w14:paraId="04891555">
            <w:pPr>
              <w:pStyle w:val="6"/>
              <w:spacing w:before="64" w:line="229" w:lineRule="auto"/>
              <w:ind w:left="204"/>
            </w:pPr>
            <w:r>
              <w:rPr>
                <w:b/>
                <w:bCs/>
                <w:spacing w:val="4"/>
              </w:rPr>
              <w:t>投资（万元）</w:t>
            </w:r>
          </w:p>
        </w:tc>
      </w:tr>
      <w:tr w14:paraId="57AD2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Merge w:val="restart"/>
            <w:tcBorders>
              <w:bottom w:val="nil"/>
            </w:tcBorders>
            <w:vAlign w:val="top"/>
          </w:tcPr>
          <w:p w14:paraId="46D74382">
            <w:pPr>
              <w:spacing w:line="250" w:lineRule="auto"/>
              <w:rPr>
                <w:rFonts w:ascii="Arial"/>
                <w:sz w:val="21"/>
              </w:rPr>
            </w:pPr>
          </w:p>
          <w:p w14:paraId="60AA679A">
            <w:pPr>
              <w:spacing w:line="250" w:lineRule="auto"/>
              <w:rPr>
                <w:rFonts w:ascii="Arial"/>
                <w:sz w:val="21"/>
              </w:rPr>
            </w:pPr>
          </w:p>
          <w:p w14:paraId="1F2927ED">
            <w:pPr>
              <w:pStyle w:val="6"/>
              <w:spacing w:before="65" w:line="304" w:lineRule="auto"/>
              <w:ind w:left="842" w:right="204" w:hanging="612"/>
            </w:pPr>
            <w:r>
              <w:rPr>
                <w:spacing w:val="6"/>
              </w:rPr>
              <w:t>固体废物防治措</w:t>
            </w:r>
            <w:r>
              <w:t xml:space="preserve"> </w:t>
            </w:r>
            <w:r>
              <w:rPr>
                <w:spacing w:val="1"/>
              </w:rPr>
              <w:t>施</w:t>
            </w:r>
          </w:p>
        </w:tc>
        <w:tc>
          <w:tcPr>
            <w:tcW w:w="1529" w:type="dxa"/>
            <w:vAlign w:val="top"/>
          </w:tcPr>
          <w:p w14:paraId="41676FDD">
            <w:pPr>
              <w:pStyle w:val="6"/>
              <w:spacing w:before="60" w:line="229" w:lineRule="auto"/>
              <w:ind w:left="452"/>
            </w:pPr>
            <w:r>
              <w:rPr>
                <w:spacing w:val="7"/>
              </w:rPr>
              <w:t>施工期</w:t>
            </w:r>
          </w:p>
        </w:tc>
        <w:tc>
          <w:tcPr>
            <w:tcW w:w="3854" w:type="dxa"/>
            <w:vAlign w:val="top"/>
          </w:tcPr>
          <w:p w14:paraId="74D1568D">
            <w:pPr>
              <w:pStyle w:val="6"/>
              <w:spacing w:before="60" w:line="228" w:lineRule="auto"/>
              <w:ind w:left="362"/>
            </w:pPr>
            <w:r>
              <w:rPr>
                <w:spacing w:val="9"/>
              </w:rPr>
              <w:t>建筑垃圾、施工人员生活垃圾收集</w:t>
            </w:r>
          </w:p>
        </w:tc>
        <w:tc>
          <w:tcPr>
            <w:tcW w:w="1684" w:type="dxa"/>
            <w:vAlign w:val="top"/>
          </w:tcPr>
          <w:p w14:paraId="68600C87">
            <w:pPr>
              <w:spacing w:before="29" w:line="274" w:lineRule="exact"/>
              <w:ind w:left="8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22BA2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Merge w:val="continue"/>
            <w:tcBorders>
              <w:top w:val="nil"/>
              <w:bottom w:val="nil"/>
            </w:tcBorders>
            <w:vAlign w:val="top"/>
          </w:tcPr>
          <w:p w14:paraId="15BDCF98">
            <w:pPr>
              <w:rPr>
                <w:rFonts w:ascii="Arial"/>
                <w:sz w:val="21"/>
              </w:rPr>
            </w:pPr>
          </w:p>
        </w:tc>
        <w:tc>
          <w:tcPr>
            <w:tcW w:w="1529" w:type="dxa"/>
            <w:vMerge w:val="restart"/>
            <w:tcBorders>
              <w:bottom w:val="nil"/>
            </w:tcBorders>
            <w:vAlign w:val="top"/>
          </w:tcPr>
          <w:p w14:paraId="6E056128">
            <w:pPr>
              <w:spacing w:line="248" w:lineRule="auto"/>
              <w:rPr>
                <w:rFonts w:ascii="Arial"/>
                <w:sz w:val="21"/>
              </w:rPr>
            </w:pPr>
          </w:p>
          <w:p w14:paraId="468DEDD2">
            <w:pPr>
              <w:spacing w:line="248" w:lineRule="auto"/>
              <w:rPr>
                <w:rFonts w:ascii="Arial"/>
                <w:sz w:val="21"/>
              </w:rPr>
            </w:pPr>
          </w:p>
          <w:p w14:paraId="0ADC1453">
            <w:pPr>
              <w:pStyle w:val="6"/>
              <w:spacing w:before="65" w:line="229" w:lineRule="auto"/>
              <w:ind w:left="460"/>
            </w:pPr>
            <w:r>
              <w:rPr>
                <w:spacing w:val="4"/>
              </w:rPr>
              <w:t>营运期</w:t>
            </w:r>
          </w:p>
        </w:tc>
        <w:tc>
          <w:tcPr>
            <w:tcW w:w="3854" w:type="dxa"/>
            <w:vAlign w:val="top"/>
          </w:tcPr>
          <w:p w14:paraId="4ABB8F94">
            <w:pPr>
              <w:pStyle w:val="6"/>
              <w:spacing w:before="60" w:line="228" w:lineRule="auto"/>
              <w:ind w:left="1304"/>
            </w:pPr>
            <w:r>
              <w:rPr>
                <w:spacing w:val="7"/>
              </w:rPr>
              <w:t>生活垃圾收集</w:t>
            </w:r>
          </w:p>
        </w:tc>
        <w:tc>
          <w:tcPr>
            <w:tcW w:w="1684" w:type="dxa"/>
            <w:vAlign w:val="top"/>
          </w:tcPr>
          <w:p w14:paraId="286937D6">
            <w:pPr>
              <w:spacing w:before="29" w:line="274" w:lineRule="exact"/>
              <w:ind w:left="8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5E1E0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83" w:type="dxa"/>
            <w:vMerge w:val="continue"/>
            <w:tcBorders>
              <w:top w:val="nil"/>
              <w:bottom w:val="nil"/>
            </w:tcBorders>
            <w:vAlign w:val="top"/>
          </w:tcPr>
          <w:p w14:paraId="09E14B79">
            <w:pPr>
              <w:rPr>
                <w:rFonts w:ascii="Arial"/>
                <w:sz w:val="21"/>
              </w:rPr>
            </w:pPr>
          </w:p>
        </w:tc>
        <w:tc>
          <w:tcPr>
            <w:tcW w:w="1529" w:type="dxa"/>
            <w:vMerge w:val="continue"/>
            <w:tcBorders>
              <w:top w:val="nil"/>
              <w:bottom w:val="nil"/>
            </w:tcBorders>
            <w:vAlign w:val="top"/>
          </w:tcPr>
          <w:p w14:paraId="65FA6AF1">
            <w:pPr>
              <w:rPr>
                <w:rFonts w:ascii="Arial"/>
                <w:sz w:val="21"/>
              </w:rPr>
            </w:pPr>
          </w:p>
        </w:tc>
        <w:tc>
          <w:tcPr>
            <w:tcW w:w="3854" w:type="dxa"/>
            <w:vAlign w:val="top"/>
          </w:tcPr>
          <w:p w14:paraId="6B9FCD12">
            <w:pPr>
              <w:pStyle w:val="6"/>
              <w:spacing w:before="60" w:line="228" w:lineRule="auto"/>
              <w:ind w:left="1516"/>
            </w:pPr>
            <w:r>
              <w:rPr>
                <w:spacing w:val="6"/>
              </w:rPr>
              <w:t>粪污发酵</w:t>
            </w:r>
          </w:p>
        </w:tc>
        <w:tc>
          <w:tcPr>
            <w:tcW w:w="1684" w:type="dxa"/>
            <w:vAlign w:val="top"/>
          </w:tcPr>
          <w:p w14:paraId="6A0F2A28">
            <w:pPr>
              <w:spacing w:before="29"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6A6DD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Merge w:val="continue"/>
            <w:tcBorders>
              <w:top w:val="nil"/>
              <w:bottom w:val="nil"/>
            </w:tcBorders>
            <w:vAlign w:val="top"/>
          </w:tcPr>
          <w:p w14:paraId="3E8A736E">
            <w:pPr>
              <w:rPr>
                <w:rFonts w:ascii="Arial"/>
                <w:sz w:val="21"/>
              </w:rPr>
            </w:pPr>
          </w:p>
        </w:tc>
        <w:tc>
          <w:tcPr>
            <w:tcW w:w="1529" w:type="dxa"/>
            <w:vMerge w:val="continue"/>
            <w:tcBorders>
              <w:top w:val="nil"/>
              <w:bottom w:val="nil"/>
            </w:tcBorders>
            <w:vAlign w:val="top"/>
          </w:tcPr>
          <w:p w14:paraId="25F39148">
            <w:pPr>
              <w:rPr>
                <w:rFonts w:ascii="Arial"/>
                <w:sz w:val="21"/>
              </w:rPr>
            </w:pPr>
          </w:p>
        </w:tc>
        <w:tc>
          <w:tcPr>
            <w:tcW w:w="3854" w:type="dxa"/>
            <w:vAlign w:val="top"/>
          </w:tcPr>
          <w:p w14:paraId="6ADB3230">
            <w:pPr>
              <w:pStyle w:val="6"/>
              <w:spacing w:before="61" w:line="229" w:lineRule="auto"/>
              <w:ind w:left="987"/>
            </w:pPr>
            <w:r>
              <w:rPr>
                <w:spacing w:val="9"/>
              </w:rPr>
              <w:t>病死猪尸体安全填埋</w:t>
            </w:r>
          </w:p>
        </w:tc>
        <w:tc>
          <w:tcPr>
            <w:tcW w:w="1684" w:type="dxa"/>
            <w:vAlign w:val="top"/>
          </w:tcPr>
          <w:p w14:paraId="15801378">
            <w:pPr>
              <w:spacing w:before="99" w:line="192"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0ED0A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83" w:type="dxa"/>
            <w:vMerge w:val="continue"/>
            <w:tcBorders>
              <w:top w:val="nil"/>
            </w:tcBorders>
            <w:vAlign w:val="top"/>
          </w:tcPr>
          <w:p w14:paraId="16B2DD7F">
            <w:pPr>
              <w:rPr>
                <w:rFonts w:ascii="Arial"/>
                <w:sz w:val="21"/>
              </w:rPr>
            </w:pPr>
          </w:p>
        </w:tc>
        <w:tc>
          <w:tcPr>
            <w:tcW w:w="1529" w:type="dxa"/>
            <w:vMerge w:val="continue"/>
            <w:tcBorders>
              <w:top w:val="nil"/>
            </w:tcBorders>
            <w:vAlign w:val="top"/>
          </w:tcPr>
          <w:p w14:paraId="62621560">
            <w:pPr>
              <w:rPr>
                <w:rFonts w:ascii="Arial"/>
                <w:sz w:val="21"/>
              </w:rPr>
            </w:pPr>
          </w:p>
        </w:tc>
        <w:tc>
          <w:tcPr>
            <w:tcW w:w="3854" w:type="dxa"/>
            <w:vAlign w:val="top"/>
          </w:tcPr>
          <w:p w14:paraId="77B87E9A">
            <w:pPr>
              <w:pStyle w:val="6"/>
              <w:spacing w:before="61" w:line="229" w:lineRule="auto"/>
              <w:ind w:left="1096"/>
            </w:pPr>
            <w:r>
              <w:rPr>
                <w:spacing w:val="8"/>
              </w:rPr>
              <w:t>危险废物委托处理</w:t>
            </w:r>
          </w:p>
        </w:tc>
        <w:tc>
          <w:tcPr>
            <w:tcW w:w="1684" w:type="dxa"/>
            <w:vAlign w:val="top"/>
          </w:tcPr>
          <w:p w14:paraId="671FCC21">
            <w:pPr>
              <w:spacing w:before="99" w:line="192"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78448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883" w:type="dxa"/>
            <w:vAlign w:val="top"/>
          </w:tcPr>
          <w:p w14:paraId="37507DD1">
            <w:pPr>
              <w:pStyle w:val="6"/>
              <w:spacing w:before="60" w:line="270" w:lineRule="auto"/>
              <w:ind w:left="737" w:right="108" w:hanging="621"/>
            </w:pPr>
            <w:r>
              <w:rPr>
                <w:spacing w:val="6"/>
              </w:rPr>
              <w:t>地下水、土壤防治</w:t>
            </w:r>
            <w:r>
              <w:rPr>
                <w:spacing w:val="3"/>
              </w:rPr>
              <w:t xml:space="preserve"> </w:t>
            </w:r>
            <w:r>
              <w:rPr>
                <w:spacing w:val="4"/>
              </w:rPr>
              <w:t>措施</w:t>
            </w:r>
          </w:p>
        </w:tc>
        <w:tc>
          <w:tcPr>
            <w:tcW w:w="1529" w:type="dxa"/>
            <w:vAlign w:val="top"/>
          </w:tcPr>
          <w:p w14:paraId="7D42AB4C">
            <w:pPr>
              <w:pStyle w:val="6"/>
              <w:spacing w:before="225" w:line="229" w:lineRule="auto"/>
              <w:ind w:left="460"/>
            </w:pPr>
            <w:r>
              <w:rPr>
                <w:spacing w:val="4"/>
              </w:rPr>
              <w:t>营运期</w:t>
            </w:r>
          </w:p>
        </w:tc>
        <w:tc>
          <w:tcPr>
            <w:tcW w:w="3854" w:type="dxa"/>
            <w:vAlign w:val="top"/>
          </w:tcPr>
          <w:p w14:paraId="0FA6E2C4">
            <w:pPr>
              <w:pStyle w:val="6"/>
              <w:spacing w:before="225" w:line="229" w:lineRule="auto"/>
              <w:ind w:left="1213"/>
            </w:pPr>
            <w:r>
              <w:rPr>
                <w:spacing w:val="6"/>
              </w:rPr>
              <w:t>防渗、防漏措施</w:t>
            </w:r>
          </w:p>
        </w:tc>
        <w:tc>
          <w:tcPr>
            <w:tcW w:w="1684" w:type="dxa"/>
            <w:vAlign w:val="top"/>
          </w:tcPr>
          <w:p w14:paraId="3C3ED2A0">
            <w:pPr>
              <w:spacing w:before="194" w:line="274" w:lineRule="exact"/>
              <w:ind w:left="7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3F431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Align w:val="top"/>
          </w:tcPr>
          <w:p w14:paraId="5F69F848">
            <w:pPr>
              <w:pStyle w:val="6"/>
              <w:spacing w:before="63" w:line="229" w:lineRule="auto"/>
              <w:ind w:left="319"/>
            </w:pPr>
            <w:r>
              <w:rPr>
                <w:spacing w:val="8"/>
              </w:rPr>
              <w:t>风险防治措施</w:t>
            </w:r>
          </w:p>
        </w:tc>
        <w:tc>
          <w:tcPr>
            <w:tcW w:w="1529" w:type="dxa"/>
            <w:vAlign w:val="top"/>
          </w:tcPr>
          <w:p w14:paraId="4E32C81B">
            <w:pPr>
              <w:pStyle w:val="6"/>
              <w:spacing w:before="63" w:line="229" w:lineRule="auto"/>
              <w:ind w:left="460"/>
            </w:pPr>
            <w:r>
              <w:rPr>
                <w:spacing w:val="4"/>
              </w:rPr>
              <w:t>营运期</w:t>
            </w:r>
          </w:p>
        </w:tc>
        <w:tc>
          <w:tcPr>
            <w:tcW w:w="3854" w:type="dxa"/>
            <w:vAlign w:val="top"/>
          </w:tcPr>
          <w:p w14:paraId="6BB470AA">
            <w:pPr>
              <w:pStyle w:val="6"/>
              <w:spacing w:before="63" w:line="231" w:lineRule="auto"/>
              <w:ind w:left="1619"/>
            </w:pPr>
            <w:r>
              <w:rPr>
                <w:spacing w:val="6"/>
              </w:rPr>
              <w:t>应急池</w:t>
            </w:r>
          </w:p>
        </w:tc>
        <w:tc>
          <w:tcPr>
            <w:tcW w:w="1684" w:type="dxa"/>
            <w:vAlign w:val="top"/>
          </w:tcPr>
          <w:p w14:paraId="69D8F07C">
            <w:pPr>
              <w:spacing w:before="32"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6DEB6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883" w:type="dxa"/>
            <w:vAlign w:val="top"/>
          </w:tcPr>
          <w:p w14:paraId="7D6C0709">
            <w:pPr>
              <w:pStyle w:val="6"/>
              <w:spacing w:before="63" w:line="269" w:lineRule="auto"/>
              <w:ind w:left="842" w:right="204" w:hanging="629"/>
            </w:pPr>
            <w:r>
              <w:rPr>
                <w:spacing w:val="8"/>
              </w:rPr>
              <w:t>有害生物防治措</w:t>
            </w:r>
            <w:r>
              <w:rPr>
                <w:spacing w:val="2"/>
              </w:rPr>
              <w:t xml:space="preserve"> </w:t>
            </w:r>
            <w:r>
              <w:rPr>
                <w:spacing w:val="1"/>
              </w:rPr>
              <w:t>施</w:t>
            </w:r>
          </w:p>
        </w:tc>
        <w:tc>
          <w:tcPr>
            <w:tcW w:w="1529" w:type="dxa"/>
            <w:vAlign w:val="top"/>
          </w:tcPr>
          <w:p w14:paraId="013B8800">
            <w:pPr>
              <w:pStyle w:val="6"/>
              <w:spacing w:before="224" w:line="229" w:lineRule="auto"/>
              <w:ind w:left="460"/>
            </w:pPr>
            <w:r>
              <w:rPr>
                <w:spacing w:val="4"/>
              </w:rPr>
              <w:t>营运期</w:t>
            </w:r>
          </w:p>
        </w:tc>
        <w:tc>
          <w:tcPr>
            <w:tcW w:w="3854" w:type="dxa"/>
            <w:vAlign w:val="top"/>
          </w:tcPr>
          <w:p w14:paraId="735DCB5E">
            <w:pPr>
              <w:pStyle w:val="6"/>
              <w:spacing w:before="224" w:line="228" w:lineRule="auto"/>
              <w:ind w:left="1097"/>
            </w:pPr>
            <w:r>
              <w:rPr>
                <w:spacing w:val="8"/>
              </w:rPr>
              <w:t>灭蝇、灭蚊、灭鼠</w:t>
            </w:r>
          </w:p>
        </w:tc>
        <w:tc>
          <w:tcPr>
            <w:tcW w:w="1684" w:type="dxa"/>
            <w:vAlign w:val="top"/>
          </w:tcPr>
          <w:p w14:paraId="6E338E2C">
            <w:pPr>
              <w:spacing w:before="193" w:line="274" w:lineRule="exact"/>
              <w:ind w:left="8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496B7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412" w:type="dxa"/>
            <w:gridSpan w:val="2"/>
            <w:vAlign w:val="top"/>
          </w:tcPr>
          <w:p w14:paraId="7D04449C">
            <w:pPr>
              <w:pStyle w:val="6"/>
              <w:spacing w:before="62" w:line="229" w:lineRule="auto"/>
              <w:ind w:left="1397"/>
            </w:pPr>
            <w:r>
              <w:rPr>
                <w:spacing w:val="7"/>
              </w:rPr>
              <w:t>施工期</w:t>
            </w:r>
          </w:p>
        </w:tc>
        <w:tc>
          <w:tcPr>
            <w:tcW w:w="3854" w:type="dxa"/>
            <w:vAlign w:val="top"/>
          </w:tcPr>
          <w:p w14:paraId="69DE3D7D">
            <w:pPr>
              <w:pStyle w:val="6"/>
              <w:spacing w:before="62" w:line="230" w:lineRule="auto"/>
              <w:ind w:left="1723"/>
            </w:pPr>
            <w:r>
              <w:rPr>
                <w:spacing w:val="4"/>
              </w:rPr>
              <w:t>合计</w:t>
            </w:r>
          </w:p>
        </w:tc>
        <w:tc>
          <w:tcPr>
            <w:tcW w:w="1684" w:type="dxa"/>
            <w:vAlign w:val="top"/>
          </w:tcPr>
          <w:p w14:paraId="3ECFE900">
            <w:pPr>
              <w:spacing w:before="31"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r>
      <w:tr w14:paraId="2179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412" w:type="dxa"/>
            <w:gridSpan w:val="2"/>
            <w:vAlign w:val="top"/>
          </w:tcPr>
          <w:p w14:paraId="05AC0C0C">
            <w:pPr>
              <w:pStyle w:val="6"/>
              <w:spacing w:before="62" w:line="229" w:lineRule="auto"/>
              <w:ind w:left="1404"/>
            </w:pPr>
            <w:r>
              <w:rPr>
                <w:spacing w:val="4"/>
              </w:rPr>
              <w:t>营运期</w:t>
            </w:r>
          </w:p>
        </w:tc>
        <w:tc>
          <w:tcPr>
            <w:tcW w:w="3854" w:type="dxa"/>
            <w:vAlign w:val="top"/>
          </w:tcPr>
          <w:p w14:paraId="56F682C4">
            <w:pPr>
              <w:pStyle w:val="6"/>
              <w:spacing w:before="62" w:line="230" w:lineRule="auto"/>
              <w:ind w:left="1723"/>
            </w:pPr>
            <w:r>
              <w:rPr>
                <w:spacing w:val="4"/>
              </w:rPr>
              <w:t>合计</w:t>
            </w:r>
          </w:p>
        </w:tc>
        <w:tc>
          <w:tcPr>
            <w:tcW w:w="1684" w:type="dxa"/>
            <w:vAlign w:val="top"/>
          </w:tcPr>
          <w:p w14:paraId="479A6695">
            <w:pPr>
              <w:spacing w:before="31" w:line="274" w:lineRule="exact"/>
              <w:ind w:left="6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312</w:t>
            </w:r>
          </w:p>
        </w:tc>
      </w:tr>
      <w:tr w14:paraId="64D36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266" w:type="dxa"/>
            <w:gridSpan w:val="3"/>
            <w:vAlign w:val="top"/>
          </w:tcPr>
          <w:p w14:paraId="256E7639">
            <w:pPr>
              <w:pStyle w:val="6"/>
              <w:spacing w:before="62" w:line="230" w:lineRule="auto"/>
              <w:ind w:left="3433"/>
            </w:pPr>
            <w:r>
              <w:rPr>
                <w:spacing w:val="3"/>
              </w:rPr>
              <w:t>总计</w:t>
            </w:r>
          </w:p>
        </w:tc>
        <w:tc>
          <w:tcPr>
            <w:tcW w:w="1684" w:type="dxa"/>
            <w:vAlign w:val="top"/>
          </w:tcPr>
          <w:p w14:paraId="4BD6F0BF">
            <w:pPr>
              <w:spacing w:before="31" w:line="274" w:lineRule="exact"/>
              <w:ind w:left="6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320</w:t>
            </w:r>
          </w:p>
        </w:tc>
      </w:tr>
    </w:tbl>
    <w:p w14:paraId="308AD170">
      <w:pPr>
        <w:pStyle w:val="2"/>
        <w:spacing w:line="267" w:lineRule="auto"/>
      </w:pPr>
    </w:p>
    <w:p w14:paraId="3177273A">
      <w:pPr>
        <w:pStyle w:val="2"/>
        <w:spacing w:line="267" w:lineRule="auto"/>
      </w:pPr>
    </w:p>
    <w:p w14:paraId="7C7D0DB7">
      <w:pPr>
        <w:spacing w:before="78" w:line="376" w:lineRule="auto"/>
        <w:ind w:left="122" w:right="202" w:firstLine="480"/>
        <w:jc w:val="both"/>
        <w:rPr>
          <w:rFonts w:ascii="宋体" w:hAnsi="宋体" w:eastAsia="宋体" w:cs="宋体"/>
          <w:sz w:val="24"/>
          <w:szCs w:val="24"/>
        </w:rPr>
      </w:pPr>
      <w:r>
        <w:rPr>
          <w:rFonts w:ascii="宋体" w:hAnsi="宋体" w:eastAsia="宋体" w:cs="宋体"/>
          <w:sz w:val="24"/>
          <w:szCs w:val="24"/>
        </w:rPr>
        <w:t>环境经济损益分析的主要任务是衡量建设项目需要投</w:t>
      </w:r>
      <w:r>
        <w:rPr>
          <w:rFonts w:ascii="宋体" w:hAnsi="宋体" w:eastAsia="宋体" w:cs="宋体"/>
          <w:spacing w:val="-1"/>
          <w:sz w:val="24"/>
          <w:szCs w:val="24"/>
        </w:rPr>
        <w:t>入的环保投资所能收到的</w:t>
      </w:r>
      <w:r>
        <w:rPr>
          <w:rFonts w:ascii="宋体" w:hAnsi="宋体" w:eastAsia="宋体" w:cs="宋体"/>
          <w:sz w:val="24"/>
          <w:szCs w:val="24"/>
        </w:rPr>
        <w:t xml:space="preserve"> 环保效果，以及建设项目对外界产生的环境影响、经济影</w:t>
      </w:r>
      <w:r>
        <w:rPr>
          <w:rFonts w:ascii="宋体" w:hAnsi="宋体" w:eastAsia="宋体" w:cs="宋体"/>
          <w:spacing w:val="-1"/>
          <w:sz w:val="24"/>
          <w:szCs w:val="24"/>
        </w:rPr>
        <w:t>响和社会影响，本评价对</w:t>
      </w:r>
      <w:r>
        <w:rPr>
          <w:rFonts w:ascii="宋体" w:hAnsi="宋体" w:eastAsia="宋体" w:cs="宋体"/>
          <w:sz w:val="24"/>
          <w:szCs w:val="24"/>
        </w:rPr>
        <w:t xml:space="preserve"> 拟建项目采用费用—效益方法进行分析。由项目投产后带</w:t>
      </w:r>
      <w:r>
        <w:rPr>
          <w:rFonts w:ascii="宋体" w:hAnsi="宋体" w:eastAsia="宋体" w:cs="宋体"/>
          <w:spacing w:val="-1"/>
          <w:sz w:val="24"/>
          <w:szCs w:val="24"/>
        </w:rPr>
        <w:t>来的经济收益可用货币形</w:t>
      </w:r>
      <w:r>
        <w:rPr>
          <w:rFonts w:ascii="宋体" w:hAnsi="宋体" w:eastAsia="宋体" w:cs="宋体"/>
          <w:sz w:val="24"/>
          <w:szCs w:val="24"/>
        </w:rPr>
        <w:t xml:space="preserve"> 式计算出来，而污染影响带来的损失则难以用货币直接估</w:t>
      </w:r>
      <w:r>
        <w:rPr>
          <w:rFonts w:ascii="宋体" w:hAnsi="宋体" w:eastAsia="宋体" w:cs="宋体"/>
          <w:spacing w:val="-1"/>
          <w:sz w:val="24"/>
          <w:szCs w:val="24"/>
        </w:rPr>
        <w:t>算，只能用间接反应污染</w:t>
      </w:r>
      <w:r>
        <w:rPr>
          <w:rFonts w:ascii="宋体" w:hAnsi="宋体" w:eastAsia="宋体" w:cs="宋体"/>
          <w:sz w:val="24"/>
          <w:szCs w:val="24"/>
        </w:rPr>
        <w:t xml:space="preserve"> 损失的货币支出表示。对目前尚难以定量的内</w:t>
      </w:r>
      <w:r>
        <w:rPr>
          <w:rFonts w:ascii="宋体" w:hAnsi="宋体" w:eastAsia="宋体" w:cs="宋体"/>
          <w:spacing w:val="-1"/>
          <w:sz w:val="24"/>
          <w:szCs w:val="24"/>
        </w:rPr>
        <w:t>容，则予以定性的描述。</w:t>
      </w:r>
    </w:p>
    <w:p w14:paraId="5314EDDB">
      <w:pPr>
        <w:spacing w:before="3" w:line="376" w:lineRule="auto"/>
        <w:ind w:left="122" w:right="240" w:firstLine="480"/>
        <w:jc w:val="both"/>
        <w:rPr>
          <w:rFonts w:ascii="宋体" w:hAnsi="宋体" w:eastAsia="宋体" w:cs="宋体"/>
          <w:sz w:val="24"/>
          <w:szCs w:val="24"/>
        </w:rPr>
      </w:pPr>
      <w:r>
        <w:rPr>
          <w:rFonts w:ascii="宋体" w:hAnsi="宋体" w:eastAsia="宋体" w:cs="宋体"/>
          <w:spacing w:val="-2"/>
          <w:sz w:val="24"/>
          <w:szCs w:val="24"/>
        </w:rPr>
        <w:t>根据拟建项目的环境保护对策分析所确定的环境保护项目的内容和相关投资，</w:t>
      </w:r>
      <w:r>
        <w:rPr>
          <w:rFonts w:ascii="宋体" w:hAnsi="宋体" w:eastAsia="宋体" w:cs="宋体"/>
          <w:spacing w:val="18"/>
          <w:sz w:val="24"/>
          <w:szCs w:val="24"/>
        </w:rPr>
        <w:t xml:space="preserve"> </w:t>
      </w:r>
      <w:r>
        <w:rPr>
          <w:rFonts w:ascii="宋体" w:hAnsi="宋体" w:eastAsia="宋体" w:cs="宋体"/>
          <w:spacing w:val="-1"/>
          <w:sz w:val="24"/>
          <w:szCs w:val="24"/>
        </w:rPr>
        <w:t>计算环境保护投资占建设项目投资的比例，核算项</w:t>
      </w:r>
      <w:r>
        <w:rPr>
          <w:rFonts w:ascii="宋体" w:hAnsi="宋体" w:eastAsia="宋体" w:cs="宋体"/>
          <w:spacing w:val="-2"/>
          <w:sz w:val="24"/>
          <w:szCs w:val="24"/>
        </w:rPr>
        <w:t>目污染治理的成本及合理收益。</w:t>
      </w:r>
      <w:r>
        <w:rPr>
          <w:rFonts w:ascii="宋体" w:hAnsi="宋体" w:eastAsia="宋体" w:cs="宋体"/>
          <w:sz w:val="24"/>
          <w:szCs w:val="24"/>
        </w:rPr>
        <w:t xml:space="preserve"> 主要内容包括社会经济损益分析和项目污染治</w:t>
      </w:r>
      <w:r>
        <w:rPr>
          <w:rFonts w:ascii="宋体" w:hAnsi="宋体" w:eastAsia="宋体" w:cs="宋体"/>
          <w:spacing w:val="-1"/>
          <w:sz w:val="24"/>
          <w:szCs w:val="24"/>
        </w:rPr>
        <w:t>理与环保投资损益分析。</w:t>
      </w:r>
    </w:p>
    <w:p w14:paraId="6230D18D">
      <w:pPr>
        <w:spacing w:before="294" w:line="219"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7.1.3</w:t>
      </w:r>
      <w:r>
        <w:rPr>
          <w:rFonts w:ascii="宋体" w:hAnsi="宋体" w:eastAsia="宋体" w:cs="宋体"/>
          <w:b/>
          <w:bCs/>
          <w:spacing w:val="-2"/>
          <w:sz w:val="24"/>
          <w:szCs w:val="24"/>
        </w:rPr>
        <w:t>社会效益分析</w:t>
      </w:r>
    </w:p>
    <w:p w14:paraId="44C5BBFE">
      <w:pPr>
        <w:pStyle w:val="2"/>
        <w:spacing w:line="279" w:lineRule="auto"/>
      </w:pPr>
    </w:p>
    <w:p w14:paraId="03C83144">
      <w:pPr>
        <w:spacing w:before="78" w:line="377" w:lineRule="auto"/>
        <w:ind w:left="122" w:right="49" w:firstLine="484"/>
        <w:jc w:val="both"/>
        <w:rPr>
          <w:rFonts w:ascii="宋体" w:hAnsi="宋体" w:eastAsia="宋体" w:cs="宋体"/>
          <w:sz w:val="24"/>
          <w:szCs w:val="24"/>
        </w:rPr>
      </w:pPr>
      <w:r>
        <w:rPr>
          <w:rFonts w:ascii="宋体" w:hAnsi="宋体" w:eastAsia="宋体" w:cs="宋体"/>
          <w:spacing w:val="2"/>
          <w:sz w:val="24"/>
          <w:szCs w:val="24"/>
        </w:rPr>
        <w:t>该项目建成后，对促进汕尾市海丰县的农业经济发展会起到积极作用，一是可</w:t>
      </w:r>
      <w:r>
        <w:rPr>
          <w:rFonts w:ascii="宋体" w:hAnsi="宋体" w:eastAsia="宋体" w:cs="宋体"/>
          <w:spacing w:val="6"/>
          <w:sz w:val="24"/>
          <w:szCs w:val="24"/>
        </w:rPr>
        <w:t xml:space="preserve"> </w:t>
      </w:r>
      <w:r>
        <w:rPr>
          <w:rFonts w:ascii="宋体" w:hAnsi="宋体" w:eastAsia="宋体" w:cs="宋体"/>
          <w:spacing w:val="2"/>
          <w:sz w:val="24"/>
          <w:szCs w:val="24"/>
        </w:rPr>
        <w:t>以为汕尾市以及珠三角地区提供有肉猪、有机肥料等，提高海丰县的社会品牌知名</w:t>
      </w:r>
      <w:r>
        <w:rPr>
          <w:rFonts w:ascii="宋体" w:hAnsi="宋体" w:eastAsia="宋体" w:cs="宋体"/>
          <w:spacing w:val="7"/>
          <w:sz w:val="24"/>
          <w:szCs w:val="24"/>
        </w:rPr>
        <w:t xml:space="preserve"> </w:t>
      </w:r>
      <w:r>
        <w:rPr>
          <w:rFonts w:ascii="宋体" w:hAnsi="宋体" w:eastAsia="宋体" w:cs="宋体"/>
          <w:spacing w:val="-3"/>
          <w:sz w:val="24"/>
          <w:szCs w:val="24"/>
        </w:rPr>
        <w:t>度；二是可促进海丰县农业休闲增收，带动海丰县农业经济再上一个新台阶；此外，</w:t>
      </w:r>
      <w:r>
        <w:rPr>
          <w:rFonts w:ascii="宋体" w:hAnsi="宋体" w:eastAsia="宋体" w:cs="宋体"/>
          <w:spacing w:val="13"/>
          <w:sz w:val="24"/>
          <w:szCs w:val="24"/>
        </w:rPr>
        <w:t xml:space="preserve"> </w:t>
      </w:r>
      <w:r>
        <w:rPr>
          <w:rFonts w:ascii="宋体" w:hAnsi="宋体" w:eastAsia="宋体" w:cs="宋体"/>
          <w:spacing w:val="2"/>
          <w:sz w:val="24"/>
          <w:szCs w:val="24"/>
        </w:rPr>
        <w:t>还可以提供一定的就业岗位，促进农户增收。本项目对繁荣当地经济起到了一定的</w:t>
      </w:r>
      <w:r>
        <w:rPr>
          <w:rFonts w:ascii="宋体" w:hAnsi="宋体" w:eastAsia="宋体" w:cs="宋体"/>
          <w:spacing w:val="7"/>
          <w:sz w:val="24"/>
          <w:szCs w:val="24"/>
        </w:rPr>
        <w:t xml:space="preserve"> </w:t>
      </w:r>
      <w:r>
        <w:rPr>
          <w:rFonts w:ascii="宋体" w:hAnsi="宋体" w:eastAsia="宋体" w:cs="宋体"/>
          <w:spacing w:val="-1"/>
          <w:sz w:val="24"/>
          <w:szCs w:val="24"/>
        </w:rPr>
        <w:t>促进作用，体现了良好的社会效益。</w:t>
      </w:r>
    </w:p>
    <w:p w14:paraId="3252DCB3">
      <w:pPr>
        <w:spacing w:before="294" w:line="221"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7.1.4</w:t>
      </w:r>
      <w:r>
        <w:rPr>
          <w:rFonts w:ascii="宋体" w:hAnsi="宋体" w:eastAsia="宋体" w:cs="宋体"/>
          <w:b/>
          <w:bCs/>
          <w:spacing w:val="-2"/>
          <w:sz w:val="24"/>
          <w:szCs w:val="24"/>
        </w:rPr>
        <w:t>经济效益</w:t>
      </w:r>
    </w:p>
    <w:p w14:paraId="32435805">
      <w:pPr>
        <w:pStyle w:val="2"/>
        <w:spacing w:line="278" w:lineRule="auto"/>
      </w:pPr>
    </w:p>
    <w:p w14:paraId="52915096">
      <w:pPr>
        <w:spacing w:before="78" w:line="220" w:lineRule="auto"/>
        <w:ind w:left="690"/>
        <w:rPr>
          <w:rFonts w:ascii="宋体" w:hAnsi="宋体" w:eastAsia="宋体" w:cs="宋体"/>
          <w:sz w:val="24"/>
          <w:szCs w:val="24"/>
        </w:rPr>
      </w:pPr>
      <w:r>
        <w:rPr>
          <w:rFonts w:ascii="宋体" w:hAnsi="宋体" w:eastAsia="宋体" w:cs="宋体"/>
          <w:sz w:val="24"/>
          <w:szCs w:val="24"/>
        </w:rPr>
        <w:t>项目总体规模较大，建设期较长。一般而言，建成的项</w:t>
      </w:r>
      <w:r>
        <w:rPr>
          <w:rFonts w:ascii="宋体" w:hAnsi="宋体" w:eastAsia="宋体" w:cs="宋体"/>
          <w:spacing w:val="-1"/>
          <w:sz w:val="24"/>
          <w:szCs w:val="24"/>
        </w:rPr>
        <w:t>目从开始经营一年后即</w:t>
      </w:r>
    </w:p>
    <w:p w14:paraId="16E5573E">
      <w:pPr>
        <w:spacing w:line="220" w:lineRule="auto"/>
        <w:rPr>
          <w:rFonts w:ascii="宋体" w:hAnsi="宋体" w:eastAsia="宋体" w:cs="宋体"/>
          <w:sz w:val="24"/>
          <w:szCs w:val="24"/>
        </w:rPr>
        <w:sectPr>
          <w:footerReference r:id="rId164" w:type="default"/>
          <w:pgSz w:w="11906" w:h="16839"/>
          <w:pgMar w:top="400" w:right="1475" w:bottom="1485" w:left="1475" w:header="0" w:footer="1249" w:gutter="0"/>
          <w:cols w:space="720" w:num="1"/>
        </w:sectPr>
      </w:pPr>
    </w:p>
    <w:p w14:paraId="6924BD17">
      <w:pPr>
        <w:pStyle w:val="2"/>
        <w:spacing w:line="264" w:lineRule="auto"/>
      </w:pPr>
    </w:p>
    <w:p w14:paraId="6D2A841B">
      <w:pPr>
        <w:pStyle w:val="2"/>
        <w:spacing w:line="264" w:lineRule="auto"/>
      </w:pPr>
    </w:p>
    <w:p w14:paraId="7EA509C3">
      <w:pPr>
        <w:pStyle w:val="2"/>
        <w:spacing w:line="264" w:lineRule="auto"/>
      </w:pPr>
    </w:p>
    <w:p w14:paraId="07FF441D">
      <w:pPr>
        <w:pStyle w:val="2"/>
        <w:spacing w:line="265" w:lineRule="auto"/>
      </w:pPr>
    </w:p>
    <w:p w14:paraId="3A13E80C">
      <w:pPr>
        <w:spacing w:before="78" w:line="362" w:lineRule="auto"/>
        <w:ind w:left="2" w:right="81" w:firstLine="1"/>
        <w:rPr>
          <w:rFonts w:ascii="宋体" w:hAnsi="宋体" w:eastAsia="宋体" w:cs="宋体"/>
          <w:sz w:val="24"/>
          <w:szCs w:val="24"/>
        </w:rPr>
      </w:pPr>
      <w:r>
        <w:rPr>
          <w:rFonts w:ascii="宋体" w:hAnsi="宋体" w:eastAsia="宋体" w:cs="宋体"/>
          <w:spacing w:val="2"/>
          <w:sz w:val="24"/>
          <w:szCs w:val="24"/>
        </w:rPr>
        <w:t>步入稳定营运期，期间收入相对较稳定。根据经验值，一般长期经营项目，随着经</w:t>
      </w:r>
      <w:r>
        <w:rPr>
          <w:rFonts w:ascii="宋体" w:hAnsi="宋体" w:eastAsia="宋体" w:cs="宋体"/>
          <w:spacing w:val="3"/>
          <w:sz w:val="24"/>
          <w:szCs w:val="24"/>
        </w:rPr>
        <w:t xml:space="preserve"> </w:t>
      </w:r>
      <w:r>
        <w:rPr>
          <w:rFonts w:ascii="宋体" w:hAnsi="宋体" w:eastAsia="宋体" w:cs="宋体"/>
          <w:sz w:val="24"/>
          <w:szCs w:val="24"/>
        </w:rPr>
        <w:t>济发展，市场情势好转，</w:t>
      </w:r>
      <w:r>
        <w:rPr>
          <w:rFonts w:ascii="Times New Roman" w:hAnsi="Times New Roman" w:eastAsia="Times New Roman" w:cs="Times New Roman"/>
          <w:sz w:val="24"/>
          <w:szCs w:val="24"/>
        </w:rPr>
        <w:t xml:space="preserve">CPI  </w:t>
      </w:r>
      <w:r>
        <w:rPr>
          <w:rFonts w:ascii="宋体" w:hAnsi="宋体" w:eastAsia="宋体" w:cs="宋体"/>
          <w:sz w:val="24"/>
          <w:szCs w:val="24"/>
        </w:rPr>
        <w:t>指数增长</w:t>
      </w:r>
      <w:r>
        <w:rPr>
          <w:rFonts w:ascii="宋体" w:hAnsi="宋体" w:eastAsia="宋体" w:cs="宋体"/>
          <w:spacing w:val="-1"/>
          <w:sz w:val="24"/>
          <w:szCs w:val="24"/>
        </w:rPr>
        <w:t>，均存在着一定的上升空间。</w:t>
      </w:r>
    </w:p>
    <w:p w14:paraId="447C8CD9">
      <w:pPr>
        <w:spacing w:line="360" w:lineRule="exact"/>
        <w:ind w:left="211"/>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）养殖收入主要为生猪的销售收入。</w:t>
      </w:r>
    </w:p>
    <w:p w14:paraId="1967E74B">
      <w:pPr>
        <w:spacing w:before="129" w:line="359" w:lineRule="exact"/>
        <w:ind w:left="211"/>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）生产类收入主要为有机肥半成品的销售收入；</w:t>
      </w:r>
    </w:p>
    <w:p w14:paraId="4E6A27F3">
      <w:pPr>
        <w:spacing w:before="167" w:line="377" w:lineRule="auto"/>
        <w:ind w:left="3" w:right="81" w:firstLine="564"/>
        <w:rPr>
          <w:rFonts w:ascii="宋体" w:hAnsi="宋体" w:eastAsia="宋体" w:cs="宋体"/>
          <w:sz w:val="24"/>
          <w:szCs w:val="24"/>
        </w:rPr>
      </w:pPr>
      <w:r>
        <w:rPr>
          <w:rFonts w:ascii="宋体" w:hAnsi="宋体" w:eastAsia="宋体" w:cs="宋体"/>
          <w:sz w:val="24"/>
          <w:szCs w:val="24"/>
        </w:rPr>
        <w:t>建设项目生产在取得直接经济效益的同时，还会带来一系</w:t>
      </w:r>
      <w:r>
        <w:rPr>
          <w:rFonts w:ascii="宋体" w:hAnsi="宋体" w:eastAsia="宋体" w:cs="宋体"/>
          <w:spacing w:val="-1"/>
          <w:sz w:val="24"/>
          <w:szCs w:val="24"/>
        </w:rPr>
        <w:t>列的间接经济效益：</w:t>
      </w:r>
      <w:r>
        <w:rPr>
          <w:rFonts w:ascii="宋体" w:hAnsi="宋体" w:eastAsia="宋体" w:cs="宋体"/>
          <w:sz w:val="24"/>
          <w:szCs w:val="24"/>
        </w:rPr>
        <w:t xml:space="preserve"> </w:t>
      </w:r>
      <w:r>
        <w:rPr>
          <w:rFonts w:ascii="宋体" w:hAnsi="宋体" w:eastAsia="宋体" w:cs="宋体"/>
          <w:spacing w:val="2"/>
          <w:sz w:val="24"/>
          <w:szCs w:val="24"/>
        </w:rPr>
        <w:t>首先在项目运行期间，会提供一些长期稳定的就业机会。二是本项目水、电、饲料</w:t>
      </w:r>
      <w:r>
        <w:rPr>
          <w:rFonts w:ascii="宋体" w:hAnsi="宋体" w:eastAsia="宋体" w:cs="宋体"/>
          <w:spacing w:val="4"/>
          <w:sz w:val="24"/>
          <w:szCs w:val="24"/>
        </w:rPr>
        <w:t xml:space="preserve"> </w:t>
      </w:r>
      <w:r>
        <w:rPr>
          <w:rFonts w:ascii="宋体" w:hAnsi="宋体" w:eastAsia="宋体" w:cs="宋体"/>
          <w:spacing w:val="2"/>
          <w:sz w:val="24"/>
          <w:szCs w:val="24"/>
        </w:rPr>
        <w:t>等的消耗为当地带来间接经济效益。三是本项目各类机械设备及配套设备的购买使</w:t>
      </w:r>
      <w:r>
        <w:rPr>
          <w:rFonts w:ascii="宋体" w:hAnsi="宋体" w:eastAsia="宋体" w:cs="宋体"/>
          <w:spacing w:val="4"/>
          <w:sz w:val="24"/>
          <w:szCs w:val="24"/>
        </w:rPr>
        <w:t xml:space="preserve"> </w:t>
      </w:r>
      <w:r>
        <w:rPr>
          <w:rFonts w:ascii="宋体" w:hAnsi="宋体" w:eastAsia="宋体" w:cs="宋体"/>
          <w:sz w:val="24"/>
          <w:szCs w:val="24"/>
        </w:rPr>
        <w:t>用，扩大市场需求，也会带来间接经济效益。因此，</w:t>
      </w:r>
      <w:r>
        <w:rPr>
          <w:rFonts w:ascii="宋体" w:hAnsi="宋体" w:eastAsia="宋体" w:cs="宋体"/>
          <w:spacing w:val="-1"/>
          <w:sz w:val="24"/>
          <w:szCs w:val="24"/>
        </w:rPr>
        <w:t>本项目具有良好的经济效益。</w:t>
      </w:r>
    </w:p>
    <w:p w14:paraId="2D3CCEE8">
      <w:pPr>
        <w:spacing w:before="291"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7.1.5</w:t>
      </w:r>
      <w:r>
        <w:rPr>
          <w:rFonts w:ascii="宋体" w:hAnsi="宋体" w:eastAsia="宋体" w:cs="宋体"/>
          <w:b/>
          <w:bCs/>
          <w:spacing w:val="-2"/>
          <w:sz w:val="24"/>
          <w:szCs w:val="24"/>
        </w:rPr>
        <w:t>环境效益分析</w:t>
      </w:r>
    </w:p>
    <w:p w14:paraId="59F2335D">
      <w:pPr>
        <w:pStyle w:val="2"/>
        <w:spacing w:line="278" w:lineRule="auto"/>
      </w:pPr>
    </w:p>
    <w:p w14:paraId="208D17D7">
      <w:pPr>
        <w:spacing w:before="78" w:line="367" w:lineRule="auto"/>
        <w:ind w:left="1" w:right="81" w:firstLine="483"/>
        <w:jc w:val="both"/>
        <w:rPr>
          <w:rFonts w:ascii="宋体" w:hAnsi="宋体" w:eastAsia="宋体" w:cs="宋体"/>
          <w:sz w:val="24"/>
          <w:szCs w:val="24"/>
        </w:rPr>
      </w:pPr>
      <w:r>
        <w:rPr>
          <w:rFonts w:ascii="宋体" w:hAnsi="宋体" w:eastAsia="宋体" w:cs="宋体"/>
          <w:spacing w:val="2"/>
          <w:sz w:val="24"/>
          <w:szCs w:val="24"/>
        </w:rPr>
        <w:t>项目的运营期将不可避免地对附近的环境空气、声环境等造成一定的影响。但</w:t>
      </w:r>
      <w:r>
        <w:rPr>
          <w:rFonts w:ascii="宋体" w:hAnsi="宋体" w:eastAsia="宋体" w:cs="宋体"/>
          <w:spacing w:val="6"/>
          <w:sz w:val="24"/>
          <w:szCs w:val="24"/>
        </w:rPr>
        <w:t xml:space="preserve"> </w:t>
      </w:r>
      <w:r>
        <w:rPr>
          <w:rFonts w:ascii="宋体" w:hAnsi="宋体" w:eastAsia="宋体" w:cs="宋体"/>
          <w:spacing w:val="1"/>
          <w:sz w:val="24"/>
          <w:szCs w:val="24"/>
        </w:rPr>
        <w:t>关于建设项目的环境经济损益分析，</w:t>
      </w:r>
      <w:r>
        <w:rPr>
          <w:rFonts w:ascii="宋体" w:hAnsi="宋体" w:eastAsia="宋体" w:cs="宋体"/>
          <w:spacing w:val="-64"/>
          <w:sz w:val="24"/>
          <w:szCs w:val="24"/>
        </w:rPr>
        <w:t xml:space="preserve"> </w:t>
      </w:r>
      <w:r>
        <w:rPr>
          <w:rFonts w:ascii="宋体" w:hAnsi="宋体" w:eastAsia="宋体" w:cs="宋体"/>
          <w:spacing w:val="1"/>
          <w:sz w:val="24"/>
          <w:szCs w:val="24"/>
        </w:rPr>
        <w:t>目前国内尚无</w:t>
      </w:r>
      <w:r>
        <w:rPr>
          <w:rFonts w:ascii="宋体" w:hAnsi="宋体" w:eastAsia="宋体" w:cs="宋体"/>
          <w:sz w:val="24"/>
          <w:szCs w:val="24"/>
        </w:rPr>
        <w:t xml:space="preserve">统一标准。因此，在本环境经济 </w:t>
      </w:r>
      <w:r>
        <w:rPr>
          <w:rFonts w:ascii="宋体" w:hAnsi="宋体" w:eastAsia="宋体" w:cs="宋体"/>
          <w:spacing w:val="-1"/>
          <w:sz w:val="24"/>
          <w:szCs w:val="24"/>
        </w:rPr>
        <w:t>损益分析中，只进行简单的类比分析。</w:t>
      </w:r>
    </w:p>
    <w:p w14:paraId="1D110D3F">
      <w:pPr>
        <w:spacing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）粪污环境损益分析</w:t>
      </w:r>
    </w:p>
    <w:p w14:paraId="33D5929C">
      <w:pPr>
        <w:spacing w:before="165" w:line="362" w:lineRule="auto"/>
        <w:ind w:left="6" w:right="81" w:firstLine="476"/>
        <w:rPr>
          <w:rFonts w:ascii="宋体" w:hAnsi="宋体" w:eastAsia="宋体" w:cs="宋体"/>
          <w:sz w:val="24"/>
          <w:szCs w:val="24"/>
        </w:rPr>
      </w:pPr>
      <w:r>
        <w:rPr>
          <w:rFonts w:ascii="宋体" w:hAnsi="宋体" w:eastAsia="宋体" w:cs="宋体"/>
          <w:spacing w:val="2"/>
          <w:sz w:val="24"/>
          <w:szCs w:val="24"/>
        </w:rPr>
        <w:t>本项目营运期产生的猪只粪便、尿液、猪舍冲洗水一起收集后，经异位发酵床</w:t>
      </w:r>
      <w:r>
        <w:rPr>
          <w:rFonts w:ascii="宋体" w:hAnsi="宋体" w:eastAsia="宋体" w:cs="宋体"/>
          <w:spacing w:val="9"/>
          <w:sz w:val="24"/>
          <w:szCs w:val="24"/>
        </w:rPr>
        <w:t xml:space="preserve"> </w:t>
      </w:r>
      <w:r>
        <w:rPr>
          <w:rFonts w:ascii="宋体" w:hAnsi="宋体" w:eastAsia="宋体" w:cs="宋体"/>
          <w:spacing w:val="-2"/>
          <w:sz w:val="24"/>
          <w:szCs w:val="24"/>
        </w:rPr>
        <w:t>处理后成有机肥半成品外售。</w:t>
      </w:r>
    </w:p>
    <w:p w14:paraId="5EF71362">
      <w:pPr>
        <w:spacing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）大气环境损益分析</w:t>
      </w:r>
    </w:p>
    <w:p w14:paraId="4582061C">
      <w:pPr>
        <w:spacing w:before="163" w:line="367" w:lineRule="auto"/>
        <w:ind w:left="1" w:right="81" w:firstLine="480"/>
        <w:rPr>
          <w:rFonts w:ascii="宋体" w:hAnsi="宋体" w:eastAsia="宋体" w:cs="宋体"/>
          <w:sz w:val="24"/>
          <w:szCs w:val="24"/>
        </w:rPr>
      </w:pPr>
      <w:r>
        <w:rPr>
          <w:rFonts w:ascii="宋体" w:hAnsi="宋体" w:eastAsia="宋体" w:cs="宋体"/>
          <w:spacing w:val="2"/>
          <w:sz w:val="24"/>
          <w:szCs w:val="24"/>
        </w:rPr>
        <w:t>本项目对大气环境的影响较小，备用发电机尾气可直接通过排气筒引至高空排</w:t>
      </w:r>
      <w:r>
        <w:rPr>
          <w:rFonts w:ascii="宋体" w:hAnsi="宋体" w:eastAsia="宋体" w:cs="宋体"/>
          <w:spacing w:val="9"/>
          <w:sz w:val="24"/>
          <w:szCs w:val="24"/>
        </w:rPr>
        <w:t xml:space="preserve"> </w:t>
      </w:r>
      <w:r>
        <w:rPr>
          <w:rFonts w:ascii="宋体" w:hAnsi="宋体" w:eastAsia="宋体" w:cs="宋体"/>
          <w:spacing w:val="2"/>
          <w:sz w:val="24"/>
          <w:szCs w:val="24"/>
        </w:rPr>
        <w:t>放。通过加强猪舍的通风换气、改善饲养管理工艺、喷洒除臭剂等措施可改善猪舍</w:t>
      </w:r>
      <w:r>
        <w:rPr>
          <w:rFonts w:ascii="宋体" w:hAnsi="宋体" w:eastAsia="宋体" w:cs="宋体"/>
          <w:spacing w:val="6"/>
          <w:sz w:val="24"/>
          <w:szCs w:val="24"/>
        </w:rPr>
        <w:t xml:space="preserve"> </w:t>
      </w:r>
      <w:r>
        <w:rPr>
          <w:rFonts w:ascii="宋体" w:hAnsi="宋体" w:eastAsia="宋体" w:cs="宋体"/>
          <w:spacing w:val="-1"/>
          <w:sz w:val="24"/>
          <w:szCs w:val="24"/>
        </w:rPr>
        <w:t>的空气质量。通过场区内合理绿化，可有效净化场内空气。</w:t>
      </w:r>
    </w:p>
    <w:p w14:paraId="59CDBE9E">
      <w:pPr>
        <w:spacing w:line="362"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）声环境损益分析</w:t>
      </w:r>
    </w:p>
    <w:p w14:paraId="4E4DE87B">
      <w:pPr>
        <w:spacing w:before="162" w:line="378" w:lineRule="auto"/>
        <w:ind w:left="3" w:firstLine="479"/>
        <w:rPr>
          <w:rFonts w:ascii="宋体" w:hAnsi="宋体" w:eastAsia="宋体" w:cs="宋体"/>
          <w:sz w:val="24"/>
          <w:szCs w:val="24"/>
        </w:rPr>
      </w:pPr>
      <w:r>
        <w:rPr>
          <w:rFonts w:ascii="宋体" w:hAnsi="宋体" w:eastAsia="宋体" w:cs="宋体"/>
          <w:spacing w:val="-2"/>
          <w:sz w:val="24"/>
          <w:szCs w:val="24"/>
        </w:rPr>
        <w:t>本项目噪声主要来源于排气扇、水泵、风机、发电机</w:t>
      </w:r>
      <w:r>
        <w:rPr>
          <w:rFonts w:ascii="宋体" w:hAnsi="宋体" w:eastAsia="宋体" w:cs="宋体"/>
          <w:spacing w:val="-3"/>
          <w:sz w:val="24"/>
          <w:szCs w:val="24"/>
        </w:rPr>
        <w:t>等机械噪声和猪舍猪叫声。</w:t>
      </w:r>
      <w:r>
        <w:rPr>
          <w:rFonts w:ascii="宋体" w:hAnsi="宋体" w:eastAsia="宋体" w:cs="宋体"/>
          <w:sz w:val="24"/>
          <w:szCs w:val="24"/>
        </w:rPr>
        <w:t xml:space="preserve"> </w:t>
      </w:r>
      <w:r>
        <w:rPr>
          <w:rFonts w:ascii="宋体" w:hAnsi="宋体" w:eastAsia="宋体" w:cs="宋体"/>
          <w:spacing w:val="-2"/>
          <w:sz w:val="24"/>
          <w:szCs w:val="24"/>
        </w:rPr>
        <w:t>经预测分析得知，建设单位对噪声源进行合理布局，并对高噪声</w:t>
      </w:r>
      <w:r>
        <w:rPr>
          <w:rFonts w:ascii="宋体" w:hAnsi="宋体" w:eastAsia="宋体" w:cs="宋体"/>
          <w:spacing w:val="-3"/>
          <w:sz w:val="24"/>
          <w:szCs w:val="24"/>
        </w:rPr>
        <w:t>源进行必要的治理，</w:t>
      </w:r>
      <w:r>
        <w:rPr>
          <w:rFonts w:ascii="宋体" w:hAnsi="宋体" w:eastAsia="宋体" w:cs="宋体"/>
          <w:sz w:val="24"/>
          <w:szCs w:val="24"/>
        </w:rPr>
        <w:t xml:space="preserve"> </w:t>
      </w:r>
      <w:r>
        <w:rPr>
          <w:rFonts w:ascii="宋体" w:hAnsi="宋体" w:eastAsia="宋体" w:cs="宋体"/>
          <w:spacing w:val="2"/>
          <w:sz w:val="24"/>
          <w:szCs w:val="24"/>
        </w:rPr>
        <w:t>噪声可达标排放。因此，在措施得力的情况下，本项目的生产噪声对周围声环境影</w:t>
      </w:r>
      <w:r>
        <w:rPr>
          <w:rFonts w:ascii="宋体" w:hAnsi="宋体" w:eastAsia="宋体" w:cs="宋体"/>
          <w:spacing w:val="4"/>
          <w:sz w:val="24"/>
          <w:szCs w:val="24"/>
        </w:rPr>
        <w:t xml:space="preserve"> </w:t>
      </w:r>
      <w:r>
        <w:rPr>
          <w:rFonts w:ascii="宋体" w:hAnsi="宋体" w:eastAsia="宋体" w:cs="宋体"/>
          <w:spacing w:val="-3"/>
          <w:sz w:val="24"/>
          <w:szCs w:val="24"/>
        </w:rPr>
        <w:t>响不大。</w:t>
      </w:r>
    </w:p>
    <w:p w14:paraId="129A1D34">
      <w:pPr>
        <w:spacing w:before="291"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7.1.6</w:t>
      </w:r>
      <w:r>
        <w:rPr>
          <w:rFonts w:ascii="宋体" w:hAnsi="宋体" w:eastAsia="宋体" w:cs="宋体"/>
          <w:b/>
          <w:bCs/>
          <w:spacing w:val="-2"/>
          <w:sz w:val="24"/>
          <w:szCs w:val="24"/>
        </w:rPr>
        <w:t>环境建设投资分析</w:t>
      </w:r>
    </w:p>
    <w:p w14:paraId="3793AAC6">
      <w:pPr>
        <w:pStyle w:val="2"/>
        <w:spacing w:line="241" w:lineRule="auto"/>
      </w:pPr>
    </w:p>
    <w:p w14:paraId="1602C996">
      <w:pPr>
        <w:spacing w:before="79" w:line="358" w:lineRule="exact"/>
        <w:ind w:left="483"/>
        <w:rPr>
          <w:rFonts w:ascii="宋体" w:hAnsi="宋体" w:eastAsia="宋体" w:cs="宋体"/>
          <w:sz w:val="24"/>
          <w:szCs w:val="24"/>
        </w:rPr>
      </w:pPr>
      <w:r>
        <w:rPr>
          <w:rFonts w:ascii="宋体" w:hAnsi="宋体" w:eastAsia="宋体" w:cs="宋体"/>
          <w:spacing w:val="-1"/>
          <w:position w:val="2"/>
          <w:sz w:val="24"/>
          <w:szCs w:val="24"/>
        </w:rPr>
        <w:t>经估算，环保投资费用约</w:t>
      </w:r>
      <w:r>
        <w:rPr>
          <w:rFonts w:ascii="宋体" w:hAnsi="宋体" w:eastAsia="宋体" w:cs="宋体"/>
          <w:spacing w:val="-35"/>
          <w:position w:val="2"/>
          <w:sz w:val="24"/>
          <w:szCs w:val="24"/>
        </w:rPr>
        <w:t xml:space="preserve"> </w:t>
      </w:r>
      <w:r>
        <w:rPr>
          <w:rFonts w:ascii="Times New Roman" w:hAnsi="Times New Roman" w:eastAsia="Times New Roman" w:cs="Times New Roman"/>
          <w:spacing w:val="-1"/>
          <w:position w:val="2"/>
          <w:sz w:val="24"/>
          <w:szCs w:val="24"/>
        </w:rPr>
        <w:t>320</w:t>
      </w:r>
      <w:r>
        <w:rPr>
          <w:rFonts w:ascii="Times New Roman" w:hAnsi="Times New Roman" w:eastAsia="Times New Roman" w:cs="Times New Roman"/>
          <w:spacing w:val="15"/>
          <w:position w:val="2"/>
          <w:sz w:val="24"/>
          <w:szCs w:val="24"/>
        </w:rPr>
        <w:t xml:space="preserve"> </w:t>
      </w:r>
      <w:r>
        <w:rPr>
          <w:rFonts w:ascii="宋体" w:hAnsi="宋体" w:eastAsia="宋体" w:cs="宋体"/>
          <w:spacing w:val="-1"/>
          <w:position w:val="2"/>
          <w:sz w:val="24"/>
          <w:szCs w:val="24"/>
        </w:rPr>
        <w:t>万元，占项目总投资</w:t>
      </w:r>
      <w:r>
        <w:rPr>
          <w:rFonts w:ascii="宋体" w:hAnsi="宋体" w:eastAsia="宋体" w:cs="宋体"/>
          <w:spacing w:val="-32"/>
          <w:position w:val="2"/>
          <w:sz w:val="24"/>
          <w:szCs w:val="24"/>
        </w:rPr>
        <w:t xml:space="preserve"> </w:t>
      </w:r>
      <w:r>
        <w:rPr>
          <w:rFonts w:ascii="Times New Roman" w:hAnsi="Times New Roman" w:eastAsia="Times New Roman" w:cs="Times New Roman"/>
          <w:spacing w:val="-1"/>
          <w:position w:val="2"/>
          <w:sz w:val="24"/>
          <w:szCs w:val="24"/>
        </w:rPr>
        <w:t>1300</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1"/>
          <w:position w:val="2"/>
          <w:sz w:val="24"/>
          <w:szCs w:val="24"/>
        </w:rPr>
        <w:t>万元的</w:t>
      </w:r>
      <w:r>
        <w:rPr>
          <w:rFonts w:ascii="Times New Roman" w:hAnsi="Times New Roman" w:eastAsia="Times New Roman" w:cs="Times New Roman"/>
          <w:spacing w:val="-1"/>
          <w:position w:val="2"/>
          <w:sz w:val="24"/>
          <w:szCs w:val="24"/>
        </w:rPr>
        <w:t>24.6%</w:t>
      </w:r>
      <w:r>
        <w:rPr>
          <w:rFonts w:ascii="宋体" w:hAnsi="宋体" w:eastAsia="宋体" w:cs="宋体"/>
          <w:spacing w:val="-1"/>
          <w:position w:val="2"/>
          <w:sz w:val="24"/>
          <w:szCs w:val="24"/>
        </w:rPr>
        <w:t>。</w:t>
      </w:r>
    </w:p>
    <w:p w14:paraId="3B75E41D">
      <w:pPr>
        <w:spacing w:line="358" w:lineRule="exact"/>
        <w:rPr>
          <w:rFonts w:ascii="宋体" w:hAnsi="宋体" w:eastAsia="宋体" w:cs="宋体"/>
          <w:sz w:val="24"/>
          <w:szCs w:val="24"/>
        </w:rPr>
        <w:sectPr>
          <w:footerReference r:id="rId165" w:type="default"/>
          <w:pgSz w:w="11906" w:h="16839"/>
          <w:pgMar w:top="400" w:right="1507" w:bottom="1485" w:left="1596" w:header="0" w:footer="1249" w:gutter="0"/>
          <w:cols w:space="720" w:num="1"/>
        </w:sectPr>
      </w:pPr>
    </w:p>
    <w:p w14:paraId="77500F28">
      <w:pPr>
        <w:pStyle w:val="2"/>
        <w:spacing w:line="273" w:lineRule="auto"/>
      </w:pPr>
    </w:p>
    <w:p w14:paraId="588BA707">
      <w:pPr>
        <w:pStyle w:val="2"/>
        <w:spacing w:line="274" w:lineRule="auto"/>
      </w:pPr>
    </w:p>
    <w:p w14:paraId="41452992">
      <w:pPr>
        <w:pStyle w:val="2"/>
        <w:spacing w:line="274" w:lineRule="auto"/>
      </w:pPr>
    </w:p>
    <w:p w14:paraId="384E6969">
      <w:pPr>
        <w:pStyle w:val="2"/>
        <w:spacing w:line="274" w:lineRule="auto"/>
      </w:pPr>
    </w:p>
    <w:p w14:paraId="3C0C1084">
      <w:pPr>
        <w:spacing w:before="78"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7.1.7</w:t>
      </w:r>
      <w:r>
        <w:rPr>
          <w:rFonts w:ascii="宋体" w:hAnsi="宋体" w:eastAsia="宋体" w:cs="宋体"/>
          <w:b/>
          <w:bCs/>
          <w:spacing w:val="-2"/>
          <w:sz w:val="24"/>
          <w:szCs w:val="24"/>
        </w:rPr>
        <w:t>损益分析结论</w:t>
      </w:r>
    </w:p>
    <w:p w14:paraId="3D7AA54B">
      <w:pPr>
        <w:pStyle w:val="2"/>
        <w:spacing w:line="277" w:lineRule="auto"/>
      </w:pPr>
    </w:p>
    <w:p w14:paraId="3A8F8492">
      <w:pPr>
        <w:spacing w:before="78" w:line="377" w:lineRule="auto"/>
        <w:ind w:left="2" w:firstLine="481"/>
        <w:jc w:val="both"/>
        <w:rPr>
          <w:rFonts w:ascii="宋体" w:hAnsi="宋体" w:eastAsia="宋体" w:cs="宋体"/>
          <w:sz w:val="24"/>
          <w:szCs w:val="24"/>
        </w:rPr>
      </w:pPr>
      <w:r>
        <w:rPr>
          <w:rFonts w:ascii="宋体" w:hAnsi="宋体" w:eastAsia="宋体" w:cs="宋体"/>
          <w:spacing w:val="2"/>
          <w:sz w:val="24"/>
          <w:szCs w:val="24"/>
        </w:rPr>
        <w:t>综上所述，本项目的运营将会产生较大的正面社会效益和经济效益，项目投产</w:t>
      </w:r>
      <w:r>
        <w:rPr>
          <w:rFonts w:ascii="宋体" w:hAnsi="宋体" w:eastAsia="宋体" w:cs="宋体"/>
          <w:spacing w:val="7"/>
          <w:sz w:val="24"/>
          <w:szCs w:val="24"/>
        </w:rPr>
        <w:t xml:space="preserve"> </w:t>
      </w:r>
      <w:r>
        <w:rPr>
          <w:rFonts w:ascii="宋体" w:hAnsi="宋体" w:eastAsia="宋体" w:cs="宋体"/>
          <w:spacing w:val="2"/>
          <w:sz w:val="24"/>
          <w:szCs w:val="24"/>
        </w:rPr>
        <w:t>后虽然对周围的大气、水环境等造成一定的影响，但建设单位只要从各方面着手，</w:t>
      </w:r>
      <w:r>
        <w:rPr>
          <w:rFonts w:ascii="宋体" w:hAnsi="宋体" w:eastAsia="宋体" w:cs="宋体"/>
          <w:spacing w:val="5"/>
          <w:sz w:val="24"/>
          <w:szCs w:val="24"/>
        </w:rPr>
        <w:t xml:space="preserve"> </w:t>
      </w:r>
      <w:r>
        <w:rPr>
          <w:rFonts w:ascii="宋体" w:hAnsi="宋体" w:eastAsia="宋体" w:cs="宋体"/>
          <w:spacing w:val="2"/>
          <w:sz w:val="24"/>
          <w:szCs w:val="24"/>
        </w:rPr>
        <w:t>从源头控制污染物，作好污染防治措施，削减污染物排放量，在达标排放情况下，</w:t>
      </w:r>
      <w:r>
        <w:rPr>
          <w:rFonts w:ascii="宋体" w:hAnsi="宋体" w:eastAsia="宋体" w:cs="宋体"/>
          <w:spacing w:val="5"/>
          <w:sz w:val="24"/>
          <w:szCs w:val="24"/>
        </w:rPr>
        <w:t xml:space="preserve"> </w:t>
      </w:r>
      <w:r>
        <w:rPr>
          <w:rFonts w:ascii="宋体" w:hAnsi="宋体" w:eastAsia="宋体" w:cs="宋体"/>
          <w:sz w:val="24"/>
          <w:szCs w:val="24"/>
        </w:rPr>
        <w:t>本项目对周围环境的影响很小。总的来说，本项目从环</w:t>
      </w:r>
      <w:r>
        <w:rPr>
          <w:rFonts w:ascii="宋体" w:hAnsi="宋体" w:eastAsia="宋体" w:cs="宋体"/>
          <w:spacing w:val="-1"/>
          <w:sz w:val="24"/>
          <w:szCs w:val="24"/>
        </w:rPr>
        <w:t>境经济效益来说是可行的。</w:t>
      </w:r>
    </w:p>
    <w:p w14:paraId="742AEEC9">
      <w:pPr>
        <w:spacing w:before="298" w:line="227" w:lineRule="auto"/>
        <w:ind w:left="2"/>
        <w:outlineLvl w:val="1"/>
        <w:rPr>
          <w:rFonts w:ascii="宋体" w:hAnsi="宋体" w:eastAsia="宋体" w:cs="宋体"/>
          <w:sz w:val="31"/>
          <w:szCs w:val="31"/>
        </w:rPr>
      </w:pPr>
      <w:bookmarkStart w:id="46" w:name="bookmark41"/>
      <w:bookmarkEnd w:id="46"/>
      <w:r>
        <w:rPr>
          <w:rFonts w:ascii="Times New Roman" w:hAnsi="Times New Roman" w:eastAsia="Times New Roman" w:cs="Times New Roman"/>
          <w:b/>
          <w:bCs/>
          <w:spacing w:val="2"/>
          <w:sz w:val="31"/>
          <w:szCs w:val="31"/>
        </w:rPr>
        <w:t>7.2</w:t>
      </w:r>
      <w:r>
        <w:rPr>
          <w:rFonts w:ascii="宋体" w:hAnsi="宋体" w:eastAsia="宋体" w:cs="宋体"/>
          <w:b/>
          <w:bCs/>
          <w:spacing w:val="2"/>
          <w:sz w:val="31"/>
          <w:szCs w:val="31"/>
        </w:rPr>
        <w:t>小结</w:t>
      </w:r>
    </w:p>
    <w:p w14:paraId="53097EF3">
      <w:pPr>
        <w:pStyle w:val="2"/>
        <w:spacing w:line="407" w:lineRule="auto"/>
      </w:pPr>
    </w:p>
    <w:p w14:paraId="41B83EC4">
      <w:pPr>
        <w:spacing w:before="78" w:line="378" w:lineRule="auto"/>
        <w:ind w:firstLine="484"/>
        <w:jc w:val="both"/>
        <w:rPr>
          <w:rFonts w:ascii="宋体" w:hAnsi="宋体" w:eastAsia="宋体" w:cs="宋体"/>
          <w:sz w:val="24"/>
          <w:szCs w:val="24"/>
        </w:rPr>
      </w:pPr>
      <w:r>
        <w:rPr>
          <w:rFonts w:ascii="宋体" w:hAnsi="宋体" w:eastAsia="宋体" w:cs="宋体"/>
          <w:spacing w:val="2"/>
          <w:sz w:val="24"/>
          <w:szCs w:val="24"/>
        </w:rPr>
        <w:t>项目的环境经济分析表明：评价认为本项目的环保投资较为合理，项目实施将</w:t>
      </w:r>
      <w:r>
        <w:rPr>
          <w:rFonts w:ascii="宋体" w:hAnsi="宋体" w:eastAsia="宋体" w:cs="宋体"/>
          <w:spacing w:val="6"/>
          <w:sz w:val="24"/>
          <w:szCs w:val="24"/>
        </w:rPr>
        <w:t xml:space="preserve"> </w:t>
      </w:r>
      <w:r>
        <w:rPr>
          <w:rFonts w:ascii="宋体" w:hAnsi="宋体" w:eastAsia="宋体" w:cs="宋体"/>
          <w:spacing w:val="2"/>
          <w:sz w:val="24"/>
          <w:szCs w:val="24"/>
        </w:rPr>
        <w:t>会有力地带动周边农村种植业、养殖业的发展，促进当地农业产业结构调整，能符</w:t>
      </w:r>
      <w:r>
        <w:rPr>
          <w:rFonts w:ascii="宋体" w:hAnsi="宋体" w:eastAsia="宋体" w:cs="宋体"/>
          <w:spacing w:val="7"/>
          <w:sz w:val="24"/>
          <w:szCs w:val="24"/>
        </w:rPr>
        <w:t xml:space="preserve"> </w:t>
      </w:r>
      <w:r>
        <w:rPr>
          <w:rFonts w:ascii="宋体" w:hAnsi="宋体" w:eastAsia="宋体" w:cs="宋体"/>
          <w:sz w:val="24"/>
          <w:szCs w:val="24"/>
        </w:rPr>
        <w:t>合经济效益与环保效益的要求，满足实现经济与环境协调</w:t>
      </w:r>
      <w:r>
        <w:rPr>
          <w:rFonts w:ascii="宋体" w:hAnsi="宋体" w:eastAsia="宋体" w:cs="宋体"/>
          <w:spacing w:val="-1"/>
          <w:sz w:val="24"/>
          <w:szCs w:val="24"/>
        </w:rPr>
        <w:t>、可持续发展的要求。</w:t>
      </w:r>
    </w:p>
    <w:p w14:paraId="7F4A33B7">
      <w:pPr>
        <w:spacing w:line="378" w:lineRule="auto"/>
        <w:rPr>
          <w:rFonts w:ascii="宋体" w:hAnsi="宋体" w:eastAsia="宋体" w:cs="宋体"/>
          <w:sz w:val="24"/>
          <w:szCs w:val="24"/>
        </w:rPr>
        <w:sectPr>
          <w:footerReference r:id="rId166" w:type="default"/>
          <w:pgSz w:w="11906" w:h="16839"/>
          <w:pgMar w:top="400" w:right="1588" w:bottom="1485" w:left="1596" w:header="0" w:footer="1249" w:gutter="0"/>
          <w:cols w:space="720" w:num="1"/>
        </w:sectPr>
      </w:pPr>
    </w:p>
    <w:p w14:paraId="17BF2760">
      <w:pPr>
        <w:pStyle w:val="2"/>
        <w:spacing w:line="250" w:lineRule="auto"/>
      </w:pPr>
    </w:p>
    <w:p w14:paraId="0E271913">
      <w:pPr>
        <w:pStyle w:val="2"/>
        <w:spacing w:line="250" w:lineRule="auto"/>
      </w:pPr>
    </w:p>
    <w:p w14:paraId="76AC9D3E">
      <w:pPr>
        <w:pStyle w:val="2"/>
        <w:spacing w:line="250" w:lineRule="auto"/>
      </w:pPr>
    </w:p>
    <w:p w14:paraId="02E835EF">
      <w:pPr>
        <w:pStyle w:val="2"/>
        <w:spacing w:line="250" w:lineRule="auto"/>
      </w:pPr>
    </w:p>
    <w:p w14:paraId="3BF6F8D7">
      <w:pPr>
        <w:spacing w:before="140" w:line="637" w:lineRule="exact"/>
        <w:ind w:left="2281"/>
        <w:outlineLvl w:val="0"/>
        <w:rPr>
          <w:rFonts w:ascii="黑体" w:hAnsi="黑体" w:eastAsia="黑体" w:cs="黑体"/>
          <w:sz w:val="43"/>
          <w:szCs w:val="43"/>
        </w:rPr>
      </w:pPr>
      <w:bookmarkStart w:id="47" w:name="bookmark42"/>
      <w:bookmarkEnd w:id="47"/>
      <w:r>
        <w:rPr>
          <w:rFonts w:ascii="Calibri" w:hAnsi="Calibri" w:eastAsia="Calibri" w:cs="Calibri"/>
          <w:spacing w:val="7"/>
          <w:position w:val="4"/>
          <w:sz w:val="43"/>
          <w:szCs w:val="43"/>
        </w:rPr>
        <w:t>8</w:t>
      </w:r>
      <w:r>
        <w:rPr>
          <w:rFonts w:ascii="黑体" w:hAnsi="黑体" w:eastAsia="黑体" w:cs="黑体"/>
          <w:spacing w:val="7"/>
          <w:position w:val="4"/>
          <w:sz w:val="43"/>
          <w:szCs w:val="43"/>
        </w:rPr>
        <w:t>环境管理与监测计划</w:t>
      </w:r>
    </w:p>
    <w:p w14:paraId="60D04143">
      <w:pPr>
        <w:pStyle w:val="2"/>
        <w:spacing w:line="394" w:lineRule="auto"/>
      </w:pPr>
    </w:p>
    <w:p w14:paraId="5531FFDA">
      <w:pPr>
        <w:spacing w:before="78" w:line="376" w:lineRule="auto"/>
        <w:ind w:left="24" w:right="81" w:firstLine="456"/>
        <w:jc w:val="both"/>
        <w:rPr>
          <w:rFonts w:ascii="宋体" w:hAnsi="宋体" w:eastAsia="宋体" w:cs="宋体"/>
          <w:sz w:val="24"/>
          <w:szCs w:val="24"/>
        </w:rPr>
      </w:pPr>
      <w:r>
        <w:rPr>
          <w:rFonts w:ascii="宋体" w:hAnsi="宋体" w:eastAsia="宋体" w:cs="宋体"/>
          <w:spacing w:val="2"/>
          <w:sz w:val="24"/>
          <w:szCs w:val="24"/>
        </w:rPr>
        <w:t>环境管理和监测计划是以防止工程建设对环境造成污染为主要目的，按建设项</w:t>
      </w:r>
      <w:r>
        <w:rPr>
          <w:rFonts w:ascii="宋体" w:hAnsi="宋体" w:eastAsia="宋体" w:cs="宋体"/>
          <w:spacing w:val="10"/>
          <w:sz w:val="24"/>
          <w:szCs w:val="24"/>
        </w:rPr>
        <w:t xml:space="preserve"> </w:t>
      </w:r>
      <w:r>
        <w:rPr>
          <w:rFonts w:ascii="宋体" w:hAnsi="宋体" w:eastAsia="宋体" w:cs="宋体"/>
          <w:spacing w:val="1"/>
          <w:sz w:val="24"/>
          <w:szCs w:val="24"/>
        </w:rPr>
        <w:t>目建设阶段、生产运营和服务期满后（可根据项目情况选择）等不同阶段，针对不</w:t>
      </w:r>
      <w:r>
        <w:rPr>
          <w:rFonts w:ascii="宋体" w:hAnsi="宋体" w:eastAsia="宋体" w:cs="宋体"/>
          <w:spacing w:val="18"/>
          <w:sz w:val="24"/>
          <w:szCs w:val="24"/>
        </w:rPr>
        <w:t xml:space="preserve"> </w:t>
      </w:r>
      <w:r>
        <w:rPr>
          <w:rFonts w:ascii="宋体" w:hAnsi="宋体" w:eastAsia="宋体" w:cs="宋体"/>
          <w:spacing w:val="-1"/>
          <w:sz w:val="24"/>
          <w:szCs w:val="24"/>
        </w:rPr>
        <w:t>同工况、不同环境影响和环境风险特征，提出具体环境</w:t>
      </w:r>
      <w:r>
        <w:rPr>
          <w:rFonts w:ascii="宋体" w:hAnsi="宋体" w:eastAsia="宋体" w:cs="宋体"/>
          <w:spacing w:val="-2"/>
          <w:sz w:val="24"/>
          <w:szCs w:val="24"/>
        </w:rPr>
        <w:t>管理要求。</w:t>
      </w:r>
    </w:p>
    <w:p w14:paraId="588D33D1">
      <w:pPr>
        <w:spacing w:before="7" w:line="376" w:lineRule="auto"/>
        <w:ind w:right="81" w:firstLine="480"/>
        <w:rPr>
          <w:rFonts w:ascii="宋体" w:hAnsi="宋体" w:eastAsia="宋体" w:cs="宋体"/>
          <w:sz w:val="24"/>
          <w:szCs w:val="24"/>
        </w:rPr>
      </w:pPr>
      <w:r>
        <w:rPr>
          <w:rFonts w:ascii="宋体" w:hAnsi="宋体" w:eastAsia="宋体" w:cs="宋体"/>
          <w:spacing w:val="2"/>
          <w:sz w:val="24"/>
          <w:szCs w:val="24"/>
        </w:rPr>
        <w:t>环境管理应给出污染物排放清单，明确污染物排放的管理要求。包括工程组成</w:t>
      </w:r>
      <w:r>
        <w:rPr>
          <w:rFonts w:ascii="宋体" w:hAnsi="宋体" w:eastAsia="宋体" w:cs="宋体"/>
          <w:spacing w:val="10"/>
          <w:sz w:val="24"/>
          <w:szCs w:val="24"/>
        </w:rPr>
        <w:t xml:space="preserve"> </w:t>
      </w:r>
      <w:r>
        <w:rPr>
          <w:rFonts w:ascii="宋体" w:hAnsi="宋体" w:eastAsia="宋体" w:cs="宋体"/>
          <w:spacing w:val="2"/>
          <w:sz w:val="24"/>
          <w:szCs w:val="24"/>
        </w:rPr>
        <w:t>及原辅材料组分要求，建设项目拟采取的环境保护措施及主要运行参数，排放的污</w:t>
      </w:r>
      <w:r>
        <w:rPr>
          <w:rFonts w:ascii="宋体" w:hAnsi="宋体" w:eastAsia="宋体" w:cs="宋体"/>
          <w:spacing w:val="7"/>
          <w:sz w:val="24"/>
          <w:szCs w:val="24"/>
        </w:rPr>
        <w:t xml:space="preserve"> </w:t>
      </w:r>
      <w:r>
        <w:rPr>
          <w:rFonts w:ascii="宋体" w:hAnsi="宋体" w:eastAsia="宋体" w:cs="宋体"/>
          <w:spacing w:val="2"/>
          <w:sz w:val="24"/>
          <w:szCs w:val="24"/>
        </w:rPr>
        <w:t>染物种类、排放浓度和总量指标，污染物排放的分时段要求，排污口信息、执行的</w:t>
      </w:r>
      <w:r>
        <w:rPr>
          <w:rFonts w:ascii="宋体" w:hAnsi="宋体" w:eastAsia="宋体" w:cs="宋体"/>
          <w:spacing w:val="7"/>
          <w:sz w:val="24"/>
          <w:szCs w:val="24"/>
        </w:rPr>
        <w:t xml:space="preserve"> </w:t>
      </w:r>
      <w:r>
        <w:rPr>
          <w:rFonts w:ascii="宋体" w:hAnsi="宋体" w:eastAsia="宋体" w:cs="宋体"/>
          <w:spacing w:val="2"/>
          <w:sz w:val="24"/>
          <w:szCs w:val="24"/>
        </w:rPr>
        <w:t>环境标准，环境风险防范措施以及环境监测等，并提出应向社会公开的信息内容。</w:t>
      </w:r>
      <w:r>
        <w:rPr>
          <w:rFonts w:ascii="宋体" w:hAnsi="宋体" w:eastAsia="宋体" w:cs="宋体"/>
          <w:spacing w:val="7"/>
          <w:sz w:val="24"/>
          <w:szCs w:val="24"/>
        </w:rPr>
        <w:t xml:space="preserve"> </w:t>
      </w:r>
      <w:r>
        <w:rPr>
          <w:rFonts w:ascii="宋体" w:hAnsi="宋体" w:eastAsia="宋体" w:cs="宋体"/>
          <w:spacing w:val="2"/>
          <w:sz w:val="24"/>
          <w:szCs w:val="24"/>
        </w:rPr>
        <w:t>提出建立日常的环境管理制度、组织机构和环境管理台账相关要求，明确各项环境</w:t>
      </w:r>
      <w:r>
        <w:rPr>
          <w:rFonts w:ascii="宋体" w:hAnsi="宋体" w:eastAsia="宋体" w:cs="宋体"/>
          <w:spacing w:val="7"/>
          <w:sz w:val="24"/>
          <w:szCs w:val="24"/>
        </w:rPr>
        <w:t xml:space="preserve"> </w:t>
      </w:r>
      <w:r>
        <w:rPr>
          <w:rFonts w:ascii="宋体" w:hAnsi="宋体" w:eastAsia="宋体" w:cs="宋体"/>
          <w:spacing w:val="-1"/>
          <w:sz w:val="24"/>
          <w:szCs w:val="24"/>
        </w:rPr>
        <w:t>保护设施和措施的建设、运行及维护费用的保障计划。</w:t>
      </w:r>
    </w:p>
    <w:p w14:paraId="15173EFF">
      <w:pPr>
        <w:spacing w:before="297" w:line="225" w:lineRule="auto"/>
        <w:ind w:left="2"/>
        <w:outlineLvl w:val="1"/>
        <w:rPr>
          <w:rFonts w:ascii="宋体" w:hAnsi="宋体" w:eastAsia="宋体" w:cs="宋体"/>
          <w:sz w:val="31"/>
          <w:szCs w:val="31"/>
        </w:rPr>
      </w:pPr>
      <w:bookmarkStart w:id="48" w:name="bookmark43"/>
      <w:bookmarkEnd w:id="48"/>
      <w:r>
        <w:rPr>
          <w:rFonts w:ascii="Times New Roman" w:hAnsi="Times New Roman" w:eastAsia="Times New Roman" w:cs="Times New Roman"/>
          <w:b/>
          <w:bCs/>
          <w:spacing w:val="4"/>
          <w:sz w:val="31"/>
          <w:szCs w:val="31"/>
        </w:rPr>
        <w:t>8.1</w:t>
      </w:r>
      <w:r>
        <w:rPr>
          <w:rFonts w:ascii="宋体" w:hAnsi="宋体" w:eastAsia="宋体" w:cs="宋体"/>
          <w:b/>
          <w:bCs/>
          <w:spacing w:val="4"/>
          <w:sz w:val="31"/>
          <w:szCs w:val="31"/>
        </w:rPr>
        <w:t>环境管理</w:t>
      </w:r>
    </w:p>
    <w:p w14:paraId="12102473">
      <w:pPr>
        <w:pStyle w:val="2"/>
        <w:spacing w:line="448" w:lineRule="auto"/>
      </w:pPr>
    </w:p>
    <w:p w14:paraId="7D17AE61">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8.1.1</w:t>
      </w:r>
      <w:r>
        <w:rPr>
          <w:rFonts w:ascii="宋体" w:hAnsi="宋体" w:eastAsia="宋体" w:cs="宋体"/>
          <w:b/>
          <w:bCs/>
          <w:spacing w:val="-2"/>
          <w:sz w:val="24"/>
          <w:szCs w:val="24"/>
        </w:rPr>
        <w:t>环境管理的基本任务</w:t>
      </w:r>
    </w:p>
    <w:p w14:paraId="47555A7C">
      <w:pPr>
        <w:pStyle w:val="2"/>
        <w:spacing w:line="279" w:lineRule="auto"/>
      </w:pPr>
    </w:p>
    <w:p w14:paraId="630780A7">
      <w:pPr>
        <w:spacing w:before="79" w:line="376" w:lineRule="auto"/>
        <w:ind w:left="1" w:right="81" w:firstLine="478"/>
        <w:rPr>
          <w:rFonts w:ascii="宋体" w:hAnsi="宋体" w:eastAsia="宋体" w:cs="宋体"/>
          <w:sz w:val="24"/>
          <w:szCs w:val="24"/>
        </w:rPr>
      </w:pPr>
      <w:r>
        <w:rPr>
          <w:rFonts w:ascii="宋体" w:hAnsi="宋体" w:eastAsia="宋体" w:cs="宋体"/>
          <w:spacing w:val="2"/>
          <w:sz w:val="24"/>
          <w:szCs w:val="24"/>
        </w:rPr>
        <w:t>对于项目来说，环境管理的基本任务是：控制污染物排放量，避免污染物对环</w:t>
      </w:r>
      <w:r>
        <w:rPr>
          <w:rFonts w:ascii="宋体" w:hAnsi="宋体" w:eastAsia="宋体" w:cs="宋体"/>
          <w:spacing w:val="11"/>
          <w:sz w:val="24"/>
          <w:szCs w:val="24"/>
        </w:rPr>
        <w:t xml:space="preserve"> </w:t>
      </w:r>
      <w:r>
        <w:rPr>
          <w:rFonts w:ascii="宋体" w:hAnsi="宋体" w:eastAsia="宋体" w:cs="宋体"/>
          <w:spacing w:val="-2"/>
          <w:sz w:val="24"/>
          <w:szCs w:val="24"/>
        </w:rPr>
        <w:t>境质量的损害。</w:t>
      </w:r>
    </w:p>
    <w:p w14:paraId="37171173">
      <w:pPr>
        <w:spacing w:before="4" w:line="375" w:lineRule="auto"/>
        <w:ind w:left="1" w:right="121" w:firstLine="481"/>
        <w:jc w:val="both"/>
        <w:rPr>
          <w:rFonts w:ascii="宋体" w:hAnsi="宋体" w:eastAsia="宋体" w:cs="宋体"/>
          <w:sz w:val="24"/>
          <w:szCs w:val="24"/>
        </w:rPr>
      </w:pPr>
      <w:r>
        <w:rPr>
          <w:rFonts w:ascii="宋体" w:hAnsi="宋体" w:eastAsia="宋体" w:cs="宋体"/>
          <w:spacing w:val="1"/>
          <w:sz w:val="24"/>
          <w:szCs w:val="24"/>
        </w:rPr>
        <w:t xml:space="preserve">为了控制污染物的排放，就需要加强计划、生产、技术、质量、设备、劳动、 财务等方面的管理，把环境管理渗透到整个企业管理中，将环境管理融合在一起， </w:t>
      </w:r>
      <w:r>
        <w:rPr>
          <w:rFonts w:ascii="宋体" w:hAnsi="宋体" w:eastAsia="宋体" w:cs="宋体"/>
          <w:spacing w:val="-1"/>
          <w:sz w:val="24"/>
          <w:szCs w:val="24"/>
        </w:rPr>
        <w:t>以减少从生产过程中各环节排出的污染物。</w:t>
      </w:r>
    </w:p>
    <w:p w14:paraId="08A04E13">
      <w:pPr>
        <w:spacing w:before="3" w:line="377" w:lineRule="auto"/>
        <w:ind w:left="1" w:right="81" w:firstLine="482"/>
        <w:jc w:val="both"/>
        <w:rPr>
          <w:rFonts w:ascii="宋体" w:hAnsi="宋体" w:eastAsia="宋体" w:cs="宋体"/>
          <w:sz w:val="24"/>
          <w:szCs w:val="24"/>
        </w:rPr>
      </w:pPr>
      <w:r>
        <w:rPr>
          <w:rFonts w:ascii="宋体" w:hAnsi="宋体" w:eastAsia="宋体" w:cs="宋体"/>
          <w:spacing w:val="2"/>
          <w:sz w:val="24"/>
          <w:szCs w:val="24"/>
        </w:rPr>
        <w:t>项目应该将环境管理作为工业企业管理的重要组成部分，建立环境污染管理系</w:t>
      </w:r>
      <w:r>
        <w:rPr>
          <w:rFonts w:ascii="宋体" w:hAnsi="宋体" w:eastAsia="宋体" w:cs="宋体"/>
          <w:spacing w:val="6"/>
          <w:sz w:val="24"/>
          <w:szCs w:val="24"/>
        </w:rPr>
        <w:t xml:space="preserve"> </w:t>
      </w:r>
      <w:r>
        <w:rPr>
          <w:rFonts w:ascii="宋体" w:hAnsi="宋体" w:eastAsia="宋体" w:cs="宋体"/>
          <w:spacing w:val="2"/>
          <w:sz w:val="24"/>
          <w:szCs w:val="24"/>
        </w:rPr>
        <w:t>统、制度、环境规划、协调发展生产保护环境的关系，使生产管理系统、制度、环</w:t>
      </w:r>
      <w:r>
        <w:rPr>
          <w:rFonts w:ascii="宋体" w:hAnsi="宋体" w:eastAsia="宋体" w:cs="宋体"/>
          <w:spacing w:val="5"/>
          <w:sz w:val="24"/>
          <w:szCs w:val="24"/>
        </w:rPr>
        <w:t xml:space="preserve"> </w:t>
      </w:r>
      <w:r>
        <w:rPr>
          <w:rFonts w:ascii="宋体" w:hAnsi="宋体" w:eastAsia="宋体" w:cs="宋体"/>
          <w:spacing w:val="2"/>
          <w:sz w:val="24"/>
          <w:szCs w:val="24"/>
        </w:rPr>
        <w:t>境污染规划协调生产与保护环境的关系，使生产目标与环境目标统一起来，经济效</w:t>
      </w:r>
      <w:r>
        <w:rPr>
          <w:rFonts w:ascii="宋体" w:hAnsi="宋体" w:eastAsia="宋体" w:cs="宋体"/>
          <w:spacing w:val="5"/>
          <w:sz w:val="24"/>
          <w:szCs w:val="24"/>
        </w:rPr>
        <w:t xml:space="preserve"> </w:t>
      </w:r>
      <w:r>
        <w:rPr>
          <w:rFonts w:ascii="宋体" w:hAnsi="宋体" w:eastAsia="宋体" w:cs="宋体"/>
          <w:spacing w:val="-1"/>
          <w:sz w:val="24"/>
          <w:szCs w:val="24"/>
        </w:rPr>
        <w:t>益与环境效益统一起来。</w:t>
      </w:r>
    </w:p>
    <w:p w14:paraId="7CEAC3E3">
      <w:pPr>
        <w:spacing w:before="290"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8.1.2</w:t>
      </w:r>
      <w:r>
        <w:rPr>
          <w:rFonts w:ascii="宋体" w:hAnsi="宋体" w:eastAsia="宋体" w:cs="宋体"/>
          <w:b/>
          <w:bCs/>
          <w:spacing w:val="-2"/>
          <w:sz w:val="24"/>
          <w:szCs w:val="24"/>
        </w:rPr>
        <w:t>环境管理机构</w:t>
      </w:r>
    </w:p>
    <w:p w14:paraId="008EE3A7">
      <w:pPr>
        <w:pStyle w:val="2"/>
        <w:spacing w:line="282" w:lineRule="auto"/>
      </w:pPr>
    </w:p>
    <w:p w14:paraId="404E607C">
      <w:pPr>
        <w:spacing w:before="79" w:line="377" w:lineRule="auto"/>
        <w:ind w:left="19" w:firstLine="461"/>
        <w:rPr>
          <w:rFonts w:ascii="宋体" w:hAnsi="宋体" w:eastAsia="宋体" w:cs="宋体"/>
          <w:sz w:val="24"/>
          <w:szCs w:val="24"/>
        </w:rPr>
      </w:pPr>
      <w:r>
        <w:rPr>
          <w:rFonts w:ascii="宋体" w:hAnsi="宋体" w:eastAsia="宋体" w:cs="宋体"/>
          <w:spacing w:val="-2"/>
          <w:sz w:val="24"/>
          <w:szCs w:val="24"/>
        </w:rPr>
        <w:t>环境污染问题是由自然、社会、经济和技术等多种因素</w:t>
      </w:r>
      <w:r>
        <w:rPr>
          <w:rFonts w:ascii="宋体" w:hAnsi="宋体" w:eastAsia="宋体" w:cs="宋体"/>
          <w:spacing w:val="-3"/>
          <w:sz w:val="24"/>
          <w:szCs w:val="24"/>
        </w:rPr>
        <w:t>引起的，情况十分复杂。</w:t>
      </w:r>
      <w:r>
        <w:rPr>
          <w:rFonts w:ascii="宋体" w:hAnsi="宋体" w:eastAsia="宋体" w:cs="宋体"/>
          <w:sz w:val="24"/>
          <w:szCs w:val="24"/>
        </w:rPr>
        <w:t xml:space="preserve"> </w:t>
      </w:r>
      <w:r>
        <w:rPr>
          <w:rFonts w:ascii="宋体" w:hAnsi="宋体" w:eastAsia="宋体" w:cs="宋体"/>
          <w:spacing w:val="-3"/>
          <w:sz w:val="24"/>
          <w:szCs w:val="24"/>
        </w:rPr>
        <w:t>因此必须对损害和破坏环境的活动施加影响，以达到控制、保护和改善环境的目的。</w:t>
      </w:r>
    </w:p>
    <w:p w14:paraId="47724A19">
      <w:pPr>
        <w:spacing w:line="377" w:lineRule="auto"/>
        <w:rPr>
          <w:rFonts w:ascii="宋体" w:hAnsi="宋体" w:eastAsia="宋体" w:cs="宋体"/>
          <w:sz w:val="24"/>
          <w:szCs w:val="24"/>
        </w:rPr>
        <w:sectPr>
          <w:footerReference r:id="rId167" w:type="default"/>
          <w:pgSz w:w="11906" w:h="16839"/>
          <w:pgMar w:top="400" w:right="1507" w:bottom="1485" w:left="1597" w:header="0" w:footer="1249" w:gutter="0"/>
          <w:cols w:space="720" w:num="1"/>
        </w:sectPr>
      </w:pPr>
    </w:p>
    <w:p w14:paraId="3AC492FF">
      <w:pPr>
        <w:pStyle w:val="2"/>
        <w:spacing w:line="264" w:lineRule="auto"/>
      </w:pPr>
    </w:p>
    <w:p w14:paraId="0719772C">
      <w:pPr>
        <w:pStyle w:val="2"/>
        <w:spacing w:line="264" w:lineRule="auto"/>
      </w:pPr>
    </w:p>
    <w:p w14:paraId="5FA70A4E">
      <w:pPr>
        <w:pStyle w:val="2"/>
        <w:spacing w:line="264" w:lineRule="auto"/>
      </w:pPr>
    </w:p>
    <w:p w14:paraId="22C51ECB">
      <w:pPr>
        <w:pStyle w:val="2"/>
        <w:spacing w:line="264" w:lineRule="auto"/>
      </w:pPr>
    </w:p>
    <w:p w14:paraId="5457BD08">
      <w:pPr>
        <w:spacing w:before="78" w:line="377" w:lineRule="auto"/>
        <w:ind w:right="2"/>
        <w:rPr>
          <w:rFonts w:ascii="宋体" w:hAnsi="宋体" w:eastAsia="宋体" w:cs="宋体"/>
          <w:sz w:val="24"/>
          <w:szCs w:val="24"/>
        </w:rPr>
      </w:pPr>
      <w:r>
        <w:rPr>
          <w:rFonts w:ascii="宋体" w:hAnsi="宋体" w:eastAsia="宋体" w:cs="宋体"/>
          <w:spacing w:val="1"/>
          <w:sz w:val="24"/>
          <w:szCs w:val="24"/>
        </w:rPr>
        <w:t>要达到这个目的，则需要在环境容量允许的前提下，本着“</w:t>
      </w:r>
      <w:r>
        <w:rPr>
          <w:rFonts w:ascii="宋体" w:hAnsi="宋体" w:eastAsia="宋体" w:cs="宋体"/>
          <w:spacing w:val="-79"/>
          <w:sz w:val="24"/>
          <w:szCs w:val="24"/>
        </w:rPr>
        <w:t xml:space="preserve"> </w:t>
      </w:r>
      <w:r>
        <w:rPr>
          <w:rFonts w:ascii="宋体" w:hAnsi="宋体" w:eastAsia="宋体" w:cs="宋体"/>
          <w:spacing w:val="1"/>
          <w:sz w:val="24"/>
          <w:szCs w:val="24"/>
        </w:rPr>
        <w:t>以防为主、综合治理、</w:t>
      </w:r>
      <w:r>
        <w:rPr>
          <w:rFonts w:ascii="宋体" w:hAnsi="宋体" w:eastAsia="宋体" w:cs="宋体"/>
          <w:sz w:val="24"/>
          <w:szCs w:val="24"/>
        </w:rPr>
        <w:t xml:space="preserve"> </w:t>
      </w:r>
      <w:r>
        <w:rPr>
          <w:rFonts w:ascii="宋体" w:hAnsi="宋体" w:eastAsia="宋体" w:cs="宋体"/>
          <w:spacing w:val="1"/>
          <w:sz w:val="24"/>
          <w:szCs w:val="24"/>
        </w:rPr>
        <w:t>以管促治、管治结合</w:t>
      </w:r>
      <w:r>
        <w:rPr>
          <w:rFonts w:ascii="宋体" w:hAnsi="宋体" w:eastAsia="宋体" w:cs="宋体"/>
          <w:spacing w:val="-78"/>
          <w:sz w:val="24"/>
          <w:szCs w:val="24"/>
        </w:rPr>
        <w:t xml:space="preserve"> </w:t>
      </w:r>
      <w:r>
        <w:rPr>
          <w:rFonts w:ascii="宋体" w:hAnsi="宋体" w:eastAsia="宋体" w:cs="宋体"/>
          <w:spacing w:val="1"/>
          <w:sz w:val="24"/>
          <w:szCs w:val="24"/>
        </w:rPr>
        <w:t>”的原则，以环境科学的理论为基础，用技术的、经济的、教</w:t>
      </w:r>
      <w:r>
        <w:rPr>
          <w:rFonts w:ascii="宋体" w:hAnsi="宋体" w:eastAsia="宋体" w:cs="宋体"/>
          <w:sz w:val="24"/>
          <w:szCs w:val="24"/>
        </w:rPr>
        <w:t xml:space="preserve"> </w:t>
      </w:r>
      <w:r>
        <w:rPr>
          <w:rFonts w:ascii="宋体" w:hAnsi="宋体" w:eastAsia="宋体" w:cs="宋体"/>
          <w:spacing w:val="2"/>
          <w:sz w:val="24"/>
          <w:szCs w:val="24"/>
        </w:rPr>
        <w:t>育的和行政的手段，对项目经营活动进行科学管理，协调社会经济发展和保护环境</w:t>
      </w:r>
      <w:r>
        <w:rPr>
          <w:rFonts w:ascii="宋体" w:hAnsi="宋体" w:eastAsia="宋体" w:cs="宋体"/>
          <w:spacing w:val="6"/>
          <w:sz w:val="24"/>
          <w:szCs w:val="24"/>
        </w:rPr>
        <w:t xml:space="preserve"> </w:t>
      </w:r>
      <w:r>
        <w:rPr>
          <w:rFonts w:ascii="宋体" w:hAnsi="宋体" w:eastAsia="宋体" w:cs="宋体"/>
          <w:spacing w:val="2"/>
          <w:sz w:val="24"/>
          <w:szCs w:val="24"/>
        </w:rPr>
        <w:t>的关系，使人们具有一个良好的生活、工作环境，从而达到经济效益、社会效益和</w:t>
      </w:r>
      <w:r>
        <w:rPr>
          <w:rFonts w:ascii="宋体" w:hAnsi="宋体" w:eastAsia="宋体" w:cs="宋体"/>
          <w:spacing w:val="6"/>
          <w:sz w:val="24"/>
          <w:szCs w:val="24"/>
        </w:rPr>
        <w:t xml:space="preserve"> </w:t>
      </w:r>
      <w:r>
        <w:rPr>
          <w:rFonts w:ascii="宋体" w:hAnsi="宋体" w:eastAsia="宋体" w:cs="宋体"/>
          <w:spacing w:val="2"/>
          <w:sz w:val="24"/>
          <w:szCs w:val="24"/>
        </w:rPr>
        <w:t>环境效益的三统一。项目建成后，建设单位配备专(兼)职环保人员数名，负责环境</w:t>
      </w:r>
      <w:r>
        <w:rPr>
          <w:rFonts w:ascii="宋体" w:hAnsi="宋体" w:eastAsia="宋体" w:cs="宋体"/>
          <w:spacing w:val="1"/>
          <w:sz w:val="24"/>
          <w:szCs w:val="24"/>
        </w:rPr>
        <w:t xml:space="preserve"> </w:t>
      </w:r>
      <w:r>
        <w:rPr>
          <w:rFonts w:ascii="宋体" w:hAnsi="宋体" w:eastAsia="宋体" w:cs="宋体"/>
          <w:spacing w:val="2"/>
          <w:sz w:val="24"/>
          <w:szCs w:val="24"/>
        </w:rPr>
        <w:t>监督管理工作，管理机构附属于生产部或工程部。负责对公司的环境保护进行全面</w:t>
      </w:r>
      <w:r>
        <w:rPr>
          <w:rFonts w:ascii="宋体" w:hAnsi="宋体" w:eastAsia="宋体" w:cs="宋体"/>
          <w:spacing w:val="6"/>
          <w:sz w:val="24"/>
          <w:szCs w:val="24"/>
        </w:rPr>
        <w:t xml:space="preserve"> </w:t>
      </w:r>
      <w:r>
        <w:rPr>
          <w:rFonts w:ascii="宋体" w:hAnsi="宋体" w:eastAsia="宋体" w:cs="宋体"/>
          <w:spacing w:val="-1"/>
          <w:sz w:val="24"/>
          <w:szCs w:val="24"/>
        </w:rPr>
        <w:t>管理，特别是对各污染源的控制与环保设施进行监督检查。</w:t>
      </w:r>
    </w:p>
    <w:p w14:paraId="62AD629C">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8.1.3</w:t>
      </w:r>
      <w:r>
        <w:rPr>
          <w:rFonts w:ascii="宋体" w:hAnsi="宋体" w:eastAsia="宋体" w:cs="宋体"/>
          <w:b/>
          <w:bCs/>
          <w:spacing w:val="-2"/>
          <w:sz w:val="24"/>
          <w:szCs w:val="24"/>
        </w:rPr>
        <w:t>环境保护管理机构的职责</w:t>
      </w:r>
    </w:p>
    <w:p w14:paraId="400E7F69">
      <w:pPr>
        <w:pStyle w:val="2"/>
        <w:spacing w:line="243" w:lineRule="auto"/>
      </w:pPr>
    </w:p>
    <w:p w14:paraId="0928B962">
      <w:pPr>
        <w:spacing w:before="78" w:line="312" w:lineRule="auto"/>
        <w:ind w:left="3" w:right="2"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）环境管理部门除负责公司内有关环保工作外，还应接受环境保护行政主管</w:t>
      </w:r>
      <w:r>
        <w:rPr>
          <w:rFonts w:ascii="宋体" w:hAnsi="宋体" w:eastAsia="宋体" w:cs="宋体"/>
          <w:spacing w:val="16"/>
          <w:sz w:val="24"/>
          <w:szCs w:val="24"/>
        </w:rPr>
        <w:t xml:space="preserve"> </w:t>
      </w:r>
      <w:r>
        <w:rPr>
          <w:rFonts w:ascii="宋体" w:hAnsi="宋体" w:eastAsia="宋体" w:cs="宋体"/>
          <w:spacing w:val="-2"/>
          <w:sz w:val="24"/>
          <w:szCs w:val="24"/>
        </w:rPr>
        <w:t>部门的领导检查与监督；</w:t>
      </w:r>
    </w:p>
    <w:p w14:paraId="503EFF91">
      <w:pPr>
        <w:spacing w:before="168"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）贯彻执行各项环保法规和各项标准；</w:t>
      </w:r>
    </w:p>
    <w:p w14:paraId="73952D34">
      <w:pPr>
        <w:spacing w:before="126" w:line="360"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）组织制定和修改企业的环境污染保护管理体制规章制度，并监督执行；</w:t>
      </w:r>
    </w:p>
    <w:p w14:paraId="06A3C0E2">
      <w:pPr>
        <w:spacing w:before="130"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）制定并组织实施环境保护规划和标准；</w:t>
      </w:r>
    </w:p>
    <w:p w14:paraId="4608D62A">
      <w:pPr>
        <w:spacing w:before="164"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）检查企业环境保护规划和计划；</w:t>
      </w:r>
    </w:p>
    <w:p w14:paraId="4533A2E3">
      <w:pPr>
        <w:spacing w:before="168" w:line="361"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6</w:t>
      </w:r>
      <w:r>
        <w:rPr>
          <w:rFonts w:ascii="宋体" w:hAnsi="宋体" w:eastAsia="宋体" w:cs="宋体"/>
          <w:spacing w:val="-1"/>
          <w:position w:val="2"/>
          <w:sz w:val="24"/>
          <w:szCs w:val="24"/>
        </w:rPr>
        <w:t>）建立资料库，管理污染源监测数据及资料的收集与存档；</w:t>
      </w:r>
    </w:p>
    <w:p w14:paraId="747B812F">
      <w:pPr>
        <w:spacing w:before="164" w:line="298"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）加强对污染防治设施的监督管理，安排专人负责设施的具体运作，确保设</w:t>
      </w:r>
      <w:r>
        <w:rPr>
          <w:rFonts w:ascii="宋体" w:hAnsi="宋体" w:eastAsia="宋体" w:cs="宋体"/>
          <w:spacing w:val="16"/>
          <w:sz w:val="24"/>
          <w:szCs w:val="24"/>
        </w:rPr>
        <w:t xml:space="preserve"> </w:t>
      </w:r>
      <w:r>
        <w:rPr>
          <w:rFonts w:ascii="宋体" w:hAnsi="宋体" w:eastAsia="宋体" w:cs="宋体"/>
          <w:spacing w:val="-1"/>
          <w:sz w:val="24"/>
          <w:szCs w:val="24"/>
        </w:rPr>
        <w:t>施正常运行，保证污染物达标排放；</w:t>
      </w:r>
    </w:p>
    <w:p w14:paraId="4F44AC58">
      <w:pPr>
        <w:spacing w:before="167" w:line="312" w:lineRule="auto"/>
        <w:ind w:left="3" w:right="2"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）防范风险事故发生，协助环境保护行政主管部门、企业内的应急反应中心</w:t>
      </w:r>
      <w:r>
        <w:rPr>
          <w:rFonts w:ascii="宋体" w:hAnsi="宋体" w:eastAsia="宋体" w:cs="宋体"/>
          <w:spacing w:val="16"/>
          <w:sz w:val="24"/>
          <w:szCs w:val="24"/>
        </w:rPr>
        <w:t xml:space="preserve"> </w:t>
      </w:r>
      <w:r>
        <w:rPr>
          <w:rFonts w:ascii="宋体" w:hAnsi="宋体" w:eastAsia="宋体" w:cs="宋体"/>
          <w:spacing w:val="-1"/>
          <w:sz w:val="24"/>
          <w:szCs w:val="24"/>
        </w:rPr>
        <w:t>或生产安全部门处理各种事故；</w:t>
      </w:r>
    </w:p>
    <w:p w14:paraId="06B463B9">
      <w:pPr>
        <w:spacing w:before="164" w:line="312"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9</w:t>
      </w:r>
      <w:r>
        <w:rPr>
          <w:rFonts w:ascii="宋体" w:hAnsi="宋体" w:eastAsia="宋体" w:cs="宋体"/>
          <w:spacing w:val="-2"/>
          <w:sz w:val="24"/>
          <w:szCs w:val="24"/>
        </w:rPr>
        <w:t>）开展环保知识教育，组织开展本企业的环保技术培训，提高员工的素质水</w:t>
      </w:r>
      <w:r>
        <w:rPr>
          <w:rFonts w:ascii="宋体" w:hAnsi="宋体" w:eastAsia="宋体" w:cs="宋体"/>
          <w:spacing w:val="16"/>
          <w:sz w:val="24"/>
          <w:szCs w:val="24"/>
        </w:rPr>
        <w:t xml:space="preserve"> </w:t>
      </w:r>
      <w:r>
        <w:rPr>
          <w:rFonts w:ascii="宋体" w:hAnsi="宋体" w:eastAsia="宋体" w:cs="宋体"/>
          <w:spacing w:val="-1"/>
          <w:sz w:val="24"/>
          <w:szCs w:val="24"/>
        </w:rPr>
        <w:t>平；领导和组织本企业的环境监测工作。</w:t>
      </w:r>
    </w:p>
    <w:p w14:paraId="51ABD079">
      <w:pPr>
        <w:pStyle w:val="2"/>
        <w:spacing w:line="421" w:lineRule="auto"/>
      </w:pPr>
    </w:p>
    <w:p w14:paraId="4C9C3E78">
      <w:pPr>
        <w:spacing w:before="79"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8.1.4</w:t>
      </w:r>
      <w:r>
        <w:rPr>
          <w:rFonts w:ascii="宋体" w:hAnsi="宋体" w:eastAsia="宋体" w:cs="宋体"/>
          <w:b/>
          <w:bCs/>
          <w:spacing w:val="-2"/>
          <w:sz w:val="24"/>
          <w:szCs w:val="24"/>
        </w:rPr>
        <w:t>环境管理制度的建立</w:t>
      </w:r>
    </w:p>
    <w:p w14:paraId="23BD8061">
      <w:pPr>
        <w:pStyle w:val="2"/>
        <w:spacing w:line="244" w:lineRule="auto"/>
      </w:pPr>
    </w:p>
    <w:p w14:paraId="7DD5356E">
      <w:pPr>
        <w:spacing w:before="79" w:line="358"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）报告制度</w:t>
      </w:r>
    </w:p>
    <w:p w14:paraId="26D3DCA7">
      <w:pPr>
        <w:spacing w:before="130" w:line="380" w:lineRule="auto"/>
        <w:ind w:left="1" w:firstLine="479"/>
        <w:rPr>
          <w:rFonts w:ascii="宋体" w:hAnsi="宋体" w:eastAsia="宋体" w:cs="宋体"/>
          <w:sz w:val="24"/>
          <w:szCs w:val="24"/>
        </w:rPr>
      </w:pPr>
      <w:r>
        <w:rPr>
          <w:rFonts w:ascii="宋体" w:hAnsi="宋体" w:eastAsia="宋体" w:cs="宋体"/>
          <w:spacing w:val="-1"/>
          <w:sz w:val="24"/>
          <w:szCs w:val="24"/>
        </w:rPr>
        <w:t xml:space="preserve">根据《建设项目环境保护管理条例》（国务院令第 </w:t>
      </w:r>
      <w:r>
        <w:rPr>
          <w:rFonts w:ascii="Times New Roman" w:hAnsi="Times New Roman" w:eastAsia="Times New Roman" w:cs="Times New Roman"/>
          <w:spacing w:val="-1"/>
          <w:sz w:val="24"/>
          <w:szCs w:val="24"/>
        </w:rPr>
        <w:t xml:space="preserve">682  </w:t>
      </w:r>
      <w:r>
        <w:rPr>
          <w:rFonts w:ascii="宋体" w:hAnsi="宋体" w:eastAsia="宋体" w:cs="宋体"/>
          <w:spacing w:val="-1"/>
          <w:sz w:val="24"/>
          <w:szCs w:val="24"/>
        </w:rPr>
        <w:t>号）第十七条和第</w:t>
      </w:r>
      <w:r>
        <w:rPr>
          <w:rFonts w:ascii="宋体" w:hAnsi="宋体" w:eastAsia="宋体" w:cs="宋体"/>
          <w:spacing w:val="-2"/>
          <w:sz w:val="24"/>
          <w:szCs w:val="24"/>
        </w:rPr>
        <w:t>十九</w:t>
      </w:r>
      <w:r>
        <w:rPr>
          <w:rFonts w:ascii="宋体" w:hAnsi="宋体" w:eastAsia="宋体" w:cs="宋体"/>
          <w:sz w:val="24"/>
          <w:szCs w:val="24"/>
        </w:rPr>
        <w:t xml:space="preserve"> </w:t>
      </w:r>
      <w:r>
        <w:rPr>
          <w:rFonts w:ascii="宋体" w:hAnsi="宋体" w:eastAsia="宋体" w:cs="宋体"/>
          <w:spacing w:val="2"/>
          <w:sz w:val="24"/>
          <w:szCs w:val="24"/>
        </w:rPr>
        <w:t>条规定，建设项目竣工后，建设单位应当按照国务院环境保护行政主管部门规定的</w:t>
      </w:r>
      <w:r>
        <w:rPr>
          <w:rFonts w:ascii="宋体" w:hAnsi="宋体" w:eastAsia="宋体" w:cs="宋体"/>
          <w:spacing w:val="5"/>
          <w:sz w:val="24"/>
          <w:szCs w:val="24"/>
        </w:rPr>
        <w:t xml:space="preserve"> </w:t>
      </w:r>
      <w:r>
        <w:rPr>
          <w:rFonts w:ascii="宋体" w:hAnsi="宋体" w:eastAsia="宋体" w:cs="宋体"/>
          <w:spacing w:val="2"/>
          <w:sz w:val="24"/>
          <w:szCs w:val="24"/>
        </w:rPr>
        <w:t>标准和程序，对配套建设的环境保护设施进行验收，编制验收报告。建设单位在环</w:t>
      </w:r>
    </w:p>
    <w:p w14:paraId="39DD2BF1">
      <w:pPr>
        <w:spacing w:line="380" w:lineRule="auto"/>
        <w:rPr>
          <w:rFonts w:ascii="宋体" w:hAnsi="宋体" w:eastAsia="宋体" w:cs="宋体"/>
          <w:sz w:val="24"/>
          <w:szCs w:val="24"/>
        </w:rPr>
        <w:sectPr>
          <w:footerReference r:id="rId168" w:type="default"/>
          <w:pgSz w:w="11906" w:h="16839"/>
          <w:pgMar w:top="400" w:right="1585" w:bottom="1485" w:left="1597" w:header="0" w:footer="1249" w:gutter="0"/>
          <w:cols w:space="720" w:num="1"/>
        </w:sectPr>
      </w:pPr>
    </w:p>
    <w:p w14:paraId="3813B3CF">
      <w:pPr>
        <w:pStyle w:val="2"/>
        <w:spacing w:line="264" w:lineRule="auto"/>
      </w:pPr>
    </w:p>
    <w:p w14:paraId="0EAA5340">
      <w:pPr>
        <w:pStyle w:val="2"/>
        <w:spacing w:line="264" w:lineRule="auto"/>
      </w:pPr>
    </w:p>
    <w:p w14:paraId="64E38A02">
      <w:pPr>
        <w:pStyle w:val="2"/>
        <w:spacing w:line="264" w:lineRule="auto"/>
      </w:pPr>
    </w:p>
    <w:p w14:paraId="13B4B807">
      <w:pPr>
        <w:pStyle w:val="2"/>
        <w:spacing w:line="264" w:lineRule="auto"/>
      </w:pPr>
    </w:p>
    <w:p w14:paraId="4BC9AE8D">
      <w:pPr>
        <w:spacing w:before="78" w:line="377" w:lineRule="auto"/>
        <w:ind w:left="1"/>
        <w:jc w:val="both"/>
        <w:rPr>
          <w:rFonts w:ascii="宋体" w:hAnsi="宋体" w:eastAsia="宋体" w:cs="宋体"/>
          <w:sz w:val="24"/>
          <w:szCs w:val="24"/>
        </w:rPr>
      </w:pPr>
      <w:r>
        <w:rPr>
          <w:rFonts w:ascii="宋体" w:hAnsi="宋体" w:eastAsia="宋体" w:cs="宋体"/>
          <w:spacing w:val="2"/>
          <w:sz w:val="24"/>
          <w:szCs w:val="24"/>
        </w:rPr>
        <w:t>境保护设施验收过程中，应当如实查验、监测、记载建设项目环境保护设施的建设</w:t>
      </w:r>
      <w:r>
        <w:rPr>
          <w:rFonts w:ascii="宋体" w:hAnsi="宋体" w:eastAsia="宋体" w:cs="宋体"/>
          <w:spacing w:val="5"/>
          <w:sz w:val="24"/>
          <w:szCs w:val="24"/>
        </w:rPr>
        <w:t xml:space="preserve"> </w:t>
      </w:r>
      <w:r>
        <w:rPr>
          <w:rFonts w:ascii="宋体" w:hAnsi="宋体" w:eastAsia="宋体" w:cs="宋体"/>
          <w:spacing w:val="2"/>
          <w:sz w:val="24"/>
          <w:szCs w:val="24"/>
        </w:rPr>
        <w:t>和调试情况，不得弄虚作假。除按照国家规定需要保密的情形外，建设单位应当依</w:t>
      </w:r>
      <w:r>
        <w:rPr>
          <w:rFonts w:ascii="宋体" w:hAnsi="宋体" w:eastAsia="宋体" w:cs="宋体"/>
          <w:spacing w:val="5"/>
          <w:sz w:val="24"/>
          <w:szCs w:val="24"/>
        </w:rPr>
        <w:t xml:space="preserve"> </w:t>
      </w:r>
      <w:r>
        <w:rPr>
          <w:rFonts w:ascii="宋体" w:hAnsi="宋体" w:eastAsia="宋体" w:cs="宋体"/>
          <w:spacing w:val="-1"/>
          <w:sz w:val="24"/>
          <w:szCs w:val="24"/>
        </w:rPr>
        <w:t>法向社会公开验收报告。</w:t>
      </w:r>
    </w:p>
    <w:p w14:paraId="2396B51D">
      <w:pPr>
        <w:spacing w:before="1" w:line="375" w:lineRule="auto"/>
        <w:ind w:left="3" w:firstLine="480"/>
        <w:rPr>
          <w:rFonts w:ascii="宋体" w:hAnsi="宋体" w:eastAsia="宋体" w:cs="宋体"/>
          <w:sz w:val="24"/>
          <w:szCs w:val="24"/>
        </w:rPr>
      </w:pPr>
      <w:r>
        <w:rPr>
          <w:rFonts w:ascii="宋体" w:hAnsi="宋体" w:eastAsia="宋体" w:cs="宋体"/>
          <w:spacing w:val="2"/>
          <w:sz w:val="24"/>
          <w:szCs w:val="24"/>
        </w:rPr>
        <w:t>项目建成后应严格执行环境污染月报制度。即每月向当地环保部门报告污染治</w:t>
      </w:r>
      <w:r>
        <w:rPr>
          <w:rFonts w:ascii="宋体" w:hAnsi="宋体" w:eastAsia="宋体" w:cs="宋体"/>
          <w:spacing w:val="6"/>
          <w:sz w:val="24"/>
          <w:szCs w:val="24"/>
        </w:rPr>
        <w:t xml:space="preserve"> </w:t>
      </w:r>
      <w:r>
        <w:rPr>
          <w:rFonts w:ascii="宋体" w:hAnsi="宋体" w:eastAsia="宋体" w:cs="宋体"/>
          <w:spacing w:val="-1"/>
          <w:sz w:val="24"/>
          <w:szCs w:val="24"/>
        </w:rPr>
        <w:t>理设施运行情况、污染物排放情况以及污染事故、污染纠纷等情况。</w:t>
      </w:r>
    </w:p>
    <w:p w14:paraId="18D2623D">
      <w:pPr>
        <w:spacing w:line="362" w:lineRule="auto"/>
        <w:ind w:firstLine="483"/>
        <w:rPr>
          <w:rFonts w:ascii="宋体" w:hAnsi="宋体" w:eastAsia="宋体" w:cs="宋体"/>
          <w:sz w:val="24"/>
          <w:szCs w:val="24"/>
        </w:rPr>
      </w:pPr>
      <w:r>
        <w:rPr>
          <w:rFonts w:ascii="宋体" w:hAnsi="宋体" w:eastAsia="宋体" w:cs="宋体"/>
          <w:spacing w:val="2"/>
          <w:sz w:val="24"/>
          <w:szCs w:val="24"/>
        </w:rPr>
        <w:t>企业排污发生重大变化、污染治理设施改变或生产运行计划改变等都必须向当</w:t>
      </w:r>
      <w:r>
        <w:rPr>
          <w:rFonts w:ascii="宋体" w:hAnsi="宋体" w:eastAsia="宋体" w:cs="宋体"/>
          <w:spacing w:val="6"/>
          <w:sz w:val="24"/>
          <w:szCs w:val="24"/>
        </w:rPr>
        <w:t xml:space="preserve"> </w:t>
      </w:r>
      <w:r>
        <w:rPr>
          <w:rFonts w:ascii="宋体" w:hAnsi="宋体" w:eastAsia="宋体" w:cs="宋体"/>
          <w:spacing w:val="-1"/>
          <w:sz w:val="24"/>
          <w:szCs w:val="24"/>
        </w:rPr>
        <w:t>地环保部门申报，经审批同意后方可实施。</w:t>
      </w:r>
    </w:p>
    <w:p w14:paraId="4A307F8D">
      <w:pPr>
        <w:spacing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）污染处理设施的管理制度</w:t>
      </w:r>
    </w:p>
    <w:p w14:paraId="0ED48B79">
      <w:pPr>
        <w:spacing w:before="164" w:line="362" w:lineRule="auto"/>
        <w:ind w:firstLine="479"/>
        <w:rPr>
          <w:rFonts w:ascii="宋体" w:hAnsi="宋体" w:eastAsia="宋体" w:cs="宋体"/>
          <w:sz w:val="24"/>
          <w:szCs w:val="24"/>
        </w:rPr>
      </w:pPr>
      <w:r>
        <w:rPr>
          <w:rFonts w:ascii="宋体" w:hAnsi="宋体" w:eastAsia="宋体" w:cs="宋体"/>
          <w:spacing w:val="2"/>
          <w:sz w:val="24"/>
          <w:szCs w:val="24"/>
        </w:rPr>
        <w:t>对污染治理设施和管理必须与生产经营活动一起纳入企业的日常管理中，要建</w:t>
      </w:r>
      <w:r>
        <w:rPr>
          <w:rFonts w:ascii="宋体" w:hAnsi="宋体" w:eastAsia="宋体" w:cs="宋体"/>
          <w:spacing w:val="11"/>
          <w:sz w:val="24"/>
          <w:szCs w:val="24"/>
        </w:rPr>
        <w:t xml:space="preserve"> </w:t>
      </w:r>
      <w:r>
        <w:rPr>
          <w:rFonts w:ascii="宋体" w:hAnsi="宋体" w:eastAsia="宋体" w:cs="宋体"/>
          <w:spacing w:val="-1"/>
          <w:sz w:val="24"/>
          <w:szCs w:val="24"/>
        </w:rPr>
        <w:t>立岗位责任制，制定操作规程，建立管理台帐。</w:t>
      </w:r>
    </w:p>
    <w:p w14:paraId="59E871F1">
      <w:pPr>
        <w:spacing w:line="361"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）奖惩制度</w:t>
      </w:r>
    </w:p>
    <w:p w14:paraId="7BBFFFC0">
      <w:pPr>
        <w:spacing w:before="166" w:line="378" w:lineRule="auto"/>
        <w:ind w:left="2" w:firstLine="481"/>
        <w:rPr>
          <w:rFonts w:ascii="宋体" w:hAnsi="宋体" w:eastAsia="宋体" w:cs="宋体"/>
          <w:sz w:val="24"/>
          <w:szCs w:val="24"/>
        </w:rPr>
      </w:pPr>
      <w:r>
        <w:rPr>
          <w:rFonts w:ascii="宋体" w:hAnsi="宋体" w:eastAsia="宋体" w:cs="宋体"/>
          <w:spacing w:val="2"/>
          <w:sz w:val="24"/>
          <w:szCs w:val="24"/>
        </w:rPr>
        <w:t>企业应设置环境保护奖惩制度，对爱护环保设施，节能降耗、改善环境者给予</w:t>
      </w:r>
      <w:r>
        <w:rPr>
          <w:rFonts w:ascii="宋体" w:hAnsi="宋体" w:eastAsia="宋体" w:cs="宋体"/>
          <w:spacing w:val="6"/>
          <w:sz w:val="24"/>
          <w:szCs w:val="24"/>
        </w:rPr>
        <w:t xml:space="preserve"> </w:t>
      </w:r>
      <w:r>
        <w:rPr>
          <w:rFonts w:ascii="宋体" w:hAnsi="宋体" w:eastAsia="宋体" w:cs="宋体"/>
          <w:spacing w:val="2"/>
          <w:sz w:val="24"/>
          <w:szCs w:val="24"/>
        </w:rPr>
        <w:t>奖励；对不按环保要求管理，造成环保设施损坏、环境污染和资源、能源浪费者予</w:t>
      </w:r>
      <w:r>
        <w:rPr>
          <w:rFonts w:ascii="宋体" w:hAnsi="宋体" w:eastAsia="宋体" w:cs="宋体"/>
          <w:spacing w:val="4"/>
          <w:sz w:val="24"/>
          <w:szCs w:val="24"/>
        </w:rPr>
        <w:t xml:space="preserve"> </w:t>
      </w:r>
      <w:r>
        <w:rPr>
          <w:rFonts w:ascii="宋体" w:hAnsi="宋体" w:eastAsia="宋体" w:cs="宋体"/>
          <w:spacing w:val="-3"/>
          <w:sz w:val="24"/>
          <w:szCs w:val="24"/>
        </w:rPr>
        <w:t>以重罚。</w:t>
      </w:r>
    </w:p>
    <w:p w14:paraId="610BD959">
      <w:pPr>
        <w:spacing w:before="294" w:line="226" w:lineRule="auto"/>
        <w:ind w:left="2"/>
        <w:outlineLvl w:val="1"/>
        <w:rPr>
          <w:rFonts w:ascii="宋体" w:hAnsi="宋体" w:eastAsia="宋体" w:cs="宋体"/>
          <w:sz w:val="31"/>
          <w:szCs w:val="31"/>
        </w:rPr>
      </w:pPr>
      <w:bookmarkStart w:id="49" w:name="bookmark44"/>
      <w:bookmarkEnd w:id="49"/>
      <w:r>
        <w:rPr>
          <w:rFonts w:ascii="Times New Roman" w:hAnsi="Times New Roman" w:eastAsia="Times New Roman" w:cs="Times New Roman"/>
          <w:b/>
          <w:bCs/>
          <w:spacing w:val="4"/>
          <w:sz w:val="31"/>
          <w:szCs w:val="31"/>
        </w:rPr>
        <w:t>8.2</w:t>
      </w:r>
      <w:r>
        <w:rPr>
          <w:rFonts w:ascii="宋体" w:hAnsi="宋体" w:eastAsia="宋体" w:cs="宋体"/>
          <w:b/>
          <w:bCs/>
          <w:spacing w:val="4"/>
          <w:sz w:val="31"/>
          <w:szCs w:val="31"/>
        </w:rPr>
        <w:t>环境监测</w:t>
      </w:r>
    </w:p>
    <w:p w14:paraId="4126CE39">
      <w:pPr>
        <w:pStyle w:val="2"/>
        <w:spacing w:line="447" w:lineRule="auto"/>
      </w:pPr>
    </w:p>
    <w:p w14:paraId="0E83BE8C">
      <w:pPr>
        <w:spacing w:before="79"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8.2.1</w:t>
      </w:r>
      <w:r>
        <w:rPr>
          <w:rFonts w:ascii="宋体" w:hAnsi="宋体" w:eastAsia="宋体" w:cs="宋体"/>
          <w:b/>
          <w:bCs/>
          <w:spacing w:val="-2"/>
          <w:sz w:val="24"/>
          <w:szCs w:val="24"/>
        </w:rPr>
        <w:t>监测机构的建立</w:t>
      </w:r>
    </w:p>
    <w:p w14:paraId="5786555F">
      <w:pPr>
        <w:pStyle w:val="2"/>
        <w:spacing w:line="280" w:lineRule="auto"/>
      </w:pPr>
    </w:p>
    <w:p w14:paraId="5544F3B1">
      <w:pPr>
        <w:spacing w:before="78" w:line="377" w:lineRule="auto"/>
        <w:ind w:left="6" w:firstLine="477"/>
        <w:rPr>
          <w:rFonts w:ascii="宋体" w:hAnsi="宋体" w:eastAsia="宋体" w:cs="宋体"/>
          <w:sz w:val="24"/>
          <w:szCs w:val="24"/>
        </w:rPr>
      </w:pPr>
      <w:r>
        <w:rPr>
          <w:rFonts w:ascii="宋体" w:hAnsi="宋体" w:eastAsia="宋体" w:cs="宋体"/>
          <w:spacing w:val="2"/>
          <w:sz w:val="24"/>
          <w:szCs w:val="24"/>
        </w:rPr>
        <w:t>建立企业环保监测机构，配备专业环保技术人员，配置必备的仪器设备，具有</w:t>
      </w:r>
      <w:r>
        <w:rPr>
          <w:rFonts w:ascii="宋体" w:hAnsi="宋体" w:eastAsia="宋体" w:cs="宋体"/>
          <w:spacing w:val="7"/>
          <w:sz w:val="24"/>
          <w:szCs w:val="24"/>
        </w:rPr>
        <w:t xml:space="preserve"> </w:t>
      </w:r>
      <w:r>
        <w:rPr>
          <w:rFonts w:ascii="宋体" w:hAnsi="宋体" w:eastAsia="宋体" w:cs="宋体"/>
          <w:spacing w:val="-2"/>
          <w:sz w:val="24"/>
          <w:szCs w:val="24"/>
        </w:rPr>
        <w:t>定期自行监测的能力。</w:t>
      </w:r>
    </w:p>
    <w:p w14:paraId="0F9DB9C5">
      <w:pPr>
        <w:spacing w:before="295"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8.2.2</w:t>
      </w:r>
      <w:r>
        <w:rPr>
          <w:rFonts w:ascii="宋体" w:hAnsi="宋体" w:eastAsia="宋体" w:cs="宋体"/>
          <w:b/>
          <w:bCs/>
          <w:spacing w:val="-2"/>
          <w:sz w:val="24"/>
          <w:szCs w:val="24"/>
        </w:rPr>
        <w:t>环境监测制度</w:t>
      </w:r>
    </w:p>
    <w:p w14:paraId="6312EA6C">
      <w:pPr>
        <w:pStyle w:val="2"/>
        <w:spacing w:line="281" w:lineRule="auto"/>
      </w:pPr>
    </w:p>
    <w:p w14:paraId="107680FF">
      <w:pPr>
        <w:spacing w:before="78" w:line="219" w:lineRule="auto"/>
        <w:ind w:left="480"/>
        <w:rPr>
          <w:rFonts w:ascii="宋体" w:hAnsi="宋体" w:eastAsia="宋体" w:cs="宋体"/>
          <w:sz w:val="24"/>
          <w:szCs w:val="24"/>
        </w:rPr>
      </w:pPr>
      <w:r>
        <w:rPr>
          <w:rFonts w:ascii="宋体" w:hAnsi="宋体" w:eastAsia="宋体" w:cs="宋体"/>
          <w:sz w:val="24"/>
          <w:szCs w:val="24"/>
        </w:rPr>
        <w:t>环境监测的目的在于了解和掌握污染状况，</w:t>
      </w:r>
      <w:r>
        <w:rPr>
          <w:rFonts w:ascii="宋体" w:hAnsi="宋体" w:eastAsia="宋体" w:cs="宋体"/>
          <w:spacing w:val="-1"/>
          <w:sz w:val="24"/>
          <w:szCs w:val="24"/>
        </w:rPr>
        <w:t>一般包括以下几个方面：</w:t>
      </w:r>
    </w:p>
    <w:p w14:paraId="7DDDBA7A">
      <w:pPr>
        <w:spacing w:before="167" w:line="312" w:lineRule="auto"/>
        <w:ind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）定期监测污染物排放浓度和排放量是否符合国家、省、市和行业规定的排</w:t>
      </w:r>
      <w:r>
        <w:rPr>
          <w:rFonts w:ascii="宋体" w:hAnsi="宋体" w:eastAsia="宋体" w:cs="宋体"/>
          <w:spacing w:val="16"/>
          <w:sz w:val="24"/>
          <w:szCs w:val="24"/>
        </w:rPr>
        <w:t xml:space="preserve"> </w:t>
      </w:r>
      <w:r>
        <w:rPr>
          <w:rFonts w:ascii="宋体" w:hAnsi="宋体" w:eastAsia="宋体" w:cs="宋体"/>
          <w:spacing w:val="-1"/>
          <w:sz w:val="24"/>
          <w:szCs w:val="24"/>
        </w:rPr>
        <w:t>放标准，确保污染物排放总量控制在允许的环境容量内；</w:t>
      </w:r>
    </w:p>
    <w:p w14:paraId="676FD08D">
      <w:pPr>
        <w:spacing w:before="167" w:line="312" w:lineRule="auto"/>
        <w:ind w:left="2"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）分析所排污染物的变化规律和环境影响程度，为控制污染提供依据，加强</w:t>
      </w:r>
      <w:r>
        <w:rPr>
          <w:rFonts w:ascii="宋体" w:hAnsi="宋体" w:eastAsia="宋体" w:cs="宋体"/>
          <w:spacing w:val="16"/>
          <w:sz w:val="24"/>
          <w:szCs w:val="24"/>
        </w:rPr>
        <w:t xml:space="preserve"> </w:t>
      </w:r>
      <w:r>
        <w:rPr>
          <w:rFonts w:ascii="宋体" w:hAnsi="宋体" w:eastAsia="宋体" w:cs="宋体"/>
          <w:spacing w:val="-1"/>
          <w:sz w:val="24"/>
          <w:szCs w:val="24"/>
        </w:rPr>
        <w:t>污染物处理装置的日常维护使用，提高科学管理水平；</w:t>
      </w:r>
    </w:p>
    <w:p w14:paraId="3050FB21">
      <w:pPr>
        <w:spacing w:before="167" w:line="358"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）协助环境保护行政主管部门对风险事故的监测、分析和报告。</w:t>
      </w:r>
    </w:p>
    <w:p w14:paraId="1CB00DA5">
      <w:pPr>
        <w:spacing w:line="358" w:lineRule="exact"/>
        <w:rPr>
          <w:rFonts w:ascii="宋体" w:hAnsi="宋体" w:eastAsia="宋体" w:cs="宋体"/>
          <w:sz w:val="24"/>
          <w:szCs w:val="24"/>
        </w:rPr>
        <w:sectPr>
          <w:footerReference r:id="rId169" w:type="default"/>
          <w:pgSz w:w="11906" w:h="16839"/>
          <w:pgMar w:top="400" w:right="1588" w:bottom="1485" w:left="1597" w:header="0" w:footer="1249" w:gutter="0"/>
          <w:cols w:space="720" w:num="1"/>
        </w:sectPr>
      </w:pPr>
    </w:p>
    <w:p w14:paraId="0C00B8B0">
      <w:pPr>
        <w:pStyle w:val="2"/>
        <w:spacing w:line="274" w:lineRule="auto"/>
      </w:pPr>
    </w:p>
    <w:p w14:paraId="5F511A9D">
      <w:pPr>
        <w:pStyle w:val="2"/>
        <w:spacing w:line="274" w:lineRule="auto"/>
      </w:pPr>
    </w:p>
    <w:p w14:paraId="3069507D">
      <w:pPr>
        <w:pStyle w:val="2"/>
        <w:spacing w:line="274" w:lineRule="auto"/>
      </w:pPr>
    </w:p>
    <w:p w14:paraId="3D191821">
      <w:pPr>
        <w:pStyle w:val="2"/>
        <w:spacing w:line="274" w:lineRule="auto"/>
      </w:pPr>
    </w:p>
    <w:p w14:paraId="727CFFC7">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8.2.3</w:t>
      </w:r>
      <w:r>
        <w:rPr>
          <w:rFonts w:ascii="宋体" w:hAnsi="宋体" w:eastAsia="宋体" w:cs="宋体"/>
          <w:b/>
          <w:bCs/>
          <w:spacing w:val="-2"/>
          <w:sz w:val="24"/>
          <w:szCs w:val="24"/>
        </w:rPr>
        <w:t>环境监测机构</w:t>
      </w:r>
    </w:p>
    <w:p w14:paraId="3E716D02">
      <w:pPr>
        <w:pStyle w:val="2"/>
        <w:spacing w:line="279" w:lineRule="auto"/>
      </w:pPr>
    </w:p>
    <w:p w14:paraId="3B3F9A84">
      <w:pPr>
        <w:spacing w:before="78" w:line="379" w:lineRule="auto"/>
        <w:ind w:right="2" w:firstLine="482"/>
        <w:rPr>
          <w:rFonts w:ascii="宋体" w:hAnsi="宋体" w:eastAsia="宋体" w:cs="宋体"/>
          <w:sz w:val="24"/>
          <w:szCs w:val="24"/>
        </w:rPr>
      </w:pPr>
      <w:r>
        <w:rPr>
          <w:rFonts w:ascii="宋体" w:hAnsi="宋体" w:eastAsia="宋体" w:cs="宋体"/>
          <w:spacing w:val="2"/>
          <w:sz w:val="24"/>
          <w:szCs w:val="24"/>
        </w:rPr>
        <w:t>为了及时了解和掌握建设项目营运期主要污染源污染物的排放状况，建设单位</w:t>
      </w:r>
      <w:r>
        <w:rPr>
          <w:rFonts w:ascii="宋体" w:hAnsi="宋体" w:eastAsia="宋体" w:cs="宋体"/>
          <w:spacing w:val="7"/>
          <w:sz w:val="24"/>
          <w:szCs w:val="24"/>
        </w:rPr>
        <w:t xml:space="preserve"> </w:t>
      </w:r>
      <w:r>
        <w:rPr>
          <w:rFonts w:ascii="宋体" w:hAnsi="宋体" w:eastAsia="宋体" w:cs="宋体"/>
          <w:sz w:val="24"/>
          <w:szCs w:val="24"/>
        </w:rPr>
        <w:t>应定期委托有资质的环境监测部门对主要污染源的污</w:t>
      </w:r>
      <w:r>
        <w:rPr>
          <w:rFonts w:ascii="宋体" w:hAnsi="宋体" w:eastAsia="宋体" w:cs="宋体"/>
          <w:spacing w:val="-1"/>
          <w:sz w:val="24"/>
          <w:szCs w:val="24"/>
        </w:rPr>
        <w:t>染物排放情况进行监测。</w:t>
      </w:r>
    </w:p>
    <w:p w14:paraId="59DBC087">
      <w:pPr>
        <w:spacing w:before="296" w:line="227" w:lineRule="auto"/>
        <w:ind w:left="2"/>
        <w:outlineLvl w:val="1"/>
        <w:rPr>
          <w:rFonts w:ascii="宋体" w:hAnsi="宋体" w:eastAsia="宋体" w:cs="宋体"/>
          <w:sz w:val="31"/>
          <w:szCs w:val="31"/>
        </w:rPr>
      </w:pPr>
      <w:bookmarkStart w:id="50" w:name="bookmark45"/>
      <w:bookmarkEnd w:id="50"/>
      <w:r>
        <w:rPr>
          <w:rFonts w:ascii="Times New Roman" w:hAnsi="Times New Roman" w:eastAsia="Times New Roman" w:cs="Times New Roman"/>
          <w:b/>
          <w:bCs/>
          <w:spacing w:val="4"/>
          <w:sz w:val="31"/>
          <w:szCs w:val="31"/>
        </w:rPr>
        <w:t>8.3</w:t>
      </w:r>
      <w:r>
        <w:rPr>
          <w:rFonts w:ascii="宋体" w:hAnsi="宋体" w:eastAsia="宋体" w:cs="宋体"/>
          <w:b/>
          <w:bCs/>
          <w:spacing w:val="4"/>
          <w:sz w:val="31"/>
          <w:szCs w:val="31"/>
        </w:rPr>
        <w:t>监测计划</w:t>
      </w:r>
    </w:p>
    <w:p w14:paraId="5E345E7B">
      <w:pPr>
        <w:pStyle w:val="2"/>
        <w:spacing w:line="408" w:lineRule="auto"/>
      </w:pPr>
    </w:p>
    <w:p w14:paraId="1C98B4FD">
      <w:pPr>
        <w:spacing w:before="78" w:line="219" w:lineRule="auto"/>
        <w:ind w:left="480"/>
        <w:rPr>
          <w:rFonts w:ascii="宋体" w:hAnsi="宋体" w:eastAsia="宋体" w:cs="宋体"/>
          <w:sz w:val="24"/>
          <w:szCs w:val="24"/>
        </w:rPr>
      </w:pPr>
      <w:r>
        <w:rPr>
          <w:rFonts w:ascii="宋体" w:hAnsi="宋体" w:eastAsia="宋体" w:cs="宋体"/>
          <w:sz w:val="24"/>
          <w:szCs w:val="24"/>
        </w:rPr>
        <w:t>环境监测的目的在于了解和掌握污染状况，</w:t>
      </w:r>
      <w:r>
        <w:rPr>
          <w:rFonts w:ascii="宋体" w:hAnsi="宋体" w:eastAsia="宋体" w:cs="宋体"/>
          <w:spacing w:val="-1"/>
          <w:sz w:val="24"/>
          <w:szCs w:val="24"/>
        </w:rPr>
        <w:t>一般包括以下几个方面：</w:t>
      </w:r>
    </w:p>
    <w:p w14:paraId="7F60DF85">
      <w:pPr>
        <w:spacing w:before="166" w:line="312" w:lineRule="auto"/>
        <w:ind w:left="1" w:right="2" w:firstLine="497"/>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、定期监测污染物排放浓度和排放量是否符合国家、省、市和行业规定的排放</w:t>
      </w:r>
      <w:r>
        <w:rPr>
          <w:rFonts w:ascii="宋体" w:hAnsi="宋体" w:eastAsia="宋体" w:cs="宋体"/>
          <w:sz w:val="24"/>
          <w:szCs w:val="24"/>
        </w:rPr>
        <w:t xml:space="preserve"> </w:t>
      </w:r>
      <w:r>
        <w:rPr>
          <w:rFonts w:ascii="宋体" w:hAnsi="宋体" w:eastAsia="宋体" w:cs="宋体"/>
          <w:spacing w:val="-1"/>
          <w:sz w:val="24"/>
          <w:szCs w:val="24"/>
        </w:rPr>
        <w:t>标准，确保污染物排放总量控制在允许的环境容量内；</w:t>
      </w:r>
    </w:p>
    <w:p w14:paraId="74AA8575">
      <w:pPr>
        <w:spacing w:before="167" w:line="312" w:lineRule="auto"/>
        <w:ind w:left="4" w:right="2" w:firstLine="471"/>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、分析所排污染物的变化规律和环境影响程度，为控制污染提供依据，加强污</w:t>
      </w:r>
      <w:r>
        <w:rPr>
          <w:rFonts w:ascii="宋体" w:hAnsi="宋体" w:eastAsia="宋体" w:cs="宋体"/>
          <w:sz w:val="24"/>
          <w:szCs w:val="24"/>
        </w:rPr>
        <w:t xml:space="preserve"> </w:t>
      </w:r>
      <w:r>
        <w:rPr>
          <w:rFonts w:ascii="宋体" w:hAnsi="宋体" w:eastAsia="宋体" w:cs="宋体"/>
          <w:spacing w:val="-1"/>
          <w:sz w:val="24"/>
          <w:szCs w:val="24"/>
        </w:rPr>
        <w:t>染物处理装置的日常维护使用，提高科学管理水平；</w:t>
      </w:r>
    </w:p>
    <w:p w14:paraId="517476E4">
      <w:pPr>
        <w:spacing w:before="165" w:line="334" w:lineRule="auto"/>
        <w:ind w:right="2" w:firstLine="480"/>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、协助环境保护行政主管部门对风险事故的监测、分析和报告。为了及时了解</w:t>
      </w:r>
      <w:r>
        <w:rPr>
          <w:rFonts w:ascii="宋体" w:hAnsi="宋体" w:eastAsia="宋体" w:cs="宋体"/>
          <w:sz w:val="24"/>
          <w:szCs w:val="24"/>
        </w:rPr>
        <w:t xml:space="preserve"> </w:t>
      </w:r>
      <w:r>
        <w:rPr>
          <w:rFonts w:ascii="宋体" w:hAnsi="宋体" w:eastAsia="宋体" w:cs="宋体"/>
          <w:spacing w:val="2"/>
          <w:sz w:val="24"/>
          <w:szCs w:val="24"/>
        </w:rPr>
        <w:t>和掌握建设项目营运期主要污染源污染物的排放状况，建设单位定期委托有资质的</w:t>
      </w:r>
      <w:r>
        <w:rPr>
          <w:rFonts w:ascii="宋体" w:hAnsi="宋体" w:eastAsia="宋体" w:cs="宋体"/>
          <w:spacing w:val="6"/>
          <w:sz w:val="24"/>
          <w:szCs w:val="24"/>
        </w:rPr>
        <w:t xml:space="preserve"> </w:t>
      </w:r>
      <w:r>
        <w:rPr>
          <w:rFonts w:ascii="宋体" w:hAnsi="宋体" w:eastAsia="宋体" w:cs="宋体"/>
          <w:spacing w:val="-1"/>
          <w:sz w:val="24"/>
          <w:szCs w:val="24"/>
        </w:rPr>
        <w:t>环境监测单位对主要污染源的污染物排放情况进行监测。</w:t>
      </w:r>
    </w:p>
    <w:p w14:paraId="3DA06CD6">
      <w:pPr>
        <w:pStyle w:val="2"/>
        <w:spacing w:line="419" w:lineRule="auto"/>
      </w:pPr>
    </w:p>
    <w:p w14:paraId="51BF1680">
      <w:pPr>
        <w:spacing w:before="79"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8.3.1</w:t>
      </w:r>
      <w:r>
        <w:rPr>
          <w:rFonts w:ascii="宋体" w:hAnsi="宋体" w:eastAsia="宋体" w:cs="宋体"/>
          <w:b/>
          <w:bCs/>
          <w:spacing w:val="-2"/>
          <w:sz w:val="24"/>
          <w:szCs w:val="24"/>
        </w:rPr>
        <w:t>施工期环境管理计划</w:t>
      </w:r>
    </w:p>
    <w:p w14:paraId="3DF45A7D">
      <w:pPr>
        <w:pStyle w:val="2"/>
        <w:spacing w:line="243" w:lineRule="auto"/>
      </w:pPr>
    </w:p>
    <w:p w14:paraId="77392665">
      <w:pPr>
        <w:spacing w:before="79" w:line="313" w:lineRule="auto"/>
        <w:ind w:left="3" w:right="2"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）环境管理机构对施工期环境保护工作全面负责，履行施工期各阶段环境管</w:t>
      </w:r>
      <w:r>
        <w:rPr>
          <w:rFonts w:ascii="宋体" w:hAnsi="宋体" w:eastAsia="宋体" w:cs="宋体"/>
          <w:spacing w:val="16"/>
          <w:sz w:val="24"/>
          <w:szCs w:val="24"/>
        </w:rPr>
        <w:t xml:space="preserve"> </w:t>
      </w:r>
      <w:r>
        <w:rPr>
          <w:rFonts w:ascii="宋体" w:hAnsi="宋体" w:eastAsia="宋体" w:cs="宋体"/>
          <w:spacing w:val="-4"/>
          <w:sz w:val="24"/>
          <w:szCs w:val="24"/>
        </w:rPr>
        <w:t>理职责。</w:t>
      </w:r>
    </w:p>
    <w:p w14:paraId="16D217FF">
      <w:pPr>
        <w:spacing w:before="164" w:line="312" w:lineRule="auto"/>
        <w:ind w:right="1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）对施工队伍实行职责管理，要求施工队伍按要求文明施工，并做好监督、</w:t>
      </w:r>
      <w:r>
        <w:rPr>
          <w:rFonts w:ascii="宋体" w:hAnsi="宋体" w:eastAsia="宋体" w:cs="宋体"/>
          <w:spacing w:val="8"/>
          <w:sz w:val="24"/>
          <w:szCs w:val="24"/>
        </w:rPr>
        <w:t xml:space="preserve"> </w:t>
      </w:r>
      <w:r>
        <w:rPr>
          <w:rFonts w:ascii="宋体" w:hAnsi="宋体" w:eastAsia="宋体" w:cs="宋体"/>
          <w:spacing w:val="-2"/>
          <w:sz w:val="24"/>
          <w:szCs w:val="24"/>
        </w:rPr>
        <w:t>检查和教育工作。</w:t>
      </w:r>
    </w:p>
    <w:p w14:paraId="16DDB656">
      <w:pPr>
        <w:spacing w:before="167" w:line="312" w:lineRule="auto"/>
        <w:ind w:left="1" w:right="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）按照环保主管部门的要求和本报告书中有关环境保护对策措施对施工程序</w:t>
      </w:r>
      <w:r>
        <w:rPr>
          <w:rFonts w:ascii="宋体" w:hAnsi="宋体" w:eastAsia="宋体" w:cs="宋体"/>
          <w:spacing w:val="16"/>
          <w:sz w:val="24"/>
          <w:szCs w:val="24"/>
        </w:rPr>
        <w:t xml:space="preserve"> </w:t>
      </w:r>
      <w:r>
        <w:rPr>
          <w:rFonts w:ascii="宋体" w:hAnsi="宋体" w:eastAsia="宋体" w:cs="宋体"/>
          <w:spacing w:val="-1"/>
          <w:sz w:val="24"/>
          <w:szCs w:val="24"/>
        </w:rPr>
        <w:t>和场地布置实施统一安排。</w:t>
      </w:r>
    </w:p>
    <w:p w14:paraId="1D18F816">
      <w:pPr>
        <w:spacing w:before="166" w:line="312" w:lineRule="auto"/>
        <w:ind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）土建工程需要土石方的挖掘与运输、</w:t>
      </w:r>
      <w:r>
        <w:rPr>
          <w:rFonts w:ascii="宋体" w:hAnsi="宋体" w:eastAsia="宋体" w:cs="宋体"/>
          <w:spacing w:val="-2"/>
          <w:sz w:val="24"/>
          <w:szCs w:val="24"/>
        </w:rPr>
        <w:t>管道挖沟、施工建材机械等占地，对</w:t>
      </w:r>
      <w:r>
        <w:rPr>
          <w:rFonts w:ascii="宋体" w:hAnsi="宋体" w:eastAsia="宋体" w:cs="宋体"/>
          <w:sz w:val="24"/>
          <w:szCs w:val="24"/>
        </w:rPr>
        <w:t xml:space="preserve"> </w:t>
      </w:r>
      <w:r>
        <w:rPr>
          <w:rFonts w:ascii="宋体" w:hAnsi="宋体" w:eastAsia="宋体" w:cs="宋体"/>
          <w:spacing w:val="-1"/>
          <w:sz w:val="24"/>
          <w:szCs w:val="24"/>
        </w:rPr>
        <w:t>产生的扬尘应及时洒水，及时清除弃土，避免二次扬尘。</w:t>
      </w:r>
    </w:p>
    <w:p w14:paraId="6EAF225E">
      <w:pPr>
        <w:spacing w:before="203" w:line="300" w:lineRule="auto"/>
        <w:ind w:left="20" w:right="2"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）合理布置施工场内的机械和设备，把噪声较大的机械设备布置到远离居民</w:t>
      </w:r>
      <w:r>
        <w:rPr>
          <w:rFonts w:ascii="宋体" w:hAnsi="宋体" w:eastAsia="宋体" w:cs="宋体"/>
          <w:spacing w:val="16"/>
          <w:sz w:val="24"/>
          <w:szCs w:val="24"/>
        </w:rPr>
        <w:t xml:space="preserve"> </w:t>
      </w:r>
      <w:r>
        <w:rPr>
          <w:rFonts w:ascii="宋体" w:hAnsi="宋体" w:eastAsia="宋体" w:cs="宋体"/>
          <w:spacing w:val="-8"/>
          <w:sz w:val="24"/>
          <w:szCs w:val="24"/>
        </w:rPr>
        <w:t>的地点。</w:t>
      </w:r>
    </w:p>
    <w:p w14:paraId="342DB983">
      <w:pPr>
        <w:spacing w:before="162" w:line="360" w:lineRule="exact"/>
        <w:ind w:left="484"/>
        <w:rPr>
          <w:rFonts w:ascii="宋体" w:hAnsi="宋体" w:eastAsia="宋体" w:cs="宋体"/>
          <w:sz w:val="24"/>
          <w:szCs w:val="24"/>
        </w:rPr>
      </w:pPr>
      <w:r>
        <w:rPr>
          <w:rFonts w:ascii="宋体" w:hAnsi="宋体" w:eastAsia="宋体" w:cs="宋体"/>
          <w:spacing w:val="-1"/>
          <w:position w:val="2"/>
          <w:sz w:val="24"/>
          <w:szCs w:val="24"/>
        </w:rPr>
        <w:t>项目施工期环境保护管理及监理的主要内容见表</w:t>
      </w:r>
      <w:r>
        <w:rPr>
          <w:rFonts w:ascii="宋体" w:hAnsi="宋体" w:eastAsia="宋体" w:cs="宋体"/>
          <w:spacing w:val="-45"/>
          <w:position w:val="2"/>
          <w:sz w:val="24"/>
          <w:szCs w:val="24"/>
        </w:rPr>
        <w:t xml:space="preserve"> </w:t>
      </w:r>
      <w:r>
        <w:rPr>
          <w:rFonts w:ascii="Times New Roman" w:hAnsi="Times New Roman" w:eastAsia="Times New Roman" w:cs="Times New Roman"/>
          <w:spacing w:val="-1"/>
          <w:position w:val="2"/>
          <w:sz w:val="24"/>
          <w:szCs w:val="24"/>
        </w:rPr>
        <w:t>8.3</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w:t>
      </w:r>
    </w:p>
    <w:p w14:paraId="308E1542">
      <w:pPr>
        <w:spacing w:line="360" w:lineRule="exact"/>
        <w:rPr>
          <w:rFonts w:ascii="宋体" w:hAnsi="宋体" w:eastAsia="宋体" w:cs="宋体"/>
          <w:sz w:val="24"/>
          <w:szCs w:val="24"/>
        </w:rPr>
        <w:sectPr>
          <w:footerReference r:id="rId170" w:type="default"/>
          <w:pgSz w:w="11906" w:h="16839"/>
          <w:pgMar w:top="400" w:right="1585" w:bottom="1485" w:left="1597" w:header="0" w:footer="1249" w:gutter="0"/>
          <w:cols w:space="720" w:num="1"/>
        </w:sectPr>
      </w:pPr>
    </w:p>
    <w:p w14:paraId="5F79CBA7">
      <w:pPr>
        <w:pStyle w:val="2"/>
        <w:spacing w:line="271" w:lineRule="auto"/>
      </w:pPr>
    </w:p>
    <w:p w14:paraId="536584C3">
      <w:pPr>
        <w:pStyle w:val="2"/>
        <w:spacing w:line="271" w:lineRule="auto"/>
      </w:pPr>
    </w:p>
    <w:p w14:paraId="040D4938">
      <w:pPr>
        <w:pStyle w:val="2"/>
        <w:spacing w:line="271" w:lineRule="auto"/>
      </w:pPr>
    </w:p>
    <w:p w14:paraId="09A5DD59">
      <w:pPr>
        <w:pStyle w:val="2"/>
        <w:spacing w:line="272" w:lineRule="auto"/>
      </w:pPr>
    </w:p>
    <w:p w14:paraId="54A014B7">
      <w:pPr>
        <w:spacing w:before="65" w:line="228" w:lineRule="auto"/>
        <w:ind w:left="282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8.3-1  </w:t>
      </w:r>
      <w:r>
        <w:rPr>
          <w:rFonts w:ascii="宋体" w:hAnsi="宋体" w:eastAsia="宋体" w:cs="宋体"/>
          <w:b/>
          <w:bCs/>
          <w:spacing w:val="6"/>
          <w:sz w:val="20"/>
          <w:szCs w:val="20"/>
        </w:rPr>
        <w:t>施工期环境管理及监理主要内容</w:t>
      </w:r>
    </w:p>
    <w:p w14:paraId="4B88B1BF">
      <w:pPr>
        <w:spacing w:line="102" w:lineRule="exact"/>
      </w:pPr>
    </w:p>
    <w:tbl>
      <w:tblPr>
        <w:tblStyle w:val="5"/>
        <w:tblW w:w="90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4346"/>
        <w:gridCol w:w="1619"/>
        <w:gridCol w:w="1936"/>
      </w:tblGrid>
      <w:tr w14:paraId="2AA37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104" w:type="dxa"/>
            <w:vAlign w:val="top"/>
          </w:tcPr>
          <w:p w14:paraId="0E16C490">
            <w:pPr>
              <w:pStyle w:val="6"/>
              <w:spacing w:before="40" w:line="224" w:lineRule="auto"/>
              <w:ind w:left="151"/>
            </w:pPr>
            <w:r>
              <w:rPr>
                <w:b/>
                <w:bCs/>
                <w:spacing w:val="3"/>
              </w:rPr>
              <w:t>防治对象</w:t>
            </w:r>
          </w:p>
        </w:tc>
        <w:tc>
          <w:tcPr>
            <w:tcW w:w="4346" w:type="dxa"/>
            <w:vAlign w:val="top"/>
          </w:tcPr>
          <w:p w14:paraId="51DF2A0F">
            <w:pPr>
              <w:pStyle w:val="6"/>
              <w:spacing w:before="40" w:line="224" w:lineRule="auto"/>
              <w:ind w:left="2011"/>
            </w:pPr>
            <w:r>
              <w:rPr>
                <w:b/>
                <w:bCs/>
                <w:spacing w:val="3"/>
              </w:rPr>
              <w:t>防治措施</w:t>
            </w:r>
          </w:p>
        </w:tc>
        <w:tc>
          <w:tcPr>
            <w:tcW w:w="1619" w:type="dxa"/>
            <w:vAlign w:val="top"/>
          </w:tcPr>
          <w:p w14:paraId="7ADFBC06">
            <w:pPr>
              <w:pStyle w:val="6"/>
              <w:spacing w:before="40" w:line="224" w:lineRule="auto"/>
              <w:ind w:left="637"/>
            </w:pPr>
            <w:r>
              <w:rPr>
                <w:b/>
                <w:bCs/>
                <w:spacing w:val="6"/>
              </w:rPr>
              <w:t>环境管理</w:t>
            </w:r>
          </w:p>
        </w:tc>
        <w:tc>
          <w:tcPr>
            <w:tcW w:w="1936" w:type="dxa"/>
            <w:vAlign w:val="top"/>
          </w:tcPr>
          <w:p w14:paraId="3F49F398">
            <w:pPr>
              <w:pStyle w:val="6"/>
              <w:spacing w:before="40" w:line="224" w:lineRule="auto"/>
              <w:ind w:left="794"/>
            </w:pPr>
            <w:r>
              <w:rPr>
                <w:b/>
                <w:bCs/>
                <w:spacing w:val="6"/>
              </w:rPr>
              <w:t>环境监理</w:t>
            </w:r>
          </w:p>
        </w:tc>
      </w:tr>
      <w:tr w14:paraId="78FB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4" w:type="dxa"/>
            <w:vMerge w:val="restart"/>
            <w:tcBorders>
              <w:bottom w:val="nil"/>
            </w:tcBorders>
            <w:vAlign w:val="top"/>
          </w:tcPr>
          <w:p w14:paraId="2FA591E5">
            <w:pPr>
              <w:spacing w:line="272" w:lineRule="auto"/>
              <w:rPr>
                <w:rFonts w:ascii="Arial"/>
                <w:sz w:val="21"/>
              </w:rPr>
            </w:pPr>
          </w:p>
          <w:p w14:paraId="35E59742">
            <w:pPr>
              <w:spacing w:line="273" w:lineRule="auto"/>
              <w:rPr>
                <w:rFonts w:ascii="Arial"/>
                <w:sz w:val="21"/>
              </w:rPr>
            </w:pPr>
          </w:p>
          <w:p w14:paraId="00221329">
            <w:pPr>
              <w:spacing w:line="273" w:lineRule="auto"/>
              <w:rPr>
                <w:rFonts w:ascii="Arial"/>
                <w:sz w:val="21"/>
              </w:rPr>
            </w:pPr>
          </w:p>
          <w:p w14:paraId="0DD16432">
            <w:pPr>
              <w:spacing w:line="273" w:lineRule="auto"/>
              <w:rPr>
                <w:rFonts w:ascii="Arial"/>
                <w:sz w:val="21"/>
              </w:rPr>
            </w:pPr>
          </w:p>
          <w:p w14:paraId="775AA299">
            <w:pPr>
              <w:pStyle w:val="6"/>
              <w:spacing w:before="65" w:line="231" w:lineRule="auto"/>
              <w:ind w:left="137"/>
            </w:pPr>
            <w:r>
              <w:rPr>
                <w:spacing w:val="7"/>
              </w:rPr>
              <w:t>施工扬尘</w:t>
            </w:r>
          </w:p>
        </w:tc>
        <w:tc>
          <w:tcPr>
            <w:tcW w:w="4346" w:type="dxa"/>
            <w:vAlign w:val="top"/>
          </w:tcPr>
          <w:p w14:paraId="7D250F15">
            <w:pPr>
              <w:pStyle w:val="6"/>
              <w:spacing w:before="32" w:line="228" w:lineRule="auto"/>
              <w:ind w:left="183"/>
            </w:pPr>
            <w:r>
              <w:rPr>
                <w:spacing w:val="9"/>
              </w:rPr>
              <w:t>运土及运粉状建筑材料的运输车辆应采用加</w:t>
            </w:r>
          </w:p>
          <w:p w14:paraId="7596CE22">
            <w:pPr>
              <w:pStyle w:val="6"/>
              <w:spacing w:before="24" w:line="218" w:lineRule="auto"/>
              <w:ind w:left="604"/>
            </w:pPr>
            <w:r>
              <w:rPr>
                <w:spacing w:val="8"/>
              </w:rPr>
              <w:t>盖专用车辆或者配置防洒落装置。</w:t>
            </w:r>
          </w:p>
        </w:tc>
        <w:tc>
          <w:tcPr>
            <w:tcW w:w="1619" w:type="dxa"/>
            <w:vMerge w:val="restart"/>
            <w:tcBorders>
              <w:bottom w:val="nil"/>
            </w:tcBorders>
            <w:vAlign w:val="top"/>
          </w:tcPr>
          <w:p w14:paraId="16D09611">
            <w:pPr>
              <w:spacing w:line="265" w:lineRule="auto"/>
              <w:rPr>
                <w:rFonts w:ascii="Arial"/>
                <w:sz w:val="21"/>
              </w:rPr>
            </w:pPr>
          </w:p>
          <w:p w14:paraId="4A082BC2">
            <w:pPr>
              <w:spacing w:line="265" w:lineRule="auto"/>
              <w:rPr>
                <w:rFonts w:ascii="Arial"/>
                <w:sz w:val="21"/>
              </w:rPr>
            </w:pPr>
          </w:p>
          <w:p w14:paraId="0C8B4D6A">
            <w:pPr>
              <w:spacing w:line="265" w:lineRule="auto"/>
              <w:rPr>
                <w:rFonts w:ascii="Arial"/>
                <w:sz w:val="21"/>
              </w:rPr>
            </w:pPr>
          </w:p>
          <w:p w14:paraId="1FC18674">
            <w:pPr>
              <w:spacing w:line="265" w:lineRule="auto"/>
              <w:rPr>
                <w:rFonts w:ascii="Arial"/>
                <w:sz w:val="21"/>
              </w:rPr>
            </w:pPr>
          </w:p>
          <w:p w14:paraId="1BC622C6">
            <w:pPr>
              <w:spacing w:line="265" w:lineRule="auto"/>
              <w:rPr>
                <w:rFonts w:ascii="Arial"/>
                <w:sz w:val="21"/>
              </w:rPr>
            </w:pPr>
          </w:p>
          <w:p w14:paraId="6F7A507C">
            <w:pPr>
              <w:spacing w:line="265" w:lineRule="auto"/>
              <w:rPr>
                <w:rFonts w:ascii="Arial"/>
                <w:sz w:val="21"/>
              </w:rPr>
            </w:pPr>
          </w:p>
          <w:p w14:paraId="7C9BBFFE">
            <w:pPr>
              <w:spacing w:line="265" w:lineRule="auto"/>
              <w:rPr>
                <w:rFonts w:ascii="Arial"/>
                <w:sz w:val="21"/>
              </w:rPr>
            </w:pPr>
          </w:p>
          <w:p w14:paraId="4861455B">
            <w:pPr>
              <w:spacing w:line="265" w:lineRule="auto"/>
              <w:rPr>
                <w:rFonts w:ascii="Arial"/>
                <w:sz w:val="21"/>
              </w:rPr>
            </w:pPr>
          </w:p>
          <w:p w14:paraId="174967DB">
            <w:pPr>
              <w:spacing w:line="265" w:lineRule="auto"/>
              <w:rPr>
                <w:rFonts w:ascii="Arial"/>
                <w:sz w:val="21"/>
              </w:rPr>
            </w:pPr>
          </w:p>
          <w:p w14:paraId="4D4DE692">
            <w:pPr>
              <w:pStyle w:val="6"/>
              <w:spacing w:before="65" w:line="250" w:lineRule="auto"/>
              <w:ind w:left="114" w:right="105" w:firstLine="71"/>
            </w:pPr>
            <w:r>
              <w:rPr>
                <w:spacing w:val="8"/>
              </w:rPr>
              <w:t>施工单位环保</w:t>
            </w:r>
            <w:r>
              <w:rPr>
                <w:spacing w:val="1"/>
              </w:rPr>
              <w:t xml:space="preserve"> </w:t>
            </w:r>
            <w:r>
              <w:rPr>
                <w:spacing w:val="-1"/>
              </w:rPr>
              <w:t>措施上齐，落实</w:t>
            </w:r>
          </w:p>
          <w:p w14:paraId="717EA87A">
            <w:pPr>
              <w:pStyle w:val="6"/>
              <w:spacing w:line="251" w:lineRule="auto"/>
              <w:ind w:left="185" w:right="105" w:hanging="65"/>
            </w:pPr>
            <w:r>
              <w:rPr>
                <w:spacing w:val="-2"/>
              </w:rPr>
              <w:t>到人，做好施工</w:t>
            </w:r>
            <w:r>
              <w:t xml:space="preserve"> </w:t>
            </w:r>
            <w:r>
              <w:rPr>
                <w:spacing w:val="8"/>
              </w:rPr>
              <w:t>场地环境管理</w:t>
            </w:r>
          </w:p>
          <w:p w14:paraId="36E2E34B">
            <w:pPr>
              <w:pStyle w:val="6"/>
              <w:spacing w:line="229" w:lineRule="auto"/>
              <w:ind w:left="187"/>
            </w:pPr>
            <w:r>
              <w:rPr>
                <w:spacing w:val="6"/>
              </w:rPr>
              <w:t>和保洁工作。</w:t>
            </w:r>
          </w:p>
        </w:tc>
        <w:tc>
          <w:tcPr>
            <w:tcW w:w="1936" w:type="dxa"/>
            <w:vMerge w:val="restart"/>
            <w:tcBorders>
              <w:bottom w:val="nil"/>
            </w:tcBorders>
            <w:vAlign w:val="top"/>
          </w:tcPr>
          <w:p w14:paraId="2A96ED8B">
            <w:pPr>
              <w:spacing w:line="274" w:lineRule="auto"/>
              <w:rPr>
                <w:rFonts w:ascii="Arial"/>
                <w:sz w:val="21"/>
              </w:rPr>
            </w:pPr>
          </w:p>
          <w:p w14:paraId="67815115">
            <w:pPr>
              <w:spacing w:line="274" w:lineRule="auto"/>
              <w:rPr>
                <w:rFonts w:ascii="Arial"/>
                <w:sz w:val="21"/>
              </w:rPr>
            </w:pPr>
          </w:p>
          <w:p w14:paraId="3C4FEADF">
            <w:pPr>
              <w:spacing w:line="274" w:lineRule="auto"/>
              <w:rPr>
                <w:rFonts w:ascii="Arial"/>
                <w:sz w:val="21"/>
              </w:rPr>
            </w:pPr>
          </w:p>
          <w:p w14:paraId="53D485B9">
            <w:pPr>
              <w:pStyle w:val="6"/>
              <w:spacing w:before="65" w:line="228" w:lineRule="auto"/>
              <w:ind w:left="137"/>
            </w:pPr>
            <w:r>
              <w:rPr>
                <w:spacing w:val="8"/>
              </w:rPr>
              <w:t>建设行政管理部门</w:t>
            </w:r>
          </w:p>
          <w:p w14:paraId="2BCC4882">
            <w:pPr>
              <w:pStyle w:val="6"/>
              <w:spacing w:before="24" w:line="228" w:lineRule="auto"/>
              <w:ind w:left="134"/>
            </w:pPr>
            <w:r>
              <w:rPr>
                <w:spacing w:val="8"/>
              </w:rPr>
              <w:t>及环境管理部门进</w:t>
            </w:r>
          </w:p>
          <w:p w14:paraId="625737C6">
            <w:pPr>
              <w:pStyle w:val="6"/>
              <w:spacing w:before="24" w:line="228" w:lineRule="auto"/>
              <w:ind w:left="347"/>
            </w:pPr>
            <w:r>
              <w:rPr>
                <w:spacing w:val="6"/>
              </w:rPr>
              <w:t>行定期检查。</w:t>
            </w:r>
          </w:p>
        </w:tc>
      </w:tr>
      <w:tr w14:paraId="4FA4A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4" w:type="dxa"/>
            <w:vMerge w:val="continue"/>
            <w:tcBorders>
              <w:top w:val="nil"/>
              <w:bottom w:val="nil"/>
            </w:tcBorders>
            <w:vAlign w:val="top"/>
          </w:tcPr>
          <w:p w14:paraId="62640BC4">
            <w:pPr>
              <w:rPr>
                <w:rFonts w:ascii="Arial"/>
                <w:sz w:val="21"/>
              </w:rPr>
            </w:pPr>
          </w:p>
        </w:tc>
        <w:tc>
          <w:tcPr>
            <w:tcW w:w="4346" w:type="dxa"/>
            <w:vAlign w:val="top"/>
          </w:tcPr>
          <w:p w14:paraId="6911FFF2">
            <w:pPr>
              <w:pStyle w:val="6"/>
              <w:spacing w:before="32" w:line="228" w:lineRule="auto"/>
              <w:ind w:left="531"/>
            </w:pPr>
            <w:r>
              <w:rPr>
                <w:spacing w:val="8"/>
              </w:rPr>
              <w:t>施工场地车辆出入口设置车辆冲洗设施。</w:t>
            </w:r>
          </w:p>
          <w:p w14:paraId="3E17773C">
            <w:pPr>
              <w:pStyle w:val="6"/>
              <w:spacing w:before="24" w:line="216" w:lineRule="auto"/>
              <w:ind w:left="1126"/>
            </w:pPr>
            <w:r>
              <w:rPr>
                <w:spacing w:val="8"/>
              </w:rPr>
              <w:t>及时清扫散落的泥土。</w:t>
            </w:r>
          </w:p>
        </w:tc>
        <w:tc>
          <w:tcPr>
            <w:tcW w:w="1619" w:type="dxa"/>
            <w:vMerge w:val="continue"/>
            <w:tcBorders>
              <w:top w:val="nil"/>
              <w:bottom w:val="nil"/>
            </w:tcBorders>
            <w:vAlign w:val="top"/>
          </w:tcPr>
          <w:p w14:paraId="4FD3735D">
            <w:pPr>
              <w:rPr>
                <w:rFonts w:ascii="Arial"/>
                <w:sz w:val="21"/>
              </w:rPr>
            </w:pPr>
          </w:p>
        </w:tc>
        <w:tc>
          <w:tcPr>
            <w:tcW w:w="1936" w:type="dxa"/>
            <w:vMerge w:val="continue"/>
            <w:tcBorders>
              <w:top w:val="nil"/>
              <w:bottom w:val="nil"/>
            </w:tcBorders>
            <w:vAlign w:val="top"/>
          </w:tcPr>
          <w:p w14:paraId="7BE1789B">
            <w:pPr>
              <w:rPr>
                <w:rFonts w:ascii="Arial"/>
                <w:sz w:val="21"/>
              </w:rPr>
            </w:pPr>
          </w:p>
        </w:tc>
      </w:tr>
      <w:tr w14:paraId="1B89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3BF0DAD9">
            <w:pPr>
              <w:rPr>
                <w:rFonts w:ascii="Arial"/>
                <w:sz w:val="21"/>
              </w:rPr>
            </w:pPr>
          </w:p>
        </w:tc>
        <w:tc>
          <w:tcPr>
            <w:tcW w:w="4346" w:type="dxa"/>
            <w:vAlign w:val="top"/>
          </w:tcPr>
          <w:p w14:paraId="3E9CB450">
            <w:pPr>
              <w:pStyle w:val="6"/>
              <w:spacing w:before="38" w:line="222" w:lineRule="auto"/>
              <w:ind w:left="811"/>
            </w:pPr>
            <w:r>
              <w:rPr>
                <w:spacing w:val="8"/>
              </w:rPr>
              <w:t>在各建、构筑物四周设置防护网。</w:t>
            </w:r>
          </w:p>
        </w:tc>
        <w:tc>
          <w:tcPr>
            <w:tcW w:w="1619" w:type="dxa"/>
            <w:vMerge w:val="continue"/>
            <w:tcBorders>
              <w:top w:val="nil"/>
              <w:bottom w:val="nil"/>
            </w:tcBorders>
            <w:vAlign w:val="top"/>
          </w:tcPr>
          <w:p w14:paraId="3C7859C4">
            <w:pPr>
              <w:rPr>
                <w:rFonts w:ascii="Arial"/>
                <w:sz w:val="21"/>
              </w:rPr>
            </w:pPr>
          </w:p>
        </w:tc>
        <w:tc>
          <w:tcPr>
            <w:tcW w:w="1936" w:type="dxa"/>
            <w:vMerge w:val="continue"/>
            <w:tcBorders>
              <w:top w:val="nil"/>
              <w:bottom w:val="nil"/>
            </w:tcBorders>
            <w:vAlign w:val="top"/>
          </w:tcPr>
          <w:p w14:paraId="78ADBF7E">
            <w:pPr>
              <w:rPr>
                <w:rFonts w:ascii="Arial"/>
                <w:sz w:val="21"/>
              </w:rPr>
            </w:pPr>
          </w:p>
        </w:tc>
      </w:tr>
      <w:tr w14:paraId="3D50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3A3B6A12">
            <w:pPr>
              <w:rPr>
                <w:rFonts w:ascii="Arial"/>
                <w:sz w:val="21"/>
              </w:rPr>
            </w:pPr>
          </w:p>
        </w:tc>
        <w:tc>
          <w:tcPr>
            <w:tcW w:w="4346" w:type="dxa"/>
            <w:vAlign w:val="top"/>
          </w:tcPr>
          <w:p w14:paraId="3AB6733D">
            <w:pPr>
              <w:pStyle w:val="6"/>
              <w:spacing w:before="37" w:line="223" w:lineRule="auto"/>
              <w:ind w:left="1127"/>
            </w:pPr>
            <w:r>
              <w:rPr>
                <w:spacing w:val="8"/>
              </w:rPr>
              <w:t>严禁焚烧废弃的建筑材料。</w:t>
            </w:r>
          </w:p>
        </w:tc>
        <w:tc>
          <w:tcPr>
            <w:tcW w:w="1619" w:type="dxa"/>
            <w:vMerge w:val="continue"/>
            <w:tcBorders>
              <w:top w:val="nil"/>
              <w:bottom w:val="nil"/>
            </w:tcBorders>
            <w:vAlign w:val="top"/>
          </w:tcPr>
          <w:p w14:paraId="3766A88F">
            <w:pPr>
              <w:rPr>
                <w:rFonts w:ascii="Arial"/>
                <w:sz w:val="21"/>
              </w:rPr>
            </w:pPr>
          </w:p>
        </w:tc>
        <w:tc>
          <w:tcPr>
            <w:tcW w:w="1936" w:type="dxa"/>
            <w:vMerge w:val="continue"/>
            <w:tcBorders>
              <w:top w:val="nil"/>
              <w:bottom w:val="nil"/>
            </w:tcBorders>
            <w:vAlign w:val="top"/>
          </w:tcPr>
          <w:p w14:paraId="40708A86">
            <w:pPr>
              <w:rPr>
                <w:rFonts w:ascii="Arial"/>
                <w:sz w:val="21"/>
              </w:rPr>
            </w:pPr>
          </w:p>
        </w:tc>
      </w:tr>
      <w:tr w14:paraId="5FC6B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4E679F14">
            <w:pPr>
              <w:rPr>
                <w:rFonts w:ascii="Arial"/>
                <w:sz w:val="21"/>
              </w:rPr>
            </w:pPr>
          </w:p>
        </w:tc>
        <w:tc>
          <w:tcPr>
            <w:tcW w:w="4346" w:type="dxa"/>
            <w:vAlign w:val="top"/>
          </w:tcPr>
          <w:p w14:paraId="6945ED86">
            <w:pPr>
              <w:pStyle w:val="6"/>
              <w:spacing w:before="38" w:line="222" w:lineRule="auto"/>
              <w:ind w:left="706"/>
            </w:pPr>
            <w:r>
              <w:rPr>
                <w:spacing w:val="8"/>
              </w:rPr>
              <w:t>粉状建材应设临时工棚或仓库储存。</w:t>
            </w:r>
          </w:p>
        </w:tc>
        <w:tc>
          <w:tcPr>
            <w:tcW w:w="1619" w:type="dxa"/>
            <w:vMerge w:val="continue"/>
            <w:tcBorders>
              <w:top w:val="nil"/>
              <w:bottom w:val="nil"/>
            </w:tcBorders>
            <w:vAlign w:val="top"/>
          </w:tcPr>
          <w:p w14:paraId="4C9E972F">
            <w:pPr>
              <w:rPr>
                <w:rFonts w:ascii="Arial"/>
                <w:sz w:val="21"/>
              </w:rPr>
            </w:pPr>
          </w:p>
        </w:tc>
        <w:tc>
          <w:tcPr>
            <w:tcW w:w="1936" w:type="dxa"/>
            <w:vMerge w:val="continue"/>
            <w:tcBorders>
              <w:top w:val="nil"/>
              <w:bottom w:val="nil"/>
            </w:tcBorders>
            <w:vAlign w:val="top"/>
          </w:tcPr>
          <w:p w14:paraId="577CCC16">
            <w:pPr>
              <w:rPr>
                <w:rFonts w:ascii="Arial"/>
                <w:sz w:val="21"/>
              </w:rPr>
            </w:pPr>
          </w:p>
        </w:tc>
      </w:tr>
      <w:tr w14:paraId="44DBB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continue"/>
            <w:tcBorders>
              <w:top w:val="nil"/>
            </w:tcBorders>
            <w:vAlign w:val="top"/>
          </w:tcPr>
          <w:p w14:paraId="31DB418B">
            <w:pPr>
              <w:rPr>
                <w:rFonts w:ascii="Arial"/>
                <w:sz w:val="21"/>
              </w:rPr>
            </w:pPr>
          </w:p>
        </w:tc>
        <w:tc>
          <w:tcPr>
            <w:tcW w:w="4346" w:type="dxa"/>
            <w:vAlign w:val="top"/>
          </w:tcPr>
          <w:p w14:paraId="3644A6EB">
            <w:pPr>
              <w:pStyle w:val="6"/>
              <w:spacing w:before="32" w:line="234" w:lineRule="auto"/>
              <w:ind w:left="1025" w:right="176" w:hanging="422"/>
            </w:pPr>
            <w:r>
              <w:rPr>
                <w:spacing w:val="9"/>
              </w:rPr>
              <w:t>施工期间对车辆行驶的路面和部分易起</w:t>
            </w:r>
            <w:r>
              <w:rPr>
                <w:spacing w:val="7"/>
              </w:rPr>
              <w:t xml:space="preserve"> 尘的部位实施洒水抑尘。</w:t>
            </w:r>
          </w:p>
        </w:tc>
        <w:tc>
          <w:tcPr>
            <w:tcW w:w="1619" w:type="dxa"/>
            <w:vMerge w:val="continue"/>
            <w:tcBorders>
              <w:top w:val="nil"/>
              <w:bottom w:val="nil"/>
            </w:tcBorders>
            <w:vAlign w:val="top"/>
          </w:tcPr>
          <w:p w14:paraId="633693C2">
            <w:pPr>
              <w:rPr>
                <w:rFonts w:ascii="Arial"/>
                <w:sz w:val="21"/>
              </w:rPr>
            </w:pPr>
          </w:p>
        </w:tc>
        <w:tc>
          <w:tcPr>
            <w:tcW w:w="1936" w:type="dxa"/>
            <w:vMerge w:val="continue"/>
            <w:tcBorders>
              <w:top w:val="nil"/>
            </w:tcBorders>
            <w:vAlign w:val="top"/>
          </w:tcPr>
          <w:p w14:paraId="0F0FAD7F">
            <w:pPr>
              <w:rPr>
                <w:rFonts w:ascii="Arial"/>
                <w:sz w:val="21"/>
              </w:rPr>
            </w:pPr>
          </w:p>
        </w:tc>
      </w:tr>
      <w:tr w14:paraId="3A5BF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restart"/>
            <w:tcBorders>
              <w:bottom w:val="nil"/>
            </w:tcBorders>
            <w:vAlign w:val="top"/>
          </w:tcPr>
          <w:p w14:paraId="36463BCB">
            <w:pPr>
              <w:spacing w:line="273" w:lineRule="auto"/>
              <w:rPr>
                <w:rFonts w:ascii="Arial"/>
                <w:sz w:val="21"/>
              </w:rPr>
            </w:pPr>
          </w:p>
          <w:p w14:paraId="7C2E1F14">
            <w:pPr>
              <w:spacing w:line="273" w:lineRule="auto"/>
              <w:rPr>
                <w:rFonts w:ascii="Arial"/>
                <w:sz w:val="21"/>
              </w:rPr>
            </w:pPr>
          </w:p>
          <w:p w14:paraId="6D54353E">
            <w:pPr>
              <w:spacing w:line="274" w:lineRule="auto"/>
              <w:rPr>
                <w:rFonts w:ascii="Arial"/>
                <w:sz w:val="21"/>
              </w:rPr>
            </w:pPr>
          </w:p>
          <w:p w14:paraId="4657C794">
            <w:pPr>
              <w:spacing w:line="274" w:lineRule="auto"/>
              <w:rPr>
                <w:rFonts w:ascii="Arial"/>
                <w:sz w:val="21"/>
              </w:rPr>
            </w:pPr>
          </w:p>
          <w:p w14:paraId="1FD13521">
            <w:pPr>
              <w:spacing w:line="274" w:lineRule="auto"/>
              <w:rPr>
                <w:rFonts w:ascii="Arial"/>
                <w:sz w:val="21"/>
              </w:rPr>
            </w:pPr>
          </w:p>
          <w:p w14:paraId="13585F31">
            <w:pPr>
              <w:pStyle w:val="6"/>
              <w:spacing w:before="65" w:line="229" w:lineRule="auto"/>
              <w:ind w:left="137"/>
            </w:pPr>
            <w:r>
              <w:rPr>
                <w:spacing w:val="7"/>
              </w:rPr>
              <w:t>施工噪声</w:t>
            </w:r>
          </w:p>
        </w:tc>
        <w:tc>
          <w:tcPr>
            <w:tcW w:w="4346" w:type="dxa"/>
            <w:vAlign w:val="top"/>
          </w:tcPr>
          <w:p w14:paraId="71A4931D">
            <w:pPr>
              <w:pStyle w:val="6"/>
              <w:spacing w:before="35" w:line="228" w:lineRule="auto"/>
              <w:ind w:left="111"/>
            </w:pPr>
            <w:r>
              <w:rPr>
                <w:spacing w:val="9"/>
              </w:rPr>
              <w:t>采用较先进、噪声较低的施工设备或带隔声、</w:t>
            </w:r>
          </w:p>
          <w:p w14:paraId="3B1555D4">
            <w:pPr>
              <w:pStyle w:val="6"/>
              <w:spacing w:before="25" w:line="214" w:lineRule="auto"/>
              <w:ind w:left="1551"/>
            </w:pPr>
            <w:r>
              <w:rPr>
                <w:spacing w:val="6"/>
              </w:rPr>
              <w:t>消声的设备。</w:t>
            </w:r>
          </w:p>
        </w:tc>
        <w:tc>
          <w:tcPr>
            <w:tcW w:w="1619" w:type="dxa"/>
            <w:vMerge w:val="continue"/>
            <w:tcBorders>
              <w:top w:val="nil"/>
              <w:bottom w:val="nil"/>
            </w:tcBorders>
            <w:vAlign w:val="top"/>
          </w:tcPr>
          <w:p w14:paraId="2FBDF0A3">
            <w:pPr>
              <w:rPr>
                <w:rFonts w:ascii="Arial"/>
                <w:sz w:val="21"/>
              </w:rPr>
            </w:pPr>
          </w:p>
        </w:tc>
        <w:tc>
          <w:tcPr>
            <w:tcW w:w="1936" w:type="dxa"/>
            <w:vMerge w:val="restart"/>
            <w:tcBorders>
              <w:bottom w:val="nil"/>
            </w:tcBorders>
            <w:vAlign w:val="top"/>
          </w:tcPr>
          <w:p w14:paraId="01929E7E">
            <w:pPr>
              <w:spacing w:line="278" w:lineRule="auto"/>
              <w:rPr>
                <w:rFonts w:ascii="Arial"/>
                <w:sz w:val="21"/>
              </w:rPr>
            </w:pPr>
          </w:p>
          <w:p w14:paraId="45C708A5">
            <w:pPr>
              <w:spacing w:line="278" w:lineRule="auto"/>
              <w:rPr>
                <w:rFonts w:ascii="Arial"/>
                <w:sz w:val="21"/>
              </w:rPr>
            </w:pPr>
          </w:p>
          <w:p w14:paraId="27F3F68A">
            <w:pPr>
              <w:spacing w:line="278" w:lineRule="auto"/>
              <w:rPr>
                <w:rFonts w:ascii="Arial"/>
                <w:sz w:val="21"/>
              </w:rPr>
            </w:pPr>
          </w:p>
          <w:p w14:paraId="36C2E6A4">
            <w:pPr>
              <w:spacing w:line="278" w:lineRule="auto"/>
              <w:rPr>
                <w:rFonts w:ascii="Arial"/>
                <w:sz w:val="21"/>
              </w:rPr>
            </w:pPr>
          </w:p>
          <w:p w14:paraId="32B9B446">
            <w:pPr>
              <w:spacing w:line="278" w:lineRule="auto"/>
              <w:rPr>
                <w:rFonts w:ascii="Arial"/>
                <w:sz w:val="21"/>
              </w:rPr>
            </w:pPr>
          </w:p>
          <w:p w14:paraId="154B3FB9">
            <w:pPr>
              <w:pStyle w:val="6"/>
              <w:spacing w:before="65" w:line="251" w:lineRule="auto"/>
              <w:ind w:left="134" w:right="126" w:firstLine="420"/>
            </w:pPr>
            <w:r>
              <w:rPr>
                <w:spacing w:val="8"/>
              </w:rPr>
              <w:t>环保监理部门</w:t>
            </w:r>
            <w:r>
              <w:t xml:space="preserve"> </w:t>
            </w:r>
            <w:r>
              <w:rPr>
                <w:spacing w:val="8"/>
              </w:rPr>
              <w:t>对夜间噪声进行监</w:t>
            </w:r>
          </w:p>
          <w:p w14:paraId="6C2CD675">
            <w:pPr>
              <w:pStyle w:val="6"/>
              <w:spacing w:line="228" w:lineRule="auto"/>
              <w:ind w:left="559"/>
            </w:pPr>
            <w:r>
              <w:rPr>
                <w:spacing w:val="4"/>
              </w:rPr>
              <w:t>督检查。</w:t>
            </w:r>
          </w:p>
        </w:tc>
      </w:tr>
      <w:tr w14:paraId="3482F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continue"/>
            <w:tcBorders>
              <w:top w:val="nil"/>
              <w:bottom w:val="nil"/>
            </w:tcBorders>
            <w:vAlign w:val="top"/>
          </w:tcPr>
          <w:p w14:paraId="17EF9424">
            <w:pPr>
              <w:rPr>
                <w:rFonts w:ascii="Arial"/>
                <w:sz w:val="21"/>
              </w:rPr>
            </w:pPr>
          </w:p>
        </w:tc>
        <w:tc>
          <w:tcPr>
            <w:tcW w:w="4346" w:type="dxa"/>
            <w:vAlign w:val="top"/>
          </w:tcPr>
          <w:p w14:paraId="4B86967A">
            <w:pPr>
              <w:pStyle w:val="6"/>
              <w:spacing w:before="34" w:line="233" w:lineRule="auto"/>
              <w:ind w:left="1668" w:right="106" w:hanging="1133"/>
            </w:pPr>
            <w:r>
              <w:rPr>
                <w:spacing w:val="5"/>
              </w:rPr>
              <w:t>夜间禁止打桩。严禁中午、夜间的休息时</w:t>
            </w:r>
            <w:r>
              <w:rPr>
                <w:spacing w:val="8"/>
              </w:rPr>
              <w:t xml:space="preserve"> </w:t>
            </w:r>
            <w:r>
              <w:rPr>
                <w:spacing w:val="2"/>
              </w:rPr>
              <w:t>间内施工。</w:t>
            </w:r>
          </w:p>
        </w:tc>
        <w:tc>
          <w:tcPr>
            <w:tcW w:w="1619" w:type="dxa"/>
            <w:vMerge w:val="continue"/>
            <w:tcBorders>
              <w:top w:val="nil"/>
              <w:bottom w:val="nil"/>
            </w:tcBorders>
            <w:vAlign w:val="top"/>
          </w:tcPr>
          <w:p w14:paraId="67F78C83">
            <w:pPr>
              <w:rPr>
                <w:rFonts w:ascii="Arial"/>
                <w:sz w:val="21"/>
              </w:rPr>
            </w:pPr>
          </w:p>
        </w:tc>
        <w:tc>
          <w:tcPr>
            <w:tcW w:w="1936" w:type="dxa"/>
            <w:vMerge w:val="continue"/>
            <w:tcBorders>
              <w:top w:val="nil"/>
              <w:bottom w:val="nil"/>
            </w:tcBorders>
            <w:vAlign w:val="top"/>
          </w:tcPr>
          <w:p w14:paraId="06D2E937">
            <w:pPr>
              <w:rPr>
                <w:rFonts w:ascii="Arial"/>
                <w:sz w:val="21"/>
              </w:rPr>
            </w:pPr>
          </w:p>
        </w:tc>
      </w:tr>
      <w:tr w14:paraId="242A4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0478D8E8">
            <w:pPr>
              <w:rPr>
                <w:rFonts w:ascii="Arial"/>
                <w:sz w:val="21"/>
              </w:rPr>
            </w:pPr>
          </w:p>
        </w:tc>
        <w:tc>
          <w:tcPr>
            <w:tcW w:w="4346" w:type="dxa"/>
            <w:vAlign w:val="top"/>
          </w:tcPr>
          <w:p w14:paraId="213DBA2C">
            <w:pPr>
              <w:pStyle w:val="6"/>
              <w:spacing w:before="40" w:line="220" w:lineRule="auto"/>
              <w:ind w:left="1023"/>
            </w:pPr>
            <w:r>
              <w:rPr>
                <w:spacing w:val="8"/>
              </w:rPr>
              <w:t>加强对施工机械的维护保养。</w:t>
            </w:r>
          </w:p>
        </w:tc>
        <w:tc>
          <w:tcPr>
            <w:tcW w:w="1619" w:type="dxa"/>
            <w:vMerge w:val="continue"/>
            <w:tcBorders>
              <w:top w:val="nil"/>
              <w:bottom w:val="nil"/>
            </w:tcBorders>
            <w:vAlign w:val="top"/>
          </w:tcPr>
          <w:p w14:paraId="452D7864">
            <w:pPr>
              <w:rPr>
                <w:rFonts w:ascii="Arial"/>
                <w:sz w:val="21"/>
              </w:rPr>
            </w:pPr>
          </w:p>
        </w:tc>
        <w:tc>
          <w:tcPr>
            <w:tcW w:w="1936" w:type="dxa"/>
            <w:vMerge w:val="continue"/>
            <w:tcBorders>
              <w:top w:val="nil"/>
              <w:bottom w:val="nil"/>
            </w:tcBorders>
            <w:vAlign w:val="top"/>
          </w:tcPr>
          <w:p w14:paraId="296A8624">
            <w:pPr>
              <w:rPr>
                <w:rFonts w:ascii="Arial"/>
                <w:sz w:val="21"/>
              </w:rPr>
            </w:pPr>
          </w:p>
        </w:tc>
      </w:tr>
      <w:tr w14:paraId="3D33E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5F4E81D0">
            <w:pPr>
              <w:rPr>
                <w:rFonts w:ascii="Arial"/>
                <w:sz w:val="21"/>
              </w:rPr>
            </w:pPr>
          </w:p>
        </w:tc>
        <w:tc>
          <w:tcPr>
            <w:tcW w:w="4346" w:type="dxa"/>
            <w:vAlign w:val="top"/>
          </w:tcPr>
          <w:p w14:paraId="78216BF3">
            <w:pPr>
              <w:pStyle w:val="6"/>
              <w:spacing w:before="39" w:line="221" w:lineRule="auto"/>
              <w:ind w:left="531"/>
            </w:pPr>
            <w:r>
              <w:rPr>
                <w:spacing w:val="8"/>
              </w:rPr>
              <w:t>对现场的施工车辆进行疏导，禁止鸣笛。</w:t>
            </w:r>
          </w:p>
        </w:tc>
        <w:tc>
          <w:tcPr>
            <w:tcW w:w="1619" w:type="dxa"/>
            <w:vMerge w:val="continue"/>
            <w:tcBorders>
              <w:top w:val="nil"/>
              <w:bottom w:val="nil"/>
            </w:tcBorders>
            <w:vAlign w:val="top"/>
          </w:tcPr>
          <w:p w14:paraId="61FEB0B3">
            <w:pPr>
              <w:rPr>
                <w:rFonts w:ascii="Arial"/>
                <w:sz w:val="21"/>
              </w:rPr>
            </w:pPr>
          </w:p>
        </w:tc>
        <w:tc>
          <w:tcPr>
            <w:tcW w:w="1936" w:type="dxa"/>
            <w:vMerge w:val="continue"/>
            <w:tcBorders>
              <w:top w:val="nil"/>
              <w:bottom w:val="nil"/>
            </w:tcBorders>
            <w:vAlign w:val="top"/>
          </w:tcPr>
          <w:p w14:paraId="142CE923">
            <w:pPr>
              <w:rPr>
                <w:rFonts w:ascii="Arial"/>
                <w:sz w:val="21"/>
              </w:rPr>
            </w:pPr>
          </w:p>
        </w:tc>
      </w:tr>
      <w:tr w14:paraId="59A2B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3D7198AD">
            <w:pPr>
              <w:rPr>
                <w:rFonts w:ascii="Arial"/>
                <w:sz w:val="21"/>
              </w:rPr>
            </w:pPr>
          </w:p>
        </w:tc>
        <w:tc>
          <w:tcPr>
            <w:tcW w:w="4346" w:type="dxa"/>
            <w:vAlign w:val="top"/>
          </w:tcPr>
          <w:p w14:paraId="54A55D61">
            <w:pPr>
              <w:pStyle w:val="6"/>
              <w:spacing w:before="40" w:line="220" w:lineRule="auto"/>
              <w:ind w:left="1023"/>
            </w:pPr>
            <w:r>
              <w:rPr>
                <w:spacing w:val="8"/>
              </w:rPr>
              <w:t>施工现场设置临时的声屏障。</w:t>
            </w:r>
          </w:p>
        </w:tc>
        <w:tc>
          <w:tcPr>
            <w:tcW w:w="1619" w:type="dxa"/>
            <w:vMerge w:val="continue"/>
            <w:tcBorders>
              <w:top w:val="nil"/>
              <w:bottom w:val="nil"/>
            </w:tcBorders>
            <w:vAlign w:val="top"/>
          </w:tcPr>
          <w:p w14:paraId="152CCEA9">
            <w:pPr>
              <w:rPr>
                <w:rFonts w:ascii="Arial"/>
                <w:sz w:val="21"/>
              </w:rPr>
            </w:pPr>
          </w:p>
        </w:tc>
        <w:tc>
          <w:tcPr>
            <w:tcW w:w="1936" w:type="dxa"/>
            <w:vMerge w:val="continue"/>
            <w:tcBorders>
              <w:top w:val="nil"/>
              <w:bottom w:val="nil"/>
            </w:tcBorders>
            <w:vAlign w:val="top"/>
          </w:tcPr>
          <w:p w14:paraId="40286617">
            <w:pPr>
              <w:rPr>
                <w:rFonts w:ascii="Arial"/>
                <w:sz w:val="21"/>
              </w:rPr>
            </w:pPr>
          </w:p>
        </w:tc>
      </w:tr>
      <w:tr w14:paraId="3EE88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continue"/>
            <w:tcBorders>
              <w:top w:val="nil"/>
              <w:bottom w:val="nil"/>
            </w:tcBorders>
            <w:vAlign w:val="top"/>
          </w:tcPr>
          <w:p w14:paraId="3016B840">
            <w:pPr>
              <w:rPr>
                <w:rFonts w:ascii="Arial"/>
                <w:sz w:val="21"/>
              </w:rPr>
            </w:pPr>
          </w:p>
        </w:tc>
        <w:tc>
          <w:tcPr>
            <w:tcW w:w="4346" w:type="dxa"/>
            <w:vAlign w:val="top"/>
          </w:tcPr>
          <w:p w14:paraId="4C05D34C">
            <w:pPr>
              <w:pStyle w:val="6"/>
              <w:spacing w:before="34" w:line="233" w:lineRule="auto"/>
              <w:ind w:left="1656" w:right="104" w:hanging="1124"/>
            </w:pPr>
            <w:r>
              <w:rPr>
                <w:spacing w:val="5"/>
              </w:rPr>
              <w:t>合理安排施工运输车辆进出区域，避开噪</w:t>
            </w:r>
            <w:r>
              <w:rPr>
                <w:spacing w:val="12"/>
              </w:rPr>
              <w:t xml:space="preserve"> </w:t>
            </w:r>
            <w:r>
              <w:rPr>
                <w:spacing w:val="5"/>
              </w:rPr>
              <w:t>声敏感区。</w:t>
            </w:r>
          </w:p>
        </w:tc>
        <w:tc>
          <w:tcPr>
            <w:tcW w:w="1619" w:type="dxa"/>
            <w:vMerge w:val="continue"/>
            <w:tcBorders>
              <w:top w:val="nil"/>
              <w:bottom w:val="nil"/>
            </w:tcBorders>
            <w:vAlign w:val="top"/>
          </w:tcPr>
          <w:p w14:paraId="48CCBD66">
            <w:pPr>
              <w:rPr>
                <w:rFonts w:ascii="Arial"/>
                <w:sz w:val="21"/>
              </w:rPr>
            </w:pPr>
          </w:p>
        </w:tc>
        <w:tc>
          <w:tcPr>
            <w:tcW w:w="1936" w:type="dxa"/>
            <w:vMerge w:val="continue"/>
            <w:tcBorders>
              <w:top w:val="nil"/>
              <w:bottom w:val="nil"/>
            </w:tcBorders>
            <w:vAlign w:val="top"/>
          </w:tcPr>
          <w:p w14:paraId="16660E4A">
            <w:pPr>
              <w:rPr>
                <w:rFonts w:ascii="Arial"/>
                <w:sz w:val="21"/>
              </w:rPr>
            </w:pPr>
          </w:p>
        </w:tc>
      </w:tr>
      <w:tr w14:paraId="70A65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4" w:type="dxa"/>
            <w:vMerge w:val="continue"/>
            <w:tcBorders>
              <w:top w:val="nil"/>
            </w:tcBorders>
            <w:vAlign w:val="top"/>
          </w:tcPr>
          <w:p w14:paraId="52CB4EA0">
            <w:pPr>
              <w:rPr>
                <w:rFonts w:ascii="Arial"/>
                <w:sz w:val="21"/>
              </w:rPr>
            </w:pPr>
          </w:p>
        </w:tc>
        <w:tc>
          <w:tcPr>
            <w:tcW w:w="4346" w:type="dxa"/>
            <w:vAlign w:val="top"/>
          </w:tcPr>
          <w:p w14:paraId="70CECFFD">
            <w:pPr>
              <w:pStyle w:val="6"/>
              <w:spacing w:before="35" w:line="233" w:lineRule="auto"/>
              <w:ind w:left="1968" w:right="176" w:hanging="1364"/>
            </w:pPr>
            <w:r>
              <w:rPr>
                <w:spacing w:val="9"/>
              </w:rPr>
              <w:t>有市电供给情况下禁止使用柴油发电机</w:t>
            </w:r>
            <w:r>
              <w:rPr>
                <w:spacing w:val="5"/>
              </w:rPr>
              <w:t xml:space="preserve"> </w:t>
            </w:r>
            <w:r>
              <w:rPr>
                <w:spacing w:val="-1"/>
              </w:rPr>
              <w:t>组。</w:t>
            </w:r>
          </w:p>
        </w:tc>
        <w:tc>
          <w:tcPr>
            <w:tcW w:w="1619" w:type="dxa"/>
            <w:vMerge w:val="continue"/>
            <w:tcBorders>
              <w:top w:val="nil"/>
              <w:bottom w:val="nil"/>
            </w:tcBorders>
            <w:vAlign w:val="top"/>
          </w:tcPr>
          <w:p w14:paraId="1BD85906">
            <w:pPr>
              <w:rPr>
                <w:rFonts w:ascii="Arial"/>
                <w:sz w:val="21"/>
              </w:rPr>
            </w:pPr>
          </w:p>
        </w:tc>
        <w:tc>
          <w:tcPr>
            <w:tcW w:w="1936" w:type="dxa"/>
            <w:vMerge w:val="continue"/>
            <w:tcBorders>
              <w:top w:val="nil"/>
              <w:bottom w:val="nil"/>
            </w:tcBorders>
            <w:vAlign w:val="top"/>
          </w:tcPr>
          <w:p w14:paraId="6C086CF9">
            <w:pPr>
              <w:rPr>
                <w:rFonts w:ascii="Arial"/>
                <w:sz w:val="21"/>
              </w:rPr>
            </w:pPr>
          </w:p>
        </w:tc>
      </w:tr>
      <w:tr w14:paraId="014FC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restart"/>
            <w:tcBorders>
              <w:bottom w:val="nil"/>
            </w:tcBorders>
            <w:vAlign w:val="top"/>
          </w:tcPr>
          <w:p w14:paraId="0F4DBA3A">
            <w:pPr>
              <w:pStyle w:val="6"/>
              <w:spacing w:before="188" w:line="228" w:lineRule="auto"/>
              <w:ind w:left="137"/>
            </w:pPr>
            <w:r>
              <w:rPr>
                <w:spacing w:val="7"/>
              </w:rPr>
              <w:t>施工废水</w:t>
            </w:r>
          </w:p>
        </w:tc>
        <w:tc>
          <w:tcPr>
            <w:tcW w:w="4346" w:type="dxa"/>
            <w:vAlign w:val="top"/>
          </w:tcPr>
          <w:p w14:paraId="3B60B76E">
            <w:pPr>
              <w:pStyle w:val="6"/>
              <w:spacing w:before="39" w:line="221" w:lineRule="auto"/>
              <w:ind w:right="9"/>
              <w:jc w:val="right"/>
            </w:pPr>
            <w:r>
              <w:t>建设临时导流沟、蓄水池、循环水池、沉淀池。</w:t>
            </w:r>
          </w:p>
        </w:tc>
        <w:tc>
          <w:tcPr>
            <w:tcW w:w="1619" w:type="dxa"/>
            <w:vMerge w:val="continue"/>
            <w:tcBorders>
              <w:top w:val="nil"/>
              <w:bottom w:val="nil"/>
            </w:tcBorders>
            <w:vAlign w:val="top"/>
          </w:tcPr>
          <w:p w14:paraId="76F48010">
            <w:pPr>
              <w:rPr>
                <w:rFonts w:ascii="Arial"/>
                <w:sz w:val="21"/>
              </w:rPr>
            </w:pPr>
          </w:p>
        </w:tc>
        <w:tc>
          <w:tcPr>
            <w:tcW w:w="1936" w:type="dxa"/>
            <w:vMerge w:val="continue"/>
            <w:tcBorders>
              <w:top w:val="nil"/>
              <w:bottom w:val="nil"/>
            </w:tcBorders>
            <w:vAlign w:val="top"/>
          </w:tcPr>
          <w:p w14:paraId="3CB2D859">
            <w:pPr>
              <w:rPr>
                <w:rFonts w:ascii="Arial"/>
                <w:sz w:val="21"/>
              </w:rPr>
            </w:pPr>
          </w:p>
        </w:tc>
      </w:tr>
      <w:tr w14:paraId="1024C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tcBorders>
            <w:vAlign w:val="top"/>
          </w:tcPr>
          <w:p w14:paraId="45361517">
            <w:pPr>
              <w:rPr>
                <w:rFonts w:ascii="Arial"/>
                <w:sz w:val="21"/>
              </w:rPr>
            </w:pPr>
          </w:p>
        </w:tc>
        <w:tc>
          <w:tcPr>
            <w:tcW w:w="4346" w:type="dxa"/>
            <w:vAlign w:val="top"/>
          </w:tcPr>
          <w:p w14:paraId="6B5AEE80">
            <w:pPr>
              <w:pStyle w:val="6"/>
              <w:spacing w:before="40" w:line="220" w:lineRule="auto"/>
              <w:ind w:left="1025"/>
            </w:pPr>
            <w:r>
              <w:rPr>
                <w:spacing w:val="8"/>
              </w:rPr>
              <w:t>车辆、设备冲洗水循环使用。</w:t>
            </w:r>
          </w:p>
        </w:tc>
        <w:tc>
          <w:tcPr>
            <w:tcW w:w="1619" w:type="dxa"/>
            <w:vMerge w:val="continue"/>
            <w:tcBorders>
              <w:top w:val="nil"/>
            </w:tcBorders>
            <w:vAlign w:val="top"/>
          </w:tcPr>
          <w:p w14:paraId="5E776AA4">
            <w:pPr>
              <w:rPr>
                <w:rFonts w:ascii="Arial"/>
                <w:sz w:val="21"/>
              </w:rPr>
            </w:pPr>
          </w:p>
        </w:tc>
        <w:tc>
          <w:tcPr>
            <w:tcW w:w="1936" w:type="dxa"/>
            <w:vMerge w:val="continue"/>
            <w:tcBorders>
              <w:top w:val="nil"/>
            </w:tcBorders>
            <w:vAlign w:val="top"/>
          </w:tcPr>
          <w:p w14:paraId="12B4EF7D">
            <w:pPr>
              <w:rPr>
                <w:rFonts w:ascii="Arial"/>
                <w:sz w:val="21"/>
              </w:rPr>
            </w:pPr>
          </w:p>
        </w:tc>
      </w:tr>
      <w:tr w14:paraId="3D342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104" w:type="dxa"/>
            <w:vAlign w:val="top"/>
          </w:tcPr>
          <w:p w14:paraId="5BA17208">
            <w:pPr>
              <w:pStyle w:val="6"/>
              <w:spacing w:before="171" w:line="252" w:lineRule="auto"/>
              <w:ind w:left="246" w:right="131" w:hanging="106"/>
            </w:pPr>
            <w:r>
              <w:rPr>
                <w:spacing w:val="6"/>
              </w:rPr>
              <w:t>建筑及生</w:t>
            </w:r>
            <w:r>
              <w:rPr>
                <w:spacing w:val="2"/>
              </w:rPr>
              <w:t xml:space="preserve"> </w:t>
            </w:r>
            <w:r>
              <w:rPr>
                <w:spacing w:val="5"/>
              </w:rPr>
              <w:t>活垃圾</w:t>
            </w:r>
          </w:p>
        </w:tc>
        <w:tc>
          <w:tcPr>
            <w:tcW w:w="4346" w:type="dxa"/>
            <w:vAlign w:val="top"/>
          </w:tcPr>
          <w:p w14:paraId="712B1F05">
            <w:pPr>
              <w:pStyle w:val="6"/>
              <w:spacing w:before="170" w:line="252" w:lineRule="auto"/>
              <w:ind w:left="113" w:right="73"/>
            </w:pPr>
            <w:r>
              <w:rPr>
                <w:spacing w:val="5"/>
              </w:rPr>
              <w:t>建筑垃圾回收利用或定点堆放，生活垃圾由环</w:t>
            </w:r>
            <w:r>
              <w:rPr>
                <w:spacing w:val="18"/>
              </w:rPr>
              <w:t xml:space="preserve"> </w:t>
            </w:r>
            <w:r>
              <w:rPr>
                <w:spacing w:val="7"/>
              </w:rPr>
              <w:t>卫部门处理，装修垃圾由专业公司回收处理。</w:t>
            </w:r>
          </w:p>
        </w:tc>
        <w:tc>
          <w:tcPr>
            <w:tcW w:w="1619" w:type="dxa"/>
            <w:vAlign w:val="top"/>
          </w:tcPr>
          <w:p w14:paraId="78EEE4BC">
            <w:pPr>
              <w:pStyle w:val="6"/>
              <w:spacing w:before="171" w:line="229" w:lineRule="auto"/>
              <w:ind w:left="186"/>
            </w:pPr>
            <w:r>
              <w:rPr>
                <w:spacing w:val="8"/>
              </w:rPr>
              <w:t>渣土清运至指</w:t>
            </w:r>
          </w:p>
          <w:p w14:paraId="31DD55F7">
            <w:pPr>
              <w:pStyle w:val="6"/>
              <w:spacing w:before="23" w:line="229" w:lineRule="auto"/>
              <w:ind w:left="191"/>
            </w:pPr>
            <w:r>
              <w:rPr>
                <w:spacing w:val="5"/>
              </w:rPr>
              <w:t>定地点填埋。</w:t>
            </w:r>
          </w:p>
        </w:tc>
        <w:tc>
          <w:tcPr>
            <w:tcW w:w="1936" w:type="dxa"/>
            <w:vAlign w:val="top"/>
          </w:tcPr>
          <w:p w14:paraId="3A06C5B4">
            <w:pPr>
              <w:pStyle w:val="6"/>
              <w:spacing w:before="35" w:line="228" w:lineRule="auto"/>
              <w:ind w:left="137"/>
            </w:pPr>
            <w:r>
              <w:rPr>
                <w:spacing w:val="8"/>
              </w:rPr>
              <w:t>建设行政管理部门</w:t>
            </w:r>
          </w:p>
          <w:p w14:paraId="4E4874E0">
            <w:pPr>
              <w:pStyle w:val="6"/>
              <w:spacing w:before="26" w:line="228" w:lineRule="auto"/>
              <w:ind w:left="134"/>
            </w:pPr>
            <w:r>
              <w:rPr>
                <w:spacing w:val="8"/>
              </w:rPr>
              <w:t>及环境管理部门进</w:t>
            </w:r>
          </w:p>
          <w:p w14:paraId="7151EEC6">
            <w:pPr>
              <w:pStyle w:val="6"/>
              <w:spacing w:before="23" w:line="218" w:lineRule="auto"/>
              <w:ind w:left="347"/>
            </w:pPr>
            <w:r>
              <w:rPr>
                <w:spacing w:val="6"/>
              </w:rPr>
              <w:t>行定期检查。</w:t>
            </w:r>
          </w:p>
        </w:tc>
      </w:tr>
    </w:tbl>
    <w:p w14:paraId="738E8079">
      <w:pPr>
        <w:pStyle w:val="2"/>
        <w:spacing w:line="341" w:lineRule="auto"/>
      </w:pPr>
    </w:p>
    <w:p w14:paraId="7D405F6F">
      <w:pPr>
        <w:spacing w:before="78" w:line="221" w:lineRule="auto"/>
        <w:ind w:left="122"/>
        <w:outlineLvl w:val="2"/>
        <w:rPr>
          <w:rFonts w:ascii="宋体" w:hAnsi="宋体" w:eastAsia="宋体" w:cs="宋体"/>
          <w:sz w:val="24"/>
          <w:szCs w:val="24"/>
        </w:rPr>
      </w:pPr>
      <w:r>
        <w:rPr>
          <w:rFonts w:ascii="Times New Roman" w:hAnsi="Times New Roman" w:eastAsia="Times New Roman" w:cs="Times New Roman"/>
          <w:b/>
          <w:bCs/>
          <w:spacing w:val="-2"/>
          <w:sz w:val="24"/>
          <w:szCs w:val="24"/>
        </w:rPr>
        <w:t>8.3.2</w:t>
      </w:r>
      <w:r>
        <w:rPr>
          <w:rFonts w:ascii="宋体" w:hAnsi="宋体" w:eastAsia="宋体" w:cs="宋体"/>
          <w:b/>
          <w:bCs/>
          <w:spacing w:val="-2"/>
          <w:sz w:val="24"/>
          <w:szCs w:val="24"/>
        </w:rPr>
        <w:t>营运期环境监测计划</w:t>
      </w:r>
    </w:p>
    <w:p w14:paraId="042793A2">
      <w:pPr>
        <w:pStyle w:val="2"/>
        <w:spacing w:line="278" w:lineRule="auto"/>
      </w:pPr>
    </w:p>
    <w:p w14:paraId="4A6E110D">
      <w:pPr>
        <w:spacing w:before="78" w:line="221" w:lineRule="auto"/>
        <w:ind w:left="609"/>
        <w:rPr>
          <w:rFonts w:ascii="宋体" w:hAnsi="宋体" w:eastAsia="宋体" w:cs="宋体"/>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32"/>
          <w:sz w:val="24"/>
          <w:szCs w:val="24"/>
        </w:rPr>
        <w:t xml:space="preserve"> </w:t>
      </w:r>
      <w:r>
        <w:rPr>
          <w:rFonts w:ascii="宋体" w:hAnsi="宋体" w:eastAsia="宋体" w:cs="宋体"/>
          <w:b/>
          <w:bCs/>
          <w:spacing w:val="-8"/>
          <w:sz w:val="24"/>
          <w:szCs w:val="24"/>
        </w:rPr>
        <w:t>、污染源监测</w:t>
      </w:r>
    </w:p>
    <w:p w14:paraId="2D77DC2C">
      <w:pPr>
        <w:spacing w:before="165"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）大气污染源监测</w:t>
      </w:r>
    </w:p>
    <w:p w14:paraId="5CA9DDA4">
      <w:pPr>
        <w:spacing w:before="129" w:line="367" w:lineRule="auto"/>
        <w:ind w:left="126" w:right="257" w:firstLine="477"/>
        <w:rPr>
          <w:rFonts w:ascii="宋体" w:hAnsi="宋体" w:eastAsia="宋体" w:cs="宋体"/>
          <w:sz w:val="24"/>
          <w:szCs w:val="24"/>
        </w:rPr>
      </w:pPr>
      <w:r>
        <w:rPr>
          <w:rFonts w:ascii="宋体" w:hAnsi="宋体" w:eastAsia="宋体" w:cs="宋体"/>
          <w:spacing w:val="1"/>
          <w:sz w:val="24"/>
          <w:szCs w:val="24"/>
        </w:rPr>
        <w:t>监测点布设：项目边界上风向设置</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个参照</w:t>
      </w:r>
      <w:r>
        <w:rPr>
          <w:rFonts w:ascii="宋体" w:hAnsi="宋体" w:eastAsia="宋体" w:cs="宋体"/>
          <w:sz w:val="24"/>
          <w:szCs w:val="24"/>
        </w:rPr>
        <w:t>点，项目边界下风向设置</w:t>
      </w:r>
      <w:r>
        <w:rPr>
          <w:rFonts w:ascii="Times New Roman" w:hAnsi="Times New Roman" w:eastAsia="Times New Roman" w:cs="Times New Roman"/>
          <w:sz w:val="24"/>
          <w:szCs w:val="24"/>
        </w:rPr>
        <w:t xml:space="preserve">3 </w:t>
      </w:r>
      <w:r>
        <w:rPr>
          <w:rFonts w:ascii="宋体" w:hAnsi="宋体" w:eastAsia="宋体" w:cs="宋体"/>
          <w:sz w:val="24"/>
          <w:szCs w:val="24"/>
        </w:rPr>
        <w:t xml:space="preserve">个无组 </w:t>
      </w:r>
      <w:r>
        <w:rPr>
          <w:rFonts w:ascii="宋体" w:hAnsi="宋体" w:eastAsia="宋体" w:cs="宋体"/>
          <w:spacing w:val="-2"/>
          <w:sz w:val="24"/>
          <w:szCs w:val="24"/>
        </w:rPr>
        <w:t>织排放监控点。</w:t>
      </w:r>
    </w:p>
    <w:p w14:paraId="36134205">
      <w:pPr>
        <w:spacing w:before="60" w:line="220" w:lineRule="auto"/>
        <w:ind w:left="603"/>
        <w:rPr>
          <w:rFonts w:ascii="宋体" w:hAnsi="宋体" w:eastAsia="宋体" w:cs="宋体"/>
          <w:sz w:val="24"/>
          <w:szCs w:val="24"/>
        </w:rPr>
      </w:pPr>
      <w:r>
        <w:rPr>
          <w:rFonts w:ascii="宋体" w:hAnsi="宋体" w:eastAsia="宋体" w:cs="宋体"/>
          <w:spacing w:val="-2"/>
          <w:sz w:val="24"/>
          <w:szCs w:val="24"/>
        </w:rPr>
        <w:t>监测项目：臭气浓度。</w:t>
      </w:r>
    </w:p>
    <w:p w14:paraId="50D15F53">
      <w:pPr>
        <w:spacing w:before="204" w:line="376" w:lineRule="auto"/>
        <w:ind w:left="123" w:right="257" w:firstLine="480"/>
        <w:jc w:val="both"/>
        <w:rPr>
          <w:rFonts w:ascii="宋体" w:hAnsi="宋体" w:eastAsia="宋体" w:cs="宋体"/>
          <w:sz w:val="24"/>
          <w:szCs w:val="24"/>
        </w:rPr>
      </w:pPr>
      <w:r>
        <w:rPr>
          <w:rFonts w:ascii="宋体" w:hAnsi="宋体" w:eastAsia="宋体" w:cs="宋体"/>
          <w:sz w:val="24"/>
          <w:szCs w:val="24"/>
        </w:rPr>
        <w:t>监测频次：一年一次。事故性监测：当发生事故性</w:t>
      </w:r>
      <w:r>
        <w:rPr>
          <w:rFonts w:ascii="宋体" w:hAnsi="宋体" w:eastAsia="宋体" w:cs="宋体"/>
          <w:spacing w:val="-1"/>
          <w:sz w:val="24"/>
          <w:szCs w:val="24"/>
        </w:rPr>
        <w:t>排放时，应严格监控、及时</w:t>
      </w:r>
      <w:r>
        <w:rPr>
          <w:rFonts w:ascii="宋体" w:hAnsi="宋体" w:eastAsia="宋体" w:cs="宋体"/>
          <w:sz w:val="24"/>
          <w:szCs w:val="24"/>
        </w:rPr>
        <w:t xml:space="preserve"> 监测，特别做好对下风向受影响范围内的居民区污染物</w:t>
      </w:r>
      <w:r>
        <w:rPr>
          <w:rFonts w:ascii="宋体" w:hAnsi="宋体" w:eastAsia="宋体" w:cs="宋体"/>
          <w:spacing w:val="-1"/>
          <w:sz w:val="24"/>
          <w:szCs w:val="24"/>
        </w:rPr>
        <w:t>浓度进行连续监测工作，直</w:t>
      </w:r>
      <w:r>
        <w:rPr>
          <w:rFonts w:ascii="宋体" w:hAnsi="宋体" w:eastAsia="宋体" w:cs="宋体"/>
          <w:sz w:val="24"/>
          <w:szCs w:val="24"/>
        </w:rPr>
        <w:t xml:space="preserve"> </w:t>
      </w:r>
      <w:r>
        <w:rPr>
          <w:rFonts w:ascii="宋体" w:hAnsi="宋体" w:eastAsia="宋体" w:cs="宋体"/>
          <w:spacing w:val="-2"/>
          <w:sz w:val="24"/>
          <w:szCs w:val="24"/>
        </w:rPr>
        <w:t>至恢复正常的环境。</w:t>
      </w:r>
    </w:p>
    <w:p w14:paraId="151CBCE9">
      <w:pPr>
        <w:spacing w:line="219" w:lineRule="auto"/>
        <w:ind w:left="603"/>
        <w:rPr>
          <w:rFonts w:ascii="宋体" w:hAnsi="宋体" w:eastAsia="宋体" w:cs="宋体"/>
          <w:sz w:val="24"/>
          <w:szCs w:val="24"/>
        </w:rPr>
      </w:pPr>
      <w:r>
        <w:rPr>
          <w:rFonts w:ascii="宋体" w:hAnsi="宋体" w:eastAsia="宋体" w:cs="宋体"/>
          <w:spacing w:val="-1"/>
          <w:sz w:val="24"/>
          <w:szCs w:val="24"/>
        </w:rPr>
        <w:t>监测采样及分析方法：《环境监测技术规范》、《空气和废气监测分析方</w:t>
      </w:r>
      <w:r>
        <w:rPr>
          <w:rFonts w:ascii="宋体" w:hAnsi="宋体" w:eastAsia="宋体" w:cs="宋体"/>
          <w:spacing w:val="-2"/>
          <w:sz w:val="24"/>
          <w:szCs w:val="24"/>
        </w:rPr>
        <w:t>法》。</w:t>
      </w:r>
    </w:p>
    <w:p w14:paraId="68620E4B">
      <w:pPr>
        <w:spacing w:line="219" w:lineRule="auto"/>
        <w:rPr>
          <w:rFonts w:ascii="宋体" w:hAnsi="宋体" w:eastAsia="宋体" w:cs="宋体"/>
          <w:sz w:val="24"/>
          <w:szCs w:val="24"/>
        </w:rPr>
        <w:sectPr>
          <w:footerReference r:id="rId171" w:type="default"/>
          <w:pgSz w:w="11906" w:h="16839"/>
          <w:pgMar w:top="400" w:right="1420" w:bottom="1485" w:left="1475" w:header="0" w:footer="1249" w:gutter="0"/>
          <w:cols w:space="720" w:num="1"/>
        </w:sectPr>
      </w:pPr>
    </w:p>
    <w:p w14:paraId="1AB4AEA5">
      <w:pPr>
        <w:pStyle w:val="2"/>
        <w:spacing w:line="271" w:lineRule="auto"/>
      </w:pPr>
    </w:p>
    <w:p w14:paraId="72EA5DAF">
      <w:pPr>
        <w:pStyle w:val="2"/>
        <w:spacing w:line="271" w:lineRule="auto"/>
      </w:pPr>
    </w:p>
    <w:p w14:paraId="13DD3A52">
      <w:pPr>
        <w:pStyle w:val="2"/>
        <w:spacing w:line="271" w:lineRule="auto"/>
      </w:pPr>
    </w:p>
    <w:p w14:paraId="2C71A4B7">
      <w:pPr>
        <w:pStyle w:val="2"/>
        <w:spacing w:line="272" w:lineRule="auto"/>
      </w:pPr>
    </w:p>
    <w:p w14:paraId="4F6967B9">
      <w:pPr>
        <w:spacing w:before="65" w:line="229" w:lineRule="auto"/>
        <w:ind w:left="337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8.3-2 </w:t>
      </w:r>
      <w:r>
        <w:rPr>
          <w:rFonts w:ascii="宋体" w:hAnsi="宋体" w:eastAsia="宋体" w:cs="宋体"/>
          <w:b/>
          <w:bCs/>
          <w:spacing w:val="5"/>
          <w:sz w:val="20"/>
          <w:szCs w:val="20"/>
        </w:rPr>
        <w:t>无组织废气监测方案</w:t>
      </w:r>
    </w:p>
    <w:p w14:paraId="534320AA">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9"/>
        <w:gridCol w:w="2235"/>
        <w:gridCol w:w="2236"/>
        <w:gridCol w:w="2240"/>
      </w:tblGrid>
      <w:tr w14:paraId="1B54D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239" w:type="dxa"/>
            <w:vAlign w:val="top"/>
          </w:tcPr>
          <w:p w14:paraId="5CAA5C6C">
            <w:pPr>
              <w:pStyle w:val="6"/>
              <w:spacing w:before="62" w:line="230" w:lineRule="auto"/>
              <w:ind w:left="705"/>
            </w:pPr>
            <w:r>
              <w:rPr>
                <w:b/>
                <w:bCs/>
                <w:spacing w:val="6"/>
              </w:rPr>
              <w:t>监测点位</w:t>
            </w:r>
          </w:p>
        </w:tc>
        <w:tc>
          <w:tcPr>
            <w:tcW w:w="2235" w:type="dxa"/>
            <w:vAlign w:val="top"/>
          </w:tcPr>
          <w:p w14:paraId="365EDE13">
            <w:pPr>
              <w:pStyle w:val="6"/>
              <w:spacing w:before="62" w:line="229" w:lineRule="auto"/>
              <w:ind w:left="703"/>
            </w:pPr>
            <w:r>
              <w:rPr>
                <w:b/>
                <w:bCs/>
                <w:spacing w:val="6"/>
              </w:rPr>
              <w:t>监测指标</w:t>
            </w:r>
          </w:p>
        </w:tc>
        <w:tc>
          <w:tcPr>
            <w:tcW w:w="2236" w:type="dxa"/>
            <w:vAlign w:val="top"/>
          </w:tcPr>
          <w:p w14:paraId="531150C1">
            <w:pPr>
              <w:pStyle w:val="6"/>
              <w:spacing w:before="62" w:line="228" w:lineRule="auto"/>
              <w:ind w:left="705"/>
            </w:pPr>
            <w:r>
              <w:rPr>
                <w:b/>
                <w:bCs/>
                <w:spacing w:val="6"/>
              </w:rPr>
              <w:t>监测频次</w:t>
            </w:r>
          </w:p>
        </w:tc>
        <w:tc>
          <w:tcPr>
            <w:tcW w:w="2240" w:type="dxa"/>
            <w:vAlign w:val="top"/>
          </w:tcPr>
          <w:p w14:paraId="1C01D10D">
            <w:pPr>
              <w:pStyle w:val="6"/>
              <w:spacing w:before="62" w:line="228" w:lineRule="auto"/>
              <w:ind w:left="493"/>
            </w:pPr>
            <w:r>
              <w:rPr>
                <w:b/>
                <w:bCs/>
                <w:spacing w:val="6"/>
              </w:rPr>
              <w:t>执行排放标准</w:t>
            </w:r>
          </w:p>
        </w:tc>
      </w:tr>
      <w:tr w14:paraId="40C5C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239" w:type="dxa"/>
            <w:vAlign w:val="top"/>
          </w:tcPr>
          <w:p w14:paraId="490EE1F5">
            <w:pPr>
              <w:pStyle w:val="6"/>
              <w:spacing w:before="28" w:line="274" w:lineRule="exact"/>
              <w:ind w:left="127"/>
            </w:pPr>
            <w:r>
              <w:rPr>
                <w:spacing w:val="8"/>
                <w:position w:val="1"/>
              </w:rPr>
              <w:t>边界上风向设置</w:t>
            </w:r>
            <w:r>
              <w:rPr>
                <w:rFonts w:ascii="Times New Roman" w:hAnsi="Times New Roman" w:eastAsia="Times New Roman" w:cs="Times New Roman"/>
                <w:spacing w:val="8"/>
                <w:position w:val="1"/>
              </w:rPr>
              <w:t>1</w:t>
            </w:r>
            <w:r>
              <w:rPr>
                <w:spacing w:val="8"/>
                <w:position w:val="1"/>
              </w:rPr>
              <w:t>个参</w:t>
            </w:r>
          </w:p>
          <w:p w14:paraId="41C5B6A6">
            <w:pPr>
              <w:pStyle w:val="6"/>
              <w:spacing w:before="83" w:line="229" w:lineRule="auto"/>
              <w:ind w:left="117"/>
            </w:pPr>
            <w:r>
              <w:t>照点，边界下风向设置</w:t>
            </w:r>
          </w:p>
          <w:p w14:paraId="07E9AFCE">
            <w:pPr>
              <w:pStyle w:val="6"/>
              <w:spacing w:before="47" w:line="274" w:lineRule="exact"/>
              <w:ind w:left="652"/>
            </w:pPr>
            <w:r>
              <w:rPr>
                <w:rFonts w:ascii="Times New Roman" w:hAnsi="Times New Roman" w:eastAsia="Times New Roman" w:cs="Times New Roman"/>
                <w:spacing w:val="6"/>
                <w:position w:val="1"/>
              </w:rPr>
              <w:t>3</w:t>
            </w:r>
            <w:r>
              <w:rPr>
                <w:spacing w:val="6"/>
                <w:position w:val="1"/>
              </w:rPr>
              <w:t>个监控点</w:t>
            </w:r>
          </w:p>
        </w:tc>
        <w:tc>
          <w:tcPr>
            <w:tcW w:w="2235" w:type="dxa"/>
            <w:vAlign w:val="top"/>
          </w:tcPr>
          <w:p w14:paraId="0A89259F">
            <w:pPr>
              <w:spacing w:line="319" w:lineRule="auto"/>
              <w:rPr>
                <w:rFonts w:ascii="Arial"/>
                <w:sz w:val="21"/>
              </w:rPr>
            </w:pPr>
          </w:p>
          <w:p w14:paraId="39D3A0FB">
            <w:pPr>
              <w:pStyle w:val="6"/>
              <w:spacing w:before="65" w:line="228" w:lineRule="auto"/>
              <w:ind w:left="702"/>
            </w:pPr>
            <w:r>
              <w:rPr>
                <w:spacing w:val="7"/>
              </w:rPr>
              <w:t>臭气浓度</w:t>
            </w:r>
          </w:p>
        </w:tc>
        <w:tc>
          <w:tcPr>
            <w:tcW w:w="2236" w:type="dxa"/>
            <w:vAlign w:val="top"/>
          </w:tcPr>
          <w:p w14:paraId="05C3D5F6">
            <w:pPr>
              <w:spacing w:line="319" w:lineRule="auto"/>
              <w:rPr>
                <w:rFonts w:ascii="Arial"/>
                <w:sz w:val="21"/>
              </w:rPr>
            </w:pPr>
          </w:p>
          <w:p w14:paraId="6515DCD0">
            <w:pPr>
              <w:pStyle w:val="6"/>
              <w:spacing w:before="65" w:line="228" w:lineRule="auto"/>
              <w:ind w:left="707"/>
            </w:pPr>
            <w:r>
              <w:rPr>
                <w:spacing w:val="6"/>
              </w:rPr>
              <w:t>一年一次</w:t>
            </w:r>
          </w:p>
        </w:tc>
        <w:tc>
          <w:tcPr>
            <w:tcW w:w="2240" w:type="dxa"/>
            <w:vAlign w:val="top"/>
          </w:tcPr>
          <w:p w14:paraId="511B219C">
            <w:pPr>
              <w:pStyle w:val="6"/>
              <w:spacing w:before="59" w:line="228" w:lineRule="auto"/>
              <w:ind w:left="184"/>
            </w:pPr>
            <w:r>
              <w:rPr>
                <w:spacing w:val="8"/>
              </w:rPr>
              <w:t>《畜禽养殖业污染物</w:t>
            </w:r>
          </w:p>
          <w:p w14:paraId="2847205A">
            <w:pPr>
              <w:pStyle w:val="6"/>
              <w:spacing w:before="79" w:line="229" w:lineRule="auto"/>
              <w:ind w:left="599"/>
            </w:pPr>
            <w:r>
              <w:rPr>
                <w:spacing w:val="5"/>
              </w:rPr>
              <w:t>排放标准》</w:t>
            </w:r>
          </w:p>
          <w:p w14:paraId="318BD4ED">
            <w:pPr>
              <w:pStyle w:val="6"/>
              <w:spacing w:before="47" w:line="274" w:lineRule="exact"/>
              <w:ind w:left="244"/>
            </w:pPr>
            <w:r>
              <w:rPr>
                <w:spacing w:val="4"/>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4"/>
                <w:position w:val="1"/>
              </w:rPr>
              <w:t>44/613-2009</w:t>
            </w:r>
            <w:r>
              <w:rPr>
                <w:spacing w:val="4"/>
                <w:position w:val="1"/>
              </w:rPr>
              <w:t>）</w:t>
            </w:r>
          </w:p>
        </w:tc>
      </w:tr>
    </w:tbl>
    <w:p w14:paraId="2DD73477">
      <w:pPr>
        <w:pStyle w:val="2"/>
        <w:spacing w:line="334" w:lineRule="auto"/>
      </w:pPr>
    </w:p>
    <w:p w14:paraId="6F6D82D2">
      <w:pPr>
        <w:spacing w:before="78"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）噪声源监测</w:t>
      </w:r>
    </w:p>
    <w:p w14:paraId="0ADCCD06">
      <w:pPr>
        <w:spacing w:before="163" w:line="221" w:lineRule="auto"/>
        <w:ind w:left="603"/>
        <w:rPr>
          <w:rFonts w:ascii="宋体" w:hAnsi="宋体" w:eastAsia="宋体" w:cs="宋体"/>
          <w:sz w:val="24"/>
          <w:szCs w:val="24"/>
        </w:rPr>
      </w:pPr>
      <w:r>
        <w:rPr>
          <w:rFonts w:ascii="宋体" w:hAnsi="宋体" w:eastAsia="宋体" w:cs="宋体"/>
          <w:spacing w:val="-1"/>
          <w:sz w:val="24"/>
          <w:szCs w:val="24"/>
        </w:rPr>
        <w:t>监测点位：建设项目厂界四周边界。</w:t>
      </w:r>
    </w:p>
    <w:p w14:paraId="4283C15C">
      <w:pPr>
        <w:spacing w:before="202" w:line="220" w:lineRule="auto"/>
        <w:ind w:left="603"/>
        <w:rPr>
          <w:rFonts w:ascii="宋体" w:hAnsi="宋体" w:eastAsia="宋体" w:cs="宋体"/>
          <w:sz w:val="24"/>
          <w:szCs w:val="24"/>
        </w:rPr>
      </w:pPr>
      <w:r>
        <w:rPr>
          <w:rFonts w:ascii="宋体" w:hAnsi="宋体" w:eastAsia="宋体" w:cs="宋体"/>
          <w:spacing w:val="-1"/>
          <w:sz w:val="24"/>
          <w:szCs w:val="24"/>
        </w:rPr>
        <w:t>监测项目：等效连续</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w:t>
      </w:r>
    </w:p>
    <w:p w14:paraId="1E212F2F">
      <w:pPr>
        <w:spacing w:before="168" w:line="360" w:lineRule="exact"/>
        <w:ind w:left="603"/>
        <w:rPr>
          <w:rFonts w:ascii="宋体" w:hAnsi="宋体" w:eastAsia="宋体" w:cs="宋体"/>
          <w:sz w:val="24"/>
          <w:szCs w:val="24"/>
        </w:rPr>
      </w:pPr>
      <w:r>
        <w:rPr>
          <w:rFonts w:ascii="宋体" w:hAnsi="宋体" w:eastAsia="宋体" w:cs="宋体"/>
          <w:spacing w:val="-2"/>
          <w:position w:val="2"/>
          <w:sz w:val="24"/>
          <w:szCs w:val="24"/>
        </w:rPr>
        <w:t>监测频次：每季度一次，全年共</w:t>
      </w:r>
      <w:r>
        <w:rPr>
          <w:rFonts w:ascii="宋体" w:hAnsi="宋体" w:eastAsia="宋体" w:cs="宋体"/>
          <w:spacing w:val="-54"/>
          <w:position w:val="2"/>
          <w:sz w:val="24"/>
          <w:szCs w:val="24"/>
        </w:rPr>
        <w:t xml:space="preserve"> </w:t>
      </w:r>
      <w:r>
        <w:rPr>
          <w:rFonts w:ascii="Times New Roman" w:hAnsi="Times New Roman" w:eastAsia="Times New Roman" w:cs="Times New Roman"/>
          <w:spacing w:val="-2"/>
          <w:position w:val="2"/>
          <w:sz w:val="24"/>
          <w:szCs w:val="24"/>
        </w:rPr>
        <w:t>4</w:t>
      </w:r>
      <w:r>
        <w:rPr>
          <w:rFonts w:ascii="Times New Roman" w:hAnsi="Times New Roman" w:eastAsia="Times New Roman" w:cs="Times New Roman"/>
          <w:spacing w:val="16"/>
          <w:w w:val="101"/>
          <w:position w:val="2"/>
          <w:sz w:val="24"/>
          <w:szCs w:val="24"/>
        </w:rPr>
        <w:t xml:space="preserve"> </w:t>
      </w:r>
      <w:r>
        <w:rPr>
          <w:rFonts w:ascii="宋体" w:hAnsi="宋体" w:eastAsia="宋体" w:cs="宋体"/>
          <w:spacing w:val="-2"/>
          <w:position w:val="2"/>
          <w:sz w:val="24"/>
          <w:szCs w:val="24"/>
        </w:rPr>
        <w:t>次。</w:t>
      </w:r>
    </w:p>
    <w:p w14:paraId="02577409">
      <w:pPr>
        <w:spacing w:before="126" w:line="374" w:lineRule="auto"/>
        <w:ind w:left="127" w:right="269" w:firstLine="476"/>
        <w:rPr>
          <w:rFonts w:ascii="宋体" w:hAnsi="宋体" w:eastAsia="宋体" w:cs="宋体"/>
          <w:sz w:val="24"/>
          <w:szCs w:val="24"/>
        </w:rPr>
      </w:pPr>
      <w:r>
        <w:rPr>
          <w:rFonts w:ascii="宋体" w:hAnsi="宋体" w:eastAsia="宋体" w:cs="宋体"/>
          <w:spacing w:val="-2"/>
          <w:sz w:val="24"/>
          <w:szCs w:val="24"/>
        </w:rPr>
        <w:t>测量方法：选在无雨、风速小于</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5.5m/s</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的天气进行测量，传声器</w:t>
      </w:r>
      <w:r>
        <w:rPr>
          <w:rFonts w:ascii="宋体" w:hAnsi="宋体" w:eastAsia="宋体" w:cs="宋体"/>
          <w:spacing w:val="-3"/>
          <w:sz w:val="24"/>
          <w:szCs w:val="24"/>
        </w:rPr>
        <w:t>设置户外</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1m</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处，高度为</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1.2-1.5m</w:t>
      </w:r>
      <w:r>
        <w:rPr>
          <w:rFonts w:ascii="宋体" w:hAnsi="宋体" w:eastAsia="宋体" w:cs="宋体"/>
          <w:spacing w:val="-4"/>
          <w:sz w:val="24"/>
          <w:szCs w:val="24"/>
        </w:rPr>
        <w:t>。</w:t>
      </w:r>
    </w:p>
    <w:p w14:paraId="2268F50E">
      <w:pPr>
        <w:spacing w:before="7"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）固体废物监测（肥料）</w:t>
      </w:r>
    </w:p>
    <w:p w14:paraId="52274789">
      <w:pPr>
        <w:spacing w:before="165" w:line="220" w:lineRule="auto"/>
        <w:ind w:left="603"/>
        <w:rPr>
          <w:rFonts w:ascii="宋体" w:hAnsi="宋体" w:eastAsia="宋体" w:cs="宋体"/>
          <w:sz w:val="24"/>
          <w:szCs w:val="24"/>
        </w:rPr>
      </w:pPr>
      <w:r>
        <w:rPr>
          <w:rFonts w:ascii="宋体" w:hAnsi="宋体" w:eastAsia="宋体" w:cs="宋体"/>
          <w:spacing w:val="-1"/>
          <w:sz w:val="24"/>
          <w:szCs w:val="24"/>
        </w:rPr>
        <w:t>监测项目：蛔虫卵死亡率、粪大肠菌值。</w:t>
      </w:r>
    </w:p>
    <w:p w14:paraId="3C0FAE97">
      <w:pPr>
        <w:spacing w:before="165" w:line="367" w:lineRule="auto"/>
        <w:ind w:left="129" w:right="113" w:firstLine="474"/>
        <w:rPr>
          <w:rFonts w:ascii="宋体" w:hAnsi="宋体" w:eastAsia="宋体" w:cs="宋体"/>
          <w:sz w:val="24"/>
          <w:szCs w:val="24"/>
        </w:rPr>
      </w:pPr>
      <w:r>
        <w:rPr>
          <w:rFonts w:ascii="宋体" w:hAnsi="宋体" w:eastAsia="宋体" w:cs="宋体"/>
          <w:spacing w:val="-3"/>
          <w:sz w:val="24"/>
          <w:szCs w:val="24"/>
        </w:rPr>
        <w:t>监测频次：建设单位请有资质单位的监测公司定期监测，每半年</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次，全年共</w:t>
      </w:r>
      <w:r>
        <w:rPr>
          <w:rFonts w:ascii="Times New Roman" w:hAnsi="Times New Roman" w:eastAsia="Times New Roman" w:cs="Times New Roman"/>
          <w:spacing w:val="-3"/>
          <w:sz w:val="24"/>
          <w:szCs w:val="24"/>
        </w:rPr>
        <w:t>2</w:t>
      </w:r>
      <w:r>
        <w:rPr>
          <w:rFonts w:ascii="Times New Roman" w:hAnsi="Times New Roman" w:eastAsia="Times New Roman" w:cs="Times New Roman"/>
          <w:sz w:val="24"/>
          <w:szCs w:val="24"/>
        </w:rPr>
        <w:t xml:space="preserve"> </w:t>
      </w:r>
      <w:r>
        <w:rPr>
          <w:rFonts w:ascii="宋体" w:hAnsi="宋体" w:eastAsia="宋体" w:cs="宋体"/>
          <w:spacing w:val="-8"/>
          <w:sz w:val="24"/>
          <w:szCs w:val="24"/>
        </w:rPr>
        <w:t>次。</w:t>
      </w:r>
    </w:p>
    <w:p w14:paraId="4FC29092">
      <w:pPr>
        <w:spacing w:before="61" w:line="221" w:lineRule="auto"/>
        <w:ind w:left="599"/>
        <w:rPr>
          <w:rFonts w:ascii="宋体" w:hAnsi="宋体" w:eastAsia="宋体" w:cs="宋体"/>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32"/>
          <w:sz w:val="24"/>
          <w:szCs w:val="24"/>
        </w:rPr>
        <w:t xml:space="preserve"> </w:t>
      </w:r>
      <w:r>
        <w:rPr>
          <w:rFonts w:ascii="宋体" w:hAnsi="宋体" w:eastAsia="宋体" w:cs="宋体"/>
          <w:b/>
          <w:bCs/>
          <w:spacing w:val="-6"/>
          <w:sz w:val="24"/>
          <w:szCs w:val="24"/>
        </w:rPr>
        <w:t>、环境质量监测</w:t>
      </w:r>
    </w:p>
    <w:p w14:paraId="447481B4">
      <w:pPr>
        <w:spacing w:before="167" w:line="362"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）空气环境质量监测</w:t>
      </w:r>
    </w:p>
    <w:p w14:paraId="0A53C5F8">
      <w:pPr>
        <w:spacing w:before="125" w:line="375" w:lineRule="auto"/>
        <w:ind w:left="126" w:right="112" w:firstLine="476"/>
        <w:rPr>
          <w:rFonts w:ascii="宋体" w:hAnsi="宋体" w:eastAsia="宋体" w:cs="宋体"/>
          <w:sz w:val="24"/>
          <w:szCs w:val="24"/>
        </w:rPr>
      </w:pPr>
      <w:r>
        <w:rPr>
          <w:rFonts w:ascii="宋体" w:hAnsi="宋体" w:eastAsia="宋体" w:cs="宋体"/>
          <w:spacing w:val="-2"/>
          <w:sz w:val="24"/>
          <w:szCs w:val="24"/>
        </w:rPr>
        <w:t>根据《环境影响评价技术导则大气环境》（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）要</w:t>
      </w:r>
      <w:r>
        <w:rPr>
          <w:rFonts w:ascii="宋体" w:hAnsi="宋体" w:eastAsia="宋体" w:cs="宋体"/>
          <w:spacing w:val="-3"/>
          <w:sz w:val="24"/>
          <w:szCs w:val="24"/>
        </w:rPr>
        <w:t>求，筛选项目排放污</w:t>
      </w:r>
      <w:r>
        <w:rPr>
          <w:rFonts w:ascii="宋体" w:hAnsi="宋体" w:eastAsia="宋体" w:cs="宋体"/>
          <w:sz w:val="24"/>
          <w:szCs w:val="24"/>
        </w:rPr>
        <w:t xml:space="preserve"> </w:t>
      </w:r>
      <w:r>
        <w:rPr>
          <w:rFonts w:ascii="宋体" w:hAnsi="宋体" w:eastAsia="宋体" w:cs="宋体"/>
          <w:spacing w:val="-3"/>
          <w:sz w:val="24"/>
          <w:szCs w:val="24"/>
        </w:rPr>
        <w:t>染物</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1"/>
          <w:sz w:val="15"/>
          <w:szCs w:val="15"/>
        </w:rPr>
        <w:t>i</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的其他污染物作为环境质量监测因子，由前文</w:t>
      </w:r>
      <w:r>
        <w:rPr>
          <w:rFonts w:ascii="宋体" w:hAnsi="宋体" w:eastAsia="宋体" w:cs="宋体"/>
          <w:spacing w:val="-70"/>
          <w:sz w:val="24"/>
          <w:szCs w:val="24"/>
        </w:rPr>
        <w:t xml:space="preserve"> </w:t>
      </w:r>
      <w:r>
        <w:rPr>
          <w:rFonts w:ascii="Times New Roman" w:hAnsi="Times New Roman" w:eastAsia="Times New Roman" w:cs="Times New Roman"/>
          <w:spacing w:val="-3"/>
          <w:sz w:val="24"/>
          <w:szCs w:val="24"/>
        </w:rPr>
        <w:t xml:space="preserve">5.2.3 </w:t>
      </w:r>
      <w:r>
        <w:rPr>
          <w:rFonts w:ascii="宋体" w:hAnsi="宋体" w:eastAsia="宋体" w:cs="宋体"/>
          <w:spacing w:val="-3"/>
          <w:sz w:val="24"/>
          <w:szCs w:val="24"/>
        </w:rPr>
        <w:t>章</w:t>
      </w:r>
      <w:r>
        <w:rPr>
          <w:rFonts w:ascii="宋体" w:hAnsi="宋体" w:eastAsia="宋体" w:cs="宋体"/>
          <w:spacing w:val="-4"/>
          <w:sz w:val="24"/>
          <w:szCs w:val="24"/>
        </w:rPr>
        <w:t>节可知本项目</w:t>
      </w:r>
      <w:r>
        <w:rPr>
          <w:rFonts w:ascii="Times New Roman" w:hAnsi="Times New Roman" w:eastAsia="Times New Roman" w:cs="Times New Roman"/>
          <w:spacing w:val="-4"/>
          <w:sz w:val="24"/>
          <w:szCs w:val="24"/>
        </w:rPr>
        <w:t>P</w:t>
      </w:r>
      <w:r>
        <w:rPr>
          <w:rFonts w:ascii="Times New Roman" w:hAnsi="Times New Roman" w:eastAsia="Times New Roman" w:cs="Times New Roman"/>
          <w:spacing w:val="-4"/>
          <w:position w:val="-1"/>
          <w:sz w:val="15"/>
          <w:szCs w:val="15"/>
        </w:rPr>
        <w:t>i</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z w:val="24"/>
          <w:szCs w:val="24"/>
        </w:rPr>
        <w:t xml:space="preserve"> </w:t>
      </w:r>
      <w:r>
        <w:rPr>
          <w:rFonts w:ascii="宋体" w:hAnsi="宋体" w:eastAsia="宋体" w:cs="宋体"/>
          <w:spacing w:val="-2"/>
          <w:sz w:val="24"/>
          <w:szCs w:val="24"/>
        </w:rPr>
        <w:t>的污染物为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TSP</w:t>
      </w:r>
      <w:r>
        <w:rPr>
          <w:rFonts w:ascii="Times New Roman" w:hAnsi="Times New Roman" w:eastAsia="Times New Roman" w:cs="Times New Roman"/>
          <w:spacing w:val="-36"/>
          <w:sz w:val="24"/>
          <w:szCs w:val="24"/>
        </w:rPr>
        <w:t xml:space="preserve"> </w:t>
      </w:r>
      <w:r>
        <w:rPr>
          <w:rFonts w:ascii="宋体" w:hAnsi="宋体" w:eastAsia="宋体" w:cs="宋体"/>
          <w:spacing w:val="-2"/>
          <w:sz w:val="24"/>
          <w:szCs w:val="24"/>
        </w:rPr>
        <w:t>，因此，项目运营期设置空气环境质量监测如下：</w:t>
      </w:r>
    </w:p>
    <w:p w14:paraId="7B718813">
      <w:pPr>
        <w:spacing w:before="57" w:line="229" w:lineRule="auto"/>
        <w:ind w:left="3243"/>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8.3-3  </w:t>
      </w:r>
      <w:r>
        <w:rPr>
          <w:rFonts w:ascii="宋体" w:hAnsi="宋体" w:eastAsia="宋体" w:cs="宋体"/>
          <w:b/>
          <w:bCs/>
          <w:spacing w:val="5"/>
          <w:sz w:val="20"/>
          <w:szCs w:val="20"/>
        </w:rPr>
        <w:t>空气环境质量监测方案</w:t>
      </w:r>
    </w:p>
    <w:p w14:paraId="453C675F">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275"/>
        <w:gridCol w:w="1417"/>
        <w:gridCol w:w="5012"/>
      </w:tblGrid>
      <w:tr w14:paraId="37E30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46" w:type="dxa"/>
            <w:vAlign w:val="top"/>
          </w:tcPr>
          <w:p w14:paraId="69C0019A">
            <w:pPr>
              <w:pStyle w:val="6"/>
              <w:spacing w:before="62" w:line="230" w:lineRule="auto"/>
              <w:ind w:left="208"/>
            </w:pPr>
            <w:r>
              <w:rPr>
                <w:b/>
                <w:bCs/>
                <w:spacing w:val="6"/>
              </w:rPr>
              <w:t>监测点位</w:t>
            </w:r>
          </w:p>
        </w:tc>
        <w:tc>
          <w:tcPr>
            <w:tcW w:w="1275" w:type="dxa"/>
            <w:vAlign w:val="top"/>
          </w:tcPr>
          <w:p w14:paraId="5B43BC01">
            <w:pPr>
              <w:pStyle w:val="6"/>
              <w:spacing w:before="63" w:line="229" w:lineRule="auto"/>
              <w:ind w:left="222"/>
            </w:pPr>
            <w:r>
              <w:rPr>
                <w:b/>
                <w:bCs/>
                <w:spacing w:val="6"/>
              </w:rPr>
              <w:t>监测指标</w:t>
            </w:r>
          </w:p>
        </w:tc>
        <w:tc>
          <w:tcPr>
            <w:tcW w:w="1417" w:type="dxa"/>
            <w:vAlign w:val="top"/>
          </w:tcPr>
          <w:p w14:paraId="34984A83">
            <w:pPr>
              <w:pStyle w:val="6"/>
              <w:spacing w:before="63" w:line="228" w:lineRule="auto"/>
              <w:ind w:left="294"/>
            </w:pPr>
            <w:r>
              <w:rPr>
                <w:b/>
                <w:bCs/>
                <w:spacing w:val="6"/>
              </w:rPr>
              <w:t>监测频次</w:t>
            </w:r>
          </w:p>
        </w:tc>
        <w:tc>
          <w:tcPr>
            <w:tcW w:w="5012" w:type="dxa"/>
            <w:vAlign w:val="top"/>
          </w:tcPr>
          <w:p w14:paraId="6B6DA098">
            <w:pPr>
              <w:pStyle w:val="6"/>
              <w:spacing w:before="63" w:line="228" w:lineRule="auto"/>
              <w:ind w:left="1881"/>
            </w:pPr>
            <w:r>
              <w:rPr>
                <w:b/>
                <w:bCs/>
                <w:spacing w:val="6"/>
              </w:rPr>
              <w:t>执行排放标准</w:t>
            </w:r>
          </w:p>
        </w:tc>
      </w:tr>
      <w:tr w14:paraId="2284C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46" w:type="dxa"/>
            <w:vMerge w:val="restart"/>
            <w:tcBorders>
              <w:bottom w:val="nil"/>
            </w:tcBorders>
            <w:vAlign w:val="top"/>
          </w:tcPr>
          <w:p w14:paraId="671B6F8F">
            <w:pPr>
              <w:spacing w:line="324" w:lineRule="auto"/>
              <w:rPr>
                <w:rFonts w:ascii="Arial"/>
                <w:sz w:val="21"/>
              </w:rPr>
            </w:pPr>
          </w:p>
          <w:p w14:paraId="624276DD">
            <w:pPr>
              <w:pStyle w:val="6"/>
              <w:spacing w:before="65" w:line="229" w:lineRule="auto"/>
              <w:ind w:left="207"/>
            </w:pPr>
            <w:r>
              <w:rPr>
                <w:spacing w:val="7"/>
              </w:rPr>
              <w:t>边界外设</w:t>
            </w:r>
          </w:p>
          <w:p w14:paraId="789D0230">
            <w:pPr>
              <w:pStyle w:val="6"/>
              <w:spacing w:before="47" w:line="274" w:lineRule="exact"/>
              <w:ind w:left="259"/>
            </w:pPr>
            <w:r>
              <w:rPr>
                <w:spacing w:val="6"/>
                <w:position w:val="1"/>
              </w:rPr>
              <w:t>置</w:t>
            </w:r>
            <w:r>
              <w:rPr>
                <w:rFonts w:ascii="Times New Roman" w:hAnsi="Times New Roman" w:eastAsia="Times New Roman" w:cs="Times New Roman"/>
                <w:spacing w:val="6"/>
                <w:position w:val="1"/>
              </w:rPr>
              <w:t>1</w:t>
            </w:r>
            <w:r>
              <w:rPr>
                <w:spacing w:val="6"/>
                <w:position w:val="1"/>
              </w:rPr>
              <w:t>个点</w:t>
            </w:r>
          </w:p>
        </w:tc>
        <w:tc>
          <w:tcPr>
            <w:tcW w:w="1275" w:type="dxa"/>
            <w:vAlign w:val="top"/>
          </w:tcPr>
          <w:p w14:paraId="61AA264B">
            <w:pPr>
              <w:spacing w:before="259" w:line="242"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417" w:type="dxa"/>
            <w:vMerge w:val="restart"/>
            <w:tcBorders>
              <w:bottom w:val="nil"/>
            </w:tcBorders>
            <w:vAlign w:val="top"/>
          </w:tcPr>
          <w:p w14:paraId="6A5D87B1">
            <w:pPr>
              <w:spacing w:line="243" w:lineRule="auto"/>
              <w:rPr>
                <w:rFonts w:ascii="Arial"/>
                <w:sz w:val="21"/>
              </w:rPr>
            </w:pPr>
          </w:p>
          <w:p w14:paraId="5745C8D7">
            <w:pPr>
              <w:spacing w:line="243" w:lineRule="auto"/>
              <w:rPr>
                <w:rFonts w:ascii="Arial"/>
                <w:sz w:val="21"/>
              </w:rPr>
            </w:pPr>
          </w:p>
          <w:p w14:paraId="6AFFADE0">
            <w:pPr>
              <w:pStyle w:val="6"/>
              <w:spacing w:before="65" w:line="228" w:lineRule="auto"/>
              <w:ind w:left="296"/>
            </w:pPr>
            <w:r>
              <w:rPr>
                <w:spacing w:val="6"/>
              </w:rPr>
              <w:t>一年一次</w:t>
            </w:r>
          </w:p>
        </w:tc>
        <w:tc>
          <w:tcPr>
            <w:tcW w:w="5012" w:type="dxa"/>
            <w:vAlign w:val="top"/>
          </w:tcPr>
          <w:p w14:paraId="60E26E3A">
            <w:pPr>
              <w:pStyle w:val="6"/>
              <w:spacing w:before="29" w:line="274" w:lineRule="exact"/>
              <w:ind w:left="134"/>
            </w:pPr>
            <w:r>
              <w:rPr>
                <w:spacing w:val="7"/>
                <w:position w:val="1"/>
              </w:rPr>
              <w:t>《环境影响评价技术导则大气环境》（</w:t>
            </w:r>
            <w:r>
              <w:rPr>
                <w:rFonts w:ascii="Times New Roman" w:hAnsi="Times New Roman" w:eastAsia="Times New Roman" w:cs="Times New Roman"/>
                <w:position w:val="1"/>
              </w:rPr>
              <w:t>HJ</w:t>
            </w:r>
            <w:r>
              <w:rPr>
                <w:rFonts w:ascii="Times New Roman" w:hAnsi="Times New Roman" w:eastAsia="Times New Roman" w:cs="Times New Roman"/>
                <w:spacing w:val="7"/>
                <w:position w:val="1"/>
              </w:rPr>
              <w:t>2.2-2018</w:t>
            </w:r>
            <w:r>
              <w:rPr>
                <w:spacing w:val="7"/>
                <w:position w:val="1"/>
              </w:rPr>
              <w:t>）</w:t>
            </w:r>
          </w:p>
          <w:p w14:paraId="7C9FC80D">
            <w:pPr>
              <w:pStyle w:val="6"/>
              <w:spacing w:before="82" w:line="228" w:lineRule="auto"/>
              <w:ind w:left="1718"/>
            </w:pPr>
            <w:r>
              <w:rPr>
                <w:spacing w:val="5"/>
              </w:rPr>
              <w:t>中附录</w:t>
            </w:r>
            <w:r>
              <w:rPr>
                <w:rFonts w:ascii="Times New Roman" w:hAnsi="Times New Roman" w:eastAsia="Times New Roman" w:cs="Times New Roman"/>
                <w:spacing w:val="5"/>
              </w:rPr>
              <w:t>D</w:t>
            </w:r>
            <w:r>
              <w:rPr>
                <w:spacing w:val="5"/>
              </w:rPr>
              <w:t>标准限值</w:t>
            </w:r>
          </w:p>
        </w:tc>
      </w:tr>
      <w:tr w14:paraId="2602E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246" w:type="dxa"/>
            <w:vMerge w:val="continue"/>
            <w:tcBorders>
              <w:top w:val="nil"/>
            </w:tcBorders>
            <w:vAlign w:val="top"/>
          </w:tcPr>
          <w:p w14:paraId="370EAC90">
            <w:pPr>
              <w:rPr>
                <w:rFonts w:ascii="Arial"/>
                <w:sz w:val="21"/>
              </w:rPr>
            </w:pPr>
          </w:p>
        </w:tc>
        <w:tc>
          <w:tcPr>
            <w:tcW w:w="1275" w:type="dxa"/>
            <w:vAlign w:val="top"/>
          </w:tcPr>
          <w:p w14:paraId="1EC29C91">
            <w:pPr>
              <w:spacing w:before="26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417" w:type="dxa"/>
            <w:vMerge w:val="continue"/>
            <w:tcBorders>
              <w:top w:val="nil"/>
            </w:tcBorders>
            <w:vAlign w:val="top"/>
          </w:tcPr>
          <w:p w14:paraId="743D9765">
            <w:pPr>
              <w:rPr>
                <w:rFonts w:ascii="Arial"/>
                <w:sz w:val="21"/>
              </w:rPr>
            </w:pPr>
          </w:p>
        </w:tc>
        <w:tc>
          <w:tcPr>
            <w:tcW w:w="5012" w:type="dxa"/>
            <w:vAlign w:val="top"/>
          </w:tcPr>
          <w:p w14:paraId="127AAD30">
            <w:pPr>
              <w:pStyle w:val="6"/>
              <w:spacing w:before="31" w:line="274" w:lineRule="exact"/>
              <w:ind w:left="132"/>
            </w:pPr>
            <w:r>
              <w:rPr>
                <w:spacing w:val="7"/>
                <w:position w:val="1"/>
              </w:rPr>
              <w:t>《环境空气质量标准》（</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3095-2012</w:t>
            </w:r>
            <w:r>
              <w:rPr>
                <w:spacing w:val="7"/>
                <w:position w:val="1"/>
              </w:rPr>
              <w:t>）及其</w:t>
            </w:r>
            <w:r>
              <w:rPr>
                <w:rFonts w:ascii="Times New Roman" w:hAnsi="Times New Roman" w:eastAsia="Times New Roman" w:cs="Times New Roman"/>
                <w:spacing w:val="7"/>
                <w:position w:val="1"/>
              </w:rPr>
              <w:t>2018</w:t>
            </w:r>
            <w:r>
              <w:rPr>
                <w:spacing w:val="7"/>
                <w:position w:val="1"/>
              </w:rPr>
              <w:t>年</w:t>
            </w:r>
          </w:p>
          <w:p w14:paraId="4C33B170">
            <w:pPr>
              <w:pStyle w:val="6"/>
              <w:spacing w:before="83" w:line="228" w:lineRule="auto"/>
              <w:ind w:left="1775"/>
            </w:pPr>
            <w:r>
              <w:rPr>
                <w:spacing w:val="8"/>
              </w:rPr>
              <w:t>修改单二级标准</w:t>
            </w:r>
          </w:p>
        </w:tc>
      </w:tr>
    </w:tbl>
    <w:p w14:paraId="4AEB4590">
      <w:pPr>
        <w:spacing w:before="89"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）声环境质量监测</w:t>
      </w:r>
    </w:p>
    <w:p w14:paraId="2B5BB69E">
      <w:pPr>
        <w:spacing w:before="127" w:line="367" w:lineRule="auto"/>
        <w:ind w:left="123" w:right="113" w:firstLine="482"/>
        <w:rPr>
          <w:rFonts w:ascii="宋体" w:hAnsi="宋体" w:eastAsia="宋体" w:cs="宋体"/>
          <w:sz w:val="24"/>
          <w:szCs w:val="24"/>
        </w:rPr>
      </w:pPr>
      <w:r>
        <w:rPr>
          <w:rFonts w:ascii="宋体" w:hAnsi="宋体" w:eastAsia="宋体" w:cs="宋体"/>
          <w:spacing w:val="-1"/>
          <w:sz w:val="24"/>
          <w:szCs w:val="24"/>
        </w:rPr>
        <w:t>项目声环境评价范围（项目边界外</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）内没有声环境敏感点，因此不设声环</w:t>
      </w:r>
      <w:r>
        <w:rPr>
          <w:rFonts w:ascii="宋体" w:hAnsi="宋体" w:eastAsia="宋体" w:cs="宋体"/>
          <w:sz w:val="24"/>
          <w:szCs w:val="24"/>
        </w:rPr>
        <w:t xml:space="preserve"> </w:t>
      </w:r>
      <w:r>
        <w:rPr>
          <w:rFonts w:ascii="宋体" w:hAnsi="宋体" w:eastAsia="宋体" w:cs="宋体"/>
          <w:spacing w:val="-2"/>
          <w:sz w:val="24"/>
          <w:szCs w:val="24"/>
        </w:rPr>
        <w:t>境质量监测内容。</w:t>
      </w:r>
    </w:p>
    <w:p w14:paraId="62AB1CAE">
      <w:pPr>
        <w:spacing w:line="367" w:lineRule="auto"/>
        <w:rPr>
          <w:rFonts w:ascii="宋体" w:hAnsi="宋体" w:eastAsia="宋体" w:cs="宋体"/>
          <w:sz w:val="24"/>
          <w:szCs w:val="24"/>
        </w:rPr>
        <w:sectPr>
          <w:footerReference r:id="rId172" w:type="default"/>
          <w:pgSz w:w="11906" w:h="16839"/>
          <w:pgMar w:top="400" w:right="1475" w:bottom="1485" w:left="1475" w:header="0" w:footer="1249" w:gutter="0"/>
          <w:cols w:space="720" w:num="1"/>
        </w:sectPr>
      </w:pPr>
    </w:p>
    <w:p w14:paraId="09121313">
      <w:pPr>
        <w:pStyle w:val="2"/>
        <w:spacing w:line="273" w:lineRule="auto"/>
      </w:pPr>
    </w:p>
    <w:p w14:paraId="05B2ECA0">
      <w:pPr>
        <w:pStyle w:val="2"/>
        <w:spacing w:line="274" w:lineRule="auto"/>
      </w:pPr>
    </w:p>
    <w:p w14:paraId="3DEEEDA3">
      <w:pPr>
        <w:pStyle w:val="2"/>
        <w:spacing w:line="274" w:lineRule="auto"/>
      </w:pPr>
    </w:p>
    <w:p w14:paraId="2BF2D2A6">
      <w:pPr>
        <w:pStyle w:val="2"/>
        <w:spacing w:line="274" w:lineRule="auto"/>
      </w:pPr>
    </w:p>
    <w:p w14:paraId="3E8BE9FF">
      <w:pPr>
        <w:spacing w:before="78" w:line="222"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8.3.3</w:t>
      </w:r>
      <w:r>
        <w:rPr>
          <w:rFonts w:ascii="宋体" w:hAnsi="宋体" w:eastAsia="宋体" w:cs="宋体"/>
          <w:b/>
          <w:bCs/>
          <w:spacing w:val="-2"/>
          <w:sz w:val="24"/>
          <w:szCs w:val="24"/>
        </w:rPr>
        <w:t>排污口规范化整治</w:t>
      </w:r>
    </w:p>
    <w:p w14:paraId="1B6DF6C2">
      <w:pPr>
        <w:pStyle w:val="2"/>
        <w:spacing w:line="243" w:lineRule="auto"/>
      </w:pPr>
    </w:p>
    <w:p w14:paraId="33CB3C09">
      <w:pPr>
        <w:spacing w:before="78" w:line="376" w:lineRule="auto"/>
        <w:ind w:left="1" w:firstLine="480"/>
        <w:jc w:val="both"/>
        <w:rPr>
          <w:rFonts w:ascii="宋体" w:hAnsi="宋体" w:eastAsia="宋体" w:cs="宋体"/>
          <w:sz w:val="24"/>
          <w:szCs w:val="24"/>
        </w:rPr>
      </w:pPr>
      <w:r>
        <w:rPr>
          <w:rFonts w:ascii="宋体" w:hAnsi="宋体" w:eastAsia="宋体" w:cs="宋体"/>
          <w:spacing w:val="2"/>
          <w:sz w:val="24"/>
          <w:szCs w:val="24"/>
        </w:rPr>
        <w:t>根据《环境保护图形标志－排放口（源）》（</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15562.1-1995</w:t>
      </w:r>
      <w:r>
        <w:rPr>
          <w:rFonts w:ascii="宋体" w:hAnsi="宋体" w:eastAsia="宋体" w:cs="宋体"/>
          <w:spacing w:val="2"/>
          <w:sz w:val="24"/>
          <w:szCs w:val="24"/>
        </w:rPr>
        <w:t>）、《排污口规</w:t>
      </w:r>
      <w:r>
        <w:rPr>
          <w:rFonts w:ascii="宋体" w:hAnsi="宋体" w:eastAsia="宋体" w:cs="宋体"/>
          <w:spacing w:val="7"/>
          <w:sz w:val="24"/>
          <w:szCs w:val="24"/>
        </w:rPr>
        <w:t xml:space="preserve"> </w:t>
      </w:r>
      <w:r>
        <w:rPr>
          <w:rFonts w:ascii="宋体" w:hAnsi="宋体" w:eastAsia="宋体" w:cs="宋体"/>
          <w:spacing w:val="2"/>
          <w:sz w:val="24"/>
          <w:szCs w:val="24"/>
        </w:rPr>
        <w:t>范化整治技术要求（试行）》（环监〔</w:t>
      </w:r>
      <w:r>
        <w:rPr>
          <w:rFonts w:ascii="Times New Roman" w:hAnsi="Times New Roman" w:eastAsia="Times New Roman" w:cs="Times New Roman"/>
          <w:spacing w:val="2"/>
          <w:sz w:val="24"/>
          <w:szCs w:val="24"/>
        </w:rPr>
        <w:t>1996</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470  </w:t>
      </w:r>
      <w:r>
        <w:rPr>
          <w:rFonts w:ascii="宋体" w:hAnsi="宋体" w:eastAsia="宋体" w:cs="宋体"/>
          <w:spacing w:val="2"/>
          <w:sz w:val="24"/>
          <w:szCs w:val="24"/>
        </w:rPr>
        <w:t>号）和《广东省污染源</w:t>
      </w:r>
      <w:r>
        <w:rPr>
          <w:rFonts w:ascii="宋体" w:hAnsi="宋体" w:eastAsia="宋体" w:cs="宋体"/>
          <w:spacing w:val="1"/>
          <w:sz w:val="24"/>
          <w:szCs w:val="24"/>
        </w:rPr>
        <w:t>排污口规</w:t>
      </w:r>
      <w:r>
        <w:rPr>
          <w:rFonts w:ascii="宋体" w:hAnsi="宋体" w:eastAsia="宋体" w:cs="宋体"/>
          <w:sz w:val="24"/>
          <w:szCs w:val="24"/>
        </w:rPr>
        <w:t xml:space="preserve"> </w:t>
      </w:r>
      <w:r>
        <w:rPr>
          <w:rFonts w:ascii="宋体" w:hAnsi="宋体" w:eastAsia="宋体" w:cs="宋体"/>
          <w:spacing w:val="-5"/>
          <w:sz w:val="24"/>
          <w:szCs w:val="24"/>
        </w:rPr>
        <w:t>范化设置导则》（粤环〔</w:t>
      </w:r>
      <w:r>
        <w:rPr>
          <w:rFonts w:ascii="Times New Roman" w:hAnsi="Times New Roman" w:eastAsia="Times New Roman" w:cs="Times New Roman"/>
          <w:spacing w:val="-5"/>
          <w:sz w:val="24"/>
          <w:szCs w:val="24"/>
        </w:rPr>
        <w:t>2008</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42  </w:t>
      </w:r>
      <w:r>
        <w:rPr>
          <w:rFonts w:ascii="宋体" w:hAnsi="宋体" w:eastAsia="宋体" w:cs="宋体"/>
          <w:spacing w:val="-5"/>
          <w:sz w:val="24"/>
          <w:szCs w:val="24"/>
        </w:rPr>
        <w:t>号）的技术要求，企业所有排放口（包括气、声、</w:t>
      </w:r>
      <w:r>
        <w:rPr>
          <w:rFonts w:ascii="宋体" w:hAnsi="宋体" w:eastAsia="宋体" w:cs="宋体"/>
          <w:spacing w:val="11"/>
          <w:sz w:val="24"/>
          <w:szCs w:val="24"/>
        </w:rPr>
        <w:t xml:space="preserve"> </w:t>
      </w:r>
      <w:r>
        <w:rPr>
          <w:rFonts w:ascii="宋体" w:hAnsi="宋体" w:eastAsia="宋体" w:cs="宋体"/>
          <w:spacing w:val="1"/>
          <w:sz w:val="24"/>
          <w:szCs w:val="24"/>
        </w:rPr>
        <w:t>渣）必须按照“便于采集样品、便于计量监测、便于日常现场监督检查</w:t>
      </w:r>
      <w:r>
        <w:rPr>
          <w:rFonts w:ascii="宋体" w:hAnsi="宋体" w:eastAsia="宋体" w:cs="宋体"/>
          <w:spacing w:val="-78"/>
          <w:sz w:val="24"/>
          <w:szCs w:val="24"/>
        </w:rPr>
        <w:t xml:space="preserve"> </w:t>
      </w:r>
      <w:r>
        <w:rPr>
          <w:rFonts w:ascii="宋体" w:hAnsi="宋体" w:eastAsia="宋体" w:cs="宋体"/>
          <w:spacing w:val="1"/>
          <w:sz w:val="24"/>
          <w:szCs w:val="24"/>
        </w:rPr>
        <w:t>”的原则和</w:t>
      </w:r>
      <w:r>
        <w:rPr>
          <w:rFonts w:ascii="宋体" w:hAnsi="宋体" w:eastAsia="宋体" w:cs="宋体"/>
          <w:sz w:val="24"/>
          <w:szCs w:val="24"/>
        </w:rPr>
        <w:t xml:space="preserve"> </w:t>
      </w:r>
      <w:r>
        <w:rPr>
          <w:rFonts w:ascii="宋体" w:hAnsi="宋体" w:eastAsia="宋体" w:cs="宋体"/>
          <w:spacing w:val="2"/>
          <w:sz w:val="24"/>
          <w:szCs w:val="24"/>
        </w:rPr>
        <w:t>规范化要求，设置与之相适应的环境保护图形标志牌，绘制企业排污口分布图，同</w:t>
      </w:r>
      <w:r>
        <w:rPr>
          <w:rFonts w:ascii="宋体" w:hAnsi="宋体" w:eastAsia="宋体" w:cs="宋体"/>
          <w:spacing w:val="6"/>
          <w:sz w:val="24"/>
          <w:szCs w:val="24"/>
        </w:rPr>
        <w:t xml:space="preserve"> </w:t>
      </w:r>
      <w:r>
        <w:rPr>
          <w:rFonts w:ascii="宋体" w:hAnsi="宋体" w:eastAsia="宋体" w:cs="宋体"/>
          <w:spacing w:val="2"/>
          <w:sz w:val="24"/>
          <w:szCs w:val="24"/>
        </w:rPr>
        <w:t>时对污水排放口安装流量计，对治理设施安装运行监控装置、排污口的规范化要符</w:t>
      </w:r>
      <w:r>
        <w:rPr>
          <w:rFonts w:ascii="宋体" w:hAnsi="宋体" w:eastAsia="宋体" w:cs="宋体"/>
          <w:spacing w:val="6"/>
          <w:sz w:val="24"/>
          <w:szCs w:val="24"/>
        </w:rPr>
        <w:t xml:space="preserve"> </w:t>
      </w:r>
      <w:r>
        <w:rPr>
          <w:rFonts w:ascii="宋体" w:hAnsi="宋体" w:eastAsia="宋体" w:cs="宋体"/>
          <w:spacing w:val="-2"/>
          <w:sz w:val="24"/>
          <w:szCs w:val="24"/>
        </w:rPr>
        <w:t>合有关要求。</w:t>
      </w:r>
    </w:p>
    <w:p w14:paraId="7B30CACA">
      <w:pPr>
        <w:spacing w:line="361"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）废气排放口</w:t>
      </w:r>
    </w:p>
    <w:p w14:paraId="1949BABD">
      <w:pPr>
        <w:spacing w:before="163" w:line="367" w:lineRule="auto"/>
        <w:ind w:left="2" w:right="80" w:firstLine="478"/>
        <w:jc w:val="both"/>
        <w:rPr>
          <w:rFonts w:ascii="宋体" w:hAnsi="宋体" w:eastAsia="宋体" w:cs="宋体"/>
          <w:sz w:val="24"/>
          <w:szCs w:val="24"/>
        </w:rPr>
      </w:pPr>
      <w:r>
        <w:rPr>
          <w:rFonts w:ascii="宋体" w:hAnsi="宋体" w:eastAsia="宋体" w:cs="宋体"/>
          <w:spacing w:val="2"/>
          <w:sz w:val="24"/>
          <w:szCs w:val="24"/>
        </w:rPr>
        <w:t>废气排放口必须符合规定的高度和按《污染源监测技术规范》便于采样、监测</w:t>
      </w:r>
      <w:r>
        <w:rPr>
          <w:rFonts w:ascii="宋体" w:hAnsi="宋体" w:eastAsia="宋体" w:cs="宋体"/>
          <w:spacing w:val="11"/>
          <w:sz w:val="24"/>
          <w:szCs w:val="24"/>
        </w:rPr>
        <w:t xml:space="preserve"> </w:t>
      </w:r>
      <w:r>
        <w:rPr>
          <w:rFonts w:ascii="宋体" w:hAnsi="宋体" w:eastAsia="宋体" w:cs="宋体"/>
          <w:spacing w:val="1"/>
          <w:sz w:val="24"/>
          <w:szCs w:val="24"/>
        </w:rPr>
        <w:t>的要求，设置直径不小于</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75</w:t>
      </w:r>
      <w:r>
        <w:rPr>
          <w:rFonts w:ascii="Times New Roman" w:hAnsi="Times New Roman" w:eastAsia="Times New Roman" w:cs="Times New Roman"/>
          <w:sz w:val="24"/>
          <w:szCs w:val="24"/>
        </w:rPr>
        <w:t>mm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的采样口。如无法满足要求</w:t>
      </w:r>
      <w:r>
        <w:rPr>
          <w:rFonts w:ascii="宋体" w:hAnsi="宋体" w:eastAsia="宋体" w:cs="宋体"/>
          <w:sz w:val="24"/>
          <w:szCs w:val="24"/>
        </w:rPr>
        <w:t xml:space="preserve">的，其采样口与环境监 </w:t>
      </w:r>
      <w:r>
        <w:rPr>
          <w:rFonts w:ascii="宋体" w:hAnsi="宋体" w:eastAsia="宋体" w:cs="宋体"/>
          <w:spacing w:val="-2"/>
          <w:sz w:val="24"/>
          <w:szCs w:val="24"/>
        </w:rPr>
        <w:t>测部门共同确认。</w:t>
      </w:r>
    </w:p>
    <w:p w14:paraId="5B8950E9">
      <w:pPr>
        <w:spacing w:line="361"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）固定噪声源</w:t>
      </w:r>
    </w:p>
    <w:p w14:paraId="26CC21ED">
      <w:pPr>
        <w:spacing w:before="164" w:line="362" w:lineRule="auto"/>
        <w:ind w:right="82" w:firstLine="483"/>
        <w:rPr>
          <w:rFonts w:ascii="宋体" w:hAnsi="宋体" w:eastAsia="宋体" w:cs="宋体"/>
          <w:sz w:val="24"/>
          <w:szCs w:val="24"/>
        </w:rPr>
      </w:pPr>
      <w:r>
        <w:rPr>
          <w:rFonts w:ascii="宋体" w:hAnsi="宋体" w:eastAsia="宋体" w:cs="宋体"/>
          <w:spacing w:val="2"/>
          <w:sz w:val="24"/>
          <w:szCs w:val="24"/>
        </w:rPr>
        <w:t>按规定对固定噪声源进行治理，并在边界噪声敏感点，且对外界影响最大处设</w:t>
      </w:r>
      <w:r>
        <w:rPr>
          <w:rFonts w:ascii="宋体" w:hAnsi="宋体" w:eastAsia="宋体" w:cs="宋体"/>
          <w:spacing w:val="8"/>
          <w:sz w:val="24"/>
          <w:szCs w:val="24"/>
        </w:rPr>
        <w:t xml:space="preserve"> </w:t>
      </w:r>
      <w:r>
        <w:rPr>
          <w:rFonts w:ascii="宋体" w:hAnsi="宋体" w:eastAsia="宋体" w:cs="宋体"/>
          <w:spacing w:val="-2"/>
          <w:sz w:val="24"/>
          <w:szCs w:val="24"/>
        </w:rPr>
        <w:t>置标志牌。</w:t>
      </w:r>
    </w:p>
    <w:p w14:paraId="231DD790">
      <w:pPr>
        <w:spacing w:line="360"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）固体废物储存场</w:t>
      </w:r>
    </w:p>
    <w:p w14:paraId="43E98F82">
      <w:pPr>
        <w:spacing w:before="165" w:line="219" w:lineRule="auto"/>
        <w:ind w:left="502"/>
        <w:rPr>
          <w:rFonts w:ascii="宋体" w:hAnsi="宋体" w:eastAsia="宋体" w:cs="宋体"/>
          <w:sz w:val="24"/>
          <w:szCs w:val="24"/>
        </w:rPr>
      </w:pPr>
      <w:r>
        <w:rPr>
          <w:rFonts w:ascii="宋体" w:hAnsi="宋体" w:eastAsia="宋体" w:cs="宋体"/>
          <w:spacing w:val="-1"/>
          <w:sz w:val="24"/>
          <w:szCs w:val="24"/>
        </w:rPr>
        <w:t>固体废物和生活垃圾应设置专用堆放场地，采取防止二次污染措</w:t>
      </w:r>
      <w:r>
        <w:rPr>
          <w:rFonts w:ascii="宋体" w:hAnsi="宋体" w:eastAsia="宋体" w:cs="宋体"/>
          <w:spacing w:val="-2"/>
          <w:sz w:val="24"/>
          <w:szCs w:val="24"/>
        </w:rPr>
        <w:t>施。</w:t>
      </w:r>
    </w:p>
    <w:p w14:paraId="2730352C">
      <w:pPr>
        <w:spacing w:before="166" w:line="361"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）设置标志牌要求</w:t>
      </w:r>
    </w:p>
    <w:p w14:paraId="455E68C8">
      <w:pPr>
        <w:spacing w:before="169" w:line="373" w:lineRule="auto"/>
        <w:ind w:right="19" w:firstLine="480"/>
        <w:jc w:val="both"/>
        <w:rPr>
          <w:rFonts w:ascii="宋体" w:hAnsi="宋体" w:eastAsia="宋体" w:cs="宋体"/>
          <w:sz w:val="24"/>
          <w:szCs w:val="24"/>
        </w:rPr>
      </w:pPr>
      <w:r>
        <w:rPr>
          <w:rFonts w:ascii="宋体" w:hAnsi="宋体" w:eastAsia="宋体" w:cs="宋体"/>
          <w:spacing w:val="2"/>
          <w:sz w:val="24"/>
          <w:szCs w:val="24"/>
        </w:rPr>
        <w:t>环境保护图形标志牌由国家环保总局统一定点制作，并由当地环境监理部门根</w:t>
      </w:r>
      <w:r>
        <w:rPr>
          <w:rFonts w:ascii="宋体" w:hAnsi="宋体" w:eastAsia="宋体" w:cs="宋体"/>
          <w:spacing w:val="10"/>
          <w:sz w:val="24"/>
          <w:szCs w:val="24"/>
        </w:rPr>
        <w:t xml:space="preserve"> </w:t>
      </w:r>
      <w:r>
        <w:rPr>
          <w:rFonts w:ascii="宋体" w:hAnsi="宋体" w:eastAsia="宋体" w:cs="宋体"/>
          <w:spacing w:val="2"/>
          <w:sz w:val="24"/>
          <w:szCs w:val="24"/>
        </w:rPr>
        <w:t>据企业排污情况统一向国家环保总局订购。企业排污口分布图由市环境监理部门统</w:t>
      </w:r>
      <w:r>
        <w:rPr>
          <w:rFonts w:ascii="宋体" w:hAnsi="宋体" w:eastAsia="宋体" w:cs="宋体"/>
          <w:spacing w:val="7"/>
          <w:sz w:val="24"/>
          <w:szCs w:val="24"/>
        </w:rPr>
        <w:t xml:space="preserve"> </w:t>
      </w:r>
      <w:r>
        <w:rPr>
          <w:rFonts w:ascii="宋体" w:hAnsi="宋体" w:eastAsia="宋体" w:cs="宋体"/>
          <w:spacing w:val="2"/>
          <w:sz w:val="24"/>
          <w:szCs w:val="24"/>
        </w:rPr>
        <w:t>一绘制。排放一般污染物排污口（源</w:t>
      </w:r>
      <w:r>
        <w:rPr>
          <w:rFonts w:ascii="宋体" w:hAnsi="宋体" w:eastAsia="宋体" w:cs="宋体"/>
          <w:spacing w:val="10"/>
          <w:sz w:val="24"/>
          <w:szCs w:val="24"/>
        </w:rPr>
        <w:t>），</w:t>
      </w:r>
      <w:r>
        <w:rPr>
          <w:rFonts w:ascii="宋体" w:hAnsi="宋体" w:eastAsia="宋体" w:cs="宋体"/>
          <w:spacing w:val="2"/>
          <w:sz w:val="24"/>
          <w:szCs w:val="24"/>
        </w:rPr>
        <w:t>设置提示式标志牌</w:t>
      </w:r>
      <w:r>
        <w:rPr>
          <w:rFonts w:ascii="宋体" w:hAnsi="宋体" w:eastAsia="宋体" w:cs="宋体"/>
          <w:spacing w:val="1"/>
          <w:sz w:val="24"/>
          <w:szCs w:val="24"/>
        </w:rPr>
        <w:t xml:space="preserve">，排放有毒有害等污染 </w:t>
      </w:r>
      <w:r>
        <w:rPr>
          <w:rFonts w:ascii="宋体" w:hAnsi="宋体" w:eastAsia="宋体" w:cs="宋体"/>
          <w:spacing w:val="-3"/>
          <w:sz w:val="24"/>
          <w:szCs w:val="24"/>
        </w:rPr>
        <w:t>物的排污口设置警告式标志牌。标志牌设置位置在排污口（采样点）附近且醒目处，</w:t>
      </w:r>
      <w:r>
        <w:rPr>
          <w:rFonts w:ascii="宋体" w:hAnsi="宋体" w:eastAsia="宋体" w:cs="宋体"/>
          <w:spacing w:val="13"/>
          <w:sz w:val="24"/>
          <w:szCs w:val="24"/>
        </w:rPr>
        <w:t xml:space="preserve"> </w:t>
      </w:r>
      <w:r>
        <w:rPr>
          <w:rFonts w:ascii="宋体" w:hAnsi="宋体" w:eastAsia="宋体" w:cs="宋体"/>
          <w:spacing w:val="1"/>
          <w:sz w:val="24"/>
          <w:szCs w:val="24"/>
        </w:rPr>
        <w:t>高度为标志牌上缘离地面</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米。排污口附近</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米范围内有建筑物的，设平面式标志</w:t>
      </w:r>
      <w:r>
        <w:rPr>
          <w:rFonts w:ascii="宋体" w:hAnsi="宋体" w:eastAsia="宋体" w:cs="宋体"/>
          <w:sz w:val="24"/>
          <w:szCs w:val="24"/>
        </w:rPr>
        <w:t xml:space="preserve"> </w:t>
      </w:r>
      <w:r>
        <w:rPr>
          <w:rFonts w:ascii="宋体" w:hAnsi="宋体" w:eastAsia="宋体" w:cs="宋体"/>
          <w:spacing w:val="-1"/>
          <w:sz w:val="24"/>
          <w:szCs w:val="24"/>
        </w:rPr>
        <w:t>牌，无建筑物的设立式标志牌。</w:t>
      </w:r>
    </w:p>
    <w:p w14:paraId="5AA98694">
      <w:pPr>
        <w:spacing w:before="21" w:line="378" w:lineRule="auto"/>
        <w:ind w:right="82" w:firstLine="481"/>
        <w:jc w:val="both"/>
        <w:rPr>
          <w:rFonts w:ascii="宋体" w:hAnsi="宋体" w:eastAsia="宋体" w:cs="宋体"/>
          <w:sz w:val="24"/>
          <w:szCs w:val="24"/>
        </w:rPr>
      </w:pPr>
      <w:r>
        <w:rPr>
          <w:rFonts w:ascii="宋体" w:hAnsi="宋体" w:eastAsia="宋体" w:cs="宋体"/>
          <w:spacing w:val="2"/>
          <w:sz w:val="24"/>
          <w:szCs w:val="24"/>
        </w:rPr>
        <w:t>规范化排污口的有关设置（如图形标志牌、计量装置、监控装置等）属环保设</w:t>
      </w:r>
      <w:r>
        <w:rPr>
          <w:rFonts w:ascii="宋体" w:hAnsi="宋体" w:eastAsia="宋体" w:cs="宋体"/>
          <w:spacing w:val="9"/>
          <w:sz w:val="24"/>
          <w:szCs w:val="24"/>
        </w:rPr>
        <w:t xml:space="preserve"> </w:t>
      </w:r>
      <w:r>
        <w:rPr>
          <w:rFonts w:ascii="宋体" w:hAnsi="宋体" w:eastAsia="宋体" w:cs="宋体"/>
          <w:spacing w:val="2"/>
          <w:sz w:val="24"/>
          <w:szCs w:val="24"/>
        </w:rPr>
        <w:t>施，排污单位必须负责日常的维护保养，任何单位和个人不得擅自拆除，如需变更</w:t>
      </w:r>
      <w:r>
        <w:rPr>
          <w:rFonts w:ascii="宋体" w:hAnsi="宋体" w:eastAsia="宋体" w:cs="宋体"/>
          <w:spacing w:val="7"/>
          <w:sz w:val="24"/>
          <w:szCs w:val="24"/>
        </w:rPr>
        <w:t xml:space="preserve"> </w:t>
      </w:r>
      <w:r>
        <w:rPr>
          <w:rFonts w:ascii="宋体" w:hAnsi="宋体" w:eastAsia="宋体" w:cs="宋体"/>
          <w:spacing w:val="-1"/>
          <w:sz w:val="24"/>
          <w:szCs w:val="24"/>
        </w:rPr>
        <w:t>的须报环境监理部门同意并办理变更手续。</w:t>
      </w:r>
    </w:p>
    <w:p w14:paraId="24574F21">
      <w:pPr>
        <w:spacing w:line="378" w:lineRule="auto"/>
        <w:rPr>
          <w:rFonts w:ascii="宋体" w:hAnsi="宋体" w:eastAsia="宋体" w:cs="宋体"/>
          <w:sz w:val="24"/>
          <w:szCs w:val="24"/>
        </w:rPr>
        <w:sectPr>
          <w:footerReference r:id="rId173" w:type="default"/>
          <w:pgSz w:w="11906" w:h="16839"/>
          <w:pgMar w:top="400" w:right="1505" w:bottom="1485" w:left="1596" w:header="0" w:footer="1249" w:gutter="0"/>
          <w:cols w:space="720" w:num="1"/>
        </w:sectPr>
      </w:pPr>
    </w:p>
    <w:p w14:paraId="6233D5B3">
      <w:pPr>
        <w:pStyle w:val="2"/>
        <w:spacing w:line="269" w:lineRule="auto"/>
      </w:pPr>
    </w:p>
    <w:p w14:paraId="750BD81E">
      <w:pPr>
        <w:pStyle w:val="2"/>
        <w:spacing w:line="270" w:lineRule="auto"/>
      </w:pPr>
    </w:p>
    <w:p w14:paraId="33470865">
      <w:pPr>
        <w:pStyle w:val="2"/>
        <w:spacing w:line="270" w:lineRule="auto"/>
      </w:pPr>
    </w:p>
    <w:p w14:paraId="0EEBB8C7">
      <w:pPr>
        <w:pStyle w:val="2"/>
        <w:spacing w:line="270" w:lineRule="auto"/>
      </w:pPr>
    </w:p>
    <w:p w14:paraId="44751533">
      <w:pPr>
        <w:spacing w:before="101" w:line="226" w:lineRule="auto"/>
        <w:outlineLvl w:val="1"/>
        <w:rPr>
          <w:rFonts w:ascii="宋体" w:hAnsi="宋体" w:eastAsia="宋体" w:cs="宋体"/>
          <w:sz w:val="31"/>
          <w:szCs w:val="31"/>
        </w:rPr>
      </w:pPr>
      <w:bookmarkStart w:id="51" w:name="bookmark46"/>
      <w:bookmarkEnd w:id="51"/>
      <w:r>
        <w:rPr>
          <w:rFonts w:ascii="宋体" w:hAnsi="宋体" w:eastAsia="宋体" w:cs="宋体"/>
          <w:b/>
          <w:bCs/>
          <w:spacing w:val="4"/>
          <w:sz w:val="31"/>
          <w:szCs w:val="31"/>
        </w:rPr>
        <w:t>8.4污染物排放清单</w:t>
      </w:r>
    </w:p>
    <w:p w14:paraId="0AFACC9E">
      <w:pPr>
        <w:pStyle w:val="2"/>
        <w:spacing w:line="407" w:lineRule="auto"/>
      </w:pPr>
    </w:p>
    <w:p w14:paraId="75D00653">
      <w:pPr>
        <w:spacing w:before="78" w:line="378" w:lineRule="auto"/>
        <w:ind w:left="1" w:firstLine="477"/>
        <w:rPr>
          <w:rFonts w:ascii="宋体" w:hAnsi="宋体" w:eastAsia="宋体" w:cs="宋体"/>
          <w:sz w:val="24"/>
          <w:szCs w:val="24"/>
        </w:rPr>
      </w:pPr>
      <w:r>
        <w:rPr>
          <w:rFonts w:ascii="宋体" w:hAnsi="宋体" w:eastAsia="宋体" w:cs="宋体"/>
          <w:spacing w:val="2"/>
          <w:sz w:val="24"/>
          <w:szCs w:val="24"/>
        </w:rPr>
        <w:t>为便于当地行政主管部门管理，便于对社会公开项目信息，根据导则要求，制</w:t>
      </w:r>
      <w:r>
        <w:rPr>
          <w:rFonts w:ascii="宋体" w:hAnsi="宋体" w:eastAsia="宋体" w:cs="宋体"/>
          <w:spacing w:val="7"/>
          <w:sz w:val="24"/>
          <w:szCs w:val="24"/>
        </w:rPr>
        <w:t xml:space="preserve"> </w:t>
      </w:r>
      <w:r>
        <w:rPr>
          <w:rFonts w:ascii="宋体" w:hAnsi="宋体" w:eastAsia="宋体" w:cs="宋体"/>
          <w:spacing w:val="-1"/>
          <w:sz w:val="24"/>
          <w:szCs w:val="24"/>
        </w:rPr>
        <w:t>定本项目污染物排放清单，明确污染物排放的管理要求。</w:t>
      </w:r>
    </w:p>
    <w:p w14:paraId="5015490C">
      <w:pPr>
        <w:spacing w:line="378" w:lineRule="auto"/>
        <w:rPr>
          <w:rFonts w:ascii="宋体" w:hAnsi="宋体" w:eastAsia="宋体" w:cs="宋体"/>
          <w:sz w:val="24"/>
          <w:szCs w:val="24"/>
        </w:rPr>
        <w:sectPr>
          <w:footerReference r:id="rId174" w:type="default"/>
          <w:pgSz w:w="11906" w:h="16839"/>
          <w:pgMar w:top="400" w:right="1588" w:bottom="1485" w:left="1602" w:header="0" w:footer="1249" w:gutter="0"/>
          <w:cols w:space="720" w:num="1"/>
        </w:sectPr>
      </w:pPr>
    </w:p>
    <w:p w14:paraId="645C0A69">
      <w:pPr>
        <w:pStyle w:val="2"/>
        <w:spacing w:line="286" w:lineRule="auto"/>
      </w:pPr>
    </w:p>
    <w:p w14:paraId="2062FFB2">
      <w:pPr>
        <w:pStyle w:val="2"/>
        <w:spacing w:line="287" w:lineRule="auto"/>
      </w:pPr>
    </w:p>
    <w:p w14:paraId="2B11D5CA">
      <w:pPr>
        <w:pStyle w:val="2"/>
        <w:spacing w:line="287" w:lineRule="auto"/>
      </w:pPr>
    </w:p>
    <w:p w14:paraId="18CF0196">
      <w:pPr>
        <w:pStyle w:val="2"/>
        <w:spacing w:line="287" w:lineRule="auto"/>
      </w:pPr>
    </w:p>
    <w:p w14:paraId="66D28846">
      <w:pPr>
        <w:spacing w:before="65" w:line="222" w:lineRule="auto"/>
        <w:ind w:left="5983"/>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5"/>
          <w:sz w:val="20"/>
          <w:szCs w:val="20"/>
        </w:rPr>
        <w:t xml:space="preserve">8.4-1  </w:t>
      </w:r>
      <w:r>
        <w:rPr>
          <w:rFonts w:ascii="宋体" w:hAnsi="宋体" w:eastAsia="宋体" w:cs="宋体"/>
          <w:b/>
          <w:bCs/>
          <w:spacing w:val="5"/>
          <w:sz w:val="20"/>
          <w:szCs w:val="20"/>
        </w:rPr>
        <w:t>污染物排放清单</w:t>
      </w: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944"/>
        <w:gridCol w:w="1213"/>
        <w:gridCol w:w="1064"/>
        <w:gridCol w:w="1560"/>
        <w:gridCol w:w="1557"/>
        <w:gridCol w:w="3161"/>
        <w:gridCol w:w="2737"/>
        <w:gridCol w:w="1551"/>
      </w:tblGrid>
      <w:tr w14:paraId="21D80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35" w:type="dxa"/>
            <w:vMerge w:val="restart"/>
            <w:tcBorders>
              <w:bottom w:val="nil"/>
            </w:tcBorders>
            <w:textDirection w:val="tbRlV"/>
            <w:vAlign w:val="top"/>
          </w:tcPr>
          <w:p w14:paraId="24006A91">
            <w:pPr>
              <w:pStyle w:val="6"/>
              <w:spacing w:before="109" w:line="216" w:lineRule="auto"/>
              <w:ind w:left="39"/>
            </w:pPr>
            <w:r>
              <w:rPr>
                <w:b/>
                <w:bCs/>
                <w:spacing w:val="7"/>
              </w:rPr>
              <w:t>类</w:t>
            </w:r>
            <w:r>
              <w:rPr>
                <w:spacing w:val="-36"/>
              </w:rPr>
              <w:t xml:space="preserve"> </w:t>
            </w:r>
            <w:r>
              <w:rPr>
                <w:b/>
                <w:bCs/>
                <w:spacing w:val="7"/>
              </w:rPr>
              <w:t>别</w:t>
            </w:r>
          </w:p>
        </w:tc>
        <w:tc>
          <w:tcPr>
            <w:tcW w:w="944" w:type="dxa"/>
            <w:vMerge w:val="restart"/>
            <w:tcBorders>
              <w:bottom w:val="nil"/>
            </w:tcBorders>
            <w:vAlign w:val="top"/>
          </w:tcPr>
          <w:p w14:paraId="5AE2326D">
            <w:pPr>
              <w:pStyle w:val="6"/>
              <w:spacing w:before="176" w:line="229" w:lineRule="auto"/>
              <w:ind w:left="160"/>
            </w:pPr>
            <w:r>
              <w:rPr>
                <w:b/>
                <w:bCs/>
                <w:spacing w:val="5"/>
              </w:rPr>
              <w:t>污染源</w:t>
            </w:r>
          </w:p>
        </w:tc>
        <w:tc>
          <w:tcPr>
            <w:tcW w:w="2277" w:type="dxa"/>
            <w:gridSpan w:val="2"/>
            <w:vMerge w:val="restart"/>
            <w:tcBorders>
              <w:bottom w:val="nil"/>
            </w:tcBorders>
            <w:vAlign w:val="top"/>
          </w:tcPr>
          <w:p w14:paraId="0247F39D">
            <w:pPr>
              <w:pStyle w:val="6"/>
              <w:spacing w:before="176" w:line="229" w:lineRule="auto"/>
              <w:ind w:left="618"/>
            </w:pPr>
            <w:r>
              <w:rPr>
                <w:b/>
                <w:bCs/>
                <w:spacing w:val="6"/>
              </w:rPr>
              <w:t>污染物名称</w:t>
            </w:r>
          </w:p>
        </w:tc>
        <w:tc>
          <w:tcPr>
            <w:tcW w:w="3117" w:type="dxa"/>
            <w:gridSpan w:val="2"/>
            <w:vAlign w:val="top"/>
          </w:tcPr>
          <w:p w14:paraId="3A7CB31E">
            <w:pPr>
              <w:pStyle w:val="6"/>
              <w:spacing w:before="36" w:line="218" w:lineRule="auto"/>
              <w:ind w:left="1038"/>
            </w:pPr>
            <w:r>
              <w:rPr>
                <w:b/>
                <w:bCs/>
                <w:spacing w:val="6"/>
              </w:rPr>
              <w:t>污染物排放</w:t>
            </w:r>
          </w:p>
        </w:tc>
        <w:tc>
          <w:tcPr>
            <w:tcW w:w="3161" w:type="dxa"/>
            <w:vMerge w:val="restart"/>
            <w:tcBorders>
              <w:bottom w:val="nil"/>
            </w:tcBorders>
            <w:vAlign w:val="top"/>
          </w:tcPr>
          <w:p w14:paraId="7D769F44">
            <w:pPr>
              <w:pStyle w:val="6"/>
              <w:spacing w:before="176" w:line="228" w:lineRule="auto"/>
              <w:ind w:left="536"/>
            </w:pPr>
            <w:r>
              <w:rPr>
                <w:b/>
                <w:bCs/>
                <w:spacing w:val="7"/>
              </w:rPr>
              <w:t>拟采取的环境保护措施</w:t>
            </w:r>
          </w:p>
        </w:tc>
        <w:tc>
          <w:tcPr>
            <w:tcW w:w="2737" w:type="dxa"/>
            <w:vMerge w:val="restart"/>
            <w:tcBorders>
              <w:bottom w:val="nil"/>
            </w:tcBorders>
            <w:vAlign w:val="top"/>
          </w:tcPr>
          <w:p w14:paraId="7015B143">
            <w:pPr>
              <w:pStyle w:val="6"/>
              <w:spacing w:before="176" w:line="228" w:lineRule="auto"/>
              <w:ind w:left="641"/>
            </w:pPr>
            <w:r>
              <w:rPr>
                <w:b/>
                <w:bCs/>
                <w:spacing w:val="7"/>
              </w:rPr>
              <w:t>执行的环境标准</w:t>
            </w:r>
          </w:p>
        </w:tc>
        <w:tc>
          <w:tcPr>
            <w:tcW w:w="1551" w:type="dxa"/>
            <w:vMerge w:val="restart"/>
            <w:tcBorders>
              <w:bottom w:val="nil"/>
            </w:tcBorders>
            <w:vAlign w:val="top"/>
          </w:tcPr>
          <w:p w14:paraId="6802643C">
            <w:pPr>
              <w:pStyle w:val="6"/>
              <w:spacing w:before="176" w:line="229" w:lineRule="auto"/>
              <w:ind w:left="359"/>
            </w:pPr>
            <w:r>
              <w:rPr>
                <w:b/>
                <w:bCs/>
                <w:spacing w:val="6"/>
              </w:rPr>
              <w:t>环境监测</w:t>
            </w:r>
          </w:p>
        </w:tc>
      </w:tr>
      <w:tr w14:paraId="0FA3B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tcBorders>
            <w:textDirection w:val="tbRlV"/>
            <w:vAlign w:val="top"/>
          </w:tcPr>
          <w:p w14:paraId="6B11AA3F">
            <w:pPr>
              <w:rPr>
                <w:rFonts w:ascii="Arial"/>
                <w:sz w:val="21"/>
              </w:rPr>
            </w:pPr>
          </w:p>
        </w:tc>
        <w:tc>
          <w:tcPr>
            <w:tcW w:w="944" w:type="dxa"/>
            <w:vMerge w:val="continue"/>
            <w:tcBorders>
              <w:top w:val="nil"/>
            </w:tcBorders>
            <w:vAlign w:val="top"/>
          </w:tcPr>
          <w:p w14:paraId="3E439459">
            <w:pPr>
              <w:rPr>
                <w:rFonts w:ascii="Arial"/>
                <w:sz w:val="21"/>
              </w:rPr>
            </w:pPr>
          </w:p>
        </w:tc>
        <w:tc>
          <w:tcPr>
            <w:tcW w:w="2277" w:type="dxa"/>
            <w:gridSpan w:val="2"/>
            <w:vMerge w:val="continue"/>
            <w:tcBorders>
              <w:top w:val="nil"/>
            </w:tcBorders>
            <w:vAlign w:val="top"/>
          </w:tcPr>
          <w:p w14:paraId="6208FB62">
            <w:pPr>
              <w:rPr>
                <w:rFonts w:ascii="Arial"/>
                <w:sz w:val="21"/>
              </w:rPr>
            </w:pPr>
          </w:p>
        </w:tc>
        <w:tc>
          <w:tcPr>
            <w:tcW w:w="1560" w:type="dxa"/>
            <w:vAlign w:val="top"/>
          </w:tcPr>
          <w:p w14:paraId="0697B7A1">
            <w:pPr>
              <w:pStyle w:val="6"/>
              <w:spacing w:before="29" w:line="219" w:lineRule="auto"/>
              <w:ind w:left="125"/>
            </w:pPr>
            <w:r>
              <w:rPr>
                <w:b/>
                <w:bCs/>
                <w:spacing w:val="-1"/>
              </w:rPr>
              <w:t>浓度（</w:t>
            </w:r>
            <w:r>
              <w:rPr>
                <w:spacing w:val="-57"/>
              </w:rPr>
              <w:t xml:space="preserve"> </w:t>
            </w:r>
            <w:r>
              <w:rPr>
                <w:rFonts w:ascii="Times New Roman" w:hAnsi="Times New Roman" w:eastAsia="Times New Roman" w:cs="Times New Roman"/>
                <w:b/>
                <w:bCs/>
                <w:spacing w:val="-1"/>
              </w:rPr>
              <w:t>mg/L</w:t>
            </w:r>
            <w:r>
              <w:rPr>
                <w:b/>
                <w:bCs/>
                <w:spacing w:val="-1"/>
              </w:rPr>
              <w:t>）</w:t>
            </w:r>
          </w:p>
        </w:tc>
        <w:tc>
          <w:tcPr>
            <w:tcW w:w="1557" w:type="dxa"/>
            <w:vAlign w:val="top"/>
          </w:tcPr>
          <w:p w14:paraId="67249064">
            <w:pPr>
              <w:pStyle w:val="6"/>
              <w:spacing w:before="29" w:line="219" w:lineRule="auto"/>
              <w:ind w:left="141"/>
            </w:pPr>
            <w:r>
              <w:rPr>
                <w:b/>
                <w:bCs/>
                <w:spacing w:val="4"/>
              </w:rPr>
              <w:t>排放量（</w:t>
            </w:r>
            <w:r>
              <w:rPr>
                <w:rFonts w:ascii="Times New Roman" w:hAnsi="Times New Roman" w:eastAsia="Times New Roman" w:cs="Times New Roman"/>
                <w:b/>
                <w:bCs/>
                <w:spacing w:val="4"/>
              </w:rPr>
              <w:t>t/a</w:t>
            </w:r>
            <w:r>
              <w:rPr>
                <w:b/>
                <w:bCs/>
                <w:spacing w:val="4"/>
              </w:rPr>
              <w:t>）</w:t>
            </w:r>
          </w:p>
        </w:tc>
        <w:tc>
          <w:tcPr>
            <w:tcW w:w="3161" w:type="dxa"/>
            <w:vMerge w:val="continue"/>
            <w:tcBorders>
              <w:top w:val="nil"/>
            </w:tcBorders>
            <w:vAlign w:val="top"/>
          </w:tcPr>
          <w:p w14:paraId="251FF677">
            <w:pPr>
              <w:rPr>
                <w:rFonts w:ascii="Arial"/>
                <w:sz w:val="21"/>
              </w:rPr>
            </w:pPr>
          </w:p>
        </w:tc>
        <w:tc>
          <w:tcPr>
            <w:tcW w:w="2737" w:type="dxa"/>
            <w:vMerge w:val="continue"/>
            <w:tcBorders>
              <w:top w:val="nil"/>
            </w:tcBorders>
            <w:vAlign w:val="top"/>
          </w:tcPr>
          <w:p w14:paraId="333CB840">
            <w:pPr>
              <w:rPr>
                <w:rFonts w:ascii="Arial"/>
                <w:sz w:val="21"/>
              </w:rPr>
            </w:pPr>
          </w:p>
        </w:tc>
        <w:tc>
          <w:tcPr>
            <w:tcW w:w="1551" w:type="dxa"/>
            <w:vMerge w:val="continue"/>
            <w:tcBorders>
              <w:top w:val="nil"/>
            </w:tcBorders>
            <w:vAlign w:val="top"/>
          </w:tcPr>
          <w:p w14:paraId="18F79766">
            <w:pPr>
              <w:rPr>
                <w:rFonts w:ascii="Arial"/>
                <w:sz w:val="21"/>
              </w:rPr>
            </w:pPr>
          </w:p>
        </w:tc>
      </w:tr>
      <w:tr w14:paraId="4993A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5" w:type="dxa"/>
            <w:vMerge w:val="restart"/>
            <w:tcBorders>
              <w:bottom w:val="nil"/>
            </w:tcBorders>
            <w:textDirection w:val="tbRlV"/>
            <w:vAlign w:val="top"/>
          </w:tcPr>
          <w:p w14:paraId="2E719759">
            <w:pPr>
              <w:pStyle w:val="6"/>
              <w:spacing w:before="110" w:line="217" w:lineRule="auto"/>
              <w:ind w:left="1562"/>
            </w:pPr>
            <w:r>
              <w:rPr>
                <w:spacing w:val="9"/>
              </w:rPr>
              <w:t>废</w:t>
            </w:r>
            <w:r>
              <w:rPr>
                <w:spacing w:val="-39"/>
              </w:rPr>
              <w:t xml:space="preserve"> </w:t>
            </w:r>
            <w:r>
              <w:rPr>
                <w:spacing w:val="9"/>
              </w:rPr>
              <w:t>气</w:t>
            </w:r>
          </w:p>
        </w:tc>
        <w:tc>
          <w:tcPr>
            <w:tcW w:w="944" w:type="dxa"/>
            <w:vMerge w:val="restart"/>
            <w:tcBorders>
              <w:bottom w:val="nil"/>
            </w:tcBorders>
            <w:vAlign w:val="top"/>
          </w:tcPr>
          <w:p w14:paraId="12A63624">
            <w:pPr>
              <w:pStyle w:val="6"/>
              <w:spacing w:before="302" w:line="228" w:lineRule="auto"/>
              <w:ind w:left="159"/>
            </w:pPr>
            <w:r>
              <w:rPr>
                <w:spacing w:val="6"/>
              </w:rPr>
              <w:t>养殖臭</w:t>
            </w:r>
          </w:p>
          <w:p w14:paraId="19EB08D9">
            <w:pPr>
              <w:pStyle w:val="6"/>
              <w:spacing w:before="25" w:line="230" w:lineRule="auto"/>
              <w:ind w:left="370"/>
            </w:pPr>
            <w:r>
              <w:t>气</w:t>
            </w:r>
          </w:p>
        </w:tc>
        <w:tc>
          <w:tcPr>
            <w:tcW w:w="2277" w:type="dxa"/>
            <w:gridSpan w:val="2"/>
            <w:vAlign w:val="top"/>
          </w:tcPr>
          <w:p w14:paraId="0DE767CF">
            <w:pPr>
              <w:spacing w:before="55" w:line="187" w:lineRule="auto"/>
              <w:ind w:left="9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560" w:type="dxa"/>
            <w:vAlign w:val="top"/>
          </w:tcPr>
          <w:p w14:paraId="7F18862C">
            <w:pPr>
              <w:spacing w:line="235"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5299E3FF">
            <w:pPr>
              <w:spacing w:line="235"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3161" w:type="dxa"/>
            <w:vMerge w:val="restart"/>
            <w:tcBorders>
              <w:bottom w:val="nil"/>
            </w:tcBorders>
            <w:vAlign w:val="top"/>
          </w:tcPr>
          <w:p w14:paraId="75B59963">
            <w:pPr>
              <w:pStyle w:val="6"/>
              <w:spacing w:before="31" w:line="228" w:lineRule="auto"/>
              <w:ind w:left="116"/>
            </w:pPr>
            <w:r>
              <w:rPr>
                <w:spacing w:val="9"/>
              </w:rPr>
              <w:t>做好猪场粪便清理工作，加强猪</w:t>
            </w:r>
          </w:p>
          <w:p w14:paraId="68FC55F8">
            <w:pPr>
              <w:pStyle w:val="6"/>
              <w:spacing w:before="23" w:line="228" w:lineRule="auto"/>
              <w:ind w:left="116"/>
            </w:pPr>
            <w:r>
              <w:rPr>
                <w:spacing w:val="8"/>
              </w:rPr>
              <w:t>舍通风及消毒，合理设计日粮，</w:t>
            </w:r>
          </w:p>
          <w:p w14:paraId="6DF487D6">
            <w:pPr>
              <w:pStyle w:val="6"/>
              <w:spacing w:before="26" w:line="228" w:lineRule="auto"/>
              <w:ind w:left="121"/>
            </w:pPr>
            <w:r>
              <w:rPr>
                <w:spacing w:val="8"/>
              </w:rPr>
              <w:t>定期喷洒除臭剂，饲料中添加益</w:t>
            </w:r>
          </w:p>
          <w:p w14:paraId="280B6D0D">
            <w:pPr>
              <w:pStyle w:val="6"/>
              <w:spacing w:before="24" w:line="217" w:lineRule="auto"/>
              <w:ind w:left="854"/>
            </w:pPr>
            <w:r>
              <w:rPr>
                <w:spacing w:val="8"/>
              </w:rPr>
              <w:t>生菌，增加绿化</w:t>
            </w:r>
          </w:p>
        </w:tc>
        <w:tc>
          <w:tcPr>
            <w:tcW w:w="2737" w:type="dxa"/>
            <w:vMerge w:val="restart"/>
            <w:tcBorders>
              <w:bottom w:val="nil"/>
            </w:tcBorders>
            <w:vAlign w:val="top"/>
          </w:tcPr>
          <w:p w14:paraId="54FA4CFC">
            <w:pPr>
              <w:pStyle w:val="6"/>
              <w:spacing w:before="165" w:line="224" w:lineRule="auto"/>
              <w:ind w:left="226"/>
            </w:pPr>
            <w:r>
              <w:rPr>
                <w:spacing w:val="7"/>
              </w:rPr>
              <w:t>《恶臭污染物排放标准》</w:t>
            </w:r>
          </w:p>
          <w:p w14:paraId="2CC67057">
            <w:pPr>
              <w:pStyle w:val="6"/>
              <w:spacing w:line="274" w:lineRule="exact"/>
              <w:ind w:left="126"/>
            </w:pPr>
            <w:r>
              <w:rPr>
                <w:spacing w:val="3"/>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3"/>
                <w:position w:val="1"/>
              </w:rPr>
              <w:t>14554-93</w:t>
            </w:r>
            <w:r>
              <w:rPr>
                <w:spacing w:val="3"/>
                <w:position w:val="1"/>
              </w:rPr>
              <w:t>）中的厂界二</w:t>
            </w:r>
          </w:p>
          <w:p w14:paraId="52724197">
            <w:pPr>
              <w:pStyle w:val="6"/>
              <w:spacing w:before="27" w:line="229" w:lineRule="auto"/>
              <w:ind w:left="1064"/>
            </w:pPr>
            <w:r>
              <w:rPr>
                <w:spacing w:val="5"/>
              </w:rPr>
              <w:t>级标准</w:t>
            </w:r>
          </w:p>
        </w:tc>
        <w:tc>
          <w:tcPr>
            <w:tcW w:w="1551" w:type="dxa"/>
            <w:vMerge w:val="restart"/>
            <w:tcBorders>
              <w:bottom w:val="nil"/>
            </w:tcBorders>
            <w:vAlign w:val="top"/>
          </w:tcPr>
          <w:p w14:paraId="45729228">
            <w:pPr>
              <w:spacing w:line="348" w:lineRule="auto"/>
              <w:rPr>
                <w:rFonts w:ascii="Arial"/>
                <w:sz w:val="21"/>
              </w:rPr>
            </w:pPr>
          </w:p>
          <w:p w14:paraId="5D9A40BA">
            <w:pPr>
              <w:spacing w:before="58"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D53F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435" w:type="dxa"/>
            <w:vMerge w:val="continue"/>
            <w:tcBorders>
              <w:top w:val="nil"/>
              <w:bottom w:val="nil"/>
            </w:tcBorders>
            <w:textDirection w:val="tbRlV"/>
            <w:vAlign w:val="top"/>
          </w:tcPr>
          <w:p w14:paraId="3ABA0107">
            <w:pPr>
              <w:rPr>
                <w:rFonts w:ascii="Arial"/>
                <w:sz w:val="21"/>
              </w:rPr>
            </w:pPr>
          </w:p>
        </w:tc>
        <w:tc>
          <w:tcPr>
            <w:tcW w:w="944" w:type="dxa"/>
            <w:vMerge w:val="continue"/>
            <w:tcBorders>
              <w:top w:val="nil"/>
            </w:tcBorders>
            <w:vAlign w:val="top"/>
          </w:tcPr>
          <w:p w14:paraId="45A5A3F9">
            <w:pPr>
              <w:rPr>
                <w:rFonts w:ascii="Arial"/>
                <w:sz w:val="21"/>
              </w:rPr>
            </w:pPr>
          </w:p>
        </w:tc>
        <w:tc>
          <w:tcPr>
            <w:tcW w:w="2277" w:type="dxa"/>
            <w:gridSpan w:val="2"/>
            <w:vAlign w:val="top"/>
          </w:tcPr>
          <w:p w14:paraId="6216ED5B">
            <w:pPr>
              <w:spacing w:line="290" w:lineRule="auto"/>
              <w:rPr>
                <w:rFonts w:ascii="Arial"/>
                <w:sz w:val="21"/>
              </w:rPr>
            </w:pPr>
          </w:p>
          <w:p w14:paraId="5EBA3889">
            <w:pPr>
              <w:spacing w:before="58" w:line="242" w:lineRule="exact"/>
              <w:ind w:left="9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560" w:type="dxa"/>
            <w:vAlign w:val="top"/>
          </w:tcPr>
          <w:p w14:paraId="57FFF9AE">
            <w:pPr>
              <w:spacing w:before="283"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5D642986">
            <w:pPr>
              <w:spacing w:before="283"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3161" w:type="dxa"/>
            <w:vMerge w:val="continue"/>
            <w:tcBorders>
              <w:top w:val="nil"/>
            </w:tcBorders>
            <w:vAlign w:val="top"/>
          </w:tcPr>
          <w:p w14:paraId="7AA6CD3C">
            <w:pPr>
              <w:rPr>
                <w:rFonts w:ascii="Arial"/>
                <w:sz w:val="21"/>
              </w:rPr>
            </w:pPr>
          </w:p>
        </w:tc>
        <w:tc>
          <w:tcPr>
            <w:tcW w:w="2737" w:type="dxa"/>
            <w:vMerge w:val="continue"/>
            <w:tcBorders>
              <w:top w:val="nil"/>
            </w:tcBorders>
            <w:vAlign w:val="top"/>
          </w:tcPr>
          <w:p w14:paraId="55B947D4">
            <w:pPr>
              <w:rPr>
                <w:rFonts w:ascii="Arial"/>
                <w:sz w:val="21"/>
              </w:rPr>
            </w:pPr>
          </w:p>
        </w:tc>
        <w:tc>
          <w:tcPr>
            <w:tcW w:w="1551" w:type="dxa"/>
            <w:vMerge w:val="continue"/>
            <w:tcBorders>
              <w:top w:val="nil"/>
            </w:tcBorders>
            <w:vAlign w:val="top"/>
          </w:tcPr>
          <w:p w14:paraId="22AD1155">
            <w:pPr>
              <w:rPr>
                <w:rFonts w:ascii="Arial"/>
                <w:sz w:val="21"/>
              </w:rPr>
            </w:pPr>
          </w:p>
        </w:tc>
      </w:tr>
      <w:tr w14:paraId="39A42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5" w:type="dxa"/>
            <w:vMerge w:val="continue"/>
            <w:tcBorders>
              <w:top w:val="nil"/>
              <w:bottom w:val="nil"/>
            </w:tcBorders>
            <w:textDirection w:val="tbRlV"/>
            <w:vAlign w:val="top"/>
          </w:tcPr>
          <w:p w14:paraId="4DA934D0">
            <w:pPr>
              <w:rPr>
                <w:rFonts w:ascii="Arial"/>
                <w:sz w:val="21"/>
              </w:rPr>
            </w:pPr>
          </w:p>
        </w:tc>
        <w:tc>
          <w:tcPr>
            <w:tcW w:w="944" w:type="dxa"/>
            <w:vMerge w:val="restart"/>
            <w:tcBorders>
              <w:bottom w:val="nil"/>
            </w:tcBorders>
            <w:vAlign w:val="top"/>
          </w:tcPr>
          <w:p w14:paraId="5E271588">
            <w:pPr>
              <w:pStyle w:val="6"/>
              <w:spacing w:before="33" w:line="228" w:lineRule="auto"/>
              <w:ind w:left="159"/>
            </w:pPr>
            <w:r>
              <w:rPr>
                <w:spacing w:val="6"/>
              </w:rPr>
              <w:t>有机肥</w:t>
            </w:r>
          </w:p>
          <w:p w14:paraId="40A7A610">
            <w:pPr>
              <w:pStyle w:val="6"/>
              <w:spacing w:before="24" w:line="228" w:lineRule="auto"/>
              <w:ind w:left="162"/>
            </w:pPr>
            <w:r>
              <w:rPr>
                <w:spacing w:val="5"/>
              </w:rPr>
              <w:t>发酵车</w:t>
            </w:r>
          </w:p>
          <w:p w14:paraId="4B1728D9">
            <w:pPr>
              <w:pStyle w:val="6"/>
              <w:spacing w:before="26" w:line="213" w:lineRule="auto"/>
              <w:ind w:left="386"/>
            </w:pPr>
            <w:r>
              <w:t>间</w:t>
            </w:r>
          </w:p>
        </w:tc>
        <w:tc>
          <w:tcPr>
            <w:tcW w:w="2277" w:type="dxa"/>
            <w:gridSpan w:val="2"/>
            <w:vAlign w:val="top"/>
          </w:tcPr>
          <w:p w14:paraId="453F0830">
            <w:pPr>
              <w:spacing w:before="57" w:line="185" w:lineRule="auto"/>
              <w:ind w:left="9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560" w:type="dxa"/>
            <w:vAlign w:val="top"/>
          </w:tcPr>
          <w:p w14:paraId="63781836">
            <w:pPr>
              <w:spacing w:line="235"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31606C0E">
            <w:pPr>
              <w:spacing w:line="235"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3161" w:type="dxa"/>
            <w:vMerge w:val="restart"/>
            <w:tcBorders>
              <w:bottom w:val="nil"/>
            </w:tcBorders>
            <w:vAlign w:val="top"/>
          </w:tcPr>
          <w:p w14:paraId="58A7AF56">
            <w:pPr>
              <w:pStyle w:val="6"/>
              <w:spacing w:before="170" w:line="251" w:lineRule="auto"/>
              <w:ind w:left="132" w:right="110" w:hanging="16"/>
            </w:pPr>
            <w:r>
              <w:rPr>
                <w:spacing w:val="9"/>
              </w:rPr>
              <w:t>集污池中加除臭剂，并定期在车</w:t>
            </w:r>
            <w:r>
              <w:rPr>
                <w:spacing w:val="2"/>
              </w:rPr>
              <w:t xml:space="preserve"> </w:t>
            </w:r>
            <w:r>
              <w:rPr>
                <w:spacing w:val="8"/>
              </w:rPr>
              <w:t>间通风处喷洒除臭剂，增加绿化</w:t>
            </w:r>
          </w:p>
        </w:tc>
        <w:tc>
          <w:tcPr>
            <w:tcW w:w="2737" w:type="dxa"/>
            <w:vMerge w:val="restart"/>
            <w:tcBorders>
              <w:bottom w:val="nil"/>
            </w:tcBorders>
            <w:vAlign w:val="top"/>
          </w:tcPr>
          <w:p w14:paraId="199068A5">
            <w:pPr>
              <w:pStyle w:val="6"/>
              <w:spacing w:before="33" w:line="222" w:lineRule="auto"/>
              <w:ind w:left="226"/>
            </w:pPr>
            <w:r>
              <w:rPr>
                <w:spacing w:val="7"/>
              </w:rPr>
              <w:t>《恶臭污染物排放标准》</w:t>
            </w:r>
          </w:p>
          <w:p w14:paraId="44823EEB">
            <w:pPr>
              <w:pStyle w:val="6"/>
              <w:spacing w:line="274" w:lineRule="exact"/>
              <w:ind w:left="126"/>
            </w:pPr>
            <w:r>
              <w:rPr>
                <w:spacing w:val="3"/>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3"/>
                <w:position w:val="1"/>
              </w:rPr>
              <w:t>14554-93</w:t>
            </w:r>
            <w:r>
              <w:rPr>
                <w:spacing w:val="3"/>
                <w:position w:val="1"/>
              </w:rPr>
              <w:t>）中的厂界二</w:t>
            </w:r>
          </w:p>
          <w:p w14:paraId="10CC5A56">
            <w:pPr>
              <w:pStyle w:val="6"/>
              <w:spacing w:before="30" w:line="213" w:lineRule="auto"/>
              <w:ind w:left="1064"/>
            </w:pPr>
            <w:r>
              <w:rPr>
                <w:spacing w:val="5"/>
              </w:rPr>
              <w:t>级标准</w:t>
            </w:r>
          </w:p>
        </w:tc>
        <w:tc>
          <w:tcPr>
            <w:tcW w:w="1551" w:type="dxa"/>
            <w:vMerge w:val="restart"/>
            <w:tcBorders>
              <w:bottom w:val="nil"/>
            </w:tcBorders>
            <w:vAlign w:val="top"/>
          </w:tcPr>
          <w:p w14:paraId="15B7CA56">
            <w:pPr>
              <w:spacing w:before="273"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49A5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35" w:type="dxa"/>
            <w:vMerge w:val="continue"/>
            <w:tcBorders>
              <w:top w:val="nil"/>
              <w:bottom w:val="nil"/>
            </w:tcBorders>
            <w:textDirection w:val="tbRlV"/>
            <w:vAlign w:val="top"/>
          </w:tcPr>
          <w:p w14:paraId="4D6FF3D3">
            <w:pPr>
              <w:rPr>
                <w:rFonts w:ascii="Arial"/>
                <w:sz w:val="21"/>
              </w:rPr>
            </w:pPr>
          </w:p>
        </w:tc>
        <w:tc>
          <w:tcPr>
            <w:tcW w:w="944" w:type="dxa"/>
            <w:vMerge w:val="continue"/>
            <w:tcBorders>
              <w:top w:val="nil"/>
            </w:tcBorders>
            <w:vAlign w:val="top"/>
          </w:tcPr>
          <w:p w14:paraId="6731EEF1">
            <w:pPr>
              <w:rPr>
                <w:rFonts w:ascii="Arial"/>
                <w:sz w:val="21"/>
              </w:rPr>
            </w:pPr>
          </w:p>
        </w:tc>
        <w:tc>
          <w:tcPr>
            <w:tcW w:w="2277" w:type="dxa"/>
            <w:gridSpan w:val="2"/>
            <w:vAlign w:val="top"/>
          </w:tcPr>
          <w:p w14:paraId="45807C73">
            <w:pPr>
              <w:spacing w:before="215" w:line="242" w:lineRule="exact"/>
              <w:ind w:left="9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560" w:type="dxa"/>
            <w:vAlign w:val="top"/>
          </w:tcPr>
          <w:p w14:paraId="69096E0C">
            <w:pPr>
              <w:spacing w:before="148"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68221762">
            <w:pPr>
              <w:spacing w:before="148"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3161" w:type="dxa"/>
            <w:vMerge w:val="continue"/>
            <w:tcBorders>
              <w:top w:val="nil"/>
            </w:tcBorders>
            <w:vAlign w:val="top"/>
          </w:tcPr>
          <w:p w14:paraId="7E75B206">
            <w:pPr>
              <w:rPr>
                <w:rFonts w:ascii="Arial"/>
                <w:sz w:val="21"/>
              </w:rPr>
            </w:pPr>
          </w:p>
        </w:tc>
        <w:tc>
          <w:tcPr>
            <w:tcW w:w="2737" w:type="dxa"/>
            <w:vMerge w:val="continue"/>
            <w:tcBorders>
              <w:top w:val="nil"/>
            </w:tcBorders>
            <w:vAlign w:val="top"/>
          </w:tcPr>
          <w:p w14:paraId="68893098">
            <w:pPr>
              <w:rPr>
                <w:rFonts w:ascii="Arial"/>
                <w:sz w:val="21"/>
              </w:rPr>
            </w:pPr>
          </w:p>
        </w:tc>
        <w:tc>
          <w:tcPr>
            <w:tcW w:w="1551" w:type="dxa"/>
            <w:vMerge w:val="continue"/>
            <w:tcBorders>
              <w:top w:val="nil"/>
            </w:tcBorders>
            <w:vAlign w:val="top"/>
          </w:tcPr>
          <w:p w14:paraId="21F4EE05">
            <w:pPr>
              <w:rPr>
                <w:rFonts w:ascii="Arial"/>
                <w:sz w:val="21"/>
              </w:rPr>
            </w:pPr>
          </w:p>
        </w:tc>
      </w:tr>
      <w:tr w14:paraId="1D2E2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35" w:type="dxa"/>
            <w:vMerge w:val="continue"/>
            <w:tcBorders>
              <w:top w:val="nil"/>
              <w:bottom w:val="nil"/>
            </w:tcBorders>
            <w:textDirection w:val="tbRlV"/>
            <w:vAlign w:val="top"/>
          </w:tcPr>
          <w:p w14:paraId="47D69CC0">
            <w:pPr>
              <w:rPr>
                <w:rFonts w:ascii="Arial"/>
                <w:sz w:val="21"/>
              </w:rPr>
            </w:pPr>
          </w:p>
        </w:tc>
        <w:tc>
          <w:tcPr>
            <w:tcW w:w="944" w:type="dxa"/>
            <w:vAlign w:val="top"/>
          </w:tcPr>
          <w:p w14:paraId="60B0DE4A">
            <w:pPr>
              <w:pStyle w:val="6"/>
              <w:spacing w:before="172" w:line="254" w:lineRule="auto"/>
              <w:ind w:left="266" w:right="159" w:hanging="108"/>
            </w:pPr>
            <w:r>
              <w:rPr>
                <w:spacing w:val="7"/>
              </w:rPr>
              <w:t>饲料加</w:t>
            </w:r>
            <w:r>
              <w:t xml:space="preserve"> </w:t>
            </w:r>
            <w:r>
              <w:rPr>
                <w:spacing w:val="3"/>
              </w:rPr>
              <w:t>工房</w:t>
            </w:r>
          </w:p>
        </w:tc>
        <w:tc>
          <w:tcPr>
            <w:tcW w:w="2277" w:type="dxa"/>
            <w:gridSpan w:val="2"/>
            <w:vAlign w:val="top"/>
          </w:tcPr>
          <w:p w14:paraId="23AFA547">
            <w:pPr>
              <w:spacing w:line="285" w:lineRule="auto"/>
              <w:rPr>
                <w:rFonts w:ascii="Arial"/>
                <w:sz w:val="21"/>
              </w:rPr>
            </w:pPr>
          </w:p>
          <w:p w14:paraId="6507DB97">
            <w:pPr>
              <w:spacing w:before="57"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560" w:type="dxa"/>
            <w:vAlign w:val="top"/>
          </w:tcPr>
          <w:p w14:paraId="599409F0">
            <w:pPr>
              <w:spacing w:before="277" w:line="275"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399B99D9">
            <w:pPr>
              <w:spacing w:before="277" w:line="275"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c>
          <w:tcPr>
            <w:tcW w:w="3161" w:type="dxa"/>
            <w:vAlign w:val="top"/>
          </w:tcPr>
          <w:p w14:paraId="1F08001A">
            <w:pPr>
              <w:spacing w:line="242" w:lineRule="auto"/>
              <w:rPr>
                <w:rFonts w:ascii="Arial"/>
                <w:sz w:val="21"/>
              </w:rPr>
            </w:pPr>
          </w:p>
          <w:p w14:paraId="6E06C04B">
            <w:pPr>
              <w:pStyle w:val="6"/>
              <w:spacing w:before="65" w:line="229" w:lineRule="auto"/>
              <w:ind w:left="746"/>
            </w:pPr>
            <w:r>
              <w:rPr>
                <w:spacing w:val="8"/>
              </w:rPr>
              <w:t>饲料加工设备密闭</w:t>
            </w:r>
          </w:p>
        </w:tc>
        <w:tc>
          <w:tcPr>
            <w:tcW w:w="2737" w:type="dxa"/>
            <w:vAlign w:val="top"/>
          </w:tcPr>
          <w:p w14:paraId="1747DCFC">
            <w:pPr>
              <w:pStyle w:val="6"/>
              <w:spacing w:before="37" w:line="222" w:lineRule="auto"/>
              <w:ind w:left="115"/>
            </w:pPr>
            <w:r>
              <w:rPr>
                <w:spacing w:val="9"/>
              </w:rPr>
              <w:t>广东省《大气污染物排放限</w:t>
            </w:r>
          </w:p>
          <w:p w14:paraId="0EB6369A">
            <w:pPr>
              <w:pStyle w:val="6"/>
              <w:spacing w:line="274" w:lineRule="exact"/>
              <w:ind w:left="115"/>
            </w:pPr>
            <w:r>
              <w:rPr>
                <w:spacing w:val="7"/>
                <w:position w:val="1"/>
              </w:rPr>
              <w:t>值》（</w:t>
            </w:r>
            <w:r>
              <w:rPr>
                <w:rFonts w:ascii="Times New Roman" w:hAnsi="Times New Roman" w:eastAsia="Times New Roman" w:cs="Times New Roman"/>
                <w:position w:val="1"/>
              </w:rPr>
              <w:t>DB</w:t>
            </w:r>
            <w:r>
              <w:rPr>
                <w:rFonts w:ascii="Times New Roman" w:hAnsi="Times New Roman" w:eastAsia="Times New Roman" w:cs="Times New Roman"/>
                <w:spacing w:val="7"/>
                <w:position w:val="1"/>
              </w:rPr>
              <w:t>44/27-2001</w:t>
            </w:r>
            <w:r>
              <w:rPr>
                <w:spacing w:val="7"/>
                <w:position w:val="1"/>
              </w:rPr>
              <w:t>）第二</w:t>
            </w:r>
          </w:p>
          <w:p w14:paraId="5C015071">
            <w:pPr>
              <w:pStyle w:val="6"/>
              <w:spacing w:before="28" w:line="213" w:lineRule="auto"/>
              <w:ind w:left="440"/>
            </w:pPr>
            <w:r>
              <w:rPr>
                <w:spacing w:val="7"/>
              </w:rPr>
              <w:t>时段无组织排放标准</w:t>
            </w:r>
          </w:p>
        </w:tc>
        <w:tc>
          <w:tcPr>
            <w:tcW w:w="1551" w:type="dxa"/>
            <w:vAlign w:val="top"/>
          </w:tcPr>
          <w:p w14:paraId="103045FB">
            <w:pPr>
              <w:spacing w:before="277"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2B1B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35" w:type="dxa"/>
            <w:vMerge w:val="continue"/>
            <w:tcBorders>
              <w:top w:val="nil"/>
              <w:bottom w:val="nil"/>
            </w:tcBorders>
            <w:textDirection w:val="tbRlV"/>
            <w:vAlign w:val="top"/>
          </w:tcPr>
          <w:p w14:paraId="07819E1E">
            <w:pPr>
              <w:rPr>
                <w:rFonts w:ascii="Arial"/>
                <w:sz w:val="21"/>
              </w:rPr>
            </w:pPr>
          </w:p>
        </w:tc>
        <w:tc>
          <w:tcPr>
            <w:tcW w:w="944" w:type="dxa"/>
            <w:vMerge w:val="restart"/>
            <w:tcBorders>
              <w:bottom w:val="nil"/>
            </w:tcBorders>
            <w:vAlign w:val="top"/>
          </w:tcPr>
          <w:p w14:paraId="7C393187">
            <w:pPr>
              <w:pStyle w:val="6"/>
              <w:spacing w:before="190" w:line="229" w:lineRule="auto"/>
              <w:ind w:left="161"/>
            </w:pPr>
            <w:r>
              <w:rPr>
                <w:spacing w:val="6"/>
              </w:rPr>
              <w:t>备用发</w:t>
            </w:r>
          </w:p>
          <w:p w14:paraId="02FA9830">
            <w:pPr>
              <w:pStyle w:val="6"/>
              <w:spacing w:before="25" w:line="228" w:lineRule="auto"/>
              <w:ind w:left="183"/>
            </w:pPr>
            <w:r>
              <w:rPr>
                <w:spacing w:val="-2"/>
              </w:rPr>
              <w:t>电机房</w:t>
            </w:r>
          </w:p>
        </w:tc>
        <w:tc>
          <w:tcPr>
            <w:tcW w:w="2277" w:type="dxa"/>
            <w:gridSpan w:val="2"/>
            <w:vAlign w:val="top"/>
          </w:tcPr>
          <w:p w14:paraId="4ADFA698">
            <w:pPr>
              <w:spacing w:before="75" w:line="204" w:lineRule="auto"/>
              <w:ind w:left="97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1560" w:type="dxa"/>
            <w:vAlign w:val="top"/>
          </w:tcPr>
          <w:p w14:paraId="0F64667B">
            <w:pPr>
              <w:spacing w:before="8" w:line="262" w:lineRule="exact"/>
              <w:ind w:left="67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35</w:t>
            </w:r>
          </w:p>
        </w:tc>
        <w:tc>
          <w:tcPr>
            <w:tcW w:w="1557" w:type="dxa"/>
            <w:vAlign w:val="top"/>
          </w:tcPr>
          <w:p w14:paraId="1C58819E">
            <w:pPr>
              <w:spacing w:line="266"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0.00056</w:t>
            </w:r>
          </w:p>
        </w:tc>
        <w:tc>
          <w:tcPr>
            <w:tcW w:w="3161" w:type="dxa"/>
            <w:vMerge w:val="restart"/>
            <w:tcBorders>
              <w:bottom w:val="nil"/>
            </w:tcBorders>
            <w:vAlign w:val="top"/>
          </w:tcPr>
          <w:p w14:paraId="2B48018E">
            <w:pPr>
              <w:spacing w:line="261" w:lineRule="auto"/>
              <w:rPr>
                <w:rFonts w:ascii="Arial"/>
                <w:sz w:val="21"/>
              </w:rPr>
            </w:pPr>
          </w:p>
          <w:p w14:paraId="14B6DFA8">
            <w:pPr>
              <w:pStyle w:val="6"/>
              <w:spacing w:before="65" w:line="228" w:lineRule="auto"/>
              <w:ind w:left="749"/>
            </w:pPr>
            <w:r>
              <w:rPr>
                <w:spacing w:val="8"/>
              </w:rPr>
              <w:t>经专用排气筒排放</w:t>
            </w:r>
          </w:p>
        </w:tc>
        <w:tc>
          <w:tcPr>
            <w:tcW w:w="2737" w:type="dxa"/>
            <w:vMerge w:val="restart"/>
            <w:tcBorders>
              <w:bottom w:val="nil"/>
            </w:tcBorders>
            <w:vAlign w:val="top"/>
          </w:tcPr>
          <w:p w14:paraId="5C1AAB1F">
            <w:pPr>
              <w:pStyle w:val="6"/>
              <w:spacing w:before="54" w:line="224" w:lineRule="auto"/>
              <w:ind w:left="115"/>
            </w:pPr>
            <w:r>
              <w:rPr>
                <w:spacing w:val="9"/>
              </w:rPr>
              <w:t>广东省《大气污染物排放限</w:t>
            </w:r>
          </w:p>
          <w:p w14:paraId="4FE1F66C">
            <w:pPr>
              <w:pStyle w:val="6"/>
              <w:spacing w:line="274" w:lineRule="exact"/>
              <w:ind w:left="115"/>
            </w:pPr>
            <w:r>
              <w:rPr>
                <w:spacing w:val="7"/>
                <w:position w:val="1"/>
              </w:rPr>
              <w:t>值》（</w:t>
            </w:r>
            <w:r>
              <w:rPr>
                <w:rFonts w:ascii="Times New Roman" w:hAnsi="Times New Roman" w:eastAsia="Times New Roman" w:cs="Times New Roman"/>
                <w:position w:val="1"/>
              </w:rPr>
              <w:t>DB</w:t>
            </w:r>
            <w:r>
              <w:rPr>
                <w:rFonts w:ascii="Times New Roman" w:hAnsi="Times New Roman" w:eastAsia="Times New Roman" w:cs="Times New Roman"/>
                <w:spacing w:val="7"/>
                <w:position w:val="1"/>
              </w:rPr>
              <w:t>44/27-2001</w:t>
            </w:r>
            <w:r>
              <w:rPr>
                <w:spacing w:val="7"/>
                <w:position w:val="1"/>
              </w:rPr>
              <w:t>）第二</w:t>
            </w:r>
          </w:p>
          <w:p w14:paraId="41A36246">
            <w:pPr>
              <w:pStyle w:val="6"/>
              <w:spacing w:before="28" w:line="228" w:lineRule="auto"/>
              <w:ind w:left="545"/>
            </w:pPr>
            <w:r>
              <w:rPr>
                <w:spacing w:val="7"/>
              </w:rPr>
              <w:t>时段二级标准限值</w:t>
            </w:r>
          </w:p>
        </w:tc>
        <w:tc>
          <w:tcPr>
            <w:tcW w:w="1551" w:type="dxa"/>
            <w:vMerge w:val="restart"/>
            <w:tcBorders>
              <w:bottom w:val="nil"/>
            </w:tcBorders>
            <w:vAlign w:val="top"/>
          </w:tcPr>
          <w:p w14:paraId="6C4F0B9F">
            <w:pPr>
              <w:spacing w:before="29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86D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35" w:type="dxa"/>
            <w:vMerge w:val="continue"/>
            <w:tcBorders>
              <w:top w:val="nil"/>
              <w:bottom w:val="nil"/>
            </w:tcBorders>
            <w:textDirection w:val="tbRlV"/>
            <w:vAlign w:val="top"/>
          </w:tcPr>
          <w:p w14:paraId="3BBD37D0">
            <w:pPr>
              <w:rPr>
                <w:rFonts w:ascii="Arial"/>
                <w:sz w:val="21"/>
              </w:rPr>
            </w:pPr>
          </w:p>
        </w:tc>
        <w:tc>
          <w:tcPr>
            <w:tcW w:w="944" w:type="dxa"/>
            <w:vMerge w:val="continue"/>
            <w:tcBorders>
              <w:top w:val="nil"/>
              <w:bottom w:val="nil"/>
            </w:tcBorders>
            <w:vAlign w:val="top"/>
          </w:tcPr>
          <w:p w14:paraId="24644D84">
            <w:pPr>
              <w:rPr>
                <w:rFonts w:ascii="Arial"/>
                <w:sz w:val="21"/>
              </w:rPr>
            </w:pPr>
          </w:p>
        </w:tc>
        <w:tc>
          <w:tcPr>
            <w:tcW w:w="2277" w:type="dxa"/>
            <w:gridSpan w:val="2"/>
            <w:vAlign w:val="top"/>
          </w:tcPr>
          <w:p w14:paraId="181A4B60">
            <w:pPr>
              <w:spacing w:before="77" w:line="202" w:lineRule="auto"/>
              <w:ind w:left="932"/>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560" w:type="dxa"/>
            <w:vAlign w:val="top"/>
          </w:tcPr>
          <w:p w14:paraId="37025FCA">
            <w:pPr>
              <w:spacing w:before="10" w:line="260"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83</w:t>
            </w:r>
          </w:p>
        </w:tc>
        <w:tc>
          <w:tcPr>
            <w:tcW w:w="1557" w:type="dxa"/>
            <w:vAlign w:val="top"/>
          </w:tcPr>
          <w:p w14:paraId="0AB5990E">
            <w:pPr>
              <w:spacing w:line="268"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0.00133</w:t>
            </w:r>
          </w:p>
        </w:tc>
        <w:tc>
          <w:tcPr>
            <w:tcW w:w="3161" w:type="dxa"/>
            <w:vMerge w:val="continue"/>
            <w:tcBorders>
              <w:top w:val="nil"/>
              <w:bottom w:val="nil"/>
            </w:tcBorders>
            <w:vAlign w:val="top"/>
          </w:tcPr>
          <w:p w14:paraId="0BD9C75E">
            <w:pPr>
              <w:rPr>
                <w:rFonts w:ascii="Arial"/>
                <w:sz w:val="21"/>
              </w:rPr>
            </w:pPr>
          </w:p>
        </w:tc>
        <w:tc>
          <w:tcPr>
            <w:tcW w:w="2737" w:type="dxa"/>
            <w:vMerge w:val="continue"/>
            <w:tcBorders>
              <w:top w:val="nil"/>
              <w:bottom w:val="nil"/>
            </w:tcBorders>
            <w:vAlign w:val="top"/>
          </w:tcPr>
          <w:p w14:paraId="519BB8F6">
            <w:pPr>
              <w:rPr>
                <w:rFonts w:ascii="Arial"/>
                <w:sz w:val="21"/>
              </w:rPr>
            </w:pPr>
          </w:p>
        </w:tc>
        <w:tc>
          <w:tcPr>
            <w:tcW w:w="1551" w:type="dxa"/>
            <w:vMerge w:val="continue"/>
            <w:tcBorders>
              <w:top w:val="nil"/>
              <w:bottom w:val="nil"/>
            </w:tcBorders>
            <w:vAlign w:val="top"/>
          </w:tcPr>
          <w:p w14:paraId="56051020">
            <w:pPr>
              <w:rPr>
                <w:rFonts w:ascii="Arial"/>
                <w:sz w:val="21"/>
              </w:rPr>
            </w:pPr>
          </w:p>
        </w:tc>
      </w:tr>
      <w:tr w14:paraId="58859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35" w:type="dxa"/>
            <w:vMerge w:val="continue"/>
            <w:tcBorders>
              <w:top w:val="nil"/>
            </w:tcBorders>
            <w:textDirection w:val="tbRlV"/>
            <w:vAlign w:val="top"/>
          </w:tcPr>
          <w:p w14:paraId="307D5576">
            <w:pPr>
              <w:rPr>
                <w:rFonts w:ascii="Arial"/>
                <w:sz w:val="21"/>
              </w:rPr>
            </w:pPr>
          </w:p>
        </w:tc>
        <w:tc>
          <w:tcPr>
            <w:tcW w:w="944" w:type="dxa"/>
            <w:vMerge w:val="continue"/>
            <w:tcBorders>
              <w:top w:val="nil"/>
            </w:tcBorders>
            <w:vAlign w:val="top"/>
          </w:tcPr>
          <w:p w14:paraId="14945772">
            <w:pPr>
              <w:rPr>
                <w:rFonts w:ascii="Arial"/>
                <w:sz w:val="21"/>
              </w:rPr>
            </w:pPr>
          </w:p>
        </w:tc>
        <w:tc>
          <w:tcPr>
            <w:tcW w:w="2277" w:type="dxa"/>
            <w:gridSpan w:val="2"/>
            <w:vAlign w:val="top"/>
          </w:tcPr>
          <w:p w14:paraId="42727F2E">
            <w:pPr>
              <w:pStyle w:val="6"/>
              <w:spacing w:before="43" w:line="213" w:lineRule="auto"/>
              <w:ind w:left="931"/>
            </w:pPr>
            <w:r>
              <w:rPr>
                <w:spacing w:val="4"/>
              </w:rPr>
              <w:t>烟尘</w:t>
            </w:r>
          </w:p>
        </w:tc>
        <w:tc>
          <w:tcPr>
            <w:tcW w:w="1560" w:type="dxa"/>
            <w:vAlign w:val="top"/>
          </w:tcPr>
          <w:p w14:paraId="46F145C4">
            <w:pPr>
              <w:spacing w:before="82" w:line="192" w:lineRule="auto"/>
              <w:ind w:left="7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7" w:type="dxa"/>
            <w:vAlign w:val="top"/>
          </w:tcPr>
          <w:p w14:paraId="0BC2BBA1">
            <w:pPr>
              <w:spacing w:line="267"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0.00008</w:t>
            </w:r>
          </w:p>
        </w:tc>
        <w:tc>
          <w:tcPr>
            <w:tcW w:w="3161" w:type="dxa"/>
            <w:vMerge w:val="continue"/>
            <w:tcBorders>
              <w:top w:val="nil"/>
            </w:tcBorders>
            <w:vAlign w:val="top"/>
          </w:tcPr>
          <w:p w14:paraId="3C35752D">
            <w:pPr>
              <w:rPr>
                <w:rFonts w:ascii="Arial"/>
                <w:sz w:val="21"/>
              </w:rPr>
            </w:pPr>
          </w:p>
        </w:tc>
        <w:tc>
          <w:tcPr>
            <w:tcW w:w="2737" w:type="dxa"/>
            <w:vMerge w:val="continue"/>
            <w:tcBorders>
              <w:top w:val="nil"/>
            </w:tcBorders>
            <w:vAlign w:val="top"/>
          </w:tcPr>
          <w:p w14:paraId="0B30541D">
            <w:pPr>
              <w:rPr>
                <w:rFonts w:ascii="Arial"/>
                <w:sz w:val="21"/>
              </w:rPr>
            </w:pPr>
          </w:p>
        </w:tc>
        <w:tc>
          <w:tcPr>
            <w:tcW w:w="1551" w:type="dxa"/>
            <w:vMerge w:val="continue"/>
            <w:tcBorders>
              <w:top w:val="nil"/>
            </w:tcBorders>
            <w:vAlign w:val="top"/>
          </w:tcPr>
          <w:p w14:paraId="55DAD969">
            <w:pPr>
              <w:rPr>
                <w:rFonts w:ascii="Arial"/>
                <w:sz w:val="21"/>
              </w:rPr>
            </w:pPr>
          </w:p>
        </w:tc>
      </w:tr>
      <w:tr w14:paraId="3695C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435" w:type="dxa"/>
            <w:vMerge w:val="restart"/>
            <w:tcBorders>
              <w:bottom w:val="nil"/>
            </w:tcBorders>
            <w:textDirection w:val="tbRlV"/>
            <w:vAlign w:val="top"/>
          </w:tcPr>
          <w:p w14:paraId="305667EE">
            <w:pPr>
              <w:pStyle w:val="6"/>
              <w:spacing w:before="109" w:line="216" w:lineRule="auto"/>
              <w:ind w:left="443"/>
            </w:pPr>
            <w:r>
              <w:rPr>
                <w:spacing w:val="9"/>
              </w:rPr>
              <w:t>水</w:t>
            </w:r>
            <w:r>
              <w:rPr>
                <w:spacing w:val="-37"/>
              </w:rPr>
              <w:t xml:space="preserve"> </w:t>
            </w:r>
            <w:r>
              <w:rPr>
                <w:spacing w:val="9"/>
              </w:rPr>
              <w:t>污</w:t>
            </w:r>
            <w:r>
              <w:rPr>
                <w:spacing w:val="-39"/>
              </w:rPr>
              <w:t xml:space="preserve"> </w:t>
            </w:r>
            <w:r>
              <w:rPr>
                <w:spacing w:val="9"/>
              </w:rPr>
              <w:t>染</w:t>
            </w:r>
            <w:r>
              <w:rPr>
                <w:spacing w:val="-36"/>
              </w:rPr>
              <w:t xml:space="preserve"> </w:t>
            </w:r>
            <w:r>
              <w:rPr>
                <w:spacing w:val="9"/>
              </w:rPr>
              <w:t>物</w:t>
            </w:r>
          </w:p>
        </w:tc>
        <w:tc>
          <w:tcPr>
            <w:tcW w:w="944" w:type="dxa"/>
            <w:vMerge w:val="restart"/>
            <w:tcBorders>
              <w:bottom w:val="nil"/>
            </w:tcBorders>
            <w:vAlign w:val="top"/>
          </w:tcPr>
          <w:p w14:paraId="7AD04E94">
            <w:pPr>
              <w:spacing w:line="322" w:lineRule="auto"/>
              <w:rPr>
                <w:rFonts w:ascii="Arial"/>
                <w:sz w:val="21"/>
              </w:rPr>
            </w:pPr>
          </w:p>
          <w:p w14:paraId="78A74CD5">
            <w:pPr>
              <w:spacing w:line="323" w:lineRule="auto"/>
              <w:rPr>
                <w:rFonts w:ascii="Arial"/>
                <w:sz w:val="21"/>
              </w:rPr>
            </w:pPr>
          </w:p>
          <w:p w14:paraId="719E36D0">
            <w:pPr>
              <w:pStyle w:val="6"/>
              <w:spacing w:before="65" w:line="229" w:lineRule="auto"/>
              <w:ind w:left="161"/>
            </w:pPr>
            <w:r>
              <w:rPr>
                <w:spacing w:val="6"/>
              </w:rPr>
              <w:t>综合废</w:t>
            </w:r>
          </w:p>
          <w:p w14:paraId="74C60835">
            <w:pPr>
              <w:pStyle w:val="6"/>
              <w:spacing w:before="23" w:line="228" w:lineRule="auto"/>
              <w:ind w:left="372"/>
            </w:pPr>
            <w:r>
              <w:t>水</w:t>
            </w:r>
          </w:p>
        </w:tc>
        <w:tc>
          <w:tcPr>
            <w:tcW w:w="1213" w:type="dxa"/>
            <w:vMerge w:val="restart"/>
            <w:tcBorders>
              <w:bottom w:val="nil"/>
            </w:tcBorders>
            <w:vAlign w:val="top"/>
          </w:tcPr>
          <w:p w14:paraId="3DDF3E84">
            <w:pPr>
              <w:spacing w:line="252" w:lineRule="auto"/>
              <w:rPr>
                <w:rFonts w:ascii="Arial"/>
                <w:sz w:val="21"/>
              </w:rPr>
            </w:pPr>
          </w:p>
          <w:p w14:paraId="523F5160">
            <w:pPr>
              <w:spacing w:line="253" w:lineRule="auto"/>
              <w:rPr>
                <w:rFonts w:ascii="Arial"/>
                <w:sz w:val="21"/>
              </w:rPr>
            </w:pPr>
          </w:p>
          <w:p w14:paraId="45144366">
            <w:pPr>
              <w:spacing w:line="253" w:lineRule="auto"/>
              <w:rPr>
                <w:rFonts w:ascii="Arial"/>
                <w:sz w:val="21"/>
              </w:rPr>
            </w:pPr>
          </w:p>
          <w:p w14:paraId="16504F9E">
            <w:pPr>
              <w:spacing w:before="57"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8908.26t/a</w:t>
            </w:r>
          </w:p>
        </w:tc>
        <w:tc>
          <w:tcPr>
            <w:tcW w:w="1064" w:type="dxa"/>
            <w:vAlign w:val="top"/>
          </w:tcPr>
          <w:p w14:paraId="420E91C0">
            <w:pPr>
              <w:spacing w:before="54" w:line="184" w:lineRule="auto"/>
              <w:ind w:left="245"/>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560" w:type="dxa"/>
            <w:vAlign w:val="top"/>
          </w:tcPr>
          <w:p w14:paraId="39ECAC5C">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23962B57">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61" w:type="dxa"/>
            <w:vMerge w:val="restart"/>
            <w:tcBorders>
              <w:bottom w:val="nil"/>
            </w:tcBorders>
            <w:vAlign w:val="top"/>
          </w:tcPr>
          <w:p w14:paraId="2EA0526D">
            <w:pPr>
              <w:spacing w:line="323" w:lineRule="auto"/>
              <w:rPr>
                <w:rFonts w:ascii="Arial"/>
                <w:sz w:val="21"/>
              </w:rPr>
            </w:pPr>
          </w:p>
          <w:p w14:paraId="40840C63">
            <w:pPr>
              <w:spacing w:line="323" w:lineRule="auto"/>
              <w:rPr>
                <w:rFonts w:ascii="Arial"/>
                <w:sz w:val="21"/>
              </w:rPr>
            </w:pPr>
          </w:p>
          <w:p w14:paraId="3EAA9FBF">
            <w:pPr>
              <w:pStyle w:val="6"/>
              <w:spacing w:before="65" w:line="251" w:lineRule="auto"/>
              <w:ind w:left="119" w:right="110"/>
            </w:pPr>
            <w:r>
              <w:rPr>
                <w:spacing w:val="8"/>
              </w:rPr>
              <w:t>与猪只粪便一起收集后，经异位</w:t>
            </w:r>
            <w:r>
              <w:rPr>
                <w:spacing w:val="12"/>
              </w:rPr>
              <w:t xml:space="preserve"> </w:t>
            </w:r>
            <w:r>
              <w:rPr>
                <w:spacing w:val="9"/>
              </w:rPr>
              <w:t>发酵床发酵成有机肥半成品外售</w:t>
            </w:r>
          </w:p>
        </w:tc>
        <w:tc>
          <w:tcPr>
            <w:tcW w:w="2737" w:type="dxa"/>
            <w:vMerge w:val="restart"/>
            <w:tcBorders>
              <w:bottom w:val="nil"/>
            </w:tcBorders>
            <w:vAlign w:val="top"/>
          </w:tcPr>
          <w:p w14:paraId="40699226">
            <w:pPr>
              <w:spacing w:line="375" w:lineRule="auto"/>
              <w:rPr>
                <w:rFonts w:ascii="Arial"/>
                <w:sz w:val="21"/>
              </w:rPr>
            </w:pPr>
          </w:p>
          <w:p w14:paraId="25F3E6A4">
            <w:pPr>
              <w:pStyle w:val="6"/>
              <w:spacing w:before="65" w:line="222" w:lineRule="auto"/>
              <w:ind w:left="121"/>
            </w:pPr>
            <w:r>
              <w:rPr>
                <w:spacing w:val="8"/>
              </w:rPr>
              <w:t>《畜禽养殖业污染物排放标</w:t>
            </w:r>
          </w:p>
          <w:p w14:paraId="6E1FADB6">
            <w:pPr>
              <w:pStyle w:val="6"/>
              <w:spacing w:line="274" w:lineRule="exact"/>
              <w:ind w:left="117"/>
            </w:pPr>
            <w:r>
              <w:rPr>
                <w:position w:val="1"/>
              </w:rPr>
              <w:t>准》（</w:t>
            </w:r>
            <w:r>
              <w:rPr>
                <w:rFonts w:ascii="Times New Roman" w:hAnsi="Times New Roman" w:eastAsia="Times New Roman" w:cs="Times New Roman"/>
                <w:position w:val="1"/>
              </w:rPr>
              <w:t>DB44/613-2009</w:t>
            </w:r>
            <w:r>
              <w:rPr>
                <w:position w:val="1"/>
              </w:rPr>
              <w:t>）中的</w:t>
            </w:r>
          </w:p>
          <w:p w14:paraId="22A82EB3">
            <w:pPr>
              <w:pStyle w:val="6"/>
              <w:spacing w:before="28" w:line="228" w:lineRule="auto"/>
              <w:ind w:left="129"/>
            </w:pPr>
            <w:r>
              <w:rPr>
                <w:spacing w:val="8"/>
              </w:rPr>
              <w:t>畜禽养殖业废渣无害化环境</w:t>
            </w:r>
          </w:p>
          <w:p w14:paraId="52F56EC3">
            <w:pPr>
              <w:pStyle w:val="6"/>
              <w:spacing w:before="26" w:line="229" w:lineRule="auto"/>
              <w:ind w:left="1165"/>
            </w:pPr>
            <w:r>
              <w:rPr>
                <w:spacing w:val="4"/>
              </w:rPr>
              <w:t>标准</w:t>
            </w:r>
          </w:p>
        </w:tc>
        <w:tc>
          <w:tcPr>
            <w:tcW w:w="1551" w:type="dxa"/>
            <w:vMerge w:val="restart"/>
            <w:tcBorders>
              <w:bottom w:val="nil"/>
            </w:tcBorders>
            <w:vAlign w:val="top"/>
          </w:tcPr>
          <w:p w14:paraId="361B2D19">
            <w:pPr>
              <w:pStyle w:val="6"/>
              <w:spacing w:before="34" w:line="228" w:lineRule="auto"/>
              <w:ind w:left="150"/>
            </w:pPr>
            <w:r>
              <w:rPr>
                <w:spacing w:val="8"/>
              </w:rPr>
              <w:t>对生产的有机</w:t>
            </w:r>
          </w:p>
          <w:p w14:paraId="5A953F05">
            <w:pPr>
              <w:pStyle w:val="6"/>
              <w:spacing w:before="24" w:line="228" w:lineRule="auto"/>
              <w:ind w:left="150"/>
            </w:pPr>
            <w:r>
              <w:rPr>
                <w:spacing w:val="8"/>
              </w:rPr>
              <w:t>肥半成品进行</w:t>
            </w:r>
          </w:p>
          <w:p w14:paraId="01412446">
            <w:pPr>
              <w:pStyle w:val="6"/>
              <w:spacing w:before="24" w:line="224" w:lineRule="auto"/>
              <w:ind w:left="150"/>
            </w:pPr>
            <w:r>
              <w:rPr>
                <w:spacing w:val="6"/>
              </w:rPr>
              <w:t>每半年一次，</w:t>
            </w:r>
          </w:p>
          <w:p w14:paraId="09367F70">
            <w:pPr>
              <w:pStyle w:val="6"/>
              <w:spacing w:line="260" w:lineRule="auto"/>
              <w:ind w:left="151" w:right="145" w:hanging="1"/>
              <w:jc w:val="both"/>
            </w:pPr>
            <w:r>
              <w:rPr>
                <w:spacing w:val="4"/>
              </w:rPr>
              <w:t>全年共</w:t>
            </w:r>
            <w:r>
              <w:rPr>
                <w:spacing w:val="-4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5"/>
                <w:w w:val="101"/>
              </w:rPr>
              <w:t xml:space="preserve"> </w:t>
            </w:r>
            <w:r>
              <w:rPr>
                <w:spacing w:val="4"/>
              </w:rPr>
              <w:t>次的</w:t>
            </w:r>
            <w:r>
              <w:t xml:space="preserve"> </w:t>
            </w:r>
            <w:r>
              <w:rPr>
                <w:spacing w:val="28"/>
              </w:rPr>
              <w:t>蛔虫卵死亡</w:t>
            </w:r>
            <w:r>
              <w:rPr>
                <w:spacing w:val="1"/>
              </w:rPr>
              <w:t xml:space="preserve">  </w:t>
            </w:r>
            <w:r>
              <w:rPr>
                <w:spacing w:val="7"/>
              </w:rPr>
              <w:t>率、粪大肠菌</w:t>
            </w:r>
          </w:p>
          <w:p w14:paraId="1A0E7D34">
            <w:pPr>
              <w:pStyle w:val="6"/>
              <w:spacing w:before="1" w:line="211" w:lineRule="auto"/>
              <w:ind w:left="465"/>
            </w:pPr>
            <w:r>
              <w:rPr>
                <w:spacing w:val="6"/>
              </w:rPr>
              <w:t>值监测</w:t>
            </w:r>
          </w:p>
        </w:tc>
      </w:tr>
      <w:tr w14:paraId="511F0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435" w:type="dxa"/>
            <w:vMerge w:val="continue"/>
            <w:tcBorders>
              <w:top w:val="nil"/>
              <w:bottom w:val="nil"/>
            </w:tcBorders>
            <w:textDirection w:val="tbRlV"/>
            <w:vAlign w:val="top"/>
          </w:tcPr>
          <w:p w14:paraId="3DDAD6F9">
            <w:pPr>
              <w:rPr>
                <w:rFonts w:ascii="Arial"/>
                <w:sz w:val="21"/>
              </w:rPr>
            </w:pPr>
          </w:p>
        </w:tc>
        <w:tc>
          <w:tcPr>
            <w:tcW w:w="944" w:type="dxa"/>
            <w:vMerge w:val="continue"/>
            <w:tcBorders>
              <w:top w:val="nil"/>
              <w:bottom w:val="nil"/>
            </w:tcBorders>
            <w:vAlign w:val="top"/>
          </w:tcPr>
          <w:p w14:paraId="1B0CD3CD">
            <w:pPr>
              <w:rPr>
                <w:rFonts w:ascii="Arial"/>
                <w:sz w:val="21"/>
              </w:rPr>
            </w:pPr>
          </w:p>
        </w:tc>
        <w:tc>
          <w:tcPr>
            <w:tcW w:w="1213" w:type="dxa"/>
            <w:vMerge w:val="continue"/>
            <w:tcBorders>
              <w:top w:val="nil"/>
              <w:bottom w:val="nil"/>
            </w:tcBorders>
            <w:vAlign w:val="top"/>
          </w:tcPr>
          <w:p w14:paraId="1542143E">
            <w:pPr>
              <w:rPr>
                <w:rFonts w:ascii="Arial"/>
                <w:sz w:val="21"/>
              </w:rPr>
            </w:pPr>
          </w:p>
        </w:tc>
        <w:tc>
          <w:tcPr>
            <w:tcW w:w="1064" w:type="dxa"/>
            <w:vAlign w:val="top"/>
          </w:tcPr>
          <w:p w14:paraId="6A85D100">
            <w:pPr>
              <w:spacing w:before="55" w:line="184" w:lineRule="auto"/>
              <w:ind w:left="277"/>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560" w:type="dxa"/>
            <w:vAlign w:val="top"/>
          </w:tcPr>
          <w:p w14:paraId="71ED8094">
            <w:pPr>
              <w:spacing w:line="242"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23E07DED">
            <w:pPr>
              <w:spacing w:line="242"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61" w:type="dxa"/>
            <w:vMerge w:val="continue"/>
            <w:tcBorders>
              <w:top w:val="nil"/>
              <w:bottom w:val="nil"/>
            </w:tcBorders>
            <w:vAlign w:val="top"/>
          </w:tcPr>
          <w:p w14:paraId="4DB71A3E">
            <w:pPr>
              <w:rPr>
                <w:rFonts w:ascii="Arial"/>
                <w:sz w:val="21"/>
              </w:rPr>
            </w:pPr>
          </w:p>
        </w:tc>
        <w:tc>
          <w:tcPr>
            <w:tcW w:w="2737" w:type="dxa"/>
            <w:vMerge w:val="continue"/>
            <w:tcBorders>
              <w:top w:val="nil"/>
              <w:bottom w:val="nil"/>
            </w:tcBorders>
            <w:vAlign w:val="top"/>
          </w:tcPr>
          <w:p w14:paraId="1FA262E5">
            <w:pPr>
              <w:rPr>
                <w:rFonts w:ascii="Arial"/>
                <w:sz w:val="21"/>
              </w:rPr>
            </w:pPr>
          </w:p>
        </w:tc>
        <w:tc>
          <w:tcPr>
            <w:tcW w:w="1551" w:type="dxa"/>
            <w:vMerge w:val="continue"/>
            <w:tcBorders>
              <w:top w:val="nil"/>
              <w:bottom w:val="nil"/>
            </w:tcBorders>
            <w:vAlign w:val="top"/>
          </w:tcPr>
          <w:p w14:paraId="58D82597">
            <w:pPr>
              <w:rPr>
                <w:rFonts w:ascii="Arial"/>
                <w:sz w:val="21"/>
              </w:rPr>
            </w:pPr>
          </w:p>
        </w:tc>
      </w:tr>
      <w:tr w14:paraId="63836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435" w:type="dxa"/>
            <w:vMerge w:val="continue"/>
            <w:tcBorders>
              <w:top w:val="nil"/>
              <w:bottom w:val="nil"/>
            </w:tcBorders>
            <w:textDirection w:val="tbRlV"/>
            <w:vAlign w:val="top"/>
          </w:tcPr>
          <w:p w14:paraId="38531A96">
            <w:pPr>
              <w:rPr>
                <w:rFonts w:ascii="Arial"/>
                <w:sz w:val="21"/>
              </w:rPr>
            </w:pPr>
          </w:p>
        </w:tc>
        <w:tc>
          <w:tcPr>
            <w:tcW w:w="944" w:type="dxa"/>
            <w:vMerge w:val="continue"/>
            <w:tcBorders>
              <w:top w:val="nil"/>
              <w:bottom w:val="nil"/>
            </w:tcBorders>
            <w:vAlign w:val="top"/>
          </w:tcPr>
          <w:p w14:paraId="254F14EE">
            <w:pPr>
              <w:rPr>
                <w:rFonts w:ascii="Arial"/>
                <w:sz w:val="21"/>
              </w:rPr>
            </w:pPr>
          </w:p>
        </w:tc>
        <w:tc>
          <w:tcPr>
            <w:tcW w:w="1213" w:type="dxa"/>
            <w:vMerge w:val="continue"/>
            <w:tcBorders>
              <w:top w:val="nil"/>
              <w:bottom w:val="nil"/>
            </w:tcBorders>
            <w:vAlign w:val="top"/>
          </w:tcPr>
          <w:p w14:paraId="6412647E">
            <w:pPr>
              <w:rPr>
                <w:rFonts w:ascii="Arial"/>
                <w:sz w:val="21"/>
              </w:rPr>
            </w:pPr>
          </w:p>
        </w:tc>
        <w:tc>
          <w:tcPr>
            <w:tcW w:w="1064" w:type="dxa"/>
            <w:vAlign w:val="top"/>
          </w:tcPr>
          <w:p w14:paraId="421066B3">
            <w:pPr>
              <w:spacing w:before="55" w:line="183"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560" w:type="dxa"/>
            <w:vAlign w:val="top"/>
          </w:tcPr>
          <w:p w14:paraId="360C8E8E">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312DC4F3">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61" w:type="dxa"/>
            <w:vMerge w:val="continue"/>
            <w:tcBorders>
              <w:top w:val="nil"/>
              <w:bottom w:val="nil"/>
            </w:tcBorders>
            <w:vAlign w:val="top"/>
          </w:tcPr>
          <w:p w14:paraId="45D92AAA">
            <w:pPr>
              <w:rPr>
                <w:rFonts w:ascii="Arial"/>
                <w:sz w:val="21"/>
              </w:rPr>
            </w:pPr>
          </w:p>
        </w:tc>
        <w:tc>
          <w:tcPr>
            <w:tcW w:w="2737" w:type="dxa"/>
            <w:vMerge w:val="continue"/>
            <w:tcBorders>
              <w:top w:val="nil"/>
              <w:bottom w:val="nil"/>
            </w:tcBorders>
            <w:vAlign w:val="top"/>
          </w:tcPr>
          <w:p w14:paraId="2DE03187">
            <w:pPr>
              <w:rPr>
                <w:rFonts w:ascii="Arial"/>
                <w:sz w:val="21"/>
              </w:rPr>
            </w:pPr>
          </w:p>
        </w:tc>
        <w:tc>
          <w:tcPr>
            <w:tcW w:w="1551" w:type="dxa"/>
            <w:vMerge w:val="continue"/>
            <w:tcBorders>
              <w:top w:val="nil"/>
              <w:bottom w:val="nil"/>
            </w:tcBorders>
            <w:vAlign w:val="top"/>
          </w:tcPr>
          <w:p w14:paraId="78224D53">
            <w:pPr>
              <w:rPr>
                <w:rFonts w:ascii="Arial"/>
                <w:sz w:val="21"/>
              </w:rPr>
            </w:pPr>
          </w:p>
        </w:tc>
      </w:tr>
      <w:tr w14:paraId="5291A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5" w:type="dxa"/>
            <w:vMerge w:val="continue"/>
            <w:tcBorders>
              <w:top w:val="nil"/>
              <w:bottom w:val="nil"/>
            </w:tcBorders>
            <w:textDirection w:val="tbRlV"/>
            <w:vAlign w:val="top"/>
          </w:tcPr>
          <w:p w14:paraId="218ACF4B">
            <w:pPr>
              <w:rPr>
                <w:rFonts w:ascii="Arial"/>
                <w:sz w:val="21"/>
              </w:rPr>
            </w:pPr>
          </w:p>
        </w:tc>
        <w:tc>
          <w:tcPr>
            <w:tcW w:w="944" w:type="dxa"/>
            <w:vMerge w:val="continue"/>
            <w:tcBorders>
              <w:top w:val="nil"/>
              <w:bottom w:val="nil"/>
            </w:tcBorders>
            <w:vAlign w:val="top"/>
          </w:tcPr>
          <w:p w14:paraId="640C7461">
            <w:pPr>
              <w:rPr>
                <w:rFonts w:ascii="Arial"/>
                <w:sz w:val="21"/>
              </w:rPr>
            </w:pPr>
          </w:p>
        </w:tc>
        <w:tc>
          <w:tcPr>
            <w:tcW w:w="1213" w:type="dxa"/>
            <w:vMerge w:val="continue"/>
            <w:tcBorders>
              <w:top w:val="nil"/>
              <w:bottom w:val="nil"/>
            </w:tcBorders>
            <w:vAlign w:val="top"/>
          </w:tcPr>
          <w:p w14:paraId="122775FA">
            <w:pPr>
              <w:rPr>
                <w:rFonts w:ascii="Arial"/>
                <w:sz w:val="21"/>
              </w:rPr>
            </w:pPr>
          </w:p>
        </w:tc>
        <w:tc>
          <w:tcPr>
            <w:tcW w:w="1064" w:type="dxa"/>
            <w:vAlign w:val="top"/>
          </w:tcPr>
          <w:p w14:paraId="42269242">
            <w:pPr>
              <w:pStyle w:val="6"/>
              <w:spacing w:before="35" w:line="209" w:lineRule="auto"/>
              <w:ind w:left="325"/>
            </w:pPr>
            <w:r>
              <w:rPr>
                <w:spacing w:val="4"/>
              </w:rPr>
              <w:t>氨氮</w:t>
            </w:r>
          </w:p>
        </w:tc>
        <w:tc>
          <w:tcPr>
            <w:tcW w:w="1560" w:type="dxa"/>
            <w:vAlign w:val="top"/>
          </w:tcPr>
          <w:p w14:paraId="60403116">
            <w:pPr>
              <w:spacing w:before="4" w:line="258"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4100697B">
            <w:pPr>
              <w:spacing w:before="4" w:line="258"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61" w:type="dxa"/>
            <w:vMerge w:val="continue"/>
            <w:tcBorders>
              <w:top w:val="nil"/>
              <w:bottom w:val="nil"/>
            </w:tcBorders>
            <w:vAlign w:val="top"/>
          </w:tcPr>
          <w:p w14:paraId="0848E748">
            <w:pPr>
              <w:rPr>
                <w:rFonts w:ascii="Arial"/>
                <w:sz w:val="21"/>
              </w:rPr>
            </w:pPr>
          </w:p>
        </w:tc>
        <w:tc>
          <w:tcPr>
            <w:tcW w:w="2737" w:type="dxa"/>
            <w:vMerge w:val="continue"/>
            <w:tcBorders>
              <w:top w:val="nil"/>
              <w:bottom w:val="nil"/>
            </w:tcBorders>
            <w:vAlign w:val="top"/>
          </w:tcPr>
          <w:p w14:paraId="6B096A27">
            <w:pPr>
              <w:rPr>
                <w:rFonts w:ascii="Arial"/>
                <w:sz w:val="21"/>
              </w:rPr>
            </w:pPr>
          </w:p>
        </w:tc>
        <w:tc>
          <w:tcPr>
            <w:tcW w:w="1551" w:type="dxa"/>
            <w:vMerge w:val="continue"/>
            <w:tcBorders>
              <w:top w:val="nil"/>
              <w:bottom w:val="nil"/>
            </w:tcBorders>
            <w:vAlign w:val="top"/>
          </w:tcPr>
          <w:p w14:paraId="77FFE5C8">
            <w:pPr>
              <w:rPr>
                <w:rFonts w:ascii="Arial"/>
                <w:sz w:val="21"/>
              </w:rPr>
            </w:pPr>
          </w:p>
        </w:tc>
      </w:tr>
      <w:tr w14:paraId="44924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435" w:type="dxa"/>
            <w:vMerge w:val="continue"/>
            <w:tcBorders>
              <w:top w:val="nil"/>
            </w:tcBorders>
            <w:textDirection w:val="tbRlV"/>
            <w:vAlign w:val="top"/>
          </w:tcPr>
          <w:p w14:paraId="121D45A0">
            <w:pPr>
              <w:rPr>
                <w:rFonts w:ascii="Arial"/>
                <w:sz w:val="21"/>
              </w:rPr>
            </w:pPr>
          </w:p>
        </w:tc>
        <w:tc>
          <w:tcPr>
            <w:tcW w:w="944" w:type="dxa"/>
            <w:vMerge w:val="continue"/>
            <w:tcBorders>
              <w:top w:val="nil"/>
            </w:tcBorders>
            <w:vAlign w:val="top"/>
          </w:tcPr>
          <w:p w14:paraId="66C43F2F">
            <w:pPr>
              <w:rPr>
                <w:rFonts w:ascii="Arial"/>
                <w:sz w:val="21"/>
              </w:rPr>
            </w:pPr>
          </w:p>
        </w:tc>
        <w:tc>
          <w:tcPr>
            <w:tcW w:w="1213" w:type="dxa"/>
            <w:vMerge w:val="continue"/>
            <w:tcBorders>
              <w:top w:val="nil"/>
            </w:tcBorders>
            <w:vAlign w:val="top"/>
          </w:tcPr>
          <w:p w14:paraId="6E22F64F">
            <w:pPr>
              <w:rPr>
                <w:rFonts w:ascii="Arial"/>
                <w:sz w:val="21"/>
              </w:rPr>
            </w:pPr>
          </w:p>
        </w:tc>
        <w:tc>
          <w:tcPr>
            <w:tcW w:w="1064" w:type="dxa"/>
            <w:vAlign w:val="top"/>
          </w:tcPr>
          <w:p w14:paraId="2FE78022">
            <w:pPr>
              <w:spacing w:line="323" w:lineRule="auto"/>
              <w:rPr>
                <w:rFonts w:ascii="Arial"/>
                <w:sz w:val="21"/>
              </w:rPr>
            </w:pPr>
          </w:p>
          <w:p w14:paraId="3E7CA83B">
            <w:pPr>
              <w:spacing w:before="57" w:line="192"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560" w:type="dxa"/>
            <w:vAlign w:val="top"/>
          </w:tcPr>
          <w:p w14:paraId="69CF20E7">
            <w:pPr>
              <w:spacing w:line="254" w:lineRule="auto"/>
              <w:rPr>
                <w:rFonts w:ascii="Arial"/>
                <w:sz w:val="21"/>
              </w:rPr>
            </w:pPr>
          </w:p>
          <w:p w14:paraId="6F1EECBA">
            <w:pPr>
              <w:spacing w:before="57"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15102830">
            <w:pPr>
              <w:spacing w:line="254" w:lineRule="auto"/>
              <w:rPr>
                <w:rFonts w:ascii="Arial"/>
                <w:sz w:val="21"/>
              </w:rPr>
            </w:pPr>
          </w:p>
          <w:p w14:paraId="38D084D7">
            <w:pPr>
              <w:spacing w:before="57"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61" w:type="dxa"/>
            <w:vMerge w:val="continue"/>
            <w:tcBorders>
              <w:top w:val="nil"/>
            </w:tcBorders>
            <w:vAlign w:val="top"/>
          </w:tcPr>
          <w:p w14:paraId="6891DFC1">
            <w:pPr>
              <w:rPr>
                <w:rFonts w:ascii="Arial"/>
                <w:sz w:val="21"/>
              </w:rPr>
            </w:pPr>
          </w:p>
        </w:tc>
        <w:tc>
          <w:tcPr>
            <w:tcW w:w="2737" w:type="dxa"/>
            <w:vMerge w:val="continue"/>
            <w:tcBorders>
              <w:top w:val="nil"/>
            </w:tcBorders>
            <w:vAlign w:val="top"/>
          </w:tcPr>
          <w:p w14:paraId="5CB4DAA8">
            <w:pPr>
              <w:rPr>
                <w:rFonts w:ascii="Arial"/>
                <w:sz w:val="21"/>
              </w:rPr>
            </w:pPr>
          </w:p>
        </w:tc>
        <w:tc>
          <w:tcPr>
            <w:tcW w:w="1551" w:type="dxa"/>
            <w:vMerge w:val="continue"/>
            <w:tcBorders>
              <w:top w:val="nil"/>
            </w:tcBorders>
            <w:vAlign w:val="top"/>
          </w:tcPr>
          <w:p w14:paraId="1754CC77">
            <w:pPr>
              <w:rPr>
                <w:rFonts w:ascii="Arial"/>
                <w:sz w:val="21"/>
              </w:rPr>
            </w:pPr>
          </w:p>
        </w:tc>
      </w:tr>
      <w:tr w14:paraId="625A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435" w:type="dxa"/>
            <w:textDirection w:val="tbRlV"/>
            <w:vAlign w:val="top"/>
          </w:tcPr>
          <w:p w14:paraId="5CCF3022">
            <w:pPr>
              <w:pStyle w:val="6"/>
              <w:spacing w:before="109" w:line="213" w:lineRule="auto"/>
              <w:ind w:left="305"/>
            </w:pPr>
            <w:r>
              <w:rPr>
                <w:spacing w:val="9"/>
              </w:rPr>
              <w:t>噪</w:t>
            </w:r>
            <w:r>
              <w:rPr>
                <w:spacing w:val="-36"/>
              </w:rPr>
              <w:t xml:space="preserve"> </w:t>
            </w:r>
            <w:r>
              <w:rPr>
                <w:spacing w:val="9"/>
              </w:rPr>
              <w:t>声</w:t>
            </w:r>
          </w:p>
        </w:tc>
        <w:tc>
          <w:tcPr>
            <w:tcW w:w="944" w:type="dxa"/>
            <w:vAlign w:val="top"/>
          </w:tcPr>
          <w:p w14:paraId="32DBEFE6">
            <w:pPr>
              <w:pStyle w:val="6"/>
              <w:spacing w:before="169" w:line="229" w:lineRule="auto"/>
              <w:ind w:left="158"/>
            </w:pPr>
            <w:r>
              <w:rPr>
                <w:spacing w:val="3"/>
              </w:rPr>
              <w:t>猪舍、</w:t>
            </w:r>
          </w:p>
          <w:p w14:paraId="37221246">
            <w:pPr>
              <w:pStyle w:val="6"/>
              <w:spacing w:before="23" w:line="255" w:lineRule="auto"/>
              <w:ind w:left="266" w:right="159" w:hanging="106"/>
            </w:pPr>
            <w:r>
              <w:rPr>
                <w:spacing w:val="6"/>
              </w:rPr>
              <w:t>污水处</w:t>
            </w:r>
            <w:r>
              <w:t xml:space="preserve"> </w:t>
            </w:r>
            <w:r>
              <w:rPr>
                <w:spacing w:val="3"/>
              </w:rPr>
              <w:t>理站</w:t>
            </w:r>
          </w:p>
        </w:tc>
        <w:tc>
          <w:tcPr>
            <w:tcW w:w="2277" w:type="dxa"/>
            <w:gridSpan w:val="2"/>
            <w:vAlign w:val="top"/>
          </w:tcPr>
          <w:p w14:paraId="478451A6">
            <w:pPr>
              <w:pStyle w:val="6"/>
              <w:spacing w:before="304" w:line="254" w:lineRule="auto"/>
              <w:ind w:left="304" w:right="104" w:hanging="192"/>
            </w:pPr>
            <w:r>
              <w:rPr>
                <w:spacing w:val="5"/>
              </w:rPr>
              <w:t>水泵噪声、风机噪声、</w:t>
            </w:r>
            <w:r>
              <w:rPr>
                <w:spacing w:val="3"/>
              </w:rPr>
              <w:t xml:space="preserve"> </w:t>
            </w:r>
            <w:r>
              <w:rPr>
                <w:spacing w:val="8"/>
              </w:rPr>
              <w:t>发电机、猪只叫声</w:t>
            </w:r>
          </w:p>
        </w:tc>
        <w:tc>
          <w:tcPr>
            <w:tcW w:w="3117" w:type="dxa"/>
            <w:gridSpan w:val="2"/>
            <w:vAlign w:val="top"/>
          </w:tcPr>
          <w:p w14:paraId="58D6693A">
            <w:pPr>
              <w:spacing w:line="352" w:lineRule="auto"/>
              <w:rPr>
                <w:rFonts w:ascii="Arial"/>
                <w:sz w:val="21"/>
              </w:rPr>
            </w:pPr>
          </w:p>
          <w:p w14:paraId="56297BEF">
            <w:pPr>
              <w:spacing w:before="57" w:line="274" w:lineRule="exact"/>
              <w:ind w:left="12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70~90</w:t>
            </w:r>
          </w:p>
        </w:tc>
        <w:tc>
          <w:tcPr>
            <w:tcW w:w="3161" w:type="dxa"/>
            <w:vAlign w:val="top"/>
          </w:tcPr>
          <w:p w14:paraId="4EC31127">
            <w:pPr>
              <w:pStyle w:val="6"/>
              <w:spacing w:before="169" w:line="228" w:lineRule="auto"/>
              <w:ind w:left="115"/>
            </w:pPr>
            <w:r>
              <w:rPr>
                <w:spacing w:val="9"/>
              </w:rPr>
              <w:t>选择低噪设备，安装时基础做减</w:t>
            </w:r>
          </w:p>
          <w:p w14:paraId="304CF2F3">
            <w:pPr>
              <w:pStyle w:val="6"/>
              <w:spacing w:before="24" w:line="228" w:lineRule="auto"/>
              <w:ind w:left="117"/>
            </w:pPr>
            <w:r>
              <w:rPr>
                <w:spacing w:val="9"/>
              </w:rPr>
              <w:t>震；水泵底部安装减震垫，将水</w:t>
            </w:r>
          </w:p>
          <w:p w14:paraId="2E80A0F5">
            <w:pPr>
              <w:pStyle w:val="6"/>
              <w:spacing w:before="26" w:line="228" w:lineRule="auto"/>
              <w:ind w:left="222"/>
            </w:pPr>
            <w:r>
              <w:rPr>
                <w:spacing w:val="9"/>
              </w:rPr>
              <w:t>泵设置于独立密封的水泵房内</w:t>
            </w:r>
          </w:p>
        </w:tc>
        <w:tc>
          <w:tcPr>
            <w:tcW w:w="2737" w:type="dxa"/>
            <w:vAlign w:val="top"/>
          </w:tcPr>
          <w:p w14:paraId="32889D25">
            <w:pPr>
              <w:pStyle w:val="6"/>
              <w:spacing w:before="275" w:line="270" w:lineRule="auto"/>
              <w:ind w:left="978" w:right="76" w:hanging="863"/>
            </w:pPr>
            <w:r>
              <w:rPr>
                <w:spacing w:val="5"/>
              </w:rPr>
              <w:t>边界符合（</w:t>
            </w:r>
            <w:r>
              <w:rPr>
                <w:rFonts w:ascii="Times New Roman" w:hAnsi="Times New Roman" w:eastAsia="Times New Roman" w:cs="Times New Roman"/>
              </w:rPr>
              <w:t>GB</w:t>
            </w:r>
            <w:r>
              <w:rPr>
                <w:rFonts w:ascii="Times New Roman" w:hAnsi="Times New Roman" w:eastAsia="Times New Roman" w:cs="Times New Roman"/>
                <w:spacing w:val="5"/>
              </w:rPr>
              <w:t>22337-2008</w:t>
            </w:r>
            <w:r>
              <w:rPr>
                <w:spacing w:val="5"/>
              </w:rPr>
              <w:t>）</w:t>
            </w:r>
            <w:r>
              <w:rPr>
                <w:spacing w:val="14"/>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9"/>
              </w:rPr>
              <w:t xml:space="preserve"> </w:t>
            </w:r>
            <w:r>
              <w:rPr>
                <w:spacing w:val="5"/>
              </w:rPr>
              <w:t>类标准</w:t>
            </w:r>
          </w:p>
        </w:tc>
        <w:tc>
          <w:tcPr>
            <w:tcW w:w="1551" w:type="dxa"/>
            <w:vAlign w:val="top"/>
          </w:tcPr>
          <w:p w14:paraId="04C058C3">
            <w:pPr>
              <w:pStyle w:val="6"/>
              <w:spacing w:before="34" w:line="229" w:lineRule="auto"/>
              <w:ind w:left="150"/>
            </w:pPr>
            <w:r>
              <w:rPr>
                <w:spacing w:val="8"/>
              </w:rPr>
              <w:t>对各厂界进行</w:t>
            </w:r>
          </w:p>
          <w:p w14:paraId="618CC98A">
            <w:pPr>
              <w:pStyle w:val="6"/>
              <w:spacing w:before="23" w:line="224" w:lineRule="auto"/>
              <w:ind w:left="150"/>
            </w:pPr>
            <w:r>
              <w:rPr>
                <w:spacing w:val="6"/>
              </w:rPr>
              <w:t>每季度一次，</w:t>
            </w:r>
          </w:p>
          <w:p w14:paraId="15D3CC5F">
            <w:pPr>
              <w:pStyle w:val="6"/>
              <w:spacing w:before="1" w:line="244" w:lineRule="auto"/>
              <w:ind w:left="261" w:right="119" w:hanging="137"/>
            </w:pPr>
            <w:r>
              <w:rPr>
                <w:spacing w:val="5"/>
              </w:rPr>
              <w:t xml:space="preserve">每年 </w:t>
            </w:r>
            <w:r>
              <w:rPr>
                <w:rFonts w:ascii="Times New Roman" w:hAnsi="Times New Roman" w:eastAsia="Times New Roman" w:cs="Times New Roman"/>
                <w:spacing w:val="5"/>
              </w:rPr>
              <w:t>4</w:t>
            </w:r>
            <w:r>
              <w:rPr>
                <w:rFonts w:ascii="Times New Roman" w:hAnsi="Times New Roman" w:eastAsia="Times New Roman" w:cs="Times New Roman"/>
                <w:spacing w:val="16"/>
              </w:rPr>
              <w:t xml:space="preserve"> </w:t>
            </w:r>
            <w:r>
              <w:rPr>
                <w:spacing w:val="5"/>
              </w:rPr>
              <w:t>次的场</w:t>
            </w:r>
            <w:r>
              <w:t xml:space="preserve"> </w:t>
            </w:r>
            <w:r>
              <w:rPr>
                <w:spacing w:val="7"/>
              </w:rPr>
              <w:t>界噪声监测</w:t>
            </w:r>
          </w:p>
        </w:tc>
      </w:tr>
      <w:tr w14:paraId="010DC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35" w:type="dxa"/>
            <w:vMerge w:val="restart"/>
            <w:tcBorders>
              <w:bottom w:val="nil"/>
            </w:tcBorders>
            <w:textDirection w:val="tbRlV"/>
            <w:vAlign w:val="top"/>
          </w:tcPr>
          <w:p w14:paraId="15A371D4">
            <w:pPr>
              <w:pStyle w:val="6"/>
              <w:spacing w:before="110" w:line="217" w:lineRule="auto"/>
              <w:ind w:left="37"/>
            </w:pPr>
            <w:r>
              <w:rPr>
                <w:spacing w:val="9"/>
              </w:rPr>
              <w:t>固</w:t>
            </w:r>
            <w:r>
              <w:rPr>
                <w:spacing w:val="-37"/>
              </w:rPr>
              <w:t xml:space="preserve"> </w:t>
            </w:r>
            <w:r>
              <w:rPr>
                <w:spacing w:val="9"/>
              </w:rPr>
              <w:t>体</w:t>
            </w:r>
            <w:r>
              <w:rPr>
                <w:spacing w:val="-36"/>
              </w:rPr>
              <w:t xml:space="preserve"> </w:t>
            </w:r>
            <w:r>
              <w:rPr>
                <w:spacing w:val="9"/>
              </w:rPr>
              <w:t>废</w:t>
            </w:r>
            <w:r>
              <w:rPr>
                <w:spacing w:val="-39"/>
              </w:rPr>
              <w:t xml:space="preserve"> </w:t>
            </w:r>
            <w:r>
              <w:rPr>
                <w:spacing w:val="9"/>
              </w:rPr>
              <w:t>物</w:t>
            </w:r>
          </w:p>
        </w:tc>
        <w:tc>
          <w:tcPr>
            <w:tcW w:w="944" w:type="dxa"/>
            <w:vAlign w:val="top"/>
          </w:tcPr>
          <w:p w14:paraId="343D5F7B">
            <w:pPr>
              <w:pStyle w:val="6"/>
              <w:spacing w:before="34" w:line="231" w:lineRule="auto"/>
              <w:ind w:left="267" w:right="159" w:hanging="104"/>
            </w:pPr>
            <w:r>
              <w:rPr>
                <w:spacing w:val="5"/>
              </w:rPr>
              <w:t>办公生</w:t>
            </w:r>
            <w:r>
              <w:t xml:space="preserve"> </w:t>
            </w:r>
            <w:r>
              <w:rPr>
                <w:spacing w:val="3"/>
              </w:rPr>
              <w:t>活区</w:t>
            </w:r>
          </w:p>
        </w:tc>
        <w:tc>
          <w:tcPr>
            <w:tcW w:w="2277" w:type="dxa"/>
            <w:gridSpan w:val="2"/>
            <w:vAlign w:val="top"/>
          </w:tcPr>
          <w:p w14:paraId="706F38B5">
            <w:pPr>
              <w:pStyle w:val="6"/>
              <w:spacing w:before="169" w:line="229" w:lineRule="auto"/>
              <w:ind w:left="723"/>
            </w:pPr>
            <w:r>
              <w:rPr>
                <w:spacing w:val="6"/>
              </w:rPr>
              <w:t>生活垃圾</w:t>
            </w:r>
          </w:p>
        </w:tc>
        <w:tc>
          <w:tcPr>
            <w:tcW w:w="3117" w:type="dxa"/>
            <w:gridSpan w:val="2"/>
            <w:vAlign w:val="top"/>
          </w:tcPr>
          <w:p w14:paraId="1C107605">
            <w:pPr>
              <w:spacing w:before="141" w:line="274" w:lineRule="exact"/>
              <w:ind w:left="13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3161" w:type="dxa"/>
            <w:vAlign w:val="top"/>
          </w:tcPr>
          <w:p w14:paraId="1D4C412F">
            <w:pPr>
              <w:pStyle w:val="6"/>
              <w:spacing w:before="169" w:line="228" w:lineRule="auto"/>
              <w:ind w:left="540"/>
            </w:pPr>
            <w:r>
              <w:rPr>
                <w:spacing w:val="8"/>
              </w:rPr>
              <w:t>交由环卫部门清运处理</w:t>
            </w:r>
          </w:p>
        </w:tc>
        <w:tc>
          <w:tcPr>
            <w:tcW w:w="2737" w:type="dxa"/>
            <w:vAlign w:val="top"/>
          </w:tcPr>
          <w:p w14:paraId="65AF3303">
            <w:pPr>
              <w:spacing w:before="141" w:line="274" w:lineRule="exact"/>
              <w:ind w:left="1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1" w:type="dxa"/>
            <w:vAlign w:val="top"/>
          </w:tcPr>
          <w:p w14:paraId="71643605">
            <w:pPr>
              <w:spacing w:before="141"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C068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35" w:type="dxa"/>
            <w:vMerge w:val="continue"/>
            <w:tcBorders>
              <w:top w:val="nil"/>
            </w:tcBorders>
            <w:textDirection w:val="tbRlV"/>
            <w:vAlign w:val="top"/>
          </w:tcPr>
          <w:p w14:paraId="1B3E87FD">
            <w:pPr>
              <w:rPr>
                <w:rFonts w:ascii="Arial"/>
                <w:sz w:val="21"/>
              </w:rPr>
            </w:pPr>
          </w:p>
        </w:tc>
        <w:tc>
          <w:tcPr>
            <w:tcW w:w="944" w:type="dxa"/>
            <w:vAlign w:val="top"/>
          </w:tcPr>
          <w:p w14:paraId="65E09014">
            <w:pPr>
              <w:pStyle w:val="6"/>
              <w:spacing w:before="171" w:line="229" w:lineRule="auto"/>
              <w:ind w:left="264"/>
            </w:pPr>
            <w:r>
              <w:rPr>
                <w:spacing w:val="4"/>
              </w:rPr>
              <w:t>猪舍</w:t>
            </w:r>
          </w:p>
        </w:tc>
        <w:tc>
          <w:tcPr>
            <w:tcW w:w="2277" w:type="dxa"/>
            <w:gridSpan w:val="2"/>
            <w:vAlign w:val="top"/>
          </w:tcPr>
          <w:p w14:paraId="18823E57">
            <w:pPr>
              <w:pStyle w:val="6"/>
              <w:spacing w:before="171" w:line="228" w:lineRule="auto"/>
              <w:ind w:left="930"/>
            </w:pPr>
            <w:r>
              <w:rPr>
                <w:spacing w:val="4"/>
              </w:rPr>
              <w:t>猪粪</w:t>
            </w:r>
          </w:p>
        </w:tc>
        <w:tc>
          <w:tcPr>
            <w:tcW w:w="3117" w:type="dxa"/>
            <w:gridSpan w:val="2"/>
            <w:vAlign w:val="top"/>
          </w:tcPr>
          <w:p w14:paraId="05BF7A95">
            <w:pPr>
              <w:spacing w:before="140" w:line="274" w:lineRule="exact"/>
              <w:ind w:left="1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3161" w:type="dxa"/>
            <w:vAlign w:val="top"/>
          </w:tcPr>
          <w:p w14:paraId="04BA761A">
            <w:pPr>
              <w:pStyle w:val="6"/>
              <w:spacing w:before="35" w:line="231" w:lineRule="auto"/>
              <w:ind w:left="116" w:right="110" w:firstLine="4"/>
            </w:pPr>
            <w:r>
              <w:rPr>
                <w:spacing w:val="8"/>
              </w:rPr>
              <w:t>与猪只尿液、猪舍冲洗水一起收</w:t>
            </w:r>
            <w:r>
              <w:rPr>
                <w:spacing w:val="12"/>
              </w:rPr>
              <w:t xml:space="preserve"> </w:t>
            </w:r>
            <w:r>
              <w:rPr>
                <w:spacing w:val="9"/>
              </w:rPr>
              <w:t>集后，经异位发酵床发酵成有机</w:t>
            </w:r>
          </w:p>
        </w:tc>
        <w:tc>
          <w:tcPr>
            <w:tcW w:w="2737" w:type="dxa"/>
            <w:vAlign w:val="top"/>
          </w:tcPr>
          <w:p w14:paraId="49019DF6">
            <w:pPr>
              <w:pStyle w:val="6"/>
              <w:spacing w:before="35" w:line="231" w:lineRule="auto"/>
              <w:ind w:left="117" w:right="104" w:firstLine="3"/>
            </w:pPr>
            <w:r>
              <w:rPr>
                <w:spacing w:val="8"/>
              </w:rPr>
              <w:t>《畜禽养殖业污染物排放标</w:t>
            </w:r>
            <w:r>
              <w:rPr>
                <w:spacing w:val="7"/>
              </w:rPr>
              <w:t xml:space="preserve"> </w:t>
            </w:r>
            <w:r>
              <w:t>准》（</w:t>
            </w:r>
            <w:r>
              <w:rPr>
                <w:rFonts w:ascii="Times New Roman" w:hAnsi="Times New Roman" w:eastAsia="Times New Roman" w:cs="Times New Roman"/>
              </w:rPr>
              <w:t>DB44/613-2009</w:t>
            </w:r>
            <w:r>
              <w:t>）中的</w:t>
            </w:r>
          </w:p>
        </w:tc>
        <w:tc>
          <w:tcPr>
            <w:tcW w:w="1551" w:type="dxa"/>
            <w:vAlign w:val="top"/>
          </w:tcPr>
          <w:p w14:paraId="576BC7D8">
            <w:pPr>
              <w:pStyle w:val="6"/>
              <w:spacing w:before="34" w:line="228" w:lineRule="auto"/>
              <w:ind w:left="150"/>
            </w:pPr>
            <w:r>
              <w:rPr>
                <w:spacing w:val="8"/>
              </w:rPr>
              <w:t>对生产的有机</w:t>
            </w:r>
          </w:p>
          <w:p w14:paraId="1D0E0FD0">
            <w:pPr>
              <w:pStyle w:val="6"/>
              <w:spacing w:before="27" w:line="210" w:lineRule="auto"/>
              <w:ind w:left="150"/>
            </w:pPr>
            <w:r>
              <w:rPr>
                <w:spacing w:val="8"/>
              </w:rPr>
              <w:t>肥半成品进行</w:t>
            </w:r>
          </w:p>
        </w:tc>
      </w:tr>
    </w:tbl>
    <w:p w14:paraId="5B4F1D55">
      <w:pPr>
        <w:pStyle w:val="2"/>
      </w:pPr>
    </w:p>
    <w:p w14:paraId="73D23F04">
      <w:pPr>
        <w:sectPr>
          <w:footerReference r:id="rId175" w:type="default"/>
          <w:pgSz w:w="16839" w:h="11906"/>
          <w:pgMar w:top="400" w:right="1305" w:bottom="1485" w:left="1305" w:header="0" w:footer="1249" w:gutter="0"/>
          <w:cols w:space="720" w:num="1"/>
        </w:sectPr>
      </w:pPr>
    </w:p>
    <w:p w14:paraId="0F2EC803">
      <w:pPr>
        <w:spacing w:before="56"/>
      </w:pPr>
    </w:p>
    <w:p w14:paraId="09A451C3">
      <w:pPr>
        <w:spacing w:before="56"/>
      </w:pPr>
    </w:p>
    <w:p w14:paraId="2A0467B0">
      <w:pPr>
        <w:spacing w:before="55"/>
      </w:pPr>
    </w:p>
    <w:p w14:paraId="38D974AF">
      <w:pPr>
        <w:spacing w:before="55"/>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944"/>
        <w:gridCol w:w="2277"/>
        <w:gridCol w:w="1560"/>
        <w:gridCol w:w="1557"/>
        <w:gridCol w:w="3161"/>
        <w:gridCol w:w="2737"/>
        <w:gridCol w:w="1551"/>
      </w:tblGrid>
      <w:tr w14:paraId="18453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35" w:type="dxa"/>
            <w:vMerge w:val="restart"/>
            <w:tcBorders>
              <w:bottom w:val="nil"/>
            </w:tcBorders>
            <w:textDirection w:val="tbRlV"/>
            <w:vAlign w:val="top"/>
          </w:tcPr>
          <w:p w14:paraId="66CEAAC7">
            <w:pPr>
              <w:pStyle w:val="6"/>
              <w:spacing w:before="109" w:line="216" w:lineRule="auto"/>
              <w:ind w:left="40"/>
            </w:pPr>
            <w:r>
              <w:rPr>
                <w:b/>
                <w:bCs/>
                <w:spacing w:val="7"/>
              </w:rPr>
              <w:t>类</w:t>
            </w:r>
            <w:r>
              <w:rPr>
                <w:spacing w:val="-39"/>
              </w:rPr>
              <w:t xml:space="preserve"> </w:t>
            </w:r>
            <w:r>
              <w:rPr>
                <w:b/>
                <w:bCs/>
                <w:spacing w:val="7"/>
              </w:rPr>
              <w:t>别</w:t>
            </w:r>
          </w:p>
        </w:tc>
        <w:tc>
          <w:tcPr>
            <w:tcW w:w="944" w:type="dxa"/>
            <w:vMerge w:val="restart"/>
            <w:tcBorders>
              <w:bottom w:val="nil"/>
            </w:tcBorders>
            <w:vAlign w:val="top"/>
          </w:tcPr>
          <w:p w14:paraId="7DCB1388">
            <w:pPr>
              <w:pStyle w:val="6"/>
              <w:spacing w:before="177" w:line="229" w:lineRule="auto"/>
              <w:ind w:left="160"/>
            </w:pPr>
            <w:r>
              <w:rPr>
                <w:b/>
                <w:bCs/>
                <w:spacing w:val="5"/>
              </w:rPr>
              <w:t>污染源</w:t>
            </w:r>
          </w:p>
        </w:tc>
        <w:tc>
          <w:tcPr>
            <w:tcW w:w="2277" w:type="dxa"/>
            <w:vMerge w:val="restart"/>
            <w:tcBorders>
              <w:bottom w:val="nil"/>
            </w:tcBorders>
            <w:vAlign w:val="top"/>
          </w:tcPr>
          <w:p w14:paraId="334EB76C">
            <w:pPr>
              <w:pStyle w:val="6"/>
              <w:spacing w:before="177" w:line="229" w:lineRule="auto"/>
              <w:ind w:left="618"/>
            </w:pPr>
            <w:r>
              <w:rPr>
                <w:b/>
                <w:bCs/>
                <w:spacing w:val="6"/>
              </w:rPr>
              <w:t>污染物名称</w:t>
            </w:r>
          </w:p>
        </w:tc>
        <w:tc>
          <w:tcPr>
            <w:tcW w:w="3117" w:type="dxa"/>
            <w:gridSpan w:val="2"/>
            <w:vAlign w:val="top"/>
          </w:tcPr>
          <w:p w14:paraId="330DE12D">
            <w:pPr>
              <w:pStyle w:val="6"/>
              <w:spacing w:before="35" w:line="217" w:lineRule="auto"/>
              <w:ind w:left="1038"/>
            </w:pPr>
            <w:r>
              <w:rPr>
                <w:b/>
                <w:bCs/>
                <w:spacing w:val="6"/>
              </w:rPr>
              <w:t>污染物排放</w:t>
            </w:r>
          </w:p>
        </w:tc>
        <w:tc>
          <w:tcPr>
            <w:tcW w:w="3161" w:type="dxa"/>
            <w:vMerge w:val="restart"/>
            <w:tcBorders>
              <w:bottom w:val="nil"/>
            </w:tcBorders>
            <w:vAlign w:val="top"/>
          </w:tcPr>
          <w:p w14:paraId="7FE0A3DE">
            <w:pPr>
              <w:pStyle w:val="6"/>
              <w:spacing w:before="176" w:line="228" w:lineRule="auto"/>
              <w:ind w:left="536"/>
            </w:pPr>
            <w:r>
              <w:rPr>
                <w:b/>
                <w:bCs/>
                <w:spacing w:val="7"/>
              </w:rPr>
              <w:t>拟采取的环境保护措施</w:t>
            </w:r>
          </w:p>
        </w:tc>
        <w:tc>
          <w:tcPr>
            <w:tcW w:w="2737" w:type="dxa"/>
            <w:vMerge w:val="restart"/>
            <w:tcBorders>
              <w:bottom w:val="nil"/>
            </w:tcBorders>
            <w:vAlign w:val="top"/>
          </w:tcPr>
          <w:p w14:paraId="7EA3F596">
            <w:pPr>
              <w:pStyle w:val="6"/>
              <w:spacing w:before="177" w:line="228" w:lineRule="auto"/>
              <w:ind w:left="641"/>
            </w:pPr>
            <w:r>
              <w:rPr>
                <w:b/>
                <w:bCs/>
                <w:spacing w:val="7"/>
              </w:rPr>
              <w:t>执行的环境标准</w:t>
            </w:r>
          </w:p>
        </w:tc>
        <w:tc>
          <w:tcPr>
            <w:tcW w:w="1551" w:type="dxa"/>
            <w:vMerge w:val="restart"/>
            <w:tcBorders>
              <w:bottom w:val="nil"/>
            </w:tcBorders>
            <w:vAlign w:val="top"/>
          </w:tcPr>
          <w:p w14:paraId="63ADD217">
            <w:pPr>
              <w:pStyle w:val="6"/>
              <w:spacing w:before="177" w:line="229" w:lineRule="auto"/>
              <w:ind w:left="359"/>
            </w:pPr>
            <w:r>
              <w:rPr>
                <w:b/>
                <w:bCs/>
                <w:spacing w:val="6"/>
              </w:rPr>
              <w:t>环境监测</w:t>
            </w:r>
          </w:p>
        </w:tc>
      </w:tr>
      <w:tr w14:paraId="3085A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tcBorders>
            <w:textDirection w:val="tbRlV"/>
            <w:vAlign w:val="top"/>
          </w:tcPr>
          <w:p w14:paraId="511EAE49">
            <w:pPr>
              <w:rPr>
                <w:rFonts w:ascii="Arial"/>
                <w:sz w:val="21"/>
              </w:rPr>
            </w:pPr>
          </w:p>
        </w:tc>
        <w:tc>
          <w:tcPr>
            <w:tcW w:w="944" w:type="dxa"/>
            <w:vMerge w:val="continue"/>
            <w:tcBorders>
              <w:top w:val="nil"/>
            </w:tcBorders>
            <w:vAlign w:val="top"/>
          </w:tcPr>
          <w:p w14:paraId="55E1289C">
            <w:pPr>
              <w:rPr>
                <w:rFonts w:ascii="Arial"/>
                <w:sz w:val="21"/>
              </w:rPr>
            </w:pPr>
          </w:p>
        </w:tc>
        <w:tc>
          <w:tcPr>
            <w:tcW w:w="2277" w:type="dxa"/>
            <w:vMerge w:val="continue"/>
            <w:tcBorders>
              <w:top w:val="nil"/>
            </w:tcBorders>
            <w:vAlign w:val="top"/>
          </w:tcPr>
          <w:p w14:paraId="15080743">
            <w:pPr>
              <w:rPr>
                <w:rFonts w:ascii="Arial"/>
                <w:sz w:val="21"/>
              </w:rPr>
            </w:pPr>
          </w:p>
        </w:tc>
        <w:tc>
          <w:tcPr>
            <w:tcW w:w="1560" w:type="dxa"/>
            <w:vAlign w:val="top"/>
          </w:tcPr>
          <w:p w14:paraId="58194963">
            <w:pPr>
              <w:pStyle w:val="6"/>
              <w:spacing w:before="32" w:line="217" w:lineRule="auto"/>
              <w:ind w:left="125"/>
            </w:pPr>
            <w:r>
              <w:rPr>
                <w:b/>
                <w:bCs/>
                <w:spacing w:val="-1"/>
              </w:rPr>
              <w:t>浓度（</w:t>
            </w:r>
            <w:r>
              <w:rPr>
                <w:spacing w:val="-57"/>
              </w:rPr>
              <w:t xml:space="preserve"> </w:t>
            </w:r>
            <w:r>
              <w:rPr>
                <w:rFonts w:ascii="Times New Roman" w:hAnsi="Times New Roman" w:eastAsia="Times New Roman" w:cs="Times New Roman"/>
                <w:b/>
                <w:bCs/>
                <w:spacing w:val="-1"/>
              </w:rPr>
              <w:t>mg/L</w:t>
            </w:r>
            <w:r>
              <w:rPr>
                <w:b/>
                <w:bCs/>
                <w:spacing w:val="-1"/>
              </w:rPr>
              <w:t>）</w:t>
            </w:r>
          </w:p>
        </w:tc>
        <w:tc>
          <w:tcPr>
            <w:tcW w:w="1557" w:type="dxa"/>
            <w:vAlign w:val="top"/>
          </w:tcPr>
          <w:p w14:paraId="02CFEBAF">
            <w:pPr>
              <w:pStyle w:val="6"/>
              <w:spacing w:before="32" w:line="217" w:lineRule="auto"/>
              <w:ind w:left="141"/>
            </w:pPr>
            <w:r>
              <w:rPr>
                <w:b/>
                <w:bCs/>
                <w:spacing w:val="4"/>
              </w:rPr>
              <w:t>排放量（</w:t>
            </w:r>
            <w:r>
              <w:rPr>
                <w:rFonts w:ascii="Times New Roman" w:hAnsi="Times New Roman" w:eastAsia="Times New Roman" w:cs="Times New Roman"/>
                <w:b/>
                <w:bCs/>
                <w:spacing w:val="4"/>
              </w:rPr>
              <w:t>t/a</w:t>
            </w:r>
            <w:r>
              <w:rPr>
                <w:b/>
                <w:bCs/>
                <w:spacing w:val="4"/>
              </w:rPr>
              <w:t>）</w:t>
            </w:r>
          </w:p>
        </w:tc>
        <w:tc>
          <w:tcPr>
            <w:tcW w:w="3161" w:type="dxa"/>
            <w:vMerge w:val="continue"/>
            <w:tcBorders>
              <w:top w:val="nil"/>
            </w:tcBorders>
            <w:vAlign w:val="top"/>
          </w:tcPr>
          <w:p w14:paraId="4638A6EE">
            <w:pPr>
              <w:rPr>
                <w:rFonts w:ascii="Arial"/>
                <w:sz w:val="21"/>
              </w:rPr>
            </w:pPr>
          </w:p>
        </w:tc>
        <w:tc>
          <w:tcPr>
            <w:tcW w:w="2737" w:type="dxa"/>
            <w:vMerge w:val="continue"/>
            <w:tcBorders>
              <w:top w:val="nil"/>
            </w:tcBorders>
            <w:vAlign w:val="top"/>
          </w:tcPr>
          <w:p w14:paraId="4CA819AC">
            <w:pPr>
              <w:rPr>
                <w:rFonts w:ascii="Arial"/>
                <w:sz w:val="21"/>
              </w:rPr>
            </w:pPr>
          </w:p>
        </w:tc>
        <w:tc>
          <w:tcPr>
            <w:tcW w:w="1551" w:type="dxa"/>
            <w:vMerge w:val="continue"/>
            <w:tcBorders>
              <w:top w:val="nil"/>
            </w:tcBorders>
            <w:vAlign w:val="top"/>
          </w:tcPr>
          <w:p w14:paraId="7770CBAB">
            <w:pPr>
              <w:rPr>
                <w:rFonts w:ascii="Arial"/>
                <w:sz w:val="21"/>
              </w:rPr>
            </w:pPr>
          </w:p>
        </w:tc>
      </w:tr>
      <w:tr w14:paraId="51F98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 w:hRule="atLeast"/>
        </w:trPr>
        <w:tc>
          <w:tcPr>
            <w:tcW w:w="435" w:type="dxa"/>
            <w:vMerge w:val="restart"/>
            <w:tcBorders>
              <w:bottom w:val="nil"/>
            </w:tcBorders>
            <w:vAlign w:val="top"/>
          </w:tcPr>
          <w:p w14:paraId="0E731812">
            <w:pPr>
              <w:rPr>
                <w:rFonts w:ascii="Arial"/>
                <w:sz w:val="21"/>
              </w:rPr>
            </w:pPr>
          </w:p>
        </w:tc>
        <w:tc>
          <w:tcPr>
            <w:tcW w:w="944" w:type="dxa"/>
            <w:vAlign w:val="top"/>
          </w:tcPr>
          <w:p w14:paraId="09E1E90B">
            <w:pPr>
              <w:rPr>
                <w:rFonts w:ascii="Arial"/>
                <w:sz w:val="21"/>
              </w:rPr>
            </w:pPr>
          </w:p>
        </w:tc>
        <w:tc>
          <w:tcPr>
            <w:tcW w:w="2277" w:type="dxa"/>
            <w:vAlign w:val="top"/>
          </w:tcPr>
          <w:p w14:paraId="545C516A">
            <w:pPr>
              <w:rPr>
                <w:rFonts w:ascii="Arial"/>
                <w:sz w:val="21"/>
              </w:rPr>
            </w:pPr>
          </w:p>
        </w:tc>
        <w:tc>
          <w:tcPr>
            <w:tcW w:w="3117" w:type="dxa"/>
            <w:gridSpan w:val="2"/>
            <w:vAlign w:val="top"/>
          </w:tcPr>
          <w:p w14:paraId="21D243F8">
            <w:pPr>
              <w:rPr>
                <w:rFonts w:ascii="Arial"/>
                <w:sz w:val="21"/>
              </w:rPr>
            </w:pPr>
          </w:p>
        </w:tc>
        <w:tc>
          <w:tcPr>
            <w:tcW w:w="3161" w:type="dxa"/>
            <w:vAlign w:val="top"/>
          </w:tcPr>
          <w:p w14:paraId="5E5F0DBD">
            <w:pPr>
              <w:pStyle w:val="6"/>
              <w:spacing w:before="25" w:line="228" w:lineRule="auto"/>
              <w:ind w:left="956"/>
            </w:pPr>
            <w:r>
              <w:rPr>
                <w:spacing w:val="8"/>
              </w:rPr>
              <w:t>肥半成品外售</w:t>
            </w:r>
          </w:p>
        </w:tc>
        <w:tc>
          <w:tcPr>
            <w:tcW w:w="2737" w:type="dxa"/>
            <w:vAlign w:val="top"/>
          </w:tcPr>
          <w:p w14:paraId="74F6F6F3">
            <w:pPr>
              <w:pStyle w:val="6"/>
              <w:spacing w:before="26" w:line="228" w:lineRule="auto"/>
              <w:ind w:left="129"/>
            </w:pPr>
            <w:r>
              <w:rPr>
                <w:spacing w:val="8"/>
              </w:rPr>
              <w:t>畜禽养殖业废渣无害化环境</w:t>
            </w:r>
          </w:p>
          <w:p w14:paraId="6A690F5C">
            <w:pPr>
              <w:pStyle w:val="6"/>
              <w:spacing w:before="26" w:line="229" w:lineRule="auto"/>
              <w:ind w:left="1165"/>
            </w:pPr>
            <w:r>
              <w:rPr>
                <w:spacing w:val="4"/>
              </w:rPr>
              <w:t>标准</w:t>
            </w:r>
          </w:p>
        </w:tc>
        <w:tc>
          <w:tcPr>
            <w:tcW w:w="1551" w:type="dxa"/>
            <w:vAlign w:val="top"/>
          </w:tcPr>
          <w:p w14:paraId="084D8CC8">
            <w:pPr>
              <w:pStyle w:val="6"/>
              <w:spacing w:before="26" w:line="224" w:lineRule="auto"/>
              <w:ind w:left="150"/>
            </w:pPr>
            <w:r>
              <w:rPr>
                <w:spacing w:val="6"/>
              </w:rPr>
              <w:t>每半年一次，</w:t>
            </w:r>
          </w:p>
          <w:p w14:paraId="6E864E50">
            <w:pPr>
              <w:pStyle w:val="6"/>
              <w:spacing w:line="260" w:lineRule="auto"/>
              <w:ind w:left="151" w:right="145" w:hanging="1"/>
              <w:jc w:val="both"/>
            </w:pPr>
            <w:r>
              <w:rPr>
                <w:spacing w:val="4"/>
              </w:rPr>
              <w:t>全年共</w:t>
            </w:r>
            <w:r>
              <w:rPr>
                <w:spacing w:val="-4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5"/>
                <w:w w:val="101"/>
              </w:rPr>
              <w:t xml:space="preserve"> </w:t>
            </w:r>
            <w:r>
              <w:rPr>
                <w:spacing w:val="4"/>
              </w:rPr>
              <w:t>次的</w:t>
            </w:r>
            <w:r>
              <w:t xml:space="preserve"> </w:t>
            </w:r>
            <w:r>
              <w:rPr>
                <w:spacing w:val="28"/>
              </w:rPr>
              <w:t>蛔虫卵死亡</w:t>
            </w:r>
            <w:r>
              <w:rPr>
                <w:spacing w:val="1"/>
              </w:rPr>
              <w:t xml:space="preserve">  </w:t>
            </w:r>
            <w:r>
              <w:rPr>
                <w:spacing w:val="7"/>
              </w:rPr>
              <w:t>率、粪大肠菌</w:t>
            </w:r>
          </w:p>
          <w:p w14:paraId="088FB204">
            <w:pPr>
              <w:pStyle w:val="6"/>
              <w:spacing w:line="214" w:lineRule="auto"/>
              <w:ind w:left="465"/>
            </w:pPr>
            <w:r>
              <w:rPr>
                <w:spacing w:val="6"/>
              </w:rPr>
              <w:t>值监测</w:t>
            </w:r>
          </w:p>
        </w:tc>
      </w:tr>
      <w:tr w14:paraId="373C9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35" w:type="dxa"/>
            <w:vMerge w:val="continue"/>
            <w:tcBorders>
              <w:top w:val="nil"/>
              <w:bottom w:val="nil"/>
            </w:tcBorders>
            <w:vAlign w:val="top"/>
          </w:tcPr>
          <w:p w14:paraId="77D5CC3A">
            <w:pPr>
              <w:rPr>
                <w:rFonts w:ascii="Arial"/>
                <w:sz w:val="21"/>
              </w:rPr>
            </w:pPr>
          </w:p>
        </w:tc>
        <w:tc>
          <w:tcPr>
            <w:tcW w:w="944" w:type="dxa"/>
            <w:vAlign w:val="top"/>
          </w:tcPr>
          <w:p w14:paraId="44CCB82F">
            <w:pPr>
              <w:pStyle w:val="6"/>
              <w:spacing w:before="303" w:line="229" w:lineRule="auto"/>
              <w:ind w:left="264"/>
            </w:pPr>
            <w:r>
              <w:rPr>
                <w:spacing w:val="4"/>
              </w:rPr>
              <w:t>猪舍</w:t>
            </w:r>
          </w:p>
        </w:tc>
        <w:tc>
          <w:tcPr>
            <w:tcW w:w="2277" w:type="dxa"/>
            <w:vAlign w:val="top"/>
          </w:tcPr>
          <w:p w14:paraId="5664583A">
            <w:pPr>
              <w:pStyle w:val="6"/>
              <w:spacing w:before="303" w:line="229" w:lineRule="auto"/>
              <w:ind w:left="615"/>
            </w:pPr>
            <w:r>
              <w:rPr>
                <w:spacing w:val="8"/>
              </w:rPr>
              <w:t>病死猪尸体</w:t>
            </w:r>
          </w:p>
        </w:tc>
        <w:tc>
          <w:tcPr>
            <w:tcW w:w="3117" w:type="dxa"/>
            <w:gridSpan w:val="2"/>
            <w:vAlign w:val="top"/>
          </w:tcPr>
          <w:p w14:paraId="2D97ED83">
            <w:pPr>
              <w:spacing w:before="272" w:line="274" w:lineRule="exact"/>
              <w:ind w:left="13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3161" w:type="dxa"/>
            <w:vAlign w:val="top"/>
          </w:tcPr>
          <w:p w14:paraId="123BED04">
            <w:pPr>
              <w:pStyle w:val="6"/>
              <w:spacing w:before="31" w:line="228" w:lineRule="auto"/>
              <w:ind w:left="117"/>
            </w:pPr>
            <w:r>
              <w:rPr>
                <w:spacing w:val="9"/>
              </w:rPr>
              <w:t>依托海丰县公平镇龙寨实成种养</w:t>
            </w:r>
          </w:p>
          <w:p w14:paraId="4236C4B8">
            <w:pPr>
              <w:pStyle w:val="6"/>
              <w:spacing w:before="24" w:line="228" w:lineRule="auto"/>
              <w:ind w:left="116"/>
            </w:pPr>
            <w:r>
              <w:rPr>
                <w:spacing w:val="9"/>
              </w:rPr>
              <w:t>专业合作社项目中的安全填埋井</w:t>
            </w:r>
          </w:p>
          <w:p w14:paraId="7F907816">
            <w:pPr>
              <w:pStyle w:val="6"/>
              <w:spacing w:before="23" w:line="214" w:lineRule="auto"/>
              <w:ind w:left="954"/>
            </w:pPr>
            <w:r>
              <w:rPr>
                <w:spacing w:val="8"/>
              </w:rPr>
              <w:t>进行填埋处理</w:t>
            </w:r>
          </w:p>
        </w:tc>
        <w:tc>
          <w:tcPr>
            <w:tcW w:w="2737" w:type="dxa"/>
            <w:vAlign w:val="top"/>
          </w:tcPr>
          <w:p w14:paraId="4571B992">
            <w:pPr>
              <w:pStyle w:val="6"/>
              <w:spacing w:before="31" w:line="222" w:lineRule="auto"/>
              <w:ind w:left="121"/>
            </w:pPr>
            <w:r>
              <w:rPr>
                <w:spacing w:val="8"/>
              </w:rPr>
              <w:t>《畜禽养殖业污染防治技术</w:t>
            </w:r>
          </w:p>
          <w:p w14:paraId="0E118742">
            <w:pPr>
              <w:pStyle w:val="6"/>
              <w:spacing w:line="274" w:lineRule="exact"/>
              <w:ind w:left="116"/>
            </w:pPr>
            <w:r>
              <w:rPr>
                <w:spacing w:val="2"/>
                <w:position w:val="1"/>
              </w:rPr>
              <w:t>规范》（</w:t>
            </w:r>
            <w:r>
              <w:rPr>
                <w:rFonts w:ascii="Times New Roman" w:hAnsi="Times New Roman" w:eastAsia="Times New Roman" w:cs="Times New Roman"/>
                <w:position w:val="1"/>
              </w:rPr>
              <w:t>HJ</w:t>
            </w:r>
            <w:r>
              <w:rPr>
                <w:rFonts w:ascii="Times New Roman" w:hAnsi="Times New Roman" w:eastAsia="Times New Roman" w:cs="Times New Roman"/>
                <w:spacing w:val="2"/>
                <w:position w:val="1"/>
              </w:rPr>
              <w:t>/T81-2001</w:t>
            </w:r>
            <w:r>
              <w:rPr>
                <w:spacing w:val="2"/>
                <w:position w:val="1"/>
              </w:rPr>
              <w:t>）相关</w:t>
            </w:r>
          </w:p>
          <w:p w14:paraId="11A15634">
            <w:pPr>
              <w:pStyle w:val="6"/>
              <w:spacing w:before="27" w:line="214" w:lineRule="auto"/>
              <w:ind w:left="1165"/>
            </w:pPr>
            <w:r>
              <w:rPr>
                <w:spacing w:val="4"/>
              </w:rPr>
              <w:t>要求</w:t>
            </w:r>
          </w:p>
        </w:tc>
        <w:tc>
          <w:tcPr>
            <w:tcW w:w="1551" w:type="dxa"/>
            <w:vAlign w:val="top"/>
          </w:tcPr>
          <w:p w14:paraId="535F9684">
            <w:pPr>
              <w:spacing w:before="272"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9B36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35" w:type="dxa"/>
            <w:vMerge w:val="continue"/>
            <w:tcBorders>
              <w:top w:val="nil"/>
              <w:bottom w:val="nil"/>
            </w:tcBorders>
            <w:vAlign w:val="top"/>
          </w:tcPr>
          <w:p w14:paraId="787B28BB">
            <w:pPr>
              <w:rPr>
                <w:rFonts w:ascii="Arial"/>
                <w:sz w:val="21"/>
              </w:rPr>
            </w:pPr>
          </w:p>
        </w:tc>
        <w:tc>
          <w:tcPr>
            <w:tcW w:w="944" w:type="dxa"/>
            <w:vAlign w:val="top"/>
          </w:tcPr>
          <w:p w14:paraId="0D8656DE">
            <w:pPr>
              <w:pStyle w:val="6"/>
              <w:spacing w:before="168" w:line="229" w:lineRule="auto"/>
              <w:ind w:left="159"/>
            </w:pPr>
            <w:r>
              <w:rPr>
                <w:spacing w:val="6"/>
              </w:rPr>
              <w:t>兽药仓</w:t>
            </w:r>
          </w:p>
        </w:tc>
        <w:tc>
          <w:tcPr>
            <w:tcW w:w="2277" w:type="dxa"/>
            <w:vAlign w:val="top"/>
          </w:tcPr>
          <w:p w14:paraId="78B4FB68">
            <w:pPr>
              <w:pStyle w:val="6"/>
              <w:spacing w:before="168" w:line="229" w:lineRule="auto"/>
              <w:ind w:left="731"/>
            </w:pPr>
            <w:r>
              <w:rPr>
                <w:spacing w:val="4"/>
              </w:rPr>
              <w:t>医疗废物</w:t>
            </w:r>
          </w:p>
        </w:tc>
        <w:tc>
          <w:tcPr>
            <w:tcW w:w="3117" w:type="dxa"/>
            <w:gridSpan w:val="2"/>
            <w:vAlign w:val="top"/>
          </w:tcPr>
          <w:p w14:paraId="1E99BF2D">
            <w:pPr>
              <w:spacing w:before="137" w:line="274" w:lineRule="exact"/>
              <w:ind w:left="1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3161" w:type="dxa"/>
            <w:vAlign w:val="top"/>
          </w:tcPr>
          <w:p w14:paraId="43EA50B4">
            <w:pPr>
              <w:pStyle w:val="6"/>
              <w:spacing w:before="168" w:line="228" w:lineRule="auto"/>
              <w:ind w:left="225"/>
            </w:pPr>
            <w:r>
              <w:rPr>
                <w:spacing w:val="8"/>
              </w:rPr>
              <w:t>交由有相关资质单位回收处置</w:t>
            </w:r>
          </w:p>
        </w:tc>
        <w:tc>
          <w:tcPr>
            <w:tcW w:w="2737" w:type="dxa"/>
            <w:vAlign w:val="top"/>
          </w:tcPr>
          <w:p w14:paraId="6D5FEB0A">
            <w:pPr>
              <w:pStyle w:val="6"/>
              <w:spacing w:before="31" w:line="232" w:lineRule="auto"/>
              <w:ind w:left="304" w:right="106" w:hanging="183"/>
            </w:pPr>
            <w:r>
              <w:rPr>
                <w:spacing w:val="8"/>
              </w:rPr>
              <w:t>《危险废物贮存污染控制标</w:t>
            </w:r>
            <w:r>
              <w:rPr>
                <w:spacing w:val="7"/>
              </w:rPr>
              <w:t xml:space="preserve"> </w:t>
            </w:r>
            <w:r>
              <w:rPr>
                <w:spacing w:val="5"/>
              </w:rPr>
              <w:t>准》（</w:t>
            </w:r>
            <w:r>
              <w:rPr>
                <w:rFonts w:ascii="Times New Roman" w:hAnsi="Times New Roman" w:eastAsia="Times New Roman" w:cs="Times New Roman"/>
              </w:rPr>
              <w:t>GB</w:t>
            </w:r>
            <w:r>
              <w:rPr>
                <w:rFonts w:ascii="Times New Roman" w:hAnsi="Times New Roman" w:eastAsia="Times New Roman" w:cs="Times New Roman"/>
                <w:spacing w:val="5"/>
              </w:rPr>
              <w:t>18597-2001</w:t>
            </w:r>
            <w:r>
              <w:rPr>
                <w:spacing w:val="5"/>
              </w:rPr>
              <w:t>）</w:t>
            </w:r>
          </w:p>
        </w:tc>
        <w:tc>
          <w:tcPr>
            <w:tcW w:w="1551" w:type="dxa"/>
            <w:vAlign w:val="top"/>
          </w:tcPr>
          <w:p w14:paraId="59D4155C">
            <w:pPr>
              <w:spacing w:before="137"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CF59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435" w:type="dxa"/>
            <w:vMerge w:val="continue"/>
            <w:tcBorders>
              <w:top w:val="nil"/>
            </w:tcBorders>
            <w:vAlign w:val="top"/>
          </w:tcPr>
          <w:p w14:paraId="0EDD4082">
            <w:pPr>
              <w:rPr>
                <w:rFonts w:ascii="Arial"/>
                <w:sz w:val="21"/>
              </w:rPr>
            </w:pPr>
          </w:p>
        </w:tc>
        <w:tc>
          <w:tcPr>
            <w:tcW w:w="944" w:type="dxa"/>
            <w:vAlign w:val="top"/>
          </w:tcPr>
          <w:p w14:paraId="7C30AA91">
            <w:pPr>
              <w:pStyle w:val="6"/>
              <w:spacing w:before="306" w:line="229" w:lineRule="auto"/>
              <w:ind w:left="264"/>
            </w:pPr>
            <w:r>
              <w:rPr>
                <w:spacing w:val="4"/>
              </w:rPr>
              <w:t>料塔</w:t>
            </w:r>
          </w:p>
        </w:tc>
        <w:tc>
          <w:tcPr>
            <w:tcW w:w="2277" w:type="dxa"/>
            <w:vAlign w:val="top"/>
          </w:tcPr>
          <w:p w14:paraId="395E00F4">
            <w:pPr>
              <w:pStyle w:val="6"/>
              <w:spacing w:before="306" w:line="229" w:lineRule="auto"/>
              <w:ind w:left="721"/>
            </w:pPr>
            <w:r>
              <w:rPr>
                <w:spacing w:val="7"/>
              </w:rPr>
              <w:t>废包装物</w:t>
            </w:r>
          </w:p>
        </w:tc>
        <w:tc>
          <w:tcPr>
            <w:tcW w:w="3117" w:type="dxa"/>
            <w:gridSpan w:val="2"/>
            <w:vAlign w:val="top"/>
          </w:tcPr>
          <w:p w14:paraId="4448518A">
            <w:pPr>
              <w:spacing w:before="275" w:line="274" w:lineRule="exact"/>
              <w:ind w:left="15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161" w:type="dxa"/>
            <w:vAlign w:val="top"/>
          </w:tcPr>
          <w:p w14:paraId="112A6498">
            <w:pPr>
              <w:pStyle w:val="6"/>
              <w:spacing w:before="305" w:line="228" w:lineRule="auto"/>
              <w:ind w:left="543"/>
            </w:pPr>
            <w:r>
              <w:rPr>
                <w:spacing w:val="8"/>
              </w:rPr>
              <w:t>收集后交由供应商回收</w:t>
            </w:r>
          </w:p>
        </w:tc>
        <w:tc>
          <w:tcPr>
            <w:tcW w:w="2737" w:type="dxa"/>
            <w:vAlign w:val="top"/>
          </w:tcPr>
          <w:p w14:paraId="40A6FADB">
            <w:pPr>
              <w:pStyle w:val="6"/>
              <w:spacing w:before="32" w:line="228" w:lineRule="auto"/>
              <w:ind w:left="121"/>
            </w:pPr>
            <w:r>
              <w:rPr>
                <w:spacing w:val="7"/>
              </w:rPr>
              <w:t>《一般工业固体废物贮存、</w:t>
            </w:r>
          </w:p>
          <w:p w14:paraId="2CB1C092">
            <w:pPr>
              <w:pStyle w:val="6"/>
              <w:spacing w:before="26" w:line="222" w:lineRule="auto"/>
              <w:ind w:left="328"/>
            </w:pPr>
            <w:r>
              <w:rPr>
                <w:spacing w:val="7"/>
              </w:rPr>
              <w:t>处置场污染控制标准》</w:t>
            </w:r>
          </w:p>
          <w:p w14:paraId="4D90BC94">
            <w:pPr>
              <w:pStyle w:val="6"/>
              <w:spacing w:line="241" w:lineRule="auto"/>
              <w:ind w:left="522"/>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18599-2001</w:t>
            </w:r>
            <w:r>
              <w:rPr>
                <w:spacing w:val="4"/>
              </w:rPr>
              <w:t>）</w:t>
            </w:r>
          </w:p>
        </w:tc>
        <w:tc>
          <w:tcPr>
            <w:tcW w:w="1551" w:type="dxa"/>
            <w:vAlign w:val="top"/>
          </w:tcPr>
          <w:p w14:paraId="012E35EF">
            <w:pPr>
              <w:spacing w:before="27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7A130F77">
      <w:pPr>
        <w:pStyle w:val="2"/>
      </w:pPr>
    </w:p>
    <w:p w14:paraId="19BA0E01">
      <w:pPr>
        <w:sectPr>
          <w:footerReference r:id="rId176" w:type="default"/>
          <w:pgSz w:w="16839" w:h="11906"/>
          <w:pgMar w:top="400" w:right="1305" w:bottom="1485" w:left="1305" w:header="0" w:footer="1249" w:gutter="0"/>
          <w:cols w:space="720" w:num="1"/>
        </w:sectPr>
      </w:pPr>
    </w:p>
    <w:p w14:paraId="5084294C">
      <w:pPr>
        <w:pStyle w:val="2"/>
        <w:spacing w:line="270" w:lineRule="auto"/>
      </w:pPr>
    </w:p>
    <w:p w14:paraId="3EA421DB">
      <w:pPr>
        <w:pStyle w:val="2"/>
        <w:spacing w:line="270" w:lineRule="auto"/>
      </w:pPr>
    </w:p>
    <w:p w14:paraId="77D94B2D">
      <w:pPr>
        <w:pStyle w:val="2"/>
        <w:spacing w:line="271" w:lineRule="auto"/>
      </w:pPr>
    </w:p>
    <w:p w14:paraId="0B5983A2">
      <w:pPr>
        <w:pStyle w:val="2"/>
        <w:spacing w:line="271" w:lineRule="auto"/>
      </w:pPr>
    </w:p>
    <w:p w14:paraId="65478578">
      <w:pPr>
        <w:pStyle w:val="2"/>
        <w:spacing w:line="271" w:lineRule="auto"/>
      </w:pPr>
    </w:p>
    <w:p w14:paraId="27CC4D85">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8.4.1</w:t>
      </w:r>
      <w:r>
        <w:rPr>
          <w:rFonts w:ascii="宋体" w:hAnsi="宋体" w:eastAsia="宋体" w:cs="宋体"/>
          <w:b/>
          <w:bCs/>
          <w:spacing w:val="-2"/>
          <w:sz w:val="24"/>
          <w:szCs w:val="24"/>
        </w:rPr>
        <w:t>建设单位应向社会公开的信息内容</w:t>
      </w:r>
    </w:p>
    <w:p w14:paraId="4C1AF457">
      <w:pPr>
        <w:pStyle w:val="2"/>
        <w:spacing w:line="246" w:lineRule="auto"/>
      </w:pPr>
    </w:p>
    <w:p w14:paraId="67FCEF23">
      <w:pPr>
        <w:spacing w:before="78" w:line="366" w:lineRule="auto"/>
        <w:ind w:left="3" w:right="59" w:firstLine="479"/>
        <w:rPr>
          <w:rFonts w:ascii="宋体" w:hAnsi="宋体" w:eastAsia="宋体" w:cs="宋体"/>
          <w:sz w:val="24"/>
          <w:szCs w:val="24"/>
        </w:rPr>
      </w:pPr>
      <w:r>
        <w:rPr>
          <w:rFonts w:ascii="宋体" w:hAnsi="宋体" w:eastAsia="宋体" w:cs="宋体"/>
          <w:spacing w:val="1"/>
          <w:sz w:val="24"/>
          <w:szCs w:val="24"/>
        </w:rPr>
        <w:t>参照《企业事业单位环境信息公开办法》（</w:t>
      </w:r>
      <w:r>
        <w:rPr>
          <w:rFonts w:ascii="宋体" w:hAnsi="宋体" w:eastAsia="宋体" w:cs="宋体"/>
          <w:sz w:val="24"/>
          <w:szCs w:val="24"/>
        </w:rPr>
        <w:t xml:space="preserve">环境保护部第 </w:t>
      </w:r>
      <w:r>
        <w:rPr>
          <w:rFonts w:ascii="Times New Roman" w:hAnsi="Times New Roman" w:eastAsia="Times New Roman" w:cs="Times New Roman"/>
          <w:sz w:val="24"/>
          <w:szCs w:val="24"/>
        </w:rPr>
        <w:t xml:space="preserve">31  </w:t>
      </w:r>
      <w:r>
        <w:rPr>
          <w:rFonts w:ascii="宋体" w:hAnsi="宋体" w:eastAsia="宋体" w:cs="宋体"/>
          <w:sz w:val="24"/>
          <w:szCs w:val="24"/>
        </w:rPr>
        <w:t>号令）的要求， 建设单位应公开本项目的环境信息。本项目建设单</w:t>
      </w:r>
      <w:r>
        <w:rPr>
          <w:rFonts w:ascii="宋体" w:hAnsi="宋体" w:eastAsia="宋体" w:cs="宋体"/>
          <w:spacing w:val="-1"/>
          <w:sz w:val="24"/>
          <w:szCs w:val="24"/>
        </w:rPr>
        <w:t>位向社会公开的信息内容如下：</w:t>
      </w:r>
    </w:p>
    <w:p w14:paraId="12E4F516">
      <w:pPr>
        <w:spacing w:before="24" w:line="312" w:lineRule="auto"/>
        <w:ind w:left="1" w:right="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）基础信息，包括单位名称、组织机构代码、法定代表人、生产地址、联系</w:t>
      </w:r>
      <w:r>
        <w:rPr>
          <w:rFonts w:ascii="宋体" w:hAnsi="宋体" w:eastAsia="宋体" w:cs="宋体"/>
          <w:spacing w:val="16"/>
          <w:sz w:val="24"/>
          <w:szCs w:val="24"/>
        </w:rPr>
        <w:t xml:space="preserve"> </w:t>
      </w:r>
      <w:r>
        <w:rPr>
          <w:rFonts w:ascii="宋体" w:hAnsi="宋体" w:eastAsia="宋体" w:cs="宋体"/>
          <w:spacing w:val="-1"/>
          <w:sz w:val="24"/>
          <w:szCs w:val="24"/>
        </w:rPr>
        <w:t>方式，以及生产经营和管理服务的主要内容、产品及规模；</w:t>
      </w:r>
    </w:p>
    <w:p w14:paraId="7EC29D78">
      <w:pPr>
        <w:spacing w:before="167" w:line="312" w:lineRule="auto"/>
        <w:ind w:left="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）排污信息，包括主要污染物及特征污</w:t>
      </w:r>
      <w:r>
        <w:rPr>
          <w:rFonts w:ascii="宋体" w:hAnsi="宋体" w:eastAsia="宋体" w:cs="宋体"/>
          <w:spacing w:val="-2"/>
          <w:sz w:val="24"/>
          <w:szCs w:val="24"/>
        </w:rPr>
        <w:t>染物的名称、排放方式、排放口数量</w:t>
      </w:r>
      <w:r>
        <w:rPr>
          <w:rFonts w:ascii="宋体" w:hAnsi="宋体" w:eastAsia="宋体" w:cs="宋体"/>
          <w:sz w:val="24"/>
          <w:szCs w:val="24"/>
        </w:rPr>
        <w:t xml:space="preserve"> 和分布情况、排放浓度和排放量、超标情况，以及</w:t>
      </w:r>
      <w:r>
        <w:rPr>
          <w:rFonts w:ascii="宋体" w:hAnsi="宋体" w:eastAsia="宋体" w:cs="宋体"/>
          <w:spacing w:val="-1"/>
          <w:sz w:val="24"/>
          <w:szCs w:val="24"/>
        </w:rPr>
        <w:t>执行的污染物排放标准等。</w:t>
      </w:r>
    </w:p>
    <w:p w14:paraId="477380C6">
      <w:pPr>
        <w:spacing w:before="166"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）防治污染设施的建设和运行情况；</w:t>
      </w:r>
    </w:p>
    <w:p w14:paraId="164CA840">
      <w:pPr>
        <w:spacing w:before="128" w:line="359"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）建设项目环境影响评价及其他环境保护行政许可情况；</w:t>
      </w:r>
    </w:p>
    <w:p w14:paraId="0B82962E">
      <w:pPr>
        <w:spacing w:before="166"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）突发环境事件应急预案；</w:t>
      </w:r>
    </w:p>
    <w:p w14:paraId="42CBED61">
      <w:pPr>
        <w:spacing w:before="169"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6</w:t>
      </w:r>
      <w:r>
        <w:rPr>
          <w:rFonts w:ascii="宋体" w:hAnsi="宋体" w:eastAsia="宋体" w:cs="宋体"/>
          <w:spacing w:val="-2"/>
          <w:position w:val="2"/>
          <w:sz w:val="24"/>
          <w:szCs w:val="24"/>
        </w:rPr>
        <w:t>）其他应当公开的环境信息</w:t>
      </w:r>
    </w:p>
    <w:p w14:paraId="0E46631C">
      <w:pPr>
        <w:pStyle w:val="2"/>
        <w:spacing w:line="364" w:lineRule="auto"/>
      </w:pPr>
    </w:p>
    <w:p w14:paraId="4B891ADB">
      <w:pPr>
        <w:spacing w:before="101" w:line="225" w:lineRule="auto"/>
        <w:ind w:left="5"/>
        <w:outlineLvl w:val="1"/>
        <w:rPr>
          <w:rFonts w:ascii="宋体" w:hAnsi="宋体" w:eastAsia="宋体" w:cs="宋体"/>
          <w:sz w:val="31"/>
          <w:szCs w:val="31"/>
        </w:rPr>
      </w:pPr>
      <w:bookmarkStart w:id="52" w:name="bookmark47"/>
      <w:bookmarkEnd w:id="52"/>
      <w:r>
        <w:rPr>
          <w:rFonts w:ascii="宋体" w:hAnsi="宋体" w:eastAsia="宋体" w:cs="宋体"/>
          <w:b/>
          <w:bCs/>
          <w:spacing w:val="5"/>
          <w:sz w:val="31"/>
          <w:szCs w:val="31"/>
        </w:rPr>
        <w:t>8.5环保设施</w:t>
      </w:r>
      <w:r>
        <w:rPr>
          <w:rFonts w:ascii="Times New Roman" w:hAnsi="Times New Roman" w:eastAsia="Times New Roman" w:cs="Times New Roman"/>
          <w:b/>
          <w:bCs/>
          <w:spacing w:val="5"/>
          <w:sz w:val="31"/>
          <w:szCs w:val="31"/>
        </w:rPr>
        <w:t>“</w:t>
      </w:r>
      <w:r>
        <w:rPr>
          <w:rFonts w:ascii="宋体" w:hAnsi="宋体" w:eastAsia="宋体" w:cs="宋体"/>
          <w:b/>
          <w:bCs/>
          <w:spacing w:val="5"/>
          <w:sz w:val="31"/>
          <w:szCs w:val="31"/>
        </w:rPr>
        <w:t>三同时</w:t>
      </w:r>
      <w:r>
        <w:rPr>
          <w:rFonts w:ascii="Times New Roman" w:hAnsi="Times New Roman" w:eastAsia="Times New Roman" w:cs="Times New Roman"/>
          <w:b/>
          <w:bCs/>
          <w:spacing w:val="5"/>
          <w:sz w:val="31"/>
          <w:szCs w:val="31"/>
        </w:rPr>
        <w:t>”</w:t>
      </w:r>
      <w:r>
        <w:rPr>
          <w:rFonts w:ascii="宋体" w:hAnsi="宋体" w:eastAsia="宋体" w:cs="宋体"/>
          <w:b/>
          <w:bCs/>
          <w:spacing w:val="5"/>
          <w:sz w:val="31"/>
          <w:szCs w:val="31"/>
        </w:rPr>
        <w:t>竣工验收汇总</w:t>
      </w:r>
    </w:p>
    <w:p w14:paraId="71D05086">
      <w:pPr>
        <w:pStyle w:val="2"/>
        <w:spacing w:line="406" w:lineRule="auto"/>
      </w:pPr>
    </w:p>
    <w:p w14:paraId="6AE325CC">
      <w:pPr>
        <w:spacing w:before="78" w:line="379" w:lineRule="auto"/>
        <w:ind w:left="1" w:right="2" w:firstLine="482"/>
        <w:jc w:val="both"/>
        <w:rPr>
          <w:rFonts w:ascii="宋体" w:hAnsi="宋体" w:eastAsia="宋体" w:cs="宋体"/>
          <w:sz w:val="24"/>
          <w:szCs w:val="24"/>
        </w:rPr>
      </w:pPr>
      <w:r>
        <w:rPr>
          <w:rFonts w:ascii="宋体" w:hAnsi="宋体" w:eastAsia="宋体" w:cs="宋体"/>
          <w:spacing w:val="2"/>
          <w:sz w:val="24"/>
          <w:szCs w:val="24"/>
        </w:rPr>
        <w:t>项目的环保设施应以生产设施同时设计、同时施工、同时竣工投入使用。根据</w:t>
      </w:r>
      <w:r>
        <w:rPr>
          <w:rFonts w:ascii="宋体" w:hAnsi="宋体" w:eastAsia="宋体" w:cs="宋体"/>
          <w:spacing w:val="6"/>
          <w:sz w:val="24"/>
          <w:szCs w:val="24"/>
        </w:rPr>
        <w:t xml:space="preserve"> </w:t>
      </w:r>
      <w:r>
        <w:rPr>
          <w:rFonts w:ascii="宋体" w:hAnsi="宋体" w:eastAsia="宋体" w:cs="宋体"/>
          <w:spacing w:val="-4"/>
          <w:sz w:val="24"/>
          <w:szCs w:val="24"/>
        </w:rPr>
        <w:t>国务院令第</w:t>
      </w:r>
      <w:r>
        <w:rPr>
          <w:rFonts w:ascii="Times New Roman" w:hAnsi="Times New Roman" w:eastAsia="Times New Roman" w:cs="Times New Roman"/>
          <w:spacing w:val="-4"/>
          <w:sz w:val="24"/>
          <w:szCs w:val="24"/>
        </w:rPr>
        <w:t xml:space="preserve">682  </w:t>
      </w:r>
      <w:r>
        <w:rPr>
          <w:rFonts w:ascii="宋体" w:hAnsi="宋体" w:eastAsia="宋体" w:cs="宋体"/>
          <w:spacing w:val="-4"/>
          <w:sz w:val="24"/>
          <w:szCs w:val="24"/>
        </w:rPr>
        <w:t>号《国务院关于修改〈建设项目环境保护管理条例〉的决定》</w:t>
      </w:r>
      <w:r>
        <w:rPr>
          <w:rFonts w:ascii="宋体" w:hAnsi="宋体" w:eastAsia="宋体" w:cs="宋体"/>
          <w:spacing w:val="-5"/>
          <w:sz w:val="24"/>
          <w:szCs w:val="24"/>
        </w:rPr>
        <w:t>和《建</w:t>
      </w:r>
      <w:r>
        <w:rPr>
          <w:rFonts w:ascii="宋体" w:hAnsi="宋体" w:eastAsia="宋体" w:cs="宋体"/>
          <w:sz w:val="24"/>
          <w:szCs w:val="24"/>
        </w:rPr>
        <w:t xml:space="preserve"> </w:t>
      </w:r>
      <w:r>
        <w:rPr>
          <w:rFonts w:ascii="宋体" w:hAnsi="宋体" w:eastAsia="宋体" w:cs="宋体"/>
          <w:spacing w:val="-3"/>
          <w:sz w:val="24"/>
          <w:szCs w:val="24"/>
        </w:rPr>
        <w:t>设项目竣工环境保护验收管理办法》（</w:t>
      </w:r>
      <w:r>
        <w:rPr>
          <w:rFonts w:ascii="Times New Roman" w:hAnsi="Times New Roman" w:eastAsia="Times New Roman" w:cs="Times New Roman"/>
          <w:spacing w:val="-3"/>
          <w:sz w:val="24"/>
          <w:szCs w:val="24"/>
        </w:rPr>
        <w:t xml:space="preserve">2010  </w:t>
      </w:r>
      <w:r>
        <w:rPr>
          <w:rFonts w:ascii="宋体" w:hAnsi="宋体" w:eastAsia="宋体" w:cs="宋体"/>
          <w:spacing w:val="-3"/>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 xml:space="preserve">22   </w:t>
      </w:r>
      <w:r>
        <w:rPr>
          <w:rFonts w:ascii="宋体" w:hAnsi="宋体" w:eastAsia="宋体" w:cs="宋体"/>
          <w:spacing w:val="-3"/>
          <w:sz w:val="24"/>
          <w:szCs w:val="24"/>
        </w:rPr>
        <w:t>日修改）的规定和要求，</w:t>
      </w:r>
      <w:r>
        <w:rPr>
          <w:rFonts w:ascii="宋体" w:hAnsi="宋体" w:eastAsia="宋体" w:cs="宋体"/>
          <w:sz w:val="24"/>
          <w:szCs w:val="24"/>
        </w:rPr>
        <w:t xml:space="preserve"> </w:t>
      </w:r>
      <w:r>
        <w:rPr>
          <w:rFonts w:ascii="宋体" w:hAnsi="宋体" w:eastAsia="宋体" w:cs="宋体"/>
          <w:spacing w:val="2"/>
          <w:sz w:val="24"/>
          <w:szCs w:val="24"/>
        </w:rPr>
        <w:t>本建设项目竣工后，建设单位应当按照国环规环评〔</w:t>
      </w:r>
      <w:r>
        <w:rPr>
          <w:rFonts w:ascii="Times New Roman" w:hAnsi="Times New Roman" w:eastAsia="Times New Roman" w:cs="Times New Roman"/>
          <w:spacing w:val="2"/>
          <w:sz w:val="24"/>
          <w:szCs w:val="24"/>
        </w:rPr>
        <w:t>2017</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号《建设项目</w:t>
      </w:r>
      <w:r>
        <w:rPr>
          <w:rFonts w:ascii="宋体" w:hAnsi="宋体" w:eastAsia="宋体" w:cs="宋体"/>
          <w:spacing w:val="1"/>
          <w:sz w:val="24"/>
          <w:szCs w:val="24"/>
        </w:rPr>
        <w:t>竣工环</w:t>
      </w:r>
      <w:r>
        <w:rPr>
          <w:rFonts w:ascii="宋体" w:hAnsi="宋体" w:eastAsia="宋体" w:cs="宋体"/>
          <w:sz w:val="24"/>
          <w:szCs w:val="24"/>
        </w:rPr>
        <w:t xml:space="preserve"> </w:t>
      </w:r>
      <w:r>
        <w:rPr>
          <w:rFonts w:ascii="宋体" w:hAnsi="宋体" w:eastAsia="宋体" w:cs="宋体"/>
          <w:spacing w:val="2"/>
          <w:sz w:val="24"/>
          <w:szCs w:val="24"/>
        </w:rPr>
        <w:t>境保护验收暂行办法》和《建设项目竣工环境保护验收技术指南污染影响类》，同</w:t>
      </w:r>
      <w:r>
        <w:rPr>
          <w:rFonts w:ascii="宋体" w:hAnsi="宋体" w:eastAsia="宋体" w:cs="宋体"/>
          <w:spacing w:val="5"/>
          <w:sz w:val="24"/>
          <w:szCs w:val="24"/>
        </w:rPr>
        <w:t xml:space="preserve"> </w:t>
      </w:r>
      <w:r>
        <w:rPr>
          <w:rFonts w:ascii="宋体" w:hAnsi="宋体" w:eastAsia="宋体" w:cs="宋体"/>
          <w:spacing w:val="1"/>
          <w:sz w:val="24"/>
          <w:szCs w:val="24"/>
        </w:rPr>
        <w:t>时参考《建设项目竣工环境保护验收技术规范危</w:t>
      </w:r>
      <w:r>
        <w:rPr>
          <w:rFonts w:ascii="宋体" w:hAnsi="宋体" w:eastAsia="宋体" w:cs="宋体"/>
          <w:sz w:val="24"/>
          <w:szCs w:val="24"/>
        </w:rPr>
        <w:t>险废物处置》（征求意见稿</w:t>
      </w:r>
      <w:r>
        <w:rPr>
          <w:rFonts w:ascii="宋体" w:hAnsi="宋体" w:eastAsia="宋体" w:cs="宋体"/>
          <w:spacing w:val="3"/>
          <w:sz w:val="24"/>
          <w:szCs w:val="24"/>
        </w:rPr>
        <w:t>），</w:t>
      </w:r>
      <w:r>
        <w:rPr>
          <w:rFonts w:ascii="宋体" w:hAnsi="宋体" w:eastAsia="宋体" w:cs="宋体"/>
          <w:spacing w:val="-70"/>
          <w:sz w:val="24"/>
          <w:szCs w:val="24"/>
        </w:rPr>
        <w:t xml:space="preserve"> </w:t>
      </w:r>
      <w:r>
        <w:rPr>
          <w:rFonts w:ascii="宋体" w:hAnsi="宋体" w:eastAsia="宋体" w:cs="宋体"/>
          <w:sz w:val="24"/>
          <w:szCs w:val="24"/>
        </w:rPr>
        <w:t xml:space="preserve">自 </w:t>
      </w:r>
      <w:r>
        <w:rPr>
          <w:rFonts w:ascii="宋体" w:hAnsi="宋体" w:eastAsia="宋体" w:cs="宋体"/>
          <w:spacing w:val="2"/>
          <w:sz w:val="24"/>
          <w:szCs w:val="24"/>
        </w:rPr>
        <w:t>行组织对配套建设的环境保护设施进行验收，编制验收报告。并公开相关信息，接</w:t>
      </w:r>
      <w:r>
        <w:rPr>
          <w:rFonts w:ascii="宋体" w:hAnsi="宋体" w:eastAsia="宋体" w:cs="宋体"/>
          <w:spacing w:val="5"/>
          <w:sz w:val="24"/>
          <w:szCs w:val="24"/>
        </w:rPr>
        <w:t xml:space="preserve"> </w:t>
      </w:r>
      <w:r>
        <w:rPr>
          <w:rFonts w:ascii="宋体" w:hAnsi="宋体" w:eastAsia="宋体" w:cs="宋体"/>
          <w:spacing w:val="2"/>
          <w:sz w:val="24"/>
          <w:szCs w:val="24"/>
        </w:rPr>
        <w:t>受社会监督，确保建设项目需要配套建设的环境保护设施与主体工程同时投产或者</w:t>
      </w:r>
      <w:r>
        <w:rPr>
          <w:rFonts w:ascii="宋体" w:hAnsi="宋体" w:eastAsia="宋体" w:cs="宋体"/>
          <w:spacing w:val="5"/>
          <w:sz w:val="24"/>
          <w:szCs w:val="24"/>
        </w:rPr>
        <w:t xml:space="preserve"> </w:t>
      </w:r>
      <w:r>
        <w:rPr>
          <w:rFonts w:ascii="宋体" w:hAnsi="宋体" w:eastAsia="宋体" w:cs="宋体"/>
          <w:spacing w:val="-1"/>
          <w:sz w:val="24"/>
          <w:szCs w:val="24"/>
        </w:rPr>
        <w:t xml:space="preserve">使用。根据项目的特点，竣工环境保护验收一览表见表 </w:t>
      </w:r>
      <w:r>
        <w:rPr>
          <w:rFonts w:ascii="Times New Roman" w:hAnsi="Times New Roman" w:eastAsia="Times New Roman" w:cs="Times New Roman"/>
          <w:spacing w:val="-1"/>
          <w:sz w:val="24"/>
          <w:szCs w:val="24"/>
        </w:rPr>
        <w:t>8.5-1</w:t>
      </w:r>
      <w:r>
        <w:rPr>
          <w:rFonts w:ascii="宋体" w:hAnsi="宋体" w:eastAsia="宋体" w:cs="宋体"/>
          <w:spacing w:val="-1"/>
          <w:sz w:val="24"/>
          <w:szCs w:val="24"/>
        </w:rPr>
        <w:t>。</w:t>
      </w:r>
    </w:p>
    <w:p w14:paraId="038E96F8">
      <w:pPr>
        <w:spacing w:line="379" w:lineRule="auto"/>
        <w:rPr>
          <w:rFonts w:ascii="宋体" w:hAnsi="宋体" w:eastAsia="宋体" w:cs="宋体"/>
          <w:sz w:val="24"/>
          <w:szCs w:val="24"/>
        </w:rPr>
        <w:sectPr>
          <w:footerReference r:id="rId177" w:type="default"/>
          <w:pgSz w:w="11906" w:h="16839"/>
          <w:pgMar w:top="400" w:right="1585" w:bottom="1485" w:left="1597" w:header="0" w:footer="1249" w:gutter="0"/>
          <w:cols w:space="720" w:num="1"/>
        </w:sectPr>
      </w:pPr>
    </w:p>
    <w:p w14:paraId="2C901377">
      <w:pPr>
        <w:pStyle w:val="2"/>
        <w:spacing w:line="286" w:lineRule="auto"/>
      </w:pPr>
    </w:p>
    <w:p w14:paraId="348C9DF1">
      <w:pPr>
        <w:pStyle w:val="2"/>
        <w:spacing w:line="287" w:lineRule="auto"/>
      </w:pPr>
    </w:p>
    <w:p w14:paraId="33AE1EB3">
      <w:pPr>
        <w:pStyle w:val="2"/>
        <w:spacing w:line="287" w:lineRule="auto"/>
      </w:pPr>
    </w:p>
    <w:p w14:paraId="01E78118">
      <w:pPr>
        <w:pStyle w:val="2"/>
        <w:spacing w:line="287" w:lineRule="auto"/>
      </w:pPr>
    </w:p>
    <w:p w14:paraId="5869B094">
      <w:pPr>
        <w:spacing w:before="65" w:line="222" w:lineRule="auto"/>
        <w:ind w:left="4769"/>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5"/>
          <w:sz w:val="20"/>
          <w:szCs w:val="20"/>
        </w:rPr>
        <w:t xml:space="preserve">8.5-1  </w:t>
      </w:r>
      <w:r>
        <w:rPr>
          <w:rFonts w:ascii="宋体" w:hAnsi="宋体" w:eastAsia="宋体" w:cs="宋体"/>
          <w:b/>
          <w:bCs/>
          <w:spacing w:val="5"/>
          <w:sz w:val="20"/>
          <w:szCs w:val="20"/>
        </w:rPr>
        <w:t>本项目环保设施“三同时</w:t>
      </w:r>
      <w:r>
        <w:rPr>
          <w:rFonts w:ascii="宋体" w:hAnsi="宋体" w:eastAsia="宋体" w:cs="宋体"/>
          <w:spacing w:val="-72"/>
          <w:sz w:val="20"/>
          <w:szCs w:val="20"/>
        </w:rPr>
        <w:t xml:space="preserve"> </w:t>
      </w:r>
      <w:r>
        <w:rPr>
          <w:rFonts w:ascii="宋体" w:hAnsi="宋体" w:eastAsia="宋体" w:cs="宋体"/>
          <w:b/>
          <w:bCs/>
          <w:spacing w:val="5"/>
          <w:sz w:val="20"/>
          <w:szCs w:val="20"/>
        </w:rPr>
        <w:t>”验收一览表</w:t>
      </w:r>
    </w:p>
    <w:tbl>
      <w:tblPr>
        <w:tblStyle w:val="5"/>
        <w:tblW w:w="138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1295"/>
        <w:gridCol w:w="2958"/>
        <w:gridCol w:w="991"/>
        <w:gridCol w:w="1558"/>
        <w:gridCol w:w="859"/>
        <w:gridCol w:w="1973"/>
        <w:gridCol w:w="3556"/>
      </w:tblGrid>
      <w:tr w14:paraId="6CD66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1" w:type="dxa"/>
            <w:vAlign w:val="top"/>
          </w:tcPr>
          <w:p w14:paraId="0B96D740">
            <w:pPr>
              <w:pStyle w:val="6"/>
              <w:spacing w:before="37" w:line="228" w:lineRule="auto"/>
              <w:ind w:left="149"/>
            </w:pPr>
            <w:r>
              <w:rPr>
                <w:b/>
                <w:bCs/>
                <w:spacing w:val="4"/>
              </w:rPr>
              <w:t>验收</w:t>
            </w:r>
          </w:p>
          <w:p w14:paraId="3BDD0D2D">
            <w:pPr>
              <w:pStyle w:val="6"/>
              <w:spacing w:before="23" w:line="213" w:lineRule="auto"/>
              <w:ind w:left="150"/>
            </w:pPr>
            <w:r>
              <w:rPr>
                <w:b/>
                <w:bCs/>
                <w:spacing w:val="3"/>
              </w:rPr>
              <w:t>类别</w:t>
            </w:r>
          </w:p>
        </w:tc>
        <w:tc>
          <w:tcPr>
            <w:tcW w:w="1295" w:type="dxa"/>
            <w:vAlign w:val="top"/>
          </w:tcPr>
          <w:p w14:paraId="3349A924">
            <w:pPr>
              <w:pStyle w:val="6"/>
              <w:spacing w:before="36" w:line="232" w:lineRule="auto"/>
              <w:ind w:left="238" w:right="189" w:hanging="26"/>
            </w:pPr>
            <w:r>
              <w:rPr>
                <w:b/>
                <w:bCs/>
                <w:spacing w:val="4"/>
              </w:rPr>
              <w:t>治理对象</w:t>
            </w:r>
            <w:r>
              <w:rPr>
                <w:rFonts w:ascii="Times New Roman" w:hAnsi="Times New Roman" w:eastAsia="Times New Roman" w:cs="Times New Roman"/>
                <w:b/>
                <w:bCs/>
                <w:spacing w:val="4"/>
              </w:rPr>
              <w:t>/</w:t>
            </w:r>
            <w:r>
              <w:rPr>
                <w:rFonts w:ascii="Times New Roman" w:hAnsi="Times New Roman" w:eastAsia="Times New Roman" w:cs="Times New Roman"/>
                <w:b/>
                <w:bCs/>
                <w:spacing w:val="2"/>
              </w:rPr>
              <w:t xml:space="preserve"> </w:t>
            </w:r>
            <w:r>
              <w:rPr>
                <w:b/>
                <w:bCs/>
                <w:spacing w:val="5"/>
              </w:rPr>
              <w:t>建设内容</w:t>
            </w:r>
          </w:p>
        </w:tc>
        <w:tc>
          <w:tcPr>
            <w:tcW w:w="2958" w:type="dxa"/>
            <w:vAlign w:val="top"/>
          </w:tcPr>
          <w:p w14:paraId="18842199">
            <w:pPr>
              <w:pStyle w:val="6"/>
              <w:spacing w:before="171" w:line="229" w:lineRule="auto"/>
              <w:ind w:left="1065"/>
            </w:pPr>
            <w:r>
              <w:rPr>
                <w:b/>
                <w:bCs/>
                <w:spacing w:val="6"/>
              </w:rPr>
              <w:t>环保措施</w:t>
            </w:r>
          </w:p>
        </w:tc>
        <w:tc>
          <w:tcPr>
            <w:tcW w:w="991" w:type="dxa"/>
            <w:vAlign w:val="top"/>
          </w:tcPr>
          <w:p w14:paraId="3D87DD64">
            <w:pPr>
              <w:pStyle w:val="6"/>
              <w:spacing w:before="171" w:line="228" w:lineRule="auto"/>
              <w:ind w:left="190"/>
            </w:pPr>
            <w:r>
              <w:rPr>
                <w:b/>
                <w:bCs/>
                <w:spacing w:val="5"/>
              </w:rPr>
              <w:t>采样口</w:t>
            </w:r>
          </w:p>
        </w:tc>
        <w:tc>
          <w:tcPr>
            <w:tcW w:w="1558" w:type="dxa"/>
            <w:vAlign w:val="top"/>
          </w:tcPr>
          <w:p w14:paraId="42258657">
            <w:pPr>
              <w:pStyle w:val="6"/>
              <w:spacing w:before="172" w:line="228" w:lineRule="auto"/>
              <w:ind w:left="370"/>
            </w:pPr>
            <w:r>
              <w:rPr>
                <w:b/>
                <w:bCs/>
                <w:spacing w:val="6"/>
              </w:rPr>
              <w:t>验收项目</w:t>
            </w:r>
          </w:p>
        </w:tc>
        <w:tc>
          <w:tcPr>
            <w:tcW w:w="859" w:type="dxa"/>
            <w:vAlign w:val="top"/>
          </w:tcPr>
          <w:p w14:paraId="2B062F39">
            <w:pPr>
              <w:pStyle w:val="6"/>
              <w:spacing w:before="36" w:line="232" w:lineRule="auto"/>
              <w:ind w:left="334" w:right="107" w:hanging="207"/>
            </w:pPr>
            <w:r>
              <w:rPr>
                <w:b/>
                <w:bCs/>
                <w:spacing w:val="4"/>
              </w:rPr>
              <w:t>处理能</w:t>
            </w:r>
            <w:r>
              <w:t xml:space="preserve"> </w:t>
            </w:r>
            <w:r>
              <w:rPr>
                <w:b/>
                <w:bCs/>
                <w:spacing w:val="-3"/>
              </w:rPr>
              <w:t>力</w:t>
            </w:r>
          </w:p>
        </w:tc>
        <w:tc>
          <w:tcPr>
            <w:tcW w:w="1973" w:type="dxa"/>
            <w:vAlign w:val="top"/>
          </w:tcPr>
          <w:p w14:paraId="3642A758">
            <w:pPr>
              <w:pStyle w:val="6"/>
              <w:spacing w:before="172" w:line="228" w:lineRule="auto"/>
              <w:ind w:left="262"/>
            </w:pPr>
            <w:r>
              <w:rPr>
                <w:b/>
                <w:bCs/>
                <w:spacing w:val="7"/>
              </w:rPr>
              <w:t>执行标准和限值</w:t>
            </w:r>
          </w:p>
        </w:tc>
        <w:tc>
          <w:tcPr>
            <w:tcW w:w="3556" w:type="dxa"/>
            <w:vAlign w:val="top"/>
          </w:tcPr>
          <w:p w14:paraId="65C1284A">
            <w:pPr>
              <w:pStyle w:val="6"/>
              <w:spacing w:before="171" w:line="228" w:lineRule="auto"/>
              <w:ind w:left="1157"/>
            </w:pPr>
            <w:r>
              <w:rPr>
                <w:b/>
                <w:bCs/>
                <w:spacing w:val="7"/>
              </w:rPr>
              <w:t>验收基本要求</w:t>
            </w:r>
          </w:p>
        </w:tc>
      </w:tr>
      <w:tr w14:paraId="2245C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701" w:type="dxa"/>
            <w:vMerge w:val="restart"/>
            <w:tcBorders>
              <w:bottom w:val="nil"/>
            </w:tcBorders>
            <w:vAlign w:val="top"/>
          </w:tcPr>
          <w:p w14:paraId="7B70032D">
            <w:pPr>
              <w:spacing w:line="263" w:lineRule="auto"/>
              <w:rPr>
                <w:rFonts w:ascii="Arial"/>
                <w:sz w:val="21"/>
              </w:rPr>
            </w:pPr>
          </w:p>
          <w:p w14:paraId="2B6A0978">
            <w:pPr>
              <w:spacing w:line="263" w:lineRule="auto"/>
              <w:rPr>
                <w:rFonts w:ascii="Arial"/>
                <w:sz w:val="21"/>
              </w:rPr>
            </w:pPr>
          </w:p>
          <w:p w14:paraId="7B8EEA80">
            <w:pPr>
              <w:spacing w:line="263" w:lineRule="auto"/>
              <w:rPr>
                <w:rFonts w:ascii="Arial"/>
                <w:sz w:val="21"/>
              </w:rPr>
            </w:pPr>
          </w:p>
          <w:p w14:paraId="6644FD8C">
            <w:pPr>
              <w:spacing w:line="263" w:lineRule="auto"/>
              <w:rPr>
                <w:rFonts w:ascii="Arial"/>
                <w:sz w:val="21"/>
              </w:rPr>
            </w:pPr>
          </w:p>
          <w:p w14:paraId="17F3655B">
            <w:pPr>
              <w:spacing w:line="264" w:lineRule="auto"/>
              <w:rPr>
                <w:rFonts w:ascii="Arial"/>
                <w:sz w:val="21"/>
              </w:rPr>
            </w:pPr>
          </w:p>
          <w:p w14:paraId="2AE7BEE5">
            <w:pPr>
              <w:spacing w:line="264" w:lineRule="auto"/>
              <w:rPr>
                <w:rFonts w:ascii="Arial"/>
                <w:sz w:val="21"/>
              </w:rPr>
            </w:pPr>
          </w:p>
          <w:p w14:paraId="44D2E194">
            <w:pPr>
              <w:pStyle w:val="6"/>
              <w:spacing w:before="65" w:line="229" w:lineRule="auto"/>
              <w:ind w:left="149"/>
            </w:pPr>
            <w:r>
              <w:rPr>
                <w:spacing w:val="5"/>
              </w:rPr>
              <w:t>废气</w:t>
            </w:r>
          </w:p>
        </w:tc>
        <w:tc>
          <w:tcPr>
            <w:tcW w:w="1295" w:type="dxa"/>
            <w:vAlign w:val="top"/>
          </w:tcPr>
          <w:p w14:paraId="7F1D0BC1">
            <w:pPr>
              <w:spacing w:line="378" w:lineRule="auto"/>
              <w:rPr>
                <w:rFonts w:ascii="Arial"/>
                <w:sz w:val="21"/>
              </w:rPr>
            </w:pPr>
          </w:p>
          <w:p w14:paraId="244C9C26">
            <w:pPr>
              <w:pStyle w:val="6"/>
              <w:spacing w:before="65" w:line="228" w:lineRule="auto"/>
              <w:ind w:left="237"/>
            </w:pPr>
            <w:r>
              <w:rPr>
                <w:spacing w:val="7"/>
              </w:rPr>
              <w:t>养殖臭气</w:t>
            </w:r>
          </w:p>
        </w:tc>
        <w:tc>
          <w:tcPr>
            <w:tcW w:w="2958" w:type="dxa"/>
            <w:vAlign w:val="top"/>
          </w:tcPr>
          <w:p w14:paraId="191E7C35">
            <w:pPr>
              <w:pStyle w:val="6"/>
              <w:spacing w:before="37" w:line="239" w:lineRule="auto"/>
              <w:ind w:left="112" w:right="119"/>
              <w:jc w:val="both"/>
            </w:pPr>
            <w:r>
              <w:rPr>
                <w:spacing w:val="9"/>
              </w:rPr>
              <w:t>做好猪场粪便清理工作，加强</w:t>
            </w:r>
            <w:r>
              <w:rPr>
                <w:spacing w:val="2"/>
              </w:rPr>
              <w:t xml:space="preserve"> </w:t>
            </w:r>
            <w:r>
              <w:rPr>
                <w:spacing w:val="9"/>
              </w:rPr>
              <w:t>猪舍通风及消毒，合理设计日</w:t>
            </w:r>
            <w:r>
              <w:rPr>
                <w:spacing w:val="2"/>
              </w:rPr>
              <w:t xml:space="preserve"> </w:t>
            </w:r>
            <w:r>
              <w:rPr>
                <w:spacing w:val="9"/>
              </w:rPr>
              <w:t>粮，定期喷洒除臭剂，饲料中</w:t>
            </w:r>
            <w:r>
              <w:rPr>
                <w:spacing w:val="2"/>
              </w:rPr>
              <w:t xml:space="preserve"> </w:t>
            </w:r>
            <w:r>
              <w:rPr>
                <w:spacing w:val="8"/>
              </w:rPr>
              <w:t>添加益生菌，增加绿化</w:t>
            </w:r>
          </w:p>
        </w:tc>
        <w:tc>
          <w:tcPr>
            <w:tcW w:w="991" w:type="dxa"/>
            <w:vMerge w:val="restart"/>
            <w:tcBorders>
              <w:bottom w:val="nil"/>
            </w:tcBorders>
            <w:vAlign w:val="top"/>
          </w:tcPr>
          <w:p w14:paraId="21EF4183">
            <w:pPr>
              <w:spacing w:line="309" w:lineRule="auto"/>
              <w:rPr>
                <w:rFonts w:ascii="Arial"/>
                <w:sz w:val="21"/>
              </w:rPr>
            </w:pPr>
          </w:p>
          <w:p w14:paraId="0699E82F">
            <w:pPr>
              <w:spacing w:line="310" w:lineRule="auto"/>
              <w:rPr>
                <w:rFonts w:ascii="Arial"/>
                <w:sz w:val="21"/>
              </w:rPr>
            </w:pPr>
          </w:p>
          <w:p w14:paraId="7D5FBC4B">
            <w:pPr>
              <w:spacing w:line="310" w:lineRule="auto"/>
              <w:rPr>
                <w:rFonts w:ascii="Arial"/>
                <w:sz w:val="21"/>
              </w:rPr>
            </w:pPr>
          </w:p>
          <w:p w14:paraId="34AE32AC">
            <w:pPr>
              <w:pStyle w:val="6"/>
              <w:spacing w:before="65" w:line="229" w:lineRule="auto"/>
              <w:ind w:left="193"/>
            </w:pPr>
            <w:r>
              <w:rPr>
                <w:spacing w:val="6"/>
              </w:rPr>
              <w:t>厂区边</w:t>
            </w:r>
          </w:p>
          <w:p w14:paraId="00F47C7E">
            <w:pPr>
              <w:pStyle w:val="6"/>
              <w:spacing w:before="22" w:line="230" w:lineRule="auto"/>
              <w:ind w:left="407"/>
            </w:pPr>
            <w:r>
              <w:t>界</w:t>
            </w:r>
          </w:p>
        </w:tc>
        <w:tc>
          <w:tcPr>
            <w:tcW w:w="1558" w:type="dxa"/>
            <w:vMerge w:val="restart"/>
            <w:tcBorders>
              <w:bottom w:val="nil"/>
            </w:tcBorders>
            <w:vAlign w:val="top"/>
          </w:tcPr>
          <w:p w14:paraId="2FFC1D74">
            <w:pPr>
              <w:spacing w:line="259" w:lineRule="auto"/>
              <w:rPr>
                <w:rFonts w:ascii="Arial"/>
                <w:sz w:val="21"/>
              </w:rPr>
            </w:pPr>
          </w:p>
          <w:p w14:paraId="35F2A6A1">
            <w:pPr>
              <w:spacing w:line="260" w:lineRule="auto"/>
              <w:rPr>
                <w:rFonts w:ascii="Arial"/>
                <w:sz w:val="21"/>
              </w:rPr>
            </w:pPr>
          </w:p>
          <w:p w14:paraId="629C9F3A">
            <w:pPr>
              <w:pStyle w:val="6"/>
              <w:spacing w:before="65" w:line="229" w:lineRule="auto"/>
              <w:ind w:right="3"/>
              <w:jc w:val="right"/>
            </w:pPr>
            <w:r>
              <w:rPr>
                <w:spacing w:val="4"/>
              </w:rPr>
              <w:t>氨气、硫化氢、</w:t>
            </w:r>
          </w:p>
          <w:p w14:paraId="161586EA">
            <w:pPr>
              <w:pStyle w:val="6"/>
              <w:spacing w:before="23" w:line="228" w:lineRule="auto"/>
              <w:ind w:left="371"/>
            </w:pPr>
            <w:r>
              <w:rPr>
                <w:spacing w:val="7"/>
              </w:rPr>
              <w:t>臭气浓度</w:t>
            </w:r>
          </w:p>
        </w:tc>
        <w:tc>
          <w:tcPr>
            <w:tcW w:w="859" w:type="dxa"/>
            <w:vAlign w:val="top"/>
          </w:tcPr>
          <w:p w14:paraId="1EBE468E">
            <w:pPr>
              <w:spacing w:line="355" w:lineRule="auto"/>
              <w:rPr>
                <w:rFonts w:ascii="Arial"/>
                <w:sz w:val="21"/>
              </w:rPr>
            </w:pPr>
          </w:p>
          <w:p w14:paraId="1344268F">
            <w:pPr>
              <w:spacing w:before="57"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Merge w:val="restart"/>
            <w:tcBorders>
              <w:bottom w:val="nil"/>
            </w:tcBorders>
            <w:vAlign w:val="top"/>
          </w:tcPr>
          <w:p w14:paraId="34360976">
            <w:pPr>
              <w:spacing w:line="313" w:lineRule="auto"/>
              <w:rPr>
                <w:rFonts w:ascii="Arial"/>
                <w:sz w:val="21"/>
              </w:rPr>
            </w:pPr>
          </w:p>
          <w:p w14:paraId="2593C527">
            <w:pPr>
              <w:spacing w:line="313" w:lineRule="auto"/>
              <w:rPr>
                <w:rFonts w:ascii="Arial"/>
                <w:sz w:val="21"/>
              </w:rPr>
            </w:pPr>
          </w:p>
          <w:p w14:paraId="2742F514">
            <w:pPr>
              <w:pStyle w:val="6"/>
              <w:spacing w:before="65" w:line="274" w:lineRule="exact"/>
              <w:ind w:left="135"/>
            </w:pPr>
            <w:r>
              <w:rPr>
                <w:spacing w:val="4"/>
                <w:position w:val="2"/>
              </w:rPr>
              <w:t>氨</w:t>
            </w:r>
            <w:r>
              <w:rPr>
                <w:rFonts w:ascii="Times New Roman" w:hAnsi="Times New Roman" w:eastAsia="Times New Roman" w:cs="Times New Roman"/>
                <w:spacing w:val="4"/>
                <w:position w:val="2"/>
              </w:rPr>
              <w:t xml:space="preserve">≤0.06 </w:t>
            </w:r>
            <w:r>
              <w:rPr>
                <w:rFonts w:ascii="Times New Roman" w:hAnsi="Times New Roman" w:eastAsia="Times New Roman" w:cs="Times New Roman"/>
                <w:position w:val="2"/>
              </w:rPr>
              <w:t>mg</w:t>
            </w:r>
            <w:r>
              <w:rPr>
                <w:rFonts w:ascii="Times New Roman" w:hAnsi="Times New Roman" w:eastAsia="Times New Roman" w:cs="Times New Roman"/>
                <w:spacing w:val="4"/>
                <w:position w:val="2"/>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11"/>
                <w:position w:val="8"/>
                <w:sz w:val="13"/>
                <w:szCs w:val="13"/>
              </w:rPr>
              <w:t xml:space="preserve"> </w:t>
            </w:r>
            <w:r>
              <w:rPr>
                <w:spacing w:val="4"/>
                <w:position w:val="2"/>
              </w:rPr>
              <w:t>、硫</w:t>
            </w:r>
          </w:p>
          <w:p w14:paraId="78EA2611">
            <w:pPr>
              <w:pStyle w:val="6"/>
              <w:spacing w:line="272" w:lineRule="exact"/>
              <w:ind w:left="114"/>
            </w:pPr>
            <w:r>
              <w:rPr>
                <w:spacing w:val="1"/>
                <w:position w:val="2"/>
              </w:rPr>
              <w:t>化氢</w:t>
            </w:r>
            <w:r>
              <w:rPr>
                <w:rFonts w:ascii="Times New Roman" w:hAnsi="Times New Roman" w:eastAsia="Times New Roman" w:cs="Times New Roman"/>
                <w:spacing w:val="1"/>
                <w:position w:val="2"/>
              </w:rPr>
              <w:t xml:space="preserve">≤1.5 </w:t>
            </w:r>
            <w:r>
              <w:rPr>
                <w:rFonts w:ascii="Times New Roman" w:hAnsi="Times New Roman" w:eastAsia="Times New Roman" w:cs="Times New Roman"/>
                <w:position w:val="2"/>
              </w:rPr>
              <w:t>mg</w:t>
            </w:r>
            <w:r>
              <w:rPr>
                <w:rFonts w:ascii="Times New Roman" w:hAnsi="Times New Roman" w:eastAsia="Times New Roman" w:cs="Times New Roman"/>
                <w:spacing w:val="1"/>
                <w:position w:val="2"/>
              </w:rPr>
              <w:t>/m</w:t>
            </w:r>
            <w:r>
              <w:rPr>
                <w:rFonts w:ascii="Times New Roman" w:hAnsi="Times New Roman" w:eastAsia="Times New Roman" w:cs="Times New Roman"/>
                <w:spacing w:val="1"/>
                <w:position w:val="8"/>
                <w:sz w:val="13"/>
                <w:szCs w:val="13"/>
              </w:rPr>
              <w:t>3</w:t>
            </w:r>
            <w:r>
              <w:rPr>
                <w:spacing w:val="1"/>
                <w:position w:val="2"/>
              </w:rPr>
              <w:t>、臭</w:t>
            </w:r>
          </w:p>
          <w:p w14:paraId="4038D438">
            <w:pPr>
              <w:pStyle w:val="6"/>
              <w:spacing w:line="272" w:lineRule="exact"/>
              <w:ind w:left="203"/>
            </w:pPr>
            <w:r>
              <w:rPr>
                <w:spacing w:val="7"/>
                <w:position w:val="1"/>
              </w:rPr>
              <w:t>气浓度</w:t>
            </w:r>
            <w:r>
              <w:rPr>
                <w:rFonts w:ascii="Times New Roman" w:hAnsi="Times New Roman" w:eastAsia="Times New Roman" w:cs="Times New Roman"/>
                <w:spacing w:val="7"/>
                <w:position w:val="1"/>
              </w:rPr>
              <w:t>≤60</w:t>
            </w:r>
            <w:r>
              <w:rPr>
                <w:spacing w:val="7"/>
                <w:position w:val="1"/>
              </w:rPr>
              <w:t>（无量</w:t>
            </w:r>
          </w:p>
          <w:p w14:paraId="4F7919B4">
            <w:pPr>
              <w:pStyle w:val="6"/>
              <w:spacing w:before="30" w:line="231" w:lineRule="auto"/>
              <w:ind w:left="789"/>
            </w:pPr>
            <w:r>
              <w:rPr>
                <w:spacing w:val="-2"/>
              </w:rPr>
              <w:t>纲）</w:t>
            </w:r>
          </w:p>
        </w:tc>
        <w:tc>
          <w:tcPr>
            <w:tcW w:w="3556" w:type="dxa"/>
            <w:vMerge w:val="restart"/>
            <w:tcBorders>
              <w:bottom w:val="nil"/>
            </w:tcBorders>
            <w:vAlign w:val="top"/>
          </w:tcPr>
          <w:p w14:paraId="1B49FE6E">
            <w:pPr>
              <w:pStyle w:val="6"/>
              <w:spacing w:before="179" w:line="222" w:lineRule="auto"/>
              <w:ind w:left="637"/>
            </w:pPr>
            <w:r>
              <w:rPr>
                <w:spacing w:val="7"/>
              </w:rPr>
              <w:t>《恶臭污染物排放标准》</w:t>
            </w:r>
          </w:p>
          <w:p w14:paraId="1EB6D42F">
            <w:pPr>
              <w:pStyle w:val="6"/>
              <w:spacing w:line="274" w:lineRule="exact"/>
              <w:ind w:left="136"/>
            </w:pPr>
            <w:r>
              <w:rPr>
                <w:spacing w:val="6"/>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14554-93</w:t>
            </w:r>
            <w:r>
              <w:rPr>
                <w:spacing w:val="6"/>
                <w:position w:val="1"/>
              </w:rPr>
              <w:t>）中的厂界二级标准、</w:t>
            </w:r>
          </w:p>
          <w:p w14:paraId="063B3EB7">
            <w:pPr>
              <w:pStyle w:val="6"/>
              <w:spacing w:before="27" w:line="224" w:lineRule="auto"/>
              <w:ind w:left="323"/>
            </w:pPr>
            <w:r>
              <w:rPr>
                <w:spacing w:val="8"/>
              </w:rPr>
              <w:t>《畜禽养殖业污染物排放标准》</w:t>
            </w:r>
          </w:p>
          <w:p w14:paraId="1251240B">
            <w:pPr>
              <w:pStyle w:val="6"/>
              <w:spacing w:line="274" w:lineRule="exact"/>
              <w:ind w:left="172"/>
            </w:pPr>
            <w:r>
              <w:rPr>
                <w:spacing w:val="6"/>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6"/>
                <w:position w:val="1"/>
              </w:rPr>
              <w:t>44/613-2009</w:t>
            </w:r>
            <w:r>
              <w:rPr>
                <w:spacing w:val="6"/>
                <w:position w:val="1"/>
              </w:rPr>
              <w:t>）的集约化畜禽养</w:t>
            </w:r>
          </w:p>
          <w:p w14:paraId="37CAB3E9">
            <w:pPr>
              <w:pStyle w:val="6"/>
              <w:spacing w:before="28" w:line="228" w:lineRule="auto"/>
              <w:ind w:left="633"/>
            </w:pPr>
            <w:r>
              <w:rPr>
                <w:spacing w:val="9"/>
              </w:rPr>
              <w:t>殖业恶臭污染物排放标准</w:t>
            </w:r>
          </w:p>
        </w:tc>
      </w:tr>
      <w:tr w14:paraId="29203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01" w:type="dxa"/>
            <w:vMerge w:val="continue"/>
            <w:tcBorders>
              <w:top w:val="nil"/>
              <w:bottom w:val="nil"/>
            </w:tcBorders>
            <w:vAlign w:val="top"/>
          </w:tcPr>
          <w:p w14:paraId="3259D18D">
            <w:pPr>
              <w:rPr>
                <w:rFonts w:ascii="Arial"/>
                <w:sz w:val="21"/>
              </w:rPr>
            </w:pPr>
          </w:p>
        </w:tc>
        <w:tc>
          <w:tcPr>
            <w:tcW w:w="1295" w:type="dxa"/>
            <w:vAlign w:val="top"/>
          </w:tcPr>
          <w:p w14:paraId="3A564DB6">
            <w:pPr>
              <w:pStyle w:val="6"/>
              <w:spacing w:before="48" w:line="228" w:lineRule="auto"/>
              <w:ind w:left="131"/>
            </w:pPr>
            <w:r>
              <w:rPr>
                <w:spacing w:val="7"/>
              </w:rPr>
              <w:t>有机肥发酵</w:t>
            </w:r>
          </w:p>
          <w:p w14:paraId="50C455FF">
            <w:pPr>
              <w:pStyle w:val="6"/>
              <w:spacing w:before="24" w:line="197" w:lineRule="auto"/>
              <w:ind w:left="447"/>
            </w:pPr>
            <w:r>
              <w:rPr>
                <w:spacing w:val="3"/>
              </w:rPr>
              <w:t>车间</w:t>
            </w:r>
          </w:p>
        </w:tc>
        <w:tc>
          <w:tcPr>
            <w:tcW w:w="2958" w:type="dxa"/>
            <w:vAlign w:val="top"/>
          </w:tcPr>
          <w:p w14:paraId="54943732">
            <w:pPr>
              <w:pStyle w:val="6"/>
              <w:spacing w:before="49" w:line="223" w:lineRule="auto"/>
              <w:ind w:left="114" w:right="119" w:hanging="2"/>
            </w:pPr>
            <w:r>
              <w:rPr>
                <w:spacing w:val="9"/>
              </w:rPr>
              <w:t>集污池中加除臭剂，并定期喷</w:t>
            </w:r>
            <w:r>
              <w:rPr>
                <w:spacing w:val="2"/>
              </w:rPr>
              <w:t xml:space="preserve"> </w:t>
            </w:r>
            <w:r>
              <w:rPr>
                <w:spacing w:val="8"/>
              </w:rPr>
              <w:t>洒除臭剂，增加绿化</w:t>
            </w:r>
          </w:p>
        </w:tc>
        <w:tc>
          <w:tcPr>
            <w:tcW w:w="991" w:type="dxa"/>
            <w:vMerge w:val="continue"/>
            <w:tcBorders>
              <w:top w:val="nil"/>
              <w:bottom w:val="nil"/>
            </w:tcBorders>
            <w:vAlign w:val="top"/>
          </w:tcPr>
          <w:p w14:paraId="2A96EB4C">
            <w:pPr>
              <w:rPr>
                <w:rFonts w:ascii="Arial"/>
                <w:sz w:val="21"/>
              </w:rPr>
            </w:pPr>
          </w:p>
        </w:tc>
        <w:tc>
          <w:tcPr>
            <w:tcW w:w="1558" w:type="dxa"/>
            <w:vMerge w:val="continue"/>
            <w:tcBorders>
              <w:top w:val="nil"/>
            </w:tcBorders>
            <w:vAlign w:val="top"/>
          </w:tcPr>
          <w:p w14:paraId="561C686E">
            <w:pPr>
              <w:rPr>
                <w:rFonts w:ascii="Arial"/>
                <w:sz w:val="21"/>
              </w:rPr>
            </w:pPr>
          </w:p>
        </w:tc>
        <w:tc>
          <w:tcPr>
            <w:tcW w:w="859" w:type="dxa"/>
            <w:vAlign w:val="top"/>
          </w:tcPr>
          <w:p w14:paraId="23092C9A">
            <w:pPr>
              <w:spacing w:before="152"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Merge w:val="continue"/>
            <w:tcBorders>
              <w:top w:val="nil"/>
              <w:bottom w:val="nil"/>
            </w:tcBorders>
            <w:vAlign w:val="top"/>
          </w:tcPr>
          <w:p w14:paraId="3BA850E8">
            <w:pPr>
              <w:rPr>
                <w:rFonts w:ascii="Arial"/>
                <w:sz w:val="21"/>
              </w:rPr>
            </w:pPr>
          </w:p>
        </w:tc>
        <w:tc>
          <w:tcPr>
            <w:tcW w:w="3556" w:type="dxa"/>
            <w:vMerge w:val="continue"/>
            <w:tcBorders>
              <w:top w:val="nil"/>
            </w:tcBorders>
            <w:vAlign w:val="top"/>
          </w:tcPr>
          <w:p w14:paraId="65535B53">
            <w:pPr>
              <w:rPr>
                <w:rFonts w:ascii="Arial"/>
                <w:sz w:val="21"/>
              </w:rPr>
            </w:pPr>
          </w:p>
        </w:tc>
      </w:tr>
      <w:tr w14:paraId="52454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701" w:type="dxa"/>
            <w:vMerge w:val="continue"/>
            <w:tcBorders>
              <w:top w:val="nil"/>
              <w:bottom w:val="nil"/>
            </w:tcBorders>
            <w:vAlign w:val="top"/>
          </w:tcPr>
          <w:p w14:paraId="6AC27853">
            <w:pPr>
              <w:rPr>
                <w:rFonts w:ascii="Arial"/>
                <w:sz w:val="21"/>
              </w:rPr>
            </w:pPr>
          </w:p>
        </w:tc>
        <w:tc>
          <w:tcPr>
            <w:tcW w:w="1295" w:type="dxa"/>
            <w:vAlign w:val="top"/>
          </w:tcPr>
          <w:p w14:paraId="646E754D">
            <w:pPr>
              <w:spacing w:line="260" w:lineRule="auto"/>
              <w:rPr>
                <w:rFonts w:ascii="Arial"/>
                <w:sz w:val="21"/>
              </w:rPr>
            </w:pPr>
          </w:p>
          <w:p w14:paraId="3F4C34A2">
            <w:pPr>
              <w:pStyle w:val="6"/>
              <w:spacing w:before="65" w:line="229" w:lineRule="auto"/>
              <w:ind w:left="130"/>
            </w:pPr>
            <w:r>
              <w:rPr>
                <w:spacing w:val="8"/>
              </w:rPr>
              <w:t>饲料加工房</w:t>
            </w:r>
          </w:p>
        </w:tc>
        <w:tc>
          <w:tcPr>
            <w:tcW w:w="2958" w:type="dxa"/>
            <w:vAlign w:val="top"/>
          </w:tcPr>
          <w:p w14:paraId="56037795">
            <w:pPr>
              <w:spacing w:line="260" w:lineRule="auto"/>
              <w:rPr>
                <w:rFonts w:ascii="Arial"/>
                <w:sz w:val="21"/>
              </w:rPr>
            </w:pPr>
          </w:p>
          <w:p w14:paraId="39B3CD33">
            <w:pPr>
              <w:pStyle w:val="6"/>
              <w:spacing w:before="65" w:line="229" w:lineRule="auto"/>
              <w:ind w:left="112"/>
            </w:pPr>
            <w:r>
              <w:rPr>
                <w:spacing w:val="8"/>
              </w:rPr>
              <w:t>饲料加工设备密闭</w:t>
            </w:r>
          </w:p>
        </w:tc>
        <w:tc>
          <w:tcPr>
            <w:tcW w:w="991" w:type="dxa"/>
            <w:vMerge w:val="continue"/>
            <w:tcBorders>
              <w:top w:val="nil"/>
            </w:tcBorders>
            <w:vAlign w:val="top"/>
          </w:tcPr>
          <w:p w14:paraId="5517CF1C">
            <w:pPr>
              <w:rPr>
                <w:rFonts w:ascii="Arial"/>
                <w:sz w:val="21"/>
              </w:rPr>
            </w:pPr>
          </w:p>
        </w:tc>
        <w:tc>
          <w:tcPr>
            <w:tcW w:w="1558" w:type="dxa"/>
            <w:vAlign w:val="top"/>
          </w:tcPr>
          <w:p w14:paraId="5287C6F5">
            <w:pPr>
              <w:spacing w:line="302" w:lineRule="auto"/>
              <w:rPr>
                <w:rFonts w:ascii="Arial"/>
                <w:sz w:val="21"/>
              </w:rPr>
            </w:pPr>
          </w:p>
          <w:p w14:paraId="3CA868C8">
            <w:pPr>
              <w:spacing w:before="5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859" w:type="dxa"/>
            <w:vAlign w:val="top"/>
          </w:tcPr>
          <w:p w14:paraId="7B7738A8">
            <w:pPr>
              <w:spacing w:before="295"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Merge w:val="continue"/>
            <w:tcBorders>
              <w:top w:val="nil"/>
            </w:tcBorders>
            <w:vAlign w:val="top"/>
          </w:tcPr>
          <w:p w14:paraId="00129471">
            <w:pPr>
              <w:rPr>
                <w:rFonts w:ascii="Arial"/>
                <w:sz w:val="21"/>
              </w:rPr>
            </w:pPr>
          </w:p>
        </w:tc>
        <w:tc>
          <w:tcPr>
            <w:tcW w:w="3556" w:type="dxa"/>
            <w:vAlign w:val="top"/>
          </w:tcPr>
          <w:p w14:paraId="2423E8E4">
            <w:pPr>
              <w:pStyle w:val="6"/>
              <w:spacing w:before="55" w:line="222" w:lineRule="auto"/>
              <w:ind w:left="317"/>
            </w:pPr>
            <w:r>
              <w:rPr>
                <w:spacing w:val="8"/>
              </w:rPr>
              <w:t>广东省《大气污染物排放限值》</w:t>
            </w:r>
          </w:p>
          <w:p w14:paraId="5BAC2058">
            <w:pPr>
              <w:pStyle w:val="6"/>
              <w:spacing w:line="274" w:lineRule="exact"/>
              <w:ind w:left="136"/>
            </w:pPr>
            <w:r>
              <w:rPr>
                <w:spacing w:val="5"/>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5"/>
                <w:position w:val="1"/>
              </w:rPr>
              <w:t>44/27-2001</w:t>
            </w:r>
            <w:r>
              <w:rPr>
                <w:spacing w:val="5"/>
                <w:position w:val="1"/>
              </w:rPr>
              <w:t>）第二时段无组织排</w:t>
            </w:r>
          </w:p>
          <w:p w14:paraId="75D6F507">
            <w:pPr>
              <w:pStyle w:val="6"/>
              <w:spacing w:before="30" w:line="187" w:lineRule="auto"/>
              <w:ind w:left="1472"/>
            </w:pPr>
            <w:r>
              <w:rPr>
                <w:spacing w:val="6"/>
              </w:rPr>
              <w:t>放标准</w:t>
            </w:r>
          </w:p>
        </w:tc>
      </w:tr>
      <w:tr w14:paraId="7BCA4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701" w:type="dxa"/>
            <w:vMerge w:val="continue"/>
            <w:tcBorders>
              <w:top w:val="nil"/>
            </w:tcBorders>
            <w:vAlign w:val="top"/>
          </w:tcPr>
          <w:p w14:paraId="633817C8">
            <w:pPr>
              <w:rPr>
                <w:rFonts w:ascii="Arial"/>
                <w:sz w:val="21"/>
              </w:rPr>
            </w:pPr>
          </w:p>
        </w:tc>
        <w:tc>
          <w:tcPr>
            <w:tcW w:w="1295" w:type="dxa"/>
            <w:vAlign w:val="top"/>
          </w:tcPr>
          <w:p w14:paraId="54B6EECD">
            <w:pPr>
              <w:pStyle w:val="6"/>
              <w:spacing w:before="304" w:line="228" w:lineRule="auto"/>
              <w:ind w:left="133"/>
            </w:pPr>
            <w:r>
              <w:rPr>
                <w:spacing w:val="7"/>
              </w:rPr>
              <w:t>备用发电机</w:t>
            </w:r>
          </w:p>
          <w:p w14:paraId="5484A864">
            <w:pPr>
              <w:pStyle w:val="6"/>
              <w:spacing w:before="24" w:line="229" w:lineRule="auto"/>
              <w:ind w:left="551"/>
            </w:pPr>
            <w:r>
              <w:t>房</w:t>
            </w:r>
          </w:p>
        </w:tc>
        <w:tc>
          <w:tcPr>
            <w:tcW w:w="2958" w:type="dxa"/>
            <w:vAlign w:val="top"/>
          </w:tcPr>
          <w:p w14:paraId="306AF1BA">
            <w:pPr>
              <w:spacing w:line="375" w:lineRule="auto"/>
              <w:rPr>
                <w:rFonts w:ascii="Arial"/>
                <w:sz w:val="21"/>
              </w:rPr>
            </w:pPr>
          </w:p>
          <w:p w14:paraId="2A59B6FE">
            <w:pPr>
              <w:pStyle w:val="6"/>
              <w:spacing w:before="65" w:line="228" w:lineRule="auto"/>
              <w:ind w:left="114"/>
            </w:pPr>
            <w:r>
              <w:rPr>
                <w:spacing w:val="8"/>
              </w:rPr>
              <w:t>经专用排气筒排放</w:t>
            </w:r>
          </w:p>
        </w:tc>
        <w:tc>
          <w:tcPr>
            <w:tcW w:w="991" w:type="dxa"/>
            <w:vAlign w:val="top"/>
          </w:tcPr>
          <w:p w14:paraId="05B412B4">
            <w:pPr>
              <w:spacing w:line="344" w:lineRule="auto"/>
              <w:rPr>
                <w:rFonts w:ascii="Arial"/>
                <w:sz w:val="21"/>
              </w:rPr>
            </w:pPr>
          </w:p>
          <w:p w14:paraId="12DC5FA4">
            <w:pPr>
              <w:pStyle w:val="6"/>
              <w:spacing w:before="65" w:line="274" w:lineRule="exact"/>
              <w:ind w:left="118"/>
              <w:rPr>
                <w:rFonts w:ascii="Times New Roman" w:hAnsi="Times New Roman" w:eastAsia="Times New Roman" w:cs="Times New Roman"/>
              </w:rPr>
            </w:pPr>
            <w:r>
              <w:rPr>
                <w:spacing w:val="5"/>
                <w:position w:val="1"/>
              </w:rPr>
              <w:t>排气筒</w:t>
            </w:r>
            <w:r>
              <w:rPr>
                <w:spacing w:val="-33"/>
                <w:position w:val="1"/>
              </w:rPr>
              <w:t xml:space="preserve"> </w:t>
            </w:r>
            <w:r>
              <w:rPr>
                <w:rFonts w:ascii="Times New Roman" w:hAnsi="Times New Roman" w:eastAsia="Times New Roman" w:cs="Times New Roman"/>
                <w:spacing w:val="5"/>
                <w:position w:val="1"/>
              </w:rPr>
              <w:t>1</w:t>
            </w:r>
          </w:p>
        </w:tc>
        <w:tc>
          <w:tcPr>
            <w:tcW w:w="1558" w:type="dxa"/>
            <w:vAlign w:val="top"/>
          </w:tcPr>
          <w:p w14:paraId="4E3ACB5D">
            <w:pPr>
              <w:pStyle w:val="6"/>
              <w:spacing w:before="305" w:line="271" w:lineRule="exact"/>
              <w:ind w:left="126"/>
            </w:pPr>
            <w:r>
              <w:rPr>
                <w:rFonts w:ascii="Times New Roman" w:hAnsi="Times New Roman" w:eastAsia="Times New Roman" w:cs="Times New Roman"/>
                <w:spacing w:val="-3"/>
                <w:position w:val="1"/>
              </w:rPr>
              <w:t>SO</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4"/>
                <w:sz w:val="13"/>
                <w:szCs w:val="13"/>
              </w:rPr>
              <w:t xml:space="preserve"> </w:t>
            </w:r>
            <w:r>
              <w:rPr>
                <w:spacing w:val="-3"/>
                <w:position w:val="1"/>
              </w:rPr>
              <w:t>、</w:t>
            </w:r>
            <w:r>
              <w:rPr>
                <w:rFonts w:ascii="Times New Roman" w:hAnsi="Times New Roman" w:eastAsia="Times New Roman" w:cs="Times New Roman"/>
                <w:spacing w:val="-3"/>
                <w:position w:val="1"/>
              </w:rPr>
              <w:t>NO</w:t>
            </w:r>
            <w:r>
              <w:rPr>
                <w:rFonts w:ascii="Times New Roman" w:hAnsi="Times New Roman" w:eastAsia="Times New Roman" w:cs="Times New Roman"/>
                <w:spacing w:val="-3"/>
                <w:sz w:val="13"/>
                <w:szCs w:val="13"/>
              </w:rPr>
              <w:t>X</w:t>
            </w:r>
            <w:r>
              <w:rPr>
                <w:rFonts w:ascii="Times New Roman" w:hAnsi="Times New Roman" w:eastAsia="Times New Roman" w:cs="Times New Roman"/>
                <w:spacing w:val="-10"/>
                <w:sz w:val="13"/>
                <w:szCs w:val="13"/>
              </w:rPr>
              <w:t xml:space="preserve"> </w:t>
            </w:r>
            <w:r>
              <w:rPr>
                <w:spacing w:val="-3"/>
                <w:position w:val="1"/>
              </w:rPr>
              <w:t>、烟</w:t>
            </w:r>
          </w:p>
          <w:p w14:paraId="3FB1DDE4">
            <w:pPr>
              <w:pStyle w:val="6"/>
              <w:spacing w:line="234" w:lineRule="auto"/>
              <w:ind w:left="687"/>
            </w:pPr>
            <w:r>
              <w:t>尘</w:t>
            </w:r>
          </w:p>
        </w:tc>
        <w:tc>
          <w:tcPr>
            <w:tcW w:w="859" w:type="dxa"/>
            <w:vAlign w:val="top"/>
          </w:tcPr>
          <w:p w14:paraId="39B3FDB2">
            <w:pPr>
              <w:spacing w:line="351" w:lineRule="auto"/>
              <w:rPr>
                <w:rFonts w:ascii="Arial"/>
                <w:sz w:val="21"/>
              </w:rPr>
            </w:pPr>
          </w:p>
          <w:p w14:paraId="549B345A">
            <w:pPr>
              <w:spacing w:before="58"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57635ADF">
            <w:pPr>
              <w:pStyle w:val="6"/>
              <w:spacing w:before="64" w:line="209" w:lineRule="auto"/>
              <w:ind w:left="157"/>
            </w:pPr>
            <w:r>
              <w:rPr>
                <w:spacing w:val="8"/>
              </w:rPr>
              <w:t>排放监控浓度限值</w:t>
            </w:r>
          </w:p>
          <w:p w14:paraId="4F6C6410">
            <w:pPr>
              <w:spacing w:line="257" w:lineRule="exact"/>
              <w:ind w:left="339"/>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SO</w:t>
            </w:r>
            <w:r>
              <w:rPr>
                <w:rFonts w:ascii="Times New Roman" w:hAnsi="Times New Roman" w:eastAsia="Times New Roman" w:cs="Times New Roman"/>
                <w:spacing w:val="6"/>
                <w:sz w:val="13"/>
                <w:szCs w:val="13"/>
              </w:rPr>
              <w:t>2</w:t>
            </w:r>
            <w:r>
              <w:rPr>
                <w:rFonts w:ascii="Times New Roman" w:hAnsi="Times New Roman" w:eastAsia="Times New Roman" w:cs="Times New Roman"/>
                <w:spacing w:val="6"/>
                <w:position w:val="2"/>
                <w:sz w:val="20"/>
                <w:szCs w:val="20"/>
              </w:rPr>
              <w:t>≤500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p>
          <w:p w14:paraId="70909C7B">
            <w:pPr>
              <w:spacing w:line="248" w:lineRule="exact"/>
              <w:ind w:left="288"/>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NOx</w:t>
            </w:r>
            <w:r>
              <w:rPr>
                <w:rFonts w:ascii="Times New Roman" w:hAnsi="Times New Roman" w:eastAsia="Times New Roman" w:cs="Times New Roman"/>
                <w:spacing w:val="10"/>
                <w:position w:val="2"/>
                <w:sz w:val="20"/>
                <w:szCs w:val="20"/>
              </w:rPr>
              <w:t>≤120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10"/>
                <w:position w:val="2"/>
                <w:sz w:val="20"/>
                <w:szCs w:val="20"/>
              </w:rPr>
              <w:t>/m</w:t>
            </w:r>
            <w:r>
              <w:rPr>
                <w:rFonts w:ascii="Times New Roman" w:hAnsi="Times New Roman" w:eastAsia="Times New Roman" w:cs="Times New Roman"/>
                <w:spacing w:val="10"/>
                <w:position w:val="8"/>
                <w:sz w:val="13"/>
                <w:szCs w:val="13"/>
              </w:rPr>
              <w:t>3</w:t>
            </w:r>
          </w:p>
          <w:p w14:paraId="09F8A520">
            <w:pPr>
              <w:pStyle w:val="6"/>
              <w:spacing w:line="197" w:lineRule="auto"/>
              <w:ind w:left="246"/>
              <w:rPr>
                <w:rFonts w:ascii="Times New Roman" w:hAnsi="Times New Roman" w:eastAsia="Times New Roman" w:cs="Times New Roman"/>
                <w:sz w:val="13"/>
                <w:szCs w:val="13"/>
              </w:rPr>
            </w:pPr>
            <w:r>
              <w:rPr>
                <w:spacing w:val="7"/>
              </w:rPr>
              <w:t>烟尘≤</w:t>
            </w:r>
            <w:r>
              <w:rPr>
                <w:rFonts w:ascii="Times New Roman" w:hAnsi="Times New Roman" w:eastAsia="Times New Roman" w:cs="Times New Roman"/>
                <w:spacing w:val="7"/>
              </w:rPr>
              <w:t>120</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p>
        </w:tc>
        <w:tc>
          <w:tcPr>
            <w:tcW w:w="3556" w:type="dxa"/>
            <w:vAlign w:val="top"/>
          </w:tcPr>
          <w:p w14:paraId="06F8282A">
            <w:pPr>
              <w:pStyle w:val="6"/>
              <w:spacing w:before="168" w:line="222" w:lineRule="auto"/>
              <w:ind w:left="317"/>
            </w:pPr>
            <w:r>
              <w:rPr>
                <w:spacing w:val="8"/>
              </w:rPr>
              <w:t>广东省《大气污染物排放限值》</w:t>
            </w:r>
          </w:p>
          <w:p w14:paraId="2B57ACC2">
            <w:pPr>
              <w:pStyle w:val="6"/>
              <w:spacing w:line="274" w:lineRule="exact"/>
              <w:ind w:left="136"/>
            </w:pPr>
            <w:r>
              <w:rPr>
                <w:spacing w:val="5"/>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5"/>
                <w:position w:val="1"/>
              </w:rPr>
              <w:t>44/27-2001</w:t>
            </w:r>
            <w:r>
              <w:rPr>
                <w:spacing w:val="5"/>
                <w:position w:val="1"/>
              </w:rPr>
              <w:t>）第二时段二级标准</w:t>
            </w:r>
          </w:p>
          <w:p w14:paraId="6A7DB8DA">
            <w:pPr>
              <w:pStyle w:val="6"/>
              <w:spacing w:before="30" w:line="228" w:lineRule="auto"/>
              <w:ind w:left="1592"/>
            </w:pPr>
            <w:r>
              <w:rPr>
                <w:spacing w:val="-3"/>
              </w:rPr>
              <w:t>限值</w:t>
            </w:r>
          </w:p>
        </w:tc>
      </w:tr>
      <w:tr w14:paraId="2D07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701" w:type="dxa"/>
            <w:vAlign w:val="top"/>
          </w:tcPr>
          <w:p w14:paraId="0E1E8D29">
            <w:pPr>
              <w:spacing w:line="276" w:lineRule="auto"/>
              <w:rPr>
                <w:rFonts w:ascii="Arial"/>
                <w:sz w:val="21"/>
              </w:rPr>
            </w:pPr>
          </w:p>
          <w:p w14:paraId="7FD20D9F">
            <w:pPr>
              <w:pStyle w:val="6"/>
              <w:spacing w:before="65" w:line="228" w:lineRule="auto"/>
              <w:ind w:left="149"/>
            </w:pPr>
            <w:r>
              <w:rPr>
                <w:spacing w:val="5"/>
              </w:rPr>
              <w:t>废水</w:t>
            </w:r>
          </w:p>
        </w:tc>
        <w:tc>
          <w:tcPr>
            <w:tcW w:w="1295" w:type="dxa"/>
            <w:vAlign w:val="top"/>
          </w:tcPr>
          <w:p w14:paraId="3C92EF55">
            <w:pPr>
              <w:spacing w:line="276" w:lineRule="auto"/>
              <w:rPr>
                <w:rFonts w:ascii="Arial"/>
                <w:sz w:val="21"/>
              </w:rPr>
            </w:pPr>
          </w:p>
          <w:p w14:paraId="0AF2B4BF">
            <w:pPr>
              <w:pStyle w:val="6"/>
              <w:spacing w:before="65" w:line="228" w:lineRule="auto"/>
              <w:ind w:left="444"/>
            </w:pPr>
            <w:r>
              <w:rPr>
                <w:spacing w:val="5"/>
              </w:rPr>
              <w:t>废水</w:t>
            </w:r>
          </w:p>
        </w:tc>
        <w:tc>
          <w:tcPr>
            <w:tcW w:w="2958" w:type="dxa"/>
            <w:vAlign w:val="top"/>
          </w:tcPr>
          <w:p w14:paraId="38518C7F">
            <w:pPr>
              <w:pStyle w:val="6"/>
              <w:spacing w:before="71" w:line="224" w:lineRule="auto"/>
              <w:ind w:left="112" w:right="119" w:firstLine="4"/>
              <w:jc w:val="both"/>
            </w:pPr>
            <w:r>
              <w:rPr>
                <w:spacing w:val="8"/>
              </w:rPr>
              <w:t>与猪只粪便一起收集后，经异</w:t>
            </w:r>
            <w:r>
              <w:rPr>
                <w:spacing w:val="11"/>
              </w:rPr>
              <w:t xml:space="preserve"> </w:t>
            </w:r>
            <w:r>
              <w:rPr>
                <w:spacing w:val="9"/>
              </w:rPr>
              <w:t>位发酵床发酵成有机肥半成品</w:t>
            </w:r>
            <w:r>
              <w:rPr>
                <w:spacing w:val="2"/>
              </w:rPr>
              <w:t xml:space="preserve"> </w:t>
            </w:r>
            <w:r>
              <w:rPr>
                <w:spacing w:val="4"/>
              </w:rPr>
              <w:t>外售</w:t>
            </w:r>
          </w:p>
        </w:tc>
        <w:tc>
          <w:tcPr>
            <w:tcW w:w="991" w:type="dxa"/>
            <w:vAlign w:val="top"/>
          </w:tcPr>
          <w:p w14:paraId="79AA7F08">
            <w:pPr>
              <w:spacing w:line="252" w:lineRule="auto"/>
              <w:rPr>
                <w:rFonts w:ascii="Arial"/>
                <w:sz w:val="21"/>
              </w:rPr>
            </w:pPr>
          </w:p>
          <w:p w14:paraId="6D666E81">
            <w:pPr>
              <w:spacing w:before="58"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23FDF646">
            <w:pPr>
              <w:spacing w:line="252" w:lineRule="auto"/>
              <w:rPr>
                <w:rFonts w:ascii="Arial"/>
                <w:sz w:val="21"/>
              </w:rPr>
            </w:pPr>
          </w:p>
          <w:p w14:paraId="6C657A49">
            <w:pPr>
              <w:spacing w:before="58"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9" w:type="dxa"/>
            <w:vAlign w:val="top"/>
          </w:tcPr>
          <w:p w14:paraId="2E3FF82E">
            <w:pPr>
              <w:spacing w:line="252" w:lineRule="auto"/>
              <w:rPr>
                <w:rFonts w:ascii="Arial"/>
                <w:sz w:val="21"/>
              </w:rPr>
            </w:pPr>
          </w:p>
          <w:p w14:paraId="3E9ED039">
            <w:pPr>
              <w:spacing w:before="58"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0E18DCEF">
            <w:pPr>
              <w:spacing w:line="252" w:lineRule="auto"/>
              <w:rPr>
                <w:rFonts w:ascii="Arial"/>
                <w:sz w:val="21"/>
              </w:rPr>
            </w:pPr>
          </w:p>
          <w:p w14:paraId="2170CC9F">
            <w:pPr>
              <w:spacing w:before="58" w:line="274" w:lineRule="exact"/>
              <w:ind w:left="9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556" w:type="dxa"/>
            <w:vAlign w:val="top"/>
          </w:tcPr>
          <w:p w14:paraId="4483205E">
            <w:pPr>
              <w:pStyle w:val="6"/>
              <w:spacing w:before="71" w:line="222" w:lineRule="auto"/>
              <w:ind w:left="323"/>
            </w:pPr>
            <w:r>
              <w:rPr>
                <w:spacing w:val="8"/>
              </w:rPr>
              <w:t>《畜禽养殖业污染物排放标准》</w:t>
            </w:r>
          </w:p>
          <w:p w14:paraId="4465233C">
            <w:pPr>
              <w:pStyle w:val="6"/>
              <w:spacing w:line="274" w:lineRule="exact"/>
              <w:ind w:left="172"/>
            </w:pPr>
            <w:r>
              <w:rPr>
                <w:spacing w:val="6"/>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6"/>
                <w:position w:val="1"/>
              </w:rPr>
              <w:t>44/613-2009</w:t>
            </w:r>
            <w:r>
              <w:rPr>
                <w:spacing w:val="6"/>
                <w:position w:val="1"/>
              </w:rPr>
              <w:t>）中的畜禽养殖业</w:t>
            </w:r>
          </w:p>
          <w:p w14:paraId="3FDD7A8A">
            <w:pPr>
              <w:pStyle w:val="6"/>
              <w:spacing w:before="27" w:line="171" w:lineRule="auto"/>
              <w:ind w:left="842"/>
            </w:pPr>
            <w:r>
              <w:rPr>
                <w:spacing w:val="9"/>
              </w:rPr>
              <w:t>废渣无害化环境标准</w:t>
            </w:r>
          </w:p>
        </w:tc>
      </w:tr>
      <w:tr w14:paraId="1715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701" w:type="dxa"/>
            <w:vAlign w:val="top"/>
          </w:tcPr>
          <w:p w14:paraId="3262A362">
            <w:pPr>
              <w:spacing w:line="344" w:lineRule="auto"/>
              <w:rPr>
                <w:rFonts w:ascii="Arial"/>
                <w:sz w:val="21"/>
              </w:rPr>
            </w:pPr>
          </w:p>
          <w:p w14:paraId="44C67138">
            <w:pPr>
              <w:spacing w:line="344" w:lineRule="auto"/>
              <w:rPr>
                <w:rFonts w:ascii="Arial"/>
                <w:sz w:val="21"/>
              </w:rPr>
            </w:pPr>
          </w:p>
          <w:p w14:paraId="5D5460E2">
            <w:pPr>
              <w:pStyle w:val="6"/>
              <w:spacing w:before="65" w:line="229" w:lineRule="auto"/>
              <w:ind w:left="160"/>
            </w:pPr>
            <w:r>
              <w:rPr>
                <w:spacing w:val="-1"/>
              </w:rPr>
              <w:t>噪声</w:t>
            </w:r>
          </w:p>
        </w:tc>
        <w:tc>
          <w:tcPr>
            <w:tcW w:w="1295" w:type="dxa"/>
            <w:vAlign w:val="top"/>
          </w:tcPr>
          <w:p w14:paraId="15C57DA8">
            <w:pPr>
              <w:pStyle w:val="6"/>
              <w:spacing w:before="78" w:line="228" w:lineRule="auto"/>
              <w:ind w:left="133"/>
            </w:pPr>
            <w:r>
              <w:rPr>
                <w:spacing w:val="7"/>
              </w:rPr>
              <w:t>水泵房、风</w:t>
            </w:r>
          </w:p>
          <w:p w14:paraId="6DA44E61">
            <w:pPr>
              <w:pStyle w:val="6"/>
              <w:spacing w:before="23" w:line="228" w:lineRule="auto"/>
              <w:ind w:left="130"/>
            </w:pPr>
            <w:r>
              <w:rPr>
                <w:spacing w:val="8"/>
              </w:rPr>
              <w:t>机噪声、无</w:t>
            </w:r>
          </w:p>
          <w:p w14:paraId="4BA8AC6A">
            <w:pPr>
              <w:pStyle w:val="6"/>
              <w:spacing w:before="26" w:line="228" w:lineRule="auto"/>
              <w:ind w:left="135"/>
            </w:pPr>
            <w:r>
              <w:rPr>
                <w:spacing w:val="7"/>
              </w:rPr>
              <w:t>害化降解机</w:t>
            </w:r>
          </w:p>
          <w:p w14:paraId="44C34D53">
            <w:pPr>
              <w:pStyle w:val="6"/>
              <w:spacing w:before="27" w:line="229" w:lineRule="auto"/>
              <w:ind w:left="140"/>
            </w:pPr>
            <w:r>
              <w:rPr>
                <w:spacing w:val="6"/>
              </w:rPr>
              <w:t>噪声、发电</w:t>
            </w:r>
          </w:p>
          <w:p w14:paraId="5EEB6F5E">
            <w:pPr>
              <w:pStyle w:val="6"/>
              <w:spacing w:before="22" w:line="228" w:lineRule="auto"/>
              <w:ind w:left="130"/>
            </w:pPr>
            <w:r>
              <w:rPr>
                <w:spacing w:val="8"/>
              </w:rPr>
              <w:t>机噪声、猪</w:t>
            </w:r>
          </w:p>
          <w:p w14:paraId="451C502D">
            <w:pPr>
              <w:pStyle w:val="6"/>
              <w:spacing w:before="24" w:line="169" w:lineRule="exact"/>
              <w:ind w:left="339"/>
            </w:pPr>
            <w:r>
              <w:rPr>
                <w:spacing w:val="6"/>
                <w:position w:val="-3"/>
              </w:rPr>
              <w:t>群叫声</w:t>
            </w:r>
          </w:p>
        </w:tc>
        <w:tc>
          <w:tcPr>
            <w:tcW w:w="2958" w:type="dxa"/>
            <w:vAlign w:val="top"/>
          </w:tcPr>
          <w:p w14:paraId="5DA07D0F">
            <w:pPr>
              <w:spacing w:line="277" w:lineRule="auto"/>
              <w:rPr>
                <w:rFonts w:ascii="Arial"/>
                <w:sz w:val="21"/>
              </w:rPr>
            </w:pPr>
          </w:p>
          <w:p w14:paraId="4FB95A17">
            <w:pPr>
              <w:spacing w:line="277" w:lineRule="auto"/>
              <w:rPr>
                <w:rFonts w:ascii="Arial"/>
                <w:sz w:val="21"/>
              </w:rPr>
            </w:pPr>
          </w:p>
          <w:p w14:paraId="7A85DAA0">
            <w:pPr>
              <w:pStyle w:val="6"/>
              <w:spacing w:before="65" w:line="252" w:lineRule="auto"/>
              <w:ind w:left="123" w:right="46" w:firstLine="1"/>
            </w:pPr>
            <w:r>
              <w:rPr>
                <w:spacing w:val="-2"/>
              </w:rPr>
              <w:t>隔声将降噪、选用低噪声设备，</w:t>
            </w:r>
            <w:r>
              <w:rPr>
                <w:spacing w:val="8"/>
              </w:rPr>
              <w:t xml:space="preserve"> 喂饱猪只，减少饥饿发出噪声</w:t>
            </w:r>
          </w:p>
        </w:tc>
        <w:tc>
          <w:tcPr>
            <w:tcW w:w="991" w:type="dxa"/>
            <w:vAlign w:val="top"/>
          </w:tcPr>
          <w:p w14:paraId="0C05698E">
            <w:pPr>
              <w:spacing w:line="432" w:lineRule="auto"/>
              <w:rPr>
                <w:rFonts w:ascii="Arial"/>
                <w:sz w:val="21"/>
              </w:rPr>
            </w:pPr>
          </w:p>
          <w:p w14:paraId="6A2E419B">
            <w:pPr>
              <w:pStyle w:val="6"/>
              <w:spacing w:before="65" w:line="229" w:lineRule="auto"/>
              <w:ind w:left="194"/>
            </w:pPr>
            <w:r>
              <w:rPr>
                <w:spacing w:val="5"/>
              </w:rPr>
              <w:t>项目四</w:t>
            </w:r>
          </w:p>
          <w:p w14:paraId="614AEAD0">
            <w:pPr>
              <w:pStyle w:val="6"/>
              <w:spacing w:before="25" w:line="266" w:lineRule="auto"/>
              <w:ind w:left="389" w:right="174" w:hanging="197"/>
              <w:rPr>
                <w:rFonts w:ascii="Times New Roman" w:hAnsi="Times New Roman" w:eastAsia="Times New Roman" w:cs="Times New Roman"/>
              </w:rPr>
            </w:pPr>
            <w:r>
              <w:rPr>
                <w:spacing w:val="6"/>
              </w:rPr>
              <w:t>至边界</w:t>
            </w:r>
            <w:r>
              <w:t xml:space="preserve"> </w:t>
            </w:r>
            <w:r>
              <w:rPr>
                <w:rFonts w:ascii="Times New Roman" w:hAnsi="Times New Roman" w:eastAsia="Times New Roman" w:cs="Times New Roman"/>
                <w:spacing w:val="-7"/>
              </w:rPr>
              <w:t>1m</w:t>
            </w:r>
          </w:p>
        </w:tc>
        <w:tc>
          <w:tcPr>
            <w:tcW w:w="1558" w:type="dxa"/>
            <w:vAlign w:val="top"/>
          </w:tcPr>
          <w:p w14:paraId="5B6F4721">
            <w:pPr>
              <w:spacing w:line="344" w:lineRule="auto"/>
              <w:rPr>
                <w:rFonts w:ascii="Arial"/>
                <w:sz w:val="21"/>
              </w:rPr>
            </w:pPr>
          </w:p>
          <w:p w14:paraId="3AD72DEA">
            <w:pPr>
              <w:spacing w:line="344" w:lineRule="auto"/>
              <w:rPr>
                <w:rFonts w:ascii="Arial"/>
                <w:sz w:val="21"/>
              </w:rPr>
            </w:pPr>
          </w:p>
          <w:p w14:paraId="566D6DDF">
            <w:pPr>
              <w:pStyle w:val="6"/>
              <w:spacing w:before="65" w:line="229" w:lineRule="auto"/>
              <w:ind w:left="589"/>
            </w:pPr>
            <w:r>
              <w:rPr>
                <w:spacing w:val="-1"/>
              </w:rPr>
              <w:t>噪声</w:t>
            </w:r>
          </w:p>
        </w:tc>
        <w:tc>
          <w:tcPr>
            <w:tcW w:w="2832" w:type="dxa"/>
            <w:gridSpan w:val="2"/>
            <w:vAlign w:val="top"/>
          </w:tcPr>
          <w:p w14:paraId="62A4E9E9">
            <w:pPr>
              <w:spacing w:line="387" w:lineRule="auto"/>
              <w:rPr>
                <w:rFonts w:ascii="Arial"/>
                <w:sz w:val="21"/>
              </w:rPr>
            </w:pPr>
          </w:p>
          <w:p w14:paraId="1007D91A">
            <w:pPr>
              <w:pStyle w:val="6"/>
              <w:spacing w:before="65" w:line="273" w:lineRule="exact"/>
              <w:ind w:left="928"/>
            </w:pPr>
            <w:r>
              <w:rPr>
                <w:rFonts w:ascii="Times New Roman" w:hAnsi="Times New Roman" w:eastAsia="Times New Roman" w:cs="Times New Roman"/>
                <w:spacing w:val="5"/>
                <w:position w:val="1"/>
              </w:rPr>
              <w:t xml:space="preserve">2 </w:t>
            </w:r>
            <w:r>
              <w:rPr>
                <w:spacing w:val="5"/>
                <w:position w:val="1"/>
              </w:rPr>
              <w:t>类标准：</w:t>
            </w:r>
          </w:p>
          <w:p w14:paraId="58533CD6">
            <w:pPr>
              <w:pStyle w:val="6"/>
              <w:spacing w:line="272" w:lineRule="exact"/>
              <w:ind w:left="545"/>
            </w:pPr>
            <w:r>
              <w:rPr>
                <w:spacing w:val="7"/>
                <w:position w:val="1"/>
              </w:rPr>
              <w:t>昼间：</w:t>
            </w:r>
            <w:r>
              <w:rPr>
                <w:rFonts w:ascii="Times New Roman" w:hAnsi="Times New Roman" w:eastAsia="Times New Roman" w:cs="Times New Roman"/>
                <w:spacing w:val="7"/>
                <w:position w:val="1"/>
              </w:rPr>
              <w:t>≤60</w:t>
            </w:r>
            <w:r>
              <w:rPr>
                <w:rFonts w:ascii="Times New Roman" w:hAnsi="Times New Roman" w:eastAsia="Times New Roman" w:cs="Times New Roman"/>
                <w:position w:val="1"/>
              </w:rPr>
              <w:t>dB</w:t>
            </w:r>
            <w:r>
              <w:rPr>
                <w:spacing w:val="7"/>
                <w:position w:val="1"/>
              </w:rPr>
              <w:t>（</w:t>
            </w:r>
            <w:r>
              <w:rPr>
                <w:rFonts w:ascii="Times New Roman" w:hAnsi="Times New Roman" w:eastAsia="Times New Roman" w:cs="Times New Roman"/>
                <w:spacing w:val="7"/>
                <w:position w:val="1"/>
              </w:rPr>
              <w:t>A</w:t>
            </w:r>
            <w:r>
              <w:rPr>
                <w:spacing w:val="7"/>
                <w:position w:val="1"/>
              </w:rPr>
              <w:t>）</w:t>
            </w:r>
          </w:p>
          <w:p w14:paraId="6AAC9C2E">
            <w:pPr>
              <w:pStyle w:val="6"/>
              <w:spacing w:line="273" w:lineRule="exact"/>
              <w:ind w:left="549"/>
            </w:pPr>
            <w:r>
              <w:rPr>
                <w:spacing w:val="6"/>
                <w:position w:val="1"/>
              </w:rPr>
              <w:t>夜间：</w:t>
            </w:r>
            <w:r>
              <w:rPr>
                <w:rFonts w:ascii="Times New Roman" w:hAnsi="Times New Roman" w:eastAsia="Times New Roman" w:cs="Times New Roman"/>
                <w:spacing w:val="6"/>
                <w:position w:val="1"/>
              </w:rPr>
              <w:t>≤50</w:t>
            </w:r>
            <w:r>
              <w:rPr>
                <w:rFonts w:ascii="Times New Roman" w:hAnsi="Times New Roman" w:eastAsia="Times New Roman" w:cs="Times New Roman"/>
                <w:position w:val="1"/>
              </w:rPr>
              <w:t>dB</w:t>
            </w:r>
            <w:r>
              <w:rPr>
                <w:spacing w:val="6"/>
                <w:position w:val="1"/>
              </w:rPr>
              <w:t>（</w:t>
            </w:r>
            <w:r>
              <w:rPr>
                <w:rFonts w:ascii="Times New Roman" w:hAnsi="Times New Roman" w:eastAsia="Times New Roman" w:cs="Times New Roman"/>
                <w:spacing w:val="6"/>
                <w:position w:val="1"/>
              </w:rPr>
              <w:t>A</w:t>
            </w:r>
            <w:r>
              <w:rPr>
                <w:spacing w:val="6"/>
                <w:position w:val="1"/>
              </w:rPr>
              <w:t>）</w:t>
            </w:r>
          </w:p>
        </w:tc>
        <w:tc>
          <w:tcPr>
            <w:tcW w:w="3556" w:type="dxa"/>
            <w:vAlign w:val="top"/>
          </w:tcPr>
          <w:p w14:paraId="5B7F51E2">
            <w:pPr>
              <w:spacing w:line="261" w:lineRule="auto"/>
              <w:rPr>
                <w:rFonts w:ascii="Arial"/>
                <w:sz w:val="21"/>
              </w:rPr>
            </w:pPr>
          </w:p>
          <w:p w14:paraId="51C11C3A">
            <w:pPr>
              <w:spacing w:line="262" w:lineRule="auto"/>
              <w:rPr>
                <w:rFonts w:ascii="Arial"/>
                <w:sz w:val="21"/>
              </w:rPr>
            </w:pPr>
          </w:p>
          <w:p w14:paraId="556E5D5E">
            <w:pPr>
              <w:pStyle w:val="6"/>
              <w:spacing w:before="65" w:line="275" w:lineRule="exact"/>
              <w:ind w:left="163"/>
            </w:pPr>
            <w:r>
              <w:rPr>
                <w:spacing w:val="6"/>
                <w:position w:val="1"/>
              </w:rPr>
              <w:t>边界符合（</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22337-2008</w:t>
            </w:r>
            <w:r>
              <w:rPr>
                <w:spacing w:val="6"/>
                <w:position w:val="1"/>
              </w:rPr>
              <w:t xml:space="preserve">） </w:t>
            </w:r>
            <w:r>
              <w:rPr>
                <w:rFonts w:ascii="Times New Roman" w:hAnsi="Times New Roman" w:eastAsia="Times New Roman" w:cs="Times New Roman"/>
                <w:spacing w:val="6"/>
                <w:position w:val="1"/>
              </w:rPr>
              <w:t xml:space="preserve">2 </w:t>
            </w:r>
            <w:r>
              <w:rPr>
                <w:spacing w:val="6"/>
                <w:position w:val="1"/>
              </w:rPr>
              <w:t>类标</w:t>
            </w:r>
          </w:p>
          <w:p w14:paraId="74EC3431">
            <w:pPr>
              <w:pStyle w:val="6"/>
              <w:spacing w:before="27" w:line="230" w:lineRule="auto"/>
              <w:ind w:left="1685"/>
            </w:pPr>
            <w:r>
              <w:t>准</w:t>
            </w:r>
          </w:p>
        </w:tc>
      </w:tr>
      <w:tr w14:paraId="5652F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01" w:type="dxa"/>
            <w:vMerge w:val="restart"/>
            <w:tcBorders>
              <w:bottom w:val="nil"/>
            </w:tcBorders>
            <w:vAlign w:val="top"/>
          </w:tcPr>
          <w:p w14:paraId="7A6C3427">
            <w:pPr>
              <w:spacing w:line="305" w:lineRule="auto"/>
              <w:rPr>
                <w:rFonts w:ascii="Arial"/>
                <w:sz w:val="21"/>
              </w:rPr>
            </w:pPr>
          </w:p>
          <w:p w14:paraId="4E7A635D">
            <w:pPr>
              <w:spacing w:line="306" w:lineRule="auto"/>
              <w:rPr>
                <w:rFonts w:ascii="Arial"/>
                <w:sz w:val="21"/>
              </w:rPr>
            </w:pPr>
          </w:p>
          <w:p w14:paraId="3EBB7DBE">
            <w:pPr>
              <w:pStyle w:val="6"/>
              <w:spacing w:before="65" w:line="229" w:lineRule="auto"/>
              <w:ind w:left="168"/>
            </w:pPr>
            <w:r>
              <w:rPr>
                <w:spacing w:val="-5"/>
              </w:rPr>
              <w:t>固体</w:t>
            </w:r>
          </w:p>
          <w:p w14:paraId="00045694">
            <w:pPr>
              <w:pStyle w:val="6"/>
              <w:spacing w:before="23" w:line="229" w:lineRule="auto"/>
              <w:ind w:left="149"/>
            </w:pPr>
            <w:r>
              <w:rPr>
                <w:spacing w:val="5"/>
              </w:rPr>
              <w:t>废物</w:t>
            </w:r>
          </w:p>
        </w:tc>
        <w:tc>
          <w:tcPr>
            <w:tcW w:w="1295" w:type="dxa"/>
            <w:vAlign w:val="top"/>
          </w:tcPr>
          <w:p w14:paraId="50A27BC3">
            <w:pPr>
              <w:pStyle w:val="6"/>
              <w:spacing w:before="228" w:line="229" w:lineRule="auto"/>
              <w:ind w:left="238"/>
            </w:pPr>
            <w:r>
              <w:rPr>
                <w:spacing w:val="6"/>
              </w:rPr>
              <w:t>生活垃圾</w:t>
            </w:r>
          </w:p>
        </w:tc>
        <w:tc>
          <w:tcPr>
            <w:tcW w:w="2958" w:type="dxa"/>
            <w:vAlign w:val="top"/>
          </w:tcPr>
          <w:p w14:paraId="7BB5C04D">
            <w:pPr>
              <w:pStyle w:val="6"/>
              <w:spacing w:before="229" w:line="228" w:lineRule="auto"/>
              <w:ind w:left="138"/>
            </w:pPr>
            <w:r>
              <w:rPr>
                <w:spacing w:val="6"/>
              </w:rPr>
              <w:t>由环卫部门收集处置</w:t>
            </w:r>
          </w:p>
        </w:tc>
        <w:tc>
          <w:tcPr>
            <w:tcW w:w="991" w:type="dxa"/>
            <w:vAlign w:val="top"/>
          </w:tcPr>
          <w:p w14:paraId="703A235C">
            <w:pPr>
              <w:spacing w:before="200"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0DF30329">
            <w:pPr>
              <w:pStyle w:val="6"/>
              <w:spacing w:before="93" w:line="201" w:lineRule="auto"/>
              <w:ind w:left="266" w:right="178" w:hanging="103"/>
            </w:pPr>
            <w:r>
              <w:rPr>
                <w:spacing w:val="1"/>
              </w:rPr>
              <w:t>设置垃圾桶、</w:t>
            </w:r>
            <w:r>
              <w:rPr>
                <w:spacing w:val="4"/>
              </w:rPr>
              <w:t xml:space="preserve"> </w:t>
            </w:r>
            <w:r>
              <w:rPr>
                <w:spacing w:val="7"/>
              </w:rPr>
              <w:t>垃圾暂存间</w:t>
            </w:r>
          </w:p>
        </w:tc>
        <w:tc>
          <w:tcPr>
            <w:tcW w:w="859" w:type="dxa"/>
            <w:vAlign w:val="top"/>
          </w:tcPr>
          <w:p w14:paraId="74396791">
            <w:pPr>
              <w:spacing w:before="200"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488BBC8A">
            <w:pPr>
              <w:pStyle w:val="6"/>
              <w:spacing w:before="229" w:line="228" w:lineRule="auto"/>
              <w:ind w:left="683"/>
            </w:pPr>
            <w:r>
              <w:rPr>
                <w:spacing w:val="6"/>
              </w:rPr>
              <w:t>零排放</w:t>
            </w:r>
          </w:p>
        </w:tc>
        <w:tc>
          <w:tcPr>
            <w:tcW w:w="3556" w:type="dxa"/>
            <w:vMerge w:val="restart"/>
            <w:tcBorders>
              <w:bottom w:val="nil"/>
            </w:tcBorders>
            <w:vAlign w:val="top"/>
          </w:tcPr>
          <w:p w14:paraId="21C0DDF2">
            <w:pPr>
              <w:spacing w:line="248" w:lineRule="auto"/>
              <w:rPr>
                <w:rFonts w:ascii="Arial"/>
                <w:sz w:val="21"/>
              </w:rPr>
            </w:pPr>
          </w:p>
          <w:p w14:paraId="31DDE3FF">
            <w:pPr>
              <w:spacing w:line="248" w:lineRule="auto"/>
              <w:rPr>
                <w:rFonts w:ascii="Arial"/>
                <w:sz w:val="21"/>
              </w:rPr>
            </w:pPr>
          </w:p>
          <w:p w14:paraId="6DD951C8">
            <w:pPr>
              <w:spacing w:line="249" w:lineRule="auto"/>
              <w:rPr>
                <w:rFonts w:ascii="Arial"/>
                <w:sz w:val="21"/>
              </w:rPr>
            </w:pPr>
          </w:p>
          <w:p w14:paraId="2132F8E4">
            <w:pPr>
              <w:pStyle w:val="6"/>
              <w:spacing w:before="65" w:line="228" w:lineRule="auto"/>
              <w:ind w:left="1159"/>
            </w:pPr>
            <w:r>
              <w:rPr>
                <w:spacing w:val="7"/>
              </w:rPr>
              <w:t>符合环保要求</w:t>
            </w:r>
          </w:p>
        </w:tc>
      </w:tr>
      <w:tr w14:paraId="6A0F2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701" w:type="dxa"/>
            <w:vMerge w:val="continue"/>
            <w:tcBorders>
              <w:top w:val="nil"/>
              <w:bottom w:val="nil"/>
            </w:tcBorders>
            <w:vAlign w:val="top"/>
          </w:tcPr>
          <w:p w14:paraId="4019C6B2">
            <w:pPr>
              <w:rPr>
                <w:rFonts w:ascii="Arial"/>
                <w:sz w:val="21"/>
              </w:rPr>
            </w:pPr>
          </w:p>
        </w:tc>
        <w:tc>
          <w:tcPr>
            <w:tcW w:w="1295" w:type="dxa"/>
            <w:vAlign w:val="top"/>
          </w:tcPr>
          <w:p w14:paraId="0BCF0396">
            <w:pPr>
              <w:spacing w:line="307" w:lineRule="auto"/>
              <w:rPr>
                <w:rFonts w:ascii="Arial"/>
                <w:sz w:val="21"/>
              </w:rPr>
            </w:pPr>
          </w:p>
          <w:p w14:paraId="084BE5EC">
            <w:pPr>
              <w:pStyle w:val="6"/>
              <w:spacing w:before="65" w:line="228" w:lineRule="auto"/>
              <w:ind w:left="445"/>
            </w:pPr>
            <w:r>
              <w:rPr>
                <w:spacing w:val="4"/>
              </w:rPr>
              <w:t>猪粪</w:t>
            </w:r>
          </w:p>
        </w:tc>
        <w:tc>
          <w:tcPr>
            <w:tcW w:w="2958" w:type="dxa"/>
            <w:vAlign w:val="top"/>
          </w:tcPr>
          <w:p w14:paraId="14942295">
            <w:pPr>
              <w:pStyle w:val="6"/>
              <w:spacing w:before="100" w:line="215" w:lineRule="auto"/>
              <w:ind w:left="113" w:right="119" w:firstLine="3"/>
              <w:jc w:val="both"/>
            </w:pPr>
            <w:r>
              <w:rPr>
                <w:spacing w:val="8"/>
              </w:rPr>
              <w:t>与猪只尿液、猪舍冲洗水一起</w:t>
            </w:r>
            <w:r>
              <w:rPr>
                <w:spacing w:val="11"/>
              </w:rPr>
              <w:t xml:space="preserve"> </w:t>
            </w:r>
            <w:r>
              <w:rPr>
                <w:spacing w:val="9"/>
              </w:rPr>
              <w:t>收集后，经异位发酵床发酵成</w:t>
            </w:r>
            <w:r>
              <w:rPr>
                <w:spacing w:val="1"/>
              </w:rPr>
              <w:t xml:space="preserve"> </w:t>
            </w:r>
            <w:r>
              <w:rPr>
                <w:spacing w:val="8"/>
              </w:rPr>
              <w:t>有机肥半成品外售</w:t>
            </w:r>
          </w:p>
        </w:tc>
        <w:tc>
          <w:tcPr>
            <w:tcW w:w="991" w:type="dxa"/>
            <w:vAlign w:val="top"/>
          </w:tcPr>
          <w:p w14:paraId="2CB6FE2C">
            <w:pPr>
              <w:spacing w:line="283" w:lineRule="auto"/>
              <w:rPr>
                <w:rFonts w:ascii="Arial"/>
                <w:sz w:val="21"/>
              </w:rPr>
            </w:pPr>
          </w:p>
          <w:p w14:paraId="7B7DE0A6">
            <w:pPr>
              <w:spacing w:before="58"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7152582D">
            <w:pPr>
              <w:spacing w:line="283" w:lineRule="auto"/>
              <w:rPr>
                <w:rFonts w:ascii="Arial"/>
                <w:sz w:val="21"/>
              </w:rPr>
            </w:pPr>
          </w:p>
          <w:p w14:paraId="089211C8">
            <w:pPr>
              <w:spacing w:before="58"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9" w:type="dxa"/>
            <w:vAlign w:val="top"/>
          </w:tcPr>
          <w:p w14:paraId="37973877">
            <w:pPr>
              <w:spacing w:line="283" w:lineRule="auto"/>
              <w:rPr>
                <w:rFonts w:ascii="Arial"/>
                <w:sz w:val="21"/>
              </w:rPr>
            </w:pPr>
          </w:p>
          <w:p w14:paraId="54A95688">
            <w:pPr>
              <w:spacing w:before="58"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5F9868EA">
            <w:pPr>
              <w:spacing w:line="307" w:lineRule="auto"/>
              <w:rPr>
                <w:rFonts w:ascii="Arial"/>
                <w:sz w:val="21"/>
              </w:rPr>
            </w:pPr>
          </w:p>
          <w:p w14:paraId="5B9C8BEE">
            <w:pPr>
              <w:pStyle w:val="6"/>
              <w:spacing w:before="65" w:line="228" w:lineRule="auto"/>
              <w:ind w:left="683"/>
            </w:pPr>
            <w:r>
              <w:rPr>
                <w:spacing w:val="6"/>
              </w:rPr>
              <w:t>零排放</w:t>
            </w:r>
          </w:p>
        </w:tc>
        <w:tc>
          <w:tcPr>
            <w:tcW w:w="3556" w:type="dxa"/>
            <w:vMerge w:val="continue"/>
            <w:tcBorders>
              <w:top w:val="nil"/>
              <w:bottom w:val="nil"/>
            </w:tcBorders>
            <w:vAlign w:val="top"/>
          </w:tcPr>
          <w:p w14:paraId="20FA6AA1">
            <w:pPr>
              <w:rPr>
                <w:rFonts w:ascii="Arial"/>
                <w:sz w:val="21"/>
              </w:rPr>
            </w:pPr>
          </w:p>
        </w:tc>
      </w:tr>
      <w:tr w14:paraId="677D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01" w:type="dxa"/>
            <w:vMerge w:val="continue"/>
            <w:tcBorders>
              <w:top w:val="nil"/>
            </w:tcBorders>
            <w:vAlign w:val="top"/>
          </w:tcPr>
          <w:p w14:paraId="13978C56">
            <w:pPr>
              <w:rPr>
                <w:rFonts w:ascii="Arial"/>
                <w:sz w:val="21"/>
              </w:rPr>
            </w:pPr>
          </w:p>
        </w:tc>
        <w:tc>
          <w:tcPr>
            <w:tcW w:w="1295" w:type="dxa"/>
            <w:vAlign w:val="top"/>
          </w:tcPr>
          <w:p w14:paraId="73B20BB9">
            <w:pPr>
              <w:pStyle w:val="6"/>
              <w:spacing w:before="146" w:line="168" w:lineRule="auto"/>
              <w:ind w:left="130"/>
            </w:pPr>
            <w:r>
              <w:rPr>
                <w:spacing w:val="8"/>
              </w:rPr>
              <w:t>病死猪尸体</w:t>
            </w:r>
          </w:p>
        </w:tc>
        <w:tc>
          <w:tcPr>
            <w:tcW w:w="2958" w:type="dxa"/>
            <w:vAlign w:val="top"/>
          </w:tcPr>
          <w:p w14:paraId="5ADCE233">
            <w:pPr>
              <w:pStyle w:val="6"/>
              <w:spacing w:before="146" w:line="168" w:lineRule="auto"/>
              <w:ind w:left="114"/>
            </w:pPr>
            <w:r>
              <w:rPr>
                <w:spacing w:val="9"/>
              </w:rPr>
              <w:t>依托海丰县公平镇龙寨实成种</w:t>
            </w:r>
          </w:p>
        </w:tc>
        <w:tc>
          <w:tcPr>
            <w:tcW w:w="991" w:type="dxa"/>
            <w:vMerge w:val="restart"/>
            <w:tcBorders>
              <w:bottom w:val="nil"/>
            </w:tcBorders>
            <w:vAlign w:val="top"/>
          </w:tcPr>
          <w:p w14:paraId="3BCBE5D9">
            <w:pPr>
              <w:spacing w:before="116"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Merge w:val="restart"/>
            <w:tcBorders>
              <w:bottom w:val="nil"/>
            </w:tcBorders>
            <w:vAlign w:val="top"/>
          </w:tcPr>
          <w:p w14:paraId="2B35B063">
            <w:pPr>
              <w:spacing w:before="116"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9" w:type="dxa"/>
            <w:vAlign w:val="top"/>
          </w:tcPr>
          <w:p w14:paraId="05B14974">
            <w:pPr>
              <w:spacing w:before="116" w:line="222"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73" w:type="dxa"/>
            <w:vAlign w:val="top"/>
          </w:tcPr>
          <w:p w14:paraId="17962C6D">
            <w:pPr>
              <w:pStyle w:val="6"/>
              <w:spacing w:before="146" w:line="168" w:lineRule="auto"/>
              <w:ind w:left="581"/>
            </w:pPr>
            <w:r>
              <w:rPr>
                <w:spacing w:val="6"/>
              </w:rPr>
              <w:t>安全填埋</w:t>
            </w:r>
          </w:p>
        </w:tc>
        <w:tc>
          <w:tcPr>
            <w:tcW w:w="3556" w:type="dxa"/>
            <w:vMerge w:val="continue"/>
            <w:tcBorders>
              <w:top w:val="nil"/>
            </w:tcBorders>
            <w:vAlign w:val="top"/>
          </w:tcPr>
          <w:p w14:paraId="5A709708">
            <w:pPr>
              <w:rPr>
                <w:rFonts w:ascii="Arial"/>
                <w:sz w:val="21"/>
              </w:rPr>
            </w:pPr>
          </w:p>
        </w:tc>
      </w:tr>
      <w:tr w14:paraId="28DD8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 w:hRule="atLeast"/>
        </w:trPr>
        <w:tc>
          <w:tcPr>
            <w:tcW w:w="701" w:type="dxa"/>
            <w:tcBorders>
              <w:top w:val="nil"/>
              <w:left w:val="nil"/>
              <w:bottom w:val="nil"/>
              <w:right w:val="nil"/>
            </w:tcBorders>
            <w:vAlign w:val="top"/>
          </w:tcPr>
          <w:p w14:paraId="43FB1556">
            <w:pPr>
              <w:spacing w:line="71" w:lineRule="exact"/>
              <w:rPr>
                <w:rFonts w:ascii="Arial"/>
                <w:sz w:val="6"/>
              </w:rPr>
            </w:pPr>
          </w:p>
        </w:tc>
        <w:tc>
          <w:tcPr>
            <w:tcW w:w="1295" w:type="dxa"/>
            <w:tcBorders>
              <w:top w:val="nil"/>
              <w:left w:val="nil"/>
              <w:bottom w:val="nil"/>
              <w:right w:val="nil"/>
            </w:tcBorders>
            <w:vAlign w:val="top"/>
          </w:tcPr>
          <w:p w14:paraId="69D6A573">
            <w:pPr>
              <w:spacing w:line="71" w:lineRule="exact"/>
              <w:rPr>
                <w:rFonts w:ascii="Arial"/>
                <w:sz w:val="6"/>
              </w:rPr>
            </w:pPr>
          </w:p>
        </w:tc>
        <w:tc>
          <w:tcPr>
            <w:tcW w:w="2958" w:type="dxa"/>
            <w:tcBorders>
              <w:top w:val="nil"/>
              <w:left w:val="nil"/>
              <w:bottom w:val="nil"/>
              <w:right w:val="nil"/>
            </w:tcBorders>
            <w:vAlign w:val="top"/>
          </w:tcPr>
          <w:p w14:paraId="7DE904EF">
            <w:pPr>
              <w:spacing w:line="71" w:lineRule="exact"/>
              <w:rPr>
                <w:rFonts w:ascii="Arial"/>
                <w:sz w:val="6"/>
              </w:rPr>
            </w:pPr>
          </w:p>
        </w:tc>
        <w:tc>
          <w:tcPr>
            <w:tcW w:w="991" w:type="dxa"/>
            <w:vMerge w:val="continue"/>
            <w:tcBorders>
              <w:top w:val="nil"/>
            </w:tcBorders>
            <w:vAlign w:val="top"/>
          </w:tcPr>
          <w:p w14:paraId="786A31C4">
            <w:pPr>
              <w:rPr>
                <w:rFonts w:ascii="Arial"/>
                <w:sz w:val="21"/>
              </w:rPr>
            </w:pPr>
          </w:p>
        </w:tc>
        <w:tc>
          <w:tcPr>
            <w:tcW w:w="1558" w:type="dxa"/>
            <w:vMerge w:val="continue"/>
            <w:tcBorders>
              <w:top w:val="nil"/>
            </w:tcBorders>
            <w:vAlign w:val="top"/>
          </w:tcPr>
          <w:p w14:paraId="2C4390AD">
            <w:pPr>
              <w:rPr>
                <w:rFonts w:ascii="Arial"/>
                <w:sz w:val="21"/>
              </w:rPr>
            </w:pPr>
          </w:p>
        </w:tc>
        <w:tc>
          <w:tcPr>
            <w:tcW w:w="859" w:type="dxa"/>
            <w:tcBorders>
              <w:top w:val="nil"/>
              <w:left w:val="nil"/>
              <w:bottom w:val="nil"/>
              <w:right w:val="nil"/>
            </w:tcBorders>
            <w:vAlign w:val="top"/>
          </w:tcPr>
          <w:p w14:paraId="3139263B">
            <w:pPr>
              <w:spacing w:line="71" w:lineRule="exact"/>
              <w:rPr>
                <w:rFonts w:ascii="Arial"/>
                <w:sz w:val="6"/>
              </w:rPr>
            </w:pPr>
          </w:p>
        </w:tc>
        <w:tc>
          <w:tcPr>
            <w:tcW w:w="1973" w:type="dxa"/>
            <w:tcBorders>
              <w:top w:val="nil"/>
              <w:left w:val="nil"/>
              <w:bottom w:val="nil"/>
              <w:right w:val="nil"/>
            </w:tcBorders>
            <w:vAlign w:val="top"/>
          </w:tcPr>
          <w:p w14:paraId="4C741391">
            <w:pPr>
              <w:spacing w:line="71" w:lineRule="exact"/>
              <w:rPr>
                <w:rFonts w:ascii="Arial"/>
                <w:sz w:val="6"/>
              </w:rPr>
            </w:pPr>
          </w:p>
        </w:tc>
        <w:tc>
          <w:tcPr>
            <w:tcW w:w="3556" w:type="dxa"/>
            <w:tcBorders>
              <w:top w:val="nil"/>
              <w:left w:val="nil"/>
              <w:bottom w:val="nil"/>
              <w:right w:val="nil"/>
            </w:tcBorders>
            <w:vAlign w:val="top"/>
          </w:tcPr>
          <w:p w14:paraId="3636AEA4">
            <w:pPr>
              <w:spacing w:line="71" w:lineRule="exact"/>
              <w:rPr>
                <w:rFonts w:ascii="Arial"/>
                <w:sz w:val="6"/>
              </w:rPr>
            </w:pPr>
          </w:p>
        </w:tc>
      </w:tr>
    </w:tbl>
    <w:p w14:paraId="5FD61C28">
      <w:pPr>
        <w:pStyle w:val="2"/>
      </w:pPr>
    </w:p>
    <w:p w14:paraId="5D141565">
      <w:pPr>
        <w:sectPr>
          <w:footerReference r:id="rId178" w:type="default"/>
          <w:pgSz w:w="16839" w:h="11906"/>
          <w:pgMar w:top="400" w:right="1471" w:bottom="1485" w:left="1470" w:header="0" w:footer="1249" w:gutter="0"/>
          <w:cols w:space="720" w:num="1"/>
        </w:sectPr>
      </w:pPr>
    </w:p>
    <w:p w14:paraId="473CC96E">
      <w:pPr>
        <w:spacing w:before="56"/>
      </w:pPr>
    </w:p>
    <w:p w14:paraId="027DCE6D">
      <w:pPr>
        <w:spacing w:before="56"/>
      </w:pPr>
    </w:p>
    <w:p w14:paraId="15E0571F">
      <w:pPr>
        <w:spacing w:before="55"/>
      </w:pPr>
    </w:p>
    <w:p w14:paraId="52AB901B">
      <w:pPr>
        <w:spacing w:before="55"/>
      </w:pPr>
    </w:p>
    <w:tbl>
      <w:tblPr>
        <w:tblStyle w:val="5"/>
        <w:tblW w:w="138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1289"/>
        <w:gridCol w:w="2962"/>
        <w:gridCol w:w="992"/>
        <w:gridCol w:w="1558"/>
        <w:gridCol w:w="851"/>
        <w:gridCol w:w="1983"/>
        <w:gridCol w:w="3547"/>
      </w:tblGrid>
      <w:tr w14:paraId="1B90F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09" w:type="dxa"/>
            <w:vAlign w:val="top"/>
          </w:tcPr>
          <w:p w14:paraId="7A563924">
            <w:pPr>
              <w:pStyle w:val="6"/>
              <w:spacing w:before="36" w:line="228" w:lineRule="auto"/>
              <w:ind w:left="149"/>
            </w:pPr>
            <w:r>
              <w:rPr>
                <w:b/>
                <w:bCs/>
                <w:spacing w:val="4"/>
              </w:rPr>
              <w:t>验收</w:t>
            </w:r>
          </w:p>
          <w:p w14:paraId="7EEAD27D">
            <w:pPr>
              <w:pStyle w:val="6"/>
              <w:spacing w:before="25" w:line="217" w:lineRule="auto"/>
              <w:ind w:left="150"/>
            </w:pPr>
            <w:r>
              <w:rPr>
                <w:b/>
                <w:bCs/>
                <w:spacing w:val="3"/>
              </w:rPr>
              <w:t>类别</w:t>
            </w:r>
          </w:p>
        </w:tc>
        <w:tc>
          <w:tcPr>
            <w:tcW w:w="1289" w:type="dxa"/>
            <w:vAlign w:val="top"/>
          </w:tcPr>
          <w:p w14:paraId="06F950FE">
            <w:pPr>
              <w:pStyle w:val="6"/>
              <w:spacing w:before="34" w:line="235" w:lineRule="auto"/>
              <w:ind w:left="230" w:right="191" w:hanging="26"/>
            </w:pPr>
            <w:r>
              <w:rPr>
                <w:b/>
                <w:bCs/>
                <w:spacing w:val="4"/>
              </w:rPr>
              <w:t>治理对象</w:t>
            </w:r>
            <w:r>
              <w:rPr>
                <w:rFonts w:ascii="Times New Roman" w:hAnsi="Times New Roman" w:eastAsia="Times New Roman" w:cs="Times New Roman"/>
                <w:b/>
                <w:bCs/>
                <w:spacing w:val="4"/>
              </w:rPr>
              <w:t>/</w:t>
            </w:r>
            <w:r>
              <w:rPr>
                <w:rFonts w:ascii="Times New Roman" w:hAnsi="Times New Roman" w:eastAsia="Times New Roman" w:cs="Times New Roman"/>
                <w:b/>
                <w:bCs/>
                <w:spacing w:val="2"/>
              </w:rPr>
              <w:t xml:space="preserve"> </w:t>
            </w:r>
            <w:r>
              <w:rPr>
                <w:b/>
                <w:bCs/>
                <w:spacing w:val="5"/>
              </w:rPr>
              <w:t>建设内容</w:t>
            </w:r>
          </w:p>
        </w:tc>
        <w:tc>
          <w:tcPr>
            <w:tcW w:w="2962" w:type="dxa"/>
            <w:vAlign w:val="top"/>
          </w:tcPr>
          <w:p w14:paraId="2193D71D">
            <w:pPr>
              <w:pStyle w:val="6"/>
              <w:spacing w:before="172" w:line="229" w:lineRule="auto"/>
              <w:ind w:left="1063"/>
            </w:pPr>
            <w:r>
              <w:rPr>
                <w:b/>
                <w:bCs/>
                <w:spacing w:val="6"/>
              </w:rPr>
              <w:t>环保措施</w:t>
            </w:r>
          </w:p>
        </w:tc>
        <w:tc>
          <w:tcPr>
            <w:tcW w:w="992" w:type="dxa"/>
            <w:vAlign w:val="top"/>
          </w:tcPr>
          <w:p w14:paraId="29483EDB">
            <w:pPr>
              <w:pStyle w:val="6"/>
              <w:spacing w:before="172" w:line="228" w:lineRule="auto"/>
              <w:ind w:left="184"/>
            </w:pPr>
            <w:r>
              <w:rPr>
                <w:b/>
                <w:bCs/>
                <w:spacing w:val="5"/>
              </w:rPr>
              <w:t>采样口</w:t>
            </w:r>
          </w:p>
        </w:tc>
        <w:tc>
          <w:tcPr>
            <w:tcW w:w="1558" w:type="dxa"/>
            <w:vAlign w:val="top"/>
          </w:tcPr>
          <w:p w14:paraId="428DA1F5">
            <w:pPr>
              <w:pStyle w:val="6"/>
              <w:spacing w:before="172" w:line="228" w:lineRule="auto"/>
              <w:ind w:left="363"/>
            </w:pPr>
            <w:r>
              <w:rPr>
                <w:b/>
                <w:bCs/>
                <w:spacing w:val="6"/>
              </w:rPr>
              <w:t>验收项目</w:t>
            </w:r>
          </w:p>
        </w:tc>
        <w:tc>
          <w:tcPr>
            <w:tcW w:w="851" w:type="dxa"/>
            <w:vAlign w:val="top"/>
          </w:tcPr>
          <w:p w14:paraId="15C61063">
            <w:pPr>
              <w:pStyle w:val="6"/>
              <w:spacing w:before="34" w:line="235" w:lineRule="auto"/>
              <w:ind w:left="327" w:right="106" w:hanging="207"/>
            </w:pPr>
            <w:r>
              <w:rPr>
                <w:b/>
                <w:bCs/>
                <w:spacing w:val="4"/>
              </w:rPr>
              <w:t>处理能</w:t>
            </w:r>
            <w:r>
              <w:t xml:space="preserve"> </w:t>
            </w:r>
            <w:r>
              <w:rPr>
                <w:b/>
                <w:bCs/>
                <w:spacing w:val="-3"/>
              </w:rPr>
              <w:t>力</w:t>
            </w:r>
          </w:p>
        </w:tc>
        <w:tc>
          <w:tcPr>
            <w:tcW w:w="1983" w:type="dxa"/>
            <w:vAlign w:val="top"/>
          </w:tcPr>
          <w:p w14:paraId="7211CEB2">
            <w:pPr>
              <w:pStyle w:val="6"/>
              <w:spacing w:before="172" w:line="228" w:lineRule="auto"/>
              <w:ind w:left="263"/>
            </w:pPr>
            <w:r>
              <w:rPr>
                <w:b/>
                <w:bCs/>
                <w:spacing w:val="7"/>
              </w:rPr>
              <w:t>执行标准和限值</w:t>
            </w:r>
          </w:p>
        </w:tc>
        <w:tc>
          <w:tcPr>
            <w:tcW w:w="3547" w:type="dxa"/>
            <w:vAlign w:val="top"/>
          </w:tcPr>
          <w:p w14:paraId="4777542C">
            <w:pPr>
              <w:pStyle w:val="6"/>
              <w:spacing w:before="172" w:line="228" w:lineRule="auto"/>
              <w:ind w:left="1148"/>
            </w:pPr>
            <w:r>
              <w:rPr>
                <w:b/>
                <w:bCs/>
                <w:spacing w:val="7"/>
              </w:rPr>
              <w:t>验收基本要求</w:t>
            </w:r>
          </w:p>
        </w:tc>
      </w:tr>
      <w:tr w14:paraId="25704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09" w:type="dxa"/>
            <w:vMerge w:val="restart"/>
            <w:tcBorders>
              <w:bottom w:val="nil"/>
            </w:tcBorders>
            <w:vAlign w:val="top"/>
          </w:tcPr>
          <w:p w14:paraId="67A58DCF">
            <w:pPr>
              <w:rPr>
                <w:rFonts w:ascii="Arial"/>
                <w:sz w:val="21"/>
              </w:rPr>
            </w:pPr>
          </w:p>
        </w:tc>
        <w:tc>
          <w:tcPr>
            <w:tcW w:w="1289" w:type="dxa"/>
            <w:vAlign w:val="top"/>
          </w:tcPr>
          <w:p w14:paraId="170B0AE0">
            <w:pPr>
              <w:rPr>
                <w:rFonts w:ascii="Arial"/>
                <w:sz w:val="21"/>
              </w:rPr>
            </w:pPr>
          </w:p>
        </w:tc>
        <w:tc>
          <w:tcPr>
            <w:tcW w:w="2962" w:type="dxa"/>
            <w:vAlign w:val="top"/>
          </w:tcPr>
          <w:p w14:paraId="3C063F45">
            <w:pPr>
              <w:pStyle w:val="6"/>
              <w:spacing w:before="31" w:line="233" w:lineRule="auto"/>
              <w:ind w:left="111" w:right="125"/>
            </w:pPr>
            <w:r>
              <w:rPr>
                <w:spacing w:val="9"/>
              </w:rPr>
              <w:t>养专业合作社项目中的安全填</w:t>
            </w:r>
            <w:r>
              <w:rPr>
                <w:spacing w:val="1"/>
              </w:rPr>
              <w:t xml:space="preserve"> </w:t>
            </w:r>
            <w:r>
              <w:rPr>
                <w:spacing w:val="8"/>
              </w:rPr>
              <w:t>埋井进行填埋处理</w:t>
            </w:r>
          </w:p>
        </w:tc>
        <w:tc>
          <w:tcPr>
            <w:tcW w:w="992" w:type="dxa"/>
            <w:vAlign w:val="top"/>
          </w:tcPr>
          <w:p w14:paraId="08FF40AC">
            <w:pPr>
              <w:rPr>
                <w:rFonts w:ascii="Arial"/>
                <w:sz w:val="21"/>
              </w:rPr>
            </w:pPr>
          </w:p>
        </w:tc>
        <w:tc>
          <w:tcPr>
            <w:tcW w:w="1558" w:type="dxa"/>
            <w:vAlign w:val="top"/>
          </w:tcPr>
          <w:p w14:paraId="756FD3CE">
            <w:pPr>
              <w:rPr>
                <w:rFonts w:ascii="Arial"/>
                <w:sz w:val="21"/>
              </w:rPr>
            </w:pPr>
          </w:p>
        </w:tc>
        <w:tc>
          <w:tcPr>
            <w:tcW w:w="851" w:type="dxa"/>
            <w:vAlign w:val="top"/>
          </w:tcPr>
          <w:p w14:paraId="60A4723F">
            <w:pPr>
              <w:rPr>
                <w:rFonts w:ascii="Arial"/>
                <w:sz w:val="21"/>
              </w:rPr>
            </w:pPr>
          </w:p>
        </w:tc>
        <w:tc>
          <w:tcPr>
            <w:tcW w:w="1983" w:type="dxa"/>
            <w:vAlign w:val="top"/>
          </w:tcPr>
          <w:p w14:paraId="539177F4">
            <w:pPr>
              <w:rPr>
                <w:rFonts w:ascii="Arial"/>
                <w:sz w:val="21"/>
              </w:rPr>
            </w:pPr>
          </w:p>
        </w:tc>
        <w:tc>
          <w:tcPr>
            <w:tcW w:w="3547" w:type="dxa"/>
            <w:vMerge w:val="restart"/>
            <w:tcBorders>
              <w:bottom w:val="nil"/>
            </w:tcBorders>
            <w:vAlign w:val="top"/>
          </w:tcPr>
          <w:p w14:paraId="043524D4">
            <w:pPr>
              <w:rPr>
                <w:rFonts w:ascii="Arial"/>
                <w:sz w:val="21"/>
              </w:rPr>
            </w:pPr>
          </w:p>
        </w:tc>
      </w:tr>
      <w:tr w14:paraId="4EB82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9" w:type="dxa"/>
            <w:vMerge w:val="continue"/>
            <w:tcBorders>
              <w:top w:val="nil"/>
              <w:bottom w:val="nil"/>
            </w:tcBorders>
            <w:vAlign w:val="top"/>
          </w:tcPr>
          <w:p w14:paraId="35F170BA">
            <w:pPr>
              <w:rPr>
                <w:rFonts w:ascii="Arial"/>
                <w:sz w:val="21"/>
              </w:rPr>
            </w:pPr>
          </w:p>
        </w:tc>
        <w:tc>
          <w:tcPr>
            <w:tcW w:w="1289" w:type="dxa"/>
            <w:vAlign w:val="top"/>
          </w:tcPr>
          <w:p w14:paraId="1B2C9BAF">
            <w:pPr>
              <w:pStyle w:val="6"/>
              <w:spacing w:before="171" w:line="229" w:lineRule="auto"/>
              <w:ind w:left="238"/>
            </w:pPr>
            <w:r>
              <w:rPr>
                <w:spacing w:val="4"/>
              </w:rPr>
              <w:t>医疗废物</w:t>
            </w:r>
          </w:p>
        </w:tc>
        <w:tc>
          <w:tcPr>
            <w:tcW w:w="2962" w:type="dxa"/>
            <w:vAlign w:val="top"/>
          </w:tcPr>
          <w:p w14:paraId="65F19CA1">
            <w:pPr>
              <w:pStyle w:val="6"/>
              <w:spacing w:before="35" w:line="232" w:lineRule="auto"/>
              <w:ind w:left="110" w:right="125" w:firstLine="5"/>
            </w:pPr>
            <w:r>
              <w:rPr>
                <w:spacing w:val="8"/>
              </w:rPr>
              <w:t>统一收集后，交由有资质的单</w:t>
            </w:r>
            <w:r>
              <w:rPr>
                <w:spacing w:val="10"/>
              </w:rPr>
              <w:t xml:space="preserve"> </w:t>
            </w:r>
            <w:r>
              <w:rPr>
                <w:spacing w:val="6"/>
              </w:rPr>
              <w:t>位处理</w:t>
            </w:r>
          </w:p>
        </w:tc>
        <w:tc>
          <w:tcPr>
            <w:tcW w:w="992" w:type="dxa"/>
            <w:vAlign w:val="top"/>
          </w:tcPr>
          <w:p w14:paraId="68817D51">
            <w:pPr>
              <w:spacing w:before="140"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62EEB5A1">
            <w:pPr>
              <w:pStyle w:val="6"/>
              <w:spacing w:before="34" w:line="228" w:lineRule="auto"/>
              <w:ind w:left="162"/>
            </w:pPr>
            <w:r>
              <w:rPr>
                <w:spacing w:val="6"/>
              </w:rPr>
              <w:t>医疗废物暂存</w:t>
            </w:r>
          </w:p>
          <w:p w14:paraId="1C9C2129">
            <w:pPr>
              <w:pStyle w:val="6"/>
              <w:spacing w:before="26" w:line="212" w:lineRule="auto"/>
              <w:ind w:left="694"/>
            </w:pPr>
            <w:r>
              <w:t>间</w:t>
            </w:r>
          </w:p>
        </w:tc>
        <w:tc>
          <w:tcPr>
            <w:tcW w:w="851" w:type="dxa"/>
            <w:vAlign w:val="top"/>
          </w:tcPr>
          <w:p w14:paraId="67795E6F">
            <w:pPr>
              <w:spacing w:before="140"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83" w:type="dxa"/>
            <w:vAlign w:val="top"/>
          </w:tcPr>
          <w:p w14:paraId="35580234">
            <w:pPr>
              <w:pStyle w:val="6"/>
              <w:spacing w:before="171" w:line="229" w:lineRule="auto"/>
              <w:ind w:left="474"/>
            </w:pPr>
            <w:r>
              <w:rPr>
                <w:spacing w:val="7"/>
              </w:rPr>
              <w:t>无害化处理</w:t>
            </w:r>
          </w:p>
        </w:tc>
        <w:tc>
          <w:tcPr>
            <w:tcW w:w="3547" w:type="dxa"/>
            <w:vMerge w:val="continue"/>
            <w:tcBorders>
              <w:top w:val="nil"/>
              <w:bottom w:val="nil"/>
            </w:tcBorders>
            <w:vAlign w:val="top"/>
          </w:tcPr>
          <w:p w14:paraId="6572FE1D">
            <w:pPr>
              <w:rPr>
                <w:rFonts w:ascii="Arial"/>
                <w:sz w:val="21"/>
              </w:rPr>
            </w:pPr>
          </w:p>
        </w:tc>
      </w:tr>
      <w:tr w14:paraId="012B8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09" w:type="dxa"/>
            <w:vMerge w:val="continue"/>
            <w:tcBorders>
              <w:top w:val="nil"/>
            </w:tcBorders>
            <w:vAlign w:val="top"/>
          </w:tcPr>
          <w:p w14:paraId="55929664">
            <w:pPr>
              <w:rPr>
                <w:rFonts w:ascii="Arial"/>
                <w:sz w:val="21"/>
              </w:rPr>
            </w:pPr>
          </w:p>
        </w:tc>
        <w:tc>
          <w:tcPr>
            <w:tcW w:w="1289" w:type="dxa"/>
            <w:vAlign w:val="top"/>
          </w:tcPr>
          <w:p w14:paraId="103F87BB">
            <w:pPr>
              <w:pStyle w:val="6"/>
              <w:spacing w:before="69" w:line="229" w:lineRule="auto"/>
              <w:ind w:left="227"/>
            </w:pPr>
            <w:r>
              <w:rPr>
                <w:spacing w:val="7"/>
              </w:rPr>
              <w:t>废包装物</w:t>
            </w:r>
          </w:p>
        </w:tc>
        <w:tc>
          <w:tcPr>
            <w:tcW w:w="2962" w:type="dxa"/>
            <w:vAlign w:val="top"/>
          </w:tcPr>
          <w:p w14:paraId="2A4D2CBC">
            <w:pPr>
              <w:pStyle w:val="6"/>
              <w:spacing w:before="69" w:line="228" w:lineRule="auto"/>
              <w:ind w:left="118"/>
            </w:pPr>
            <w:r>
              <w:rPr>
                <w:spacing w:val="8"/>
              </w:rPr>
              <w:t>收集后交由供应商回收</w:t>
            </w:r>
          </w:p>
        </w:tc>
        <w:tc>
          <w:tcPr>
            <w:tcW w:w="992" w:type="dxa"/>
            <w:vAlign w:val="top"/>
          </w:tcPr>
          <w:p w14:paraId="69FD170C">
            <w:pPr>
              <w:spacing w:before="41"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52557C05">
            <w:pPr>
              <w:spacing w:before="41" w:line="274" w:lineRule="exact"/>
              <w:ind w:left="7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1" w:type="dxa"/>
            <w:vAlign w:val="top"/>
          </w:tcPr>
          <w:p w14:paraId="130BE936">
            <w:pPr>
              <w:spacing w:before="41"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83" w:type="dxa"/>
            <w:vAlign w:val="top"/>
          </w:tcPr>
          <w:p w14:paraId="01717C58">
            <w:pPr>
              <w:pStyle w:val="6"/>
              <w:spacing w:before="69" w:line="228" w:lineRule="auto"/>
              <w:ind w:left="684"/>
            </w:pPr>
            <w:r>
              <w:rPr>
                <w:spacing w:val="6"/>
              </w:rPr>
              <w:t>零排放</w:t>
            </w:r>
          </w:p>
        </w:tc>
        <w:tc>
          <w:tcPr>
            <w:tcW w:w="3547" w:type="dxa"/>
            <w:vMerge w:val="continue"/>
            <w:tcBorders>
              <w:top w:val="nil"/>
            </w:tcBorders>
            <w:vAlign w:val="top"/>
          </w:tcPr>
          <w:p w14:paraId="6E986514">
            <w:pPr>
              <w:rPr>
                <w:rFonts w:ascii="Arial"/>
                <w:sz w:val="21"/>
              </w:rPr>
            </w:pPr>
          </w:p>
        </w:tc>
      </w:tr>
      <w:tr w14:paraId="0BB78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09" w:type="dxa"/>
            <w:vAlign w:val="top"/>
          </w:tcPr>
          <w:p w14:paraId="60F137A2">
            <w:pPr>
              <w:pStyle w:val="6"/>
              <w:spacing w:before="32" w:line="229" w:lineRule="auto"/>
              <w:ind w:left="150"/>
            </w:pPr>
            <w:r>
              <w:rPr>
                <w:spacing w:val="4"/>
              </w:rPr>
              <w:t>环境</w:t>
            </w:r>
          </w:p>
          <w:p w14:paraId="1E0192EE">
            <w:pPr>
              <w:pStyle w:val="6"/>
              <w:spacing w:before="25" w:line="210" w:lineRule="auto"/>
              <w:ind w:left="151"/>
            </w:pPr>
            <w:r>
              <w:rPr>
                <w:spacing w:val="4"/>
              </w:rPr>
              <w:t>风险</w:t>
            </w:r>
          </w:p>
        </w:tc>
        <w:tc>
          <w:tcPr>
            <w:tcW w:w="1289" w:type="dxa"/>
            <w:vAlign w:val="top"/>
          </w:tcPr>
          <w:p w14:paraId="2FDD557A">
            <w:pPr>
              <w:pStyle w:val="6"/>
              <w:spacing w:before="168" w:line="231" w:lineRule="auto"/>
              <w:ind w:left="331"/>
            </w:pPr>
            <w:r>
              <w:rPr>
                <w:spacing w:val="6"/>
              </w:rPr>
              <w:t>应急池</w:t>
            </w:r>
          </w:p>
        </w:tc>
        <w:tc>
          <w:tcPr>
            <w:tcW w:w="11893" w:type="dxa"/>
            <w:gridSpan w:val="6"/>
            <w:vAlign w:val="top"/>
          </w:tcPr>
          <w:p w14:paraId="1D193D4A">
            <w:pPr>
              <w:pStyle w:val="6"/>
              <w:spacing w:before="169" w:line="229" w:lineRule="auto"/>
              <w:ind w:left="114"/>
            </w:pPr>
            <w:r>
              <w:rPr>
                <w:spacing w:val="8"/>
              </w:rPr>
              <w:t>设置事故应急池</w:t>
            </w:r>
          </w:p>
        </w:tc>
      </w:tr>
      <w:tr w14:paraId="4778D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09" w:type="dxa"/>
            <w:vAlign w:val="top"/>
          </w:tcPr>
          <w:p w14:paraId="07BBB6D7">
            <w:pPr>
              <w:pStyle w:val="6"/>
              <w:spacing w:before="66" w:line="229" w:lineRule="auto"/>
              <w:ind w:left="151"/>
            </w:pPr>
            <w:r>
              <w:rPr>
                <w:spacing w:val="4"/>
              </w:rPr>
              <w:t>其他</w:t>
            </w:r>
          </w:p>
        </w:tc>
        <w:tc>
          <w:tcPr>
            <w:tcW w:w="13182" w:type="dxa"/>
            <w:gridSpan w:val="7"/>
            <w:vAlign w:val="top"/>
          </w:tcPr>
          <w:p w14:paraId="10BE914C">
            <w:pPr>
              <w:pStyle w:val="6"/>
              <w:spacing w:before="67" w:line="228" w:lineRule="auto"/>
              <w:ind w:left="111"/>
            </w:pPr>
            <w:r>
              <w:rPr>
                <w:spacing w:val="10"/>
              </w:rPr>
              <w:t>其它：医疗废物收集房位置设置是否合适；设置规范</w:t>
            </w:r>
            <w:r>
              <w:rPr>
                <w:spacing w:val="9"/>
              </w:rPr>
              <w:t>化排污口，环保设置是否到位</w:t>
            </w:r>
          </w:p>
        </w:tc>
      </w:tr>
    </w:tbl>
    <w:p w14:paraId="4D93B25A">
      <w:pPr>
        <w:pStyle w:val="2"/>
      </w:pPr>
    </w:p>
    <w:p w14:paraId="6354FE48">
      <w:pPr>
        <w:sectPr>
          <w:footerReference r:id="rId179" w:type="default"/>
          <w:pgSz w:w="16839" w:h="11906"/>
          <w:pgMar w:top="400" w:right="1471" w:bottom="1485" w:left="1470" w:header="0" w:footer="1249" w:gutter="0"/>
          <w:cols w:space="720" w:num="1"/>
        </w:sectPr>
      </w:pPr>
    </w:p>
    <w:p w14:paraId="74FEC9FA">
      <w:pPr>
        <w:pStyle w:val="2"/>
        <w:spacing w:line="246" w:lineRule="auto"/>
      </w:pPr>
    </w:p>
    <w:p w14:paraId="172C1D99">
      <w:pPr>
        <w:pStyle w:val="2"/>
        <w:spacing w:line="246" w:lineRule="auto"/>
      </w:pPr>
    </w:p>
    <w:p w14:paraId="24992287">
      <w:pPr>
        <w:spacing w:before="140" w:line="637" w:lineRule="exact"/>
        <w:ind w:left="2501"/>
        <w:outlineLvl w:val="0"/>
        <w:rPr>
          <w:rFonts w:ascii="黑体" w:hAnsi="黑体" w:eastAsia="黑体" w:cs="黑体"/>
          <w:sz w:val="43"/>
          <w:szCs w:val="43"/>
        </w:rPr>
      </w:pPr>
      <w:bookmarkStart w:id="53" w:name="bookmark49"/>
      <w:bookmarkEnd w:id="53"/>
      <w:bookmarkStart w:id="54" w:name="bookmark48"/>
      <w:bookmarkEnd w:id="54"/>
      <w:r>
        <w:rPr>
          <w:rFonts w:ascii="Calibri" w:hAnsi="Calibri" w:eastAsia="Calibri" w:cs="Calibri"/>
          <w:spacing w:val="7"/>
          <w:position w:val="4"/>
          <w:sz w:val="43"/>
          <w:szCs w:val="43"/>
        </w:rPr>
        <w:t>9</w:t>
      </w:r>
      <w:r>
        <w:rPr>
          <w:rFonts w:ascii="黑体" w:hAnsi="黑体" w:eastAsia="黑体" w:cs="黑体"/>
          <w:spacing w:val="7"/>
          <w:position w:val="4"/>
          <w:sz w:val="43"/>
          <w:szCs w:val="43"/>
        </w:rPr>
        <w:t>环境影响评价结论</w:t>
      </w:r>
    </w:p>
    <w:p w14:paraId="04519F1E">
      <w:pPr>
        <w:pStyle w:val="2"/>
        <w:spacing w:line="414" w:lineRule="auto"/>
      </w:pPr>
    </w:p>
    <w:p w14:paraId="524218BB">
      <w:pPr>
        <w:spacing w:before="101" w:line="225" w:lineRule="auto"/>
        <w:ind w:left="2"/>
        <w:outlineLvl w:val="1"/>
        <w:rPr>
          <w:rFonts w:ascii="宋体" w:hAnsi="宋体" w:eastAsia="宋体" w:cs="宋体"/>
          <w:sz w:val="31"/>
          <w:szCs w:val="31"/>
        </w:rPr>
      </w:pPr>
      <w:bookmarkStart w:id="55" w:name="bookmark63"/>
      <w:bookmarkEnd w:id="55"/>
      <w:r>
        <w:rPr>
          <w:rFonts w:ascii="Times New Roman" w:hAnsi="Times New Roman" w:eastAsia="Times New Roman" w:cs="Times New Roman"/>
          <w:b/>
          <w:bCs/>
          <w:spacing w:val="4"/>
          <w:sz w:val="31"/>
          <w:szCs w:val="31"/>
        </w:rPr>
        <w:t>9.1</w:t>
      </w:r>
      <w:r>
        <w:rPr>
          <w:rFonts w:ascii="宋体" w:hAnsi="宋体" w:eastAsia="宋体" w:cs="宋体"/>
          <w:b/>
          <w:bCs/>
          <w:spacing w:val="4"/>
          <w:sz w:val="31"/>
          <w:szCs w:val="31"/>
        </w:rPr>
        <w:t>项目概况</w:t>
      </w:r>
    </w:p>
    <w:p w14:paraId="2A4C02D2">
      <w:pPr>
        <w:pStyle w:val="2"/>
        <w:spacing w:line="411" w:lineRule="auto"/>
      </w:pPr>
    </w:p>
    <w:p w14:paraId="5C6DB281">
      <w:pPr>
        <w:spacing w:before="78" w:line="371" w:lineRule="auto"/>
        <w:ind w:left="1" w:right="102" w:firstLine="482"/>
        <w:jc w:val="both"/>
        <w:rPr>
          <w:rFonts w:ascii="宋体" w:hAnsi="宋体" w:eastAsia="宋体" w:cs="宋体"/>
          <w:sz w:val="24"/>
          <w:szCs w:val="24"/>
        </w:rPr>
      </w:pPr>
      <w:r>
        <w:rPr>
          <w:rFonts w:ascii="宋体" w:hAnsi="宋体" w:eastAsia="宋体" w:cs="宋体"/>
          <w:spacing w:val="2"/>
          <w:sz w:val="24"/>
          <w:szCs w:val="24"/>
        </w:rPr>
        <w:t>汕尾市天磊联信种养有限公司拟在海丰县公平镇龙岗美月姑少山坡地建设生猪</w:t>
      </w:r>
      <w:r>
        <w:rPr>
          <w:rFonts w:ascii="宋体" w:hAnsi="宋体" w:eastAsia="宋体" w:cs="宋体"/>
          <w:spacing w:val="5"/>
          <w:sz w:val="24"/>
          <w:szCs w:val="24"/>
        </w:rPr>
        <w:t xml:space="preserve"> </w:t>
      </w:r>
      <w:r>
        <w:rPr>
          <w:rFonts w:ascii="宋体" w:hAnsi="宋体" w:eastAsia="宋体" w:cs="宋体"/>
          <w:spacing w:val="-8"/>
          <w:sz w:val="24"/>
          <w:szCs w:val="24"/>
        </w:rPr>
        <w:t>养殖项目。项目总投资</w:t>
      </w:r>
      <w:r>
        <w:rPr>
          <w:rFonts w:ascii="宋体" w:hAnsi="宋体" w:eastAsia="宋体" w:cs="宋体"/>
          <w:spacing w:val="-24"/>
          <w:sz w:val="24"/>
          <w:szCs w:val="24"/>
        </w:rPr>
        <w:t xml:space="preserve"> </w:t>
      </w:r>
      <w:r>
        <w:rPr>
          <w:rFonts w:ascii="Times New Roman" w:hAnsi="Times New Roman" w:eastAsia="Times New Roman" w:cs="Times New Roman"/>
          <w:spacing w:val="-8"/>
          <w:sz w:val="24"/>
          <w:szCs w:val="24"/>
        </w:rPr>
        <w:t>1300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万元人民币，其中环保投资</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320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万元，占地面积</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17194m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position w:val="7"/>
          <w:sz w:val="15"/>
          <w:szCs w:val="15"/>
        </w:rPr>
        <w:t xml:space="preserve"> </w:t>
      </w:r>
      <w:r>
        <w:rPr>
          <w:rFonts w:ascii="宋体" w:hAnsi="宋体" w:eastAsia="宋体" w:cs="宋体"/>
          <w:spacing w:val="1"/>
          <w:sz w:val="24"/>
          <w:szCs w:val="24"/>
        </w:rPr>
        <w:t>（约</w:t>
      </w:r>
      <w:r>
        <w:rPr>
          <w:rFonts w:ascii="Times New Roman" w:hAnsi="Times New Roman" w:eastAsia="Times New Roman" w:cs="Times New Roman"/>
          <w:spacing w:val="1"/>
          <w:sz w:val="24"/>
          <w:szCs w:val="24"/>
        </w:rPr>
        <w:t xml:space="preserve">25.79 </w:t>
      </w:r>
      <w:r>
        <w:rPr>
          <w:rFonts w:ascii="宋体" w:hAnsi="宋体" w:eastAsia="宋体" w:cs="宋体"/>
          <w:spacing w:val="1"/>
          <w:sz w:val="24"/>
          <w:szCs w:val="24"/>
        </w:rPr>
        <w:t>亩</w:t>
      </w:r>
      <w:r>
        <w:rPr>
          <w:rFonts w:ascii="宋体" w:hAnsi="宋体" w:eastAsia="宋体" w:cs="宋体"/>
          <w:spacing w:val="17"/>
          <w:sz w:val="24"/>
          <w:szCs w:val="24"/>
        </w:rPr>
        <w:t>），</w:t>
      </w:r>
      <w:r>
        <w:rPr>
          <w:rFonts w:ascii="宋体" w:hAnsi="宋体" w:eastAsia="宋体" w:cs="宋体"/>
          <w:spacing w:val="1"/>
          <w:sz w:val="24"/>
          <w:szCs w:val="24"/>
        </w:rPr>
        <w:t>建筑面积为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8346m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。主要建设内容包括</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栋育肥舍、疫苗仓库</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z w:val="24"/>
          <w:szCs w:val="24"/>
        </w:rPr>
        <w:t>栋、兽药仓库</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栋、消毒仓库</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 xml:space="preserve">栋、危废暂存间及有机肥生产车间等配套设施。项 </w:t>
      </w:r>
      <w:r>
        <w:rPr>
          <w:rFonts w:ascii="宋体" w:hAnsi="宋体" w:eastAsia="宋体" w:cs="宋体"/>
          <w:spacing w:val="-7"/>
          <w:sz w:val="24"/>
          <w:szCs w:val="24"/>
        </w:rPr>
        <w:t>目建成后预计猪只存栏量为</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7000</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头，出栏量为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15000</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头。本</w:t>
      </w:r>
      <w:r>
        <w:rPr>
          <w:rFonts w:ascii="宋体" w:hAnsi="宋体" w:eastAsia="宋体" w:cs="宋体"/>
          <w:spacing w:val="-8"/>
          <w:sz w:val="24"/>
          <w:szCs w:val="24"/>
        </w:rPr>
        <w:t>项目猪只出栏量为</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15000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头</w:t>
      </w:r>
      <w:r>
        <w:rPr>
          <w:rFonts w:ascii="Times New Roman" w:hAnsi="Times New Roman" w:eastAsia="Times New Roman" w:cs="Times New Roman"/>
          <w:spacing w:val="-3"/>
          <w:sz w:val="24"/>
          <w:szCs w:val="24"/>
        </w:rPr>
        <w:t>/</w:t>
      </w:r>
      <w:r>
        <w:rPr>
          <w:rFonts w:ascii="宋体" w:hAnsi="宋体" w:eastAsia="宋体" w:cs="宋体"/>
          <w:spacing w:val="-3"/>
          <w:sz w:val="24"/>
          <w:szCs w:val="24"/>
        </w:rPr>
        <w:t>年。</w:t>
      </w:r>
    </w:p>
    <w:p w14:paraId="56F79C7C">
      <w:pPr>
        <w:pStyle w:val="2"/>
      </w:pPr>
    </w:p>
    <w:p w14:paraId="30A9C992">
      <w:pPr>
        <w:spacing w:before="100" w:line="224" w:lineRule="auto"/>
        <w:ind w:left="2"/>
        <w:outlineLvl w:val="1"/>
        <w:rPr>
          <w:rFonts w:ascii="宋体" w:hAnsi="宋体" w:eastAsia="宋体" w:cs="宋体"/>
          <w:sz w:val="31"/>
          <w:szCs w:val="31"/>
        </w:rPr>
      </w:pPr>
      <w:bookmarkStart w:id="56" w:name="bookmark50"/>
      <w:bookmarkEnd w:id="56"/>
      <w:r>
        <w:rPr>
          <w:rFonts w:ascii="Times New Roman" w:hAnsi="Times New Roman" w:eastAsia="Times New Roman" w:cs="Times New Roman"/>
          <w:b/>
          <w:bCs/>
          <w:spacing w:val="6"/>
          <w:sz w:val="31"/>
          <w:szCs w:val="31"/>
        </w:rPr>
        <w:t>9.2</w:t>
      </w:r>
      <w:r>
        <w:rPr>
          <w:rFonts w:ascii="宋体" w:hAnsi="宋体" w:eastAsia="宋体" w:cs="宋体"/>
          <w:b/>
          <w:bCs/>
          <w:spacing w:val="6"/>
          <w:sz w:val="31"/>
          <w:szCs w:val="31"/>
        </w:rPr>
        <w:t>环境质量现状评价结论</w:t>
      </w:r>
    </w:p>
    <w:p w14:paraId="1EACA8D4">
      <w:pPr>
        <w:pStyle w:val="2"/>
        <w:spacing w:line="450" w:lineRule="auto"/>
      </w:pPr>
    </w:p>
    <w:p w14:paraId="5AF4A6CA">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9.2.1</w:t>
      </w:r>
      <w:r>
        <w:rPr>
          <w:rFonts w:ascii="宋体" w:hAnsi="宋体" w:eastAsia="宋体" w:cs="宋体"/>
          <w:b/>
          <w:bCs/>
          <w:spacing w:val="-2"/>
          <w:sz w:val="24"/>
          <w:szCs w:val="24"/>
        </w:rPr>
        <w:t>大气环境质量现状评价结论</w:t>
      </w:r>
    </w:p>
    <w:p w14:paraId="0B5DF048">
      <w:pPr>
        <w:pStyle w:val="2"/>
        <w:spacing w:line="242" w:lineRule="auto"/>
      </w:pPr>
    </w:p>
    <w:p w14:paraId="1DDBC8CE">
      <w:pPr>
        <w:spacing w:before="79" w:line="367" w:lineRule="auto"/>
        <w:ind w:left="1" w:right="104" w:firstLine="480"/>
        <w:jc w:val="both"/>
        <w:rPr>
          <w:rFonts w:ascii="宋体" w:hAnsi="宋体" w:eastAsia="宋体" w:cs="宋体"/>
          <w:sz w:val="24"/>
          <w:szCs w:val="24"/>
        </w:rPr>
      </w:pPr>
      <w:r>
        <w:rPr>
          <w:rFonts w:ascii="宋体" w:hAnsi="宋体" w:eastAsia="宋体" w:cs="宋体"/>
          <w:sz w:val="24"/>
          <w:szCs w:val="24"/>
        </w:rPr>
        <w:t>监测结果分析表明，项目所在区域为达标区；评价范围内</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个监测点</w:t>
      </w:r>
      <w:r>
        <w:rPr>
          <w:rFonts w:ascii="宋体" w:hAnsi="宋体" w:eastAsia="宋体" w:cs="宋体"/>
          <w:spacing w:val="-1"/>
          <w:sz w:val="24"/>
          <w:szCs w:val="24"/>
        </w:rPr>
        <w:t>的</w:t>
      </w:r>
      <w:r>
        <w:rPr>
          <w:rFonts w:ascii="宋体" w:hAnsi="宋体" w:eastAsia="宋体" w:cs="宋体"/>
          <w:spacing w:val="-61"/>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1"/>
          <w:sz w:val="24"/>
          <w:szCs w:val="24"/>
        </w:rPr>
        <w:t>连</w:t>
      </w:r>
      <w:r>
        <w:rPr>
          <w:rFonts w:ascii="宋体" w:hAnsi="宋体" w:eastAsia="宋体" w:cs="宋体"/>
          <w:sz w:val="24"/>
          <w:szCs w:val="24"/>
        </w:rPr>
        <w:t xml:space="preserve"> 续</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9"/>
          <w:sz w:val="24"/>
          <w:szCs w:val="24"/>
        </w:rPr>
        <w:t xml:space="preserve"> </w:t>
      </w:r>
      <w:r>
        <w:rPr>
          <w:rFonts w:ascii="宋体" w:hAnsi="宋体" w:eastAsia="宋体" w:cs="宋体"/>
          <w:sz w:val="24"/>
          <w:szCs w:val="24"/>
        </w:rPr>
        <w:t>天的</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小时平均浓度超标率为</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，能满足《环境影响评价技术导则大气环境》 </w:t>
      </w:r>
      <w:r>
        <w:rPr>
          <w:rFonts w:ascii="宋体" w:hAnsi="宋体" w:eastAsia="宋体" w:cs="宋体"/>
          <w:spacing w:val="2"/>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）中附录</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标准限值要求；硫化氢及臭气浓度为未检出。因此，项目</w:t>
      </w:r>
      <w:r>
        <w:rPr>
          <w:rFonts w:ascii="宋体" w:hAnsi="宋体" w:eastAsia="宋体" w:cs="宋体"/>
          <w:sz w:val="24"/>
          <w:szCs w:val="24"/>
        </w:rPr>
        <w:t xml:space="preserve"> </w:t>
      </w:r>
      <w:r>
        <w:rPr>
          <w:rFonts w:ascii="宋体" w:hAnsi="宋体" w:eastAsia="宋体" w:cs="宋体"/>
          <w:spacing w:val="-1"/>
          <w:sz w:val="24"/>
          <w:szCs w:val="24"/>
        </w:rPr>
        <w:t>所在地附近大气环境现状良好。</w:t>
      </w:r>
    </w:p>
    <w:p w14:paraId="0C1C9269">
      <w:pPr>
        <w:pStyle w:val="2"/>
        <w:spacing w:line="303" w:lineRule="auto"/>
      </w:pPr>
    </w:p>
    <w:p w14:paraId="5C12E608">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9.2.2</w:t>
      </w:r>
      <w:r>
        <w:rPr>
          <w:rFonts w:ascii="宋体" w:hAnsi="宋体" w:eastAsia="宋体" w:cs="宋体"/>
          <w:b/>
          <w:bCs/>
          <w:spacing w:val="-2"/>
          <w:sz w:val="24"/>
          <w:szCs w:val="24"/>
        </w:rPr>
        <w:t>声环境质量现状评价结论</w:t>
      </w:r>
    </w:p>
    <w:p w14:paraId="4F4501EE">
      <w:pPr>
        <w:pStyle w:val="2"/>
        <w:spacing w:line="280" w:lineRule="auto"/>
      </w:pPr>
    </w:p>
    <w:p w14:paraId="31A593AB">
      <w:pPr>
        <w:spacing w:before="79" w:line="361" w:lineRule="auto"/>
        <w:ind w:left="2" w:right="103" w:firstLine="480"/>
        <w:jc w:val="both"/>
        <w:rPr>
          <w:rFonts w:ascii="宋体" w:hAnsi="宋体" w:eastAsia="宋体" w:cs="宋体"/>
          <w:sz w:val="24"/>
          <w:szCs w:val="24"/>
        </w:rPr>
      </w:pPr>
      <w:r>
        <w:rPr>
          <w:rFonts w:ascii="宋体" w:hAnsi="宋体" w:eastAsia="宋体" w:cs="宋体"/>
          <w:spacing w:val="2"/>
          <w:sz w:val="24"/>
          <w:szCs w:val="24"/>
        </w:rPr>
        <w:t>监测结果分析表明，本项目所在区域东、南、西、北边界昼间和夜间噪声均达</w:t>
      </w:r>
      <w:r>
        <w:rPr>
          <w:rFonts w:ascii="宋体" w:hAnsi="宋体" w:eastAsia="宋体" w:cs="宋体"/>
          <w:spacing w:val="9"/>
          <w:sz w:val="24"/>
          <w:szCs w:val="24"/>
        </w:rPr>
        <w:t xml:space="preserve"> </w:t>
      </w:r>
      <w:r>
        <w:rPr>
          <w:rFonts w:ascii="宋体" w:hAnsi="宋体" w:eastAsia="宋体" w:cs="宋体"/>
          <w:spacing w:val="-2"/>
          <w:sz w:val="24"/>
          <w:szCs w:val="24"/>
        </w:rPr>
        <w:t>到《声环境质量标准》（</w:t>
      </w:r>
      <w:r>
        <w:rPr>
          <w:rFonts w:ascii="Times New Roman" w:hAnsi="Times New Roman" w:eastAsia="Times New Roman" w:cs="Times New Roman"/>
          <w:spacing w:val="-2"/>
          <w:sz w:val="24"/>
          <w:szCs w:val="24"/>
        </w:rPr>
        <w:t>GB3096-2008</w:t>
      </w:r>
      <w:r>
        <w:rPr>
          <w:rFonts w:ascii="宋体" w:hAnsi="宋体" w:eastAsia="宋体" w:cs="宋体"/>
          <w:spacing w:val="-2"/>
          <w:sz w:val="24"/>
          <w:szCs w:val="24"/>
        </w:rPr>
        <w:t>）中的</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w:t>
      </w:r>
      <w:r>
        <w:rPr>
          <w:rFonts w:ascii="宋体" w:hAnsi="宋体" w:eastAsia="宋体" w:cs="宋体"/>
          <w:spacing w:val="-3"/>
          <w:sz w:val="24"/>
          <w:szCs w:val="24"/>
        </w:rPr>
        <w:t>。因此，项目区域声环境现状</w:t>
      </w:r>
      <w:r>
        <w:rPr>
          <w:rFonts w:ascii="宋体" w:hAnsi="宋体" w:eastAsia="宋体" w:cs="宋体"/>
          <w:sz w:val="24"/>
          <w:szCs w:val="24"/>
        </w:rPr>
        <w:t xml:space="preserve"> </w:t>
      </w:r>
      <w:r>
        <w:rPr>
          <w:rFonts w:ascii="宋体" w:hAnsi="宋体" w:eastAsia="宋体" w:cs="宋体"/>
          <w:spacing w:val="-3"/>
          <w:sz w:val="24"/>
          <w:szCs w:val="24"/>
        </w:rPr>
        <w:t>质量良好。</w:t>
      </w:r>
    </w:p>
    <w:p w14:paraId="3FA25CBD">
      <w:pPr>
        <w:pStyle w:val="2"/>
        <w:spacing w:line="276" w:lineRule="auto"/>
      </w:pPr>
    </w:p>
    <w:p w14:paraId="3A5D1405">
      <w:pPr>
        <w:spacing w:before="79"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9.2.3</w:t>
      </w:r>
      <w:r>
        <w:rPr>
          <w:rFonts w:ascii="宋体" w:hAnsi="宋体" w:eastAsia="宋体" w:cs="宋体"/>
          <w:b/>
          <w:bCs/>
          <w:spacing w:val="-2"/>
          <w:sz w:val="24"/>
          <w:szCs w:val="24"/>
        </w:rPr>
        <w:t>地下水环境质量现状评价结论</w:t>
      </w:r>
    </w:p>
    <w:p w14:paraId="14C80306">
      <w:pPr>
        <w:pStyle w:val="2"/>
        <w:spacing w:line="288" w:lineRule="auto"/>
      </w:pPr>
    </w:p>
    <w:p w14:paraId="0C3B16B1">
      <w:pPr>
        <w:spacing w:before="78" w:line="367" w:lineRule="auto"/>
        <w:ind w:left="24" w:firstLine="458"/>
        <w:rPr>
          <w:rFonts w:ascii="宋体" w:hAnsi="宋体" w:eastAsia="宋体" w:cs="宋体"/>
          <w:sz w:val="24"/>
          <w:szCs w:val="24"/>
        </w:rPr>
      </w:pPr>
      <w:r>
        <w:rPr>
          <w:rFonts w:ascii="宋体" w:hAnsi="宋体" w:eastAsia="宋体" w:cs="宋体"/>
          <w:spacing w:val="-3"/>
          <w:sz w:val="24"/>
          <w:szCs w:val="24"/>
        </w:rPr>
        <w:t>监测结果分析表明，各项监测指标均达到《地下水质量标准》（</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3"/>
          <w:sz w:val="24"/>
          <w:szCs w:val="24"/>
        </w:rPr>
        <w:t>14848-93</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中的Ⅲ类水质标准。项目所在区域地下水水环境质量</w:t>
      </w:r>
      <w:r>
        <w:rPr>
          <w:rFonts w:ascii="宋体" w:hAnsi="宋体" w:eastAsia="宋体" w:cs="宋体"/>
          <w:spacing w:val="-2"/>
          <w:sz w:val="24"/>
          <w:szCs w:val="24"/>
        </w:rPr>
        <w:t>现状良好。</w:t>
      </w:r>
    </w:p>
    <w:p w14:paraId="3257BBB4">
      <w:pPr>
        <w:spacing w:line="367" w:lineRule="auto"/>
        <w:rPr>
          <w:rFonts w:ascii="宋体" w:hAnsi="宋体" w:eastAsia="宋体" w:cs="宋体"/>
          <w:sz w:val="24"/>
          <w:szCs w:val="24"/>
        </w:rPr>
        <w:sectPr>
          <w:footerReference r:id="rId180" w:type="default"/>
          <w:pgSz w:w="11906" w:h="16839"/>
          <w:pgMar w:top="400" w:right="1482" w:bottom="1485" w:left="1596" w:header="0" w:footer="1249" w:gutter="0"/>
          <w:cols w:space="720" w:num="1"/>
        </w:sectPr>
      </w:pPr>
    </w:p>
    <w:p w14:paraId="229D740D">
      <w:pPr>
        <w:pStyle w:val="2"/>
        <w:spacing w:line="250" w:lineRule="auto"/>
      </w:pPr>
    </w:p>
    <w:p w14:paraId="1C0FFFA0">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9.2.4</w:t>
      </w:r>
      <w:r>
        <w:rPr>
          <w:rFonts w:ascii="宋体" w:hAnsi="宋体" w:eastAsia="宋体" w:cs="宋体"/>
          <w:b/>
          <w:bCs/>
          <w:spacing w:val="-2"/>
          <w:sz w:val="24"/>
          <w:szCs w:val="24"/>
        </w:rPr>
        <w:t>土壤环境质量现状评价结论</w:t>
      </w:r>
    </w:p>
    <w:p w14:paraId="3201294C">
      <w:pPr>
        <w:pStyle w:val="2"/>
        <w:spacing w:line="277" w:lineRule="auto"/>
      </w:pPr>
    </w:p>
    <w:p w14:paraId="529FA34A">
      <w:pPr>
        <w:spacing w:before="78" w:line="362" w:lineRule="auto"/>
        <w:ind w:right="63" w:firstLine="480"/>
        <w:jc w:val="both"/>
        <w:rPr>
          <w:rFonts w:ascii="宋体" w:hAnsi="宋体" w:eastAsia="宋体" w:cs="宋体"/>
          <w:sz w:val="24"/>
          <w:szCs w:val="24"/>
        </w:rPr>
      </w:pPr>
      <w:r>
        <w:rPr>
          <w:rFonts w:ascii="宋体" w:hAnsi="宋体" w:eastAsia="宋体" w:cs="宋体"/>
          <w:spacing w:val="2"/>
          <w:sz w:val="24"/>
          <w:szCs w:val="24"/>
        </w:rPr>
        <w:t>对土壤中的所有监测指标均达到国家《土壤环境质量建设用地土壤污染风险管</w:t>
      </w:r>
      <w:r>
        <w:rPr>
          <w:rFonts w:ascii="宋体" w:hAnsi="宋体" w:eastAsia="宋体" w:cs="宋体"/>
          <w:spacing w:val="11"/>
          <w:sz w:val="24"/>
          <w:szCs w:val="24"/>
        </w:rPr>
        <w:t xml:space="preserve"> </w:t>
      </w:r>
      <w:r>
        <w:rPr>
          <w:rFonts w:ascii="宋体" w:hAnsi="宋体" w:eastAsia="宋体" w:cs="宋体"/>
          <w:spacing w:val="1"/>
          <w:sz w:val="24"/>
          <w:szCs w:val="24"/>
        </w:rPr>
        <w:t>控标准（试行）》（</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36600-2018</w:t>
      </w:r>
      <w:r>
        <w:rPr>
          <w:rFonts w:ascii="宋体" w:hAnsi="宋体" w:eastAsia="宋体" w:cs="宋体"/>
          <w:spacing w:val="1"/>
          <w:sz w:val="24"/>
          <w:szCs w:val="24"/>
        </w:rPr>
        <w:t>）第二类建设用地筛</w:t>
      </w:r>
      <w:r>
        <w:rPr>
          <w:rFonts w:ascii="宋体" w:hAnsi="宋体" w:eastAsia="宋体" w:cs="宋体"/>
          <w:sz w:val="24"/>
          <w:szCs w:val="24"/>
        </w:rPr>
        <w:t>选值，土壤中有害物质的含 量极低，环境质量基本保持自然背景水平，对植物和环</w:t>
      </w:r>
      <w:r>
        <w:rPr>
          <w:rFonts w:ascii="宋体" w:hAnsi="宋体" w:eastAsia="宋体" w:cs="宋体"/>
          <w:spacing w:val="-1"/>
          <w:sz w:val="24"/>
          <w:szCs w:val="24"/>
        </w:rPr>
        <w:t>境不造成危害和污染。</w:t>
      </w:r>
    </w:p>
    <w:p w14:paraId="4AB4BB3F">
      <w:pPr>
        <w:pStyle w:val="2"/>
        <w:spacing w:line="258" w:lineRule="auto"/>
      </w:pPr>
    </w:p>
    <w:p w14:paraId="1060FC20">
      <w:pPr>
        <w:spacing w:before="101" w:line="224" w:lineRule="auto"/>
        <w:ind w:left="6"/>
        <w:outlineLvl w:val="1"/>
        <w:rPr>
          <w:rFonts w:ascii="宋体" w:hAnsi="宋体" w:eastAsia="宋体" w:cs="宋体"/>
          <w:sz w:val="31"/>
          <w:szCs w:val="31"/>
        </w:rPr>
      </w:pPr>
      <w:bookmarkStart w:id="57" w:name="bookmark51"/>
      <w:bookmarkEnd w:id="57"/>
      <w:r>
        <w:rPr>
          <w:rFonts w:ascii="宋体" w:hAnsi="宋体" w:eastAsia="宋体" w:cs="宋体"/>
          <w:b/>
          <w:bCs/>
          <w:spacing w:val="5"/>
          <w:sz w:val="31"/>
          <w:szCs w:val="31"/>
        </w:rPr>
        <w:t>9.3施工期环境影响评价结论</w:t>
      </w:r>
    </w:p>
    <w:p w14:paraId="014F9152">
      <w:pPr>
        <w:pStyle w:val="2"/>
        <w:spacing w:line="450" w:lineRule="auto"/>
      </w:pPr>
    </w:p>
    <w:p w14:paraId="00401932">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9.3.1</w:t>
      </w:r>
      <w:r>
        <w:rPr>
          <w:rFonts w:ascii="宋体" w:hAnsi="宋体" w:eastAsia="宋体" w:cs="宋体"/>
          <w:b/>
          <w:bCs/>
          <w:spacing w:val="-2"/>
          <w:sz w:val="24"/>
          <w:szCs w:val="24"/>
        </w:rPr>
        <w:t>施工期大气环境影响评价结论</w:t>
      </w:r>
    </w:p>
    <w:p w14:paraId="14A571C0">
      <w:pPr>
        <w:pStyle w:val="2"/>
        <w:spacing w:line="247" w:lineRule="auto"/>
      </w:pPr>
    </w:p>
    <w:p w14:paraId="3F35A3B3">
      <w:pPr>
        <w:spacing w:before="78" w:line="378" w:lineRule="auto"/>
        <w:ind w:left="1" w:firstLine="480"/>
        <w:jc w:val="both"/>
        <w:rPr>
          <w:rFonts w:ascii="宋体" w:hAnsi="宋体" w:eastAsia="宋体" w:cs="宋体"/>
          <w:sz w:val="24"/>
          <w:szCs w:val="24"/>
        </w:rPr>
      </w:pPr>
      <w:r>
        <w:rPr>
          <w:rFonts w:ascii="宋体" w:hAnsi="宋体" w:eastAsia="宋体" w:cs="宋体"/>
          <w:spacing w:val="-5"/>
          <w:sz w:val="24"/>
          <w:szCs w:val="24"/>
        </w:rPr>
        <w:t>根据项目工程分析，施工期无组织排放扬尘影响的范围主要集中在</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以内，</w:t>
      </w:r>
      <w:r>
        <w:rPr>
          <w:rFonts w:ascii="宋体" w:hAnsi="宋体" w:eastAsia="宋体" w:cs="宋体"/>
          <w:sz w:val="24"/>
          <w:szCs w:val="24"/>
        </w:rPr>
        <w:t xml:space="preserve"> </w:t>
      </w:r>
      <w:r>
        <w:rPr>
          <w:rFonts w:ascii="宋体" w:hAnsi="宋体" w:eastAsia="宋体" w:cs="宋体"/>
          <w:spacing w:val="3"/>
          <w:sz w:val="24"/>
          <w:szCs w:val="24"/>
        </w:rPr>
        <w:t>本项目场区地势开阔，距离本项目主体工程最近的敏感点为西北侧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w:t>
      </w:r>
      <w:r>
        <w:rPr>
          <w:rFonts w:ascii="宋体" w:hAnsi="宋体" w:eastAsia="宋体" w:cs="宋体"/>
          <w:spacing w:val="14"/>
          <w:sz w:val="24"/>
          <w:szCs w:val="24"/>
        </w:rPr>
        <w:t xml:space="preserve"> </w:t>
      </w:r>
      <w:r>
        <w:rPr>
          <w:rFonts w:ascii="宋体" w:hAnsi="宋体" w:eastAsia="宋体" w:cs="宋体"/>
          <w:spacing w:val="2"/>
          <w:sz w:val="24"/>
          <w:szCs w:val="24"/>
        </w:rPr>
        <w:t>村，在采取洒水降尘等措施后，项目施工扬尘对周围环境的影响很小，且施工期扬</w:t>
      </w:r>
      <w:r>
        <w:rPr>
          <w:rFonts w:ascii="宋体" w:hAnsi="宋体" w:eastAsia="宋体" w:cs="宋体"/>
          <w:spacing w:val="6"/>
          <w:sz w:val="24"/>
          <w:szCs w:val="24"/>
        </w:rPr>
        <w:t xml:space="preserve"> </w:t>
      </w:r>
      <w:r>
        <w:rPr>
          <w:rFonts w:ascii="宋体" w:hAnsi="宋体" w:eastAsia="宋体" w:cs="宋体"/>
          <w:spacing w:val="2"/>
          <w:sz w:val="24"/>
          <w:szCs w:val="24"/>
        </w:rPr>
        <w:t>尘污染是短期影响，会随施工活动的结束而消除。项目机械燃油废气，污染物排放</w:t>
      </w:r>
      <w:r>
        <w:rPr>
          <w:rFonts w:ascii="宋体" w:hAnsi="宋体" w:eastAsia="宋体" w:cs="宋体"/>
          <w:spacing w:val="6"/>
          <w:sz w:val="24"/>
          <w:szCs w:val="24"/>
        </w:rPr>
        <w:t xml:space="preserve"> </w:t>
      </w:r>
      <w:r>
        <w:rPr>
          <w:rFonts w:ascii="宋体" w:hAnsi="宋体" w:eastAsia="宋体" w:cs="宋体"/>
          <w:spacing w:val="2"/>
          <w:sz w:val="24"/>
          <w:szCs w:val="24"/>
        </w:rPr>
        <w:t>量不大，且表现为间歇特征。装修时油漆废气产生量较少，装修阶段的油漆废气排</w:t>
      </w:r>
      <w:r>
        <w:rPr>
          <w:rFonts w:ascii="宋体" w:hAnsi="宋体" w:eastAsia="宋体" w:cs="宋体"/>
          <w:spacing w:val="6"/>
          <w:sz w:val="24"/>
          <w:szCs w:val="24"/>
        </w:rPr>
        <w:t xml:space="preserve"> </w:t>
      </w:r>
      <w:r>
        <w:rPr>
          <w:rFonts w:ascii="宋体" w:hAnsi="宋体" w:eastAsia="宋体" w:cs="宋体"/>
          <w:spacing w:val="2"/>
          <w:sz w:val="24"/>
          <w:szCs w:val="24"/>
        </w:rPr>
        <w:t>放周期短，且作业分散，在装修期间应加强室内的通风换气。建设项目施工期大气</w:t>
      </w:r>
      <w:r>
        <w:rPr>
          <w:rFonts w:ascii="宋体" w:hAnsi="宋体" w:eastAsia="宋体" w:cs="宋体"/>
          <w:spacing w:val="6"/>
          <w:sz w:val="24"/>
          <w:szCs w:val="24"/>
        </w:rPr>
        <w:t xml:space="preserve"> </w:t>
      </w:r>
      <w:r>
        <w:rPr>
          <w:rFonts w:ascii="宋体" w:hAnsi="宋体" w:eastAsia="宋体" w:cs="宋体"/>
          <w:spacing w:val="-1"/>
          <w:sz w:val="24"/>
          <w:szCs w:val="24"/>
        </w:rPr>
        <w:t>污染对评价区域环境空气质量和周围关心点的影响较小。</w:t>
      </w:r>
    </w:p>
    <w:p w14:paraId="25629FB7">
      <w:pPr>
        <w:spacing w:before="31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9.3.2</w:t>
      </w:r>
      <w:r>
        <w:rPr>
          <w:rFonts w:ascii="宋体" w:hAnsi="宋体" w:eastAsia="宋体" w:cs="宋体"/>
          <w:b/>
          <w:bCs/>
          <w:spacing w:val="-2"/>
          <w:sz w:val="24"/>
          <w:szCs w:val="24"/>
        </w:rPr>
        <w:t>施工期地表水环境影响评价结论</w:t>
      </w:r>
    </w:p>
    <w:p w14:paraId="43C622BA">
      <w:pPr>
        <w:pStyle w:val="2"/>
        <w:spacing w:line="281" w:lineRule="auto"/>
      </w:pPr>
    </w:p>
    <w:p w14:paraId="1124E836">
      <w:pPr>
        <w:spacing w:before="78" w:line="377" w:lineRule="auto"/>
        <w:ind w:left="1" w:right="66" w:firstLine="479"/>
        <w:jc w:val="both"/>
        <w:rPr>
          <w:rFonts w:ascii="宋体" w:hAnsi="宋体" w:eastAsia="宋体" w:cs="宋体"/>
          <w:sz w:val="24"/>
          <w:szCs w:val="24"/>
        </w:rPr>
      </w:pPr>
      <w:r>
        <w:rPr>
          <w:rFonts w:ascii="宋体" w:hAnsi="宋体" w:eastAsia="宋体" w:cs="宋体"/>
          <w:spacing w:val="2"/>
          <w:sz w:val="24"/>
          <w:szCs w:val="24"/>
        </w:rPr>
        <w:t>施工期废水通过沟渠收集排入沉淀池进行沉淀等处理，处理后的废水全部回用</w:t>
      </w:r>
      <w:r>
        <w:rPr>
          <w:rFonts w:ascii="宋体" w:hAnsi="宋体" w:eastAsia="宋体" w:cs="宋体"/>
          <w:spacing w:val="11"/>
          <w:sz w:val="24"/>
          <w:szCs w:val="24"/>
        </w:rPr>
        <w:t xml:space="preserve"> </w:t>
      </w:r>
      <w:r>
        <w:rPr>
          <w:rFonts w:ascii="宋体" w:hAnsi="宋体" w:eastAsia="宋体" w:cs="宋体"/>
          <w:spacing w:val="2"/>
          <w:sz w:val="24"/>
          <w:szCs w:val="24"/>
        </w:rPr>
        <w:t>于施工过程和场地洒水抑尘，不外排。本项目施工场区面积较大，施工场地抑尘需</w:t>
      </w:r>
      <w:r>
        <w:rPr>
          <w:rFonts w:ascii="宋体" w:hAnsi="宋体" w:eastAsia="宋体" w:cs="宋体"/>
          <w:spacing w:val="6"/>
          <w:sz w:val="24"/>
          <w:szCs w:val="24"/>
        </w:rPr>
        <w:t xml:space="preserve"> </w:t>
      </w:r>
      <w:r>
        <w:rPr>
          <w:rFonts w:ascii="宋体" w:hAnsi="宋体" w:eastAsia="宋体" w:cs="宋体"/>
          <w:spacing w:val="2"/>
          <w:sz w:val="24"/>
          <w:szCs w:val="24"/>
        </w:rPr>
        <w:t>要消耗大量的水，施工废水、机械车辆清洗废水和施工人员清洁废水等水量较小，</w:t>
      </w:r>
      <w:r>
        <w:rPr>
          <w:rFonts w:ascii="宋体" w:hAnsi="宋体" w:eastAsia="宋体" w:cs="宋体"/>
          <w:spacing w:val="6"/>
          <w:sz w:val="24"/>
          <w:szCs w:val="24"/>
        </w:rPr>
        <w:t xml:space="preserve"> </w:t>
      </w:r>
      <w:r>
        <w:rPr>
          <w:rFonts w:ascii="宋体" w:hAnsi="宋体" w:eastAsia="宋体" w:cs="宋体"/>
          <w:spacing w:val="2"/>
          <w:sz w:val="24"/>
          <w:szCs w:val="24"/>
        </w:rPr>
        <w:t>通过沉淀池沉淀、澄清处理后可全部回用。施工期生活污水经临时化粪池处理后，</w:t>
      </w:r>
      <w:r>
        <w:rPr>
          <w:rFonts w:ascii="宋体" w:hAnsi="宋体" w:eastAsia="宋体" w:cs="宋体"/>
          <w:spacing w:val="6"/>
          <w:sz w:val="24"/>
          <w:szCs w:val="24"/>
        </w:rPr>
        <w:t xml:space="preserve"> </w:t>
      </w:r>
      <w:r>
        <w:rPr>
          <w:rFonts w:ascii="宋体" w:hAnsi="宋体" w:eastAsia="宋体" w:cs="宋体"/>
          <w:sz w:val="24"/>
          <w:szCs w:val="24"/>
        </w:rPr>
        <w:t>用于周边林地灌溉，不外排。项目施工期废水对</w:t>
      </w:r>
      <w:r>
        <w:rPr>
          <w:rFonts w:ascii="宋体" w:hAnsi="宋体" w:eastAsia="宋体" w:cs="宋体"/>
          <w:spacing w:val="-1"/>
          <w:sz w:val="24"/>
          <w:szCs w:val="24"/>
        </w:rPr>
        <w:t>周围水环境的影响不大。</w:t>
      </w:r>
    </w:p>
    <w:p w14:paraId="63B33668">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9.3.3</w:t>
      </w:r>
      <w:r>
        <w:rPr>
          <w:rFonts w:ascii="宋体" w:hAnsi="宋体" w:eastAsia="宋体" w:cs="宋体"/>
          <w:b/>
          <w:bCs/>
          <w:spacing w:val="-2"/>
          <w:sz w:val="24"/>
          <w:szCs w:val="24"/>
        </w:rPr>
        <w:t>施工期地下水环境影响评价结论</w:t>
      </w:r>
    </w:p>
    <w:p w14:paraId="71FC89D2">
      <w:pPr>
        <w:pStyle w:val="2"/>
        <w:spacing w:line="281" w:lineRule="auto"/>
      </w:pPr>
    </w:p>
    <w:p w14:paraId="06EEDC0A">
      <w:pPr>
        <w:spacing w:before="78" w:line="377" w:lineRule="auto"/>
        <w:ind w:left="1" w:right="66" w:firstLine="479"/>
        <w:rPr>
          <w:rFonts w:ascii="宋体" w:hAnsi="宋体" w:eastAsia="宋体" w:cs="宋体"/>
          <w:sz w:val="24"/>
          <w:szCs w:val="24"/>
        </w:rPr>
      </w:pPr>
      <w:r>
        <w:rPr>
          <w:rFonts w:ascii="宋体" w:hAnsi="宋体" w:eastAsia="宋体" w:cs="宋体"/>
          <w:spacing w:val="2"/>
          <w:sz w:val="24"/>
          <w:szCs w:val="24"/>
        </w:rPr>
        <w:t>施工期车辆冲洗在地面进行混凝土硬化，产生的废水汇集到沉淀池沉淀，并且</w:t>
      </w:r>
      <w:r>
        <w:rPr>
          <w:rFonts w:ascii="宋体" w:hAnsi="宋体" w:eastAsia="宋体" w:cs="宋体"/>
          <w:spacing w:val="11"/>
          <w:sz w:val="24"/>
          <w:szCs w:val="24"/>
        </w:rPr>
        <w:t xml:space="preserve"> </w:t>
      </w:r>
      <w:r>
        <w:rPr>
          <w:rFonts w:ascii="宋体" w:hAnsi="宋体" w:eastAsia="宋体" w:cs="宋体"/>
          <w:spacing w:val="2"/>
          <w:sz w:val="24"/>
          <w:szCs w:val="24"/>
        </w:rPr>
        <w:t>沉淀后回用，减少污水产生量，同事采用混凝土对沉淀池壁及底面进行硬化，及时</w:t>
      </w:r>
      <w:r>
        <w:rPr>
          <w:rFonts w:ascii="宋体" w:hAnsi="宋体" w:eastAsia="宋体" w:cs="宋体"/>
          <w:spacing w:val="6"/>
          <w:sz w:val="24"/>
          <w:szCs w:val="24"/>
        </w:rPr>
        <w:t xml:space="preserve"> </w:t>
      </w:r>
      <w:r>
        <w:rPr>
          <w:rFonts w:ascii="宋体" w:hAnsi="宋体" w:eastAsia="宋体" w:cs="宋体"/>
          <w:spacing w:val="2"/>
          <w:sz w:val="24"/>
          <w:szCs w:val="24"/>
        </w:rPr>
        <w:t>清运沉淀池内的泥沙。及时对建筑垃圾及生活垃圾进行清运，避免其成为污染源。</w:t>
      </w:r>
      <w:r>
        <w:rPr>
          <w:rFonts w:ascii="宋体" w:hAnsi="宋体" w:eastAsia="宋体" w:cs="宋体"/>
          <w:spacing w:val="6"/>
          <w:sz w:val="24"/>
          <w:szCs w:val="24"/>
        </w:rPr>
        <w:t xml:space="preserve"> </w:t>
      </w:r>
      <w:r>
        <w:rPr>
          <w:rFonts w:ascii="宋体" w:hAnsi="宋体" w:eastAsia="宋体" w:cs="宋体"/>
          <w:spacing w:val="2"/>
          <w:sz w:val="24"/>
          <w:szCs w:val="24"/>
        </w:rPr>
        <w:t>车辆维修点地面进行硬化，滴漏在底面的油污及时进行清理，加强机械设备维护。</w:t>
      </w:r>
      <w:r>
        <w:rPr>
          <w:rFonts w:ascii="宋体" w:hAnsi="宋体" w:eastAsia="宋体" w:cs="宋体"/>
          <w:spacing w:val="6"/>
          <w:sz w:val="24"/>
          <w:szCs w:val="24"/>
        </w:rPr>
        <w:t xml:space="preserve"> </w:t>
      </w:r>
      <w:r>
        <w:rPr>
          <w:rFonts w:ascii="宋体" w:hAnsi="宋体" w:eastAsia="宋体" w:cs="宋体"/>
          <w:spacing w:val="-1"/>
          <w:sz w:val="24"/>
          <w:szCs w:val="24"/>
        </w:rPr>
        <w:t>因此，项目施工期对地下水环境影响不大。</w:t>
      </w:r>
    </w:p>
    <w:p w14:paraId="1FB9C137">
      <w:pPr>
        <w:spacing w:line="377" w:lineRule="auto"/>
        <w:rPr>
          <w:rFonts w:ascii="宋体" w:hAnsi="宋体" w:eastAsia="宋体" w:cs="宋体"/>
          <w:sz w:val="24"/>
          <w:szCs w:val="24"/>
        </w:rPr>
        <w:sectPr>
          <w:footerReference r:id="rId181" w:type="default"/>
          <w:pgSz w:w="11906" w:h="16839"/>
          <w:pgMar w:top="400" w:right="1522" w:bottom="1485" w:left="1596" w:header="0" w:footer="1249" w:gutter="0"/>
          <w:cols w:space="720" w:num="1"/>
        </w:sectPr>
      </w:pPr>
    </w:p>
    <w:p w14:paraId="370EB387">
      <w:pPr>
        <w:pStyle w:val="2"/>
        <w:spacing w:line="250" w:lineRule="auto"/>
      </w:pPr>
    </w:p>
    <w:p w14:paraId="593DF15A">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9.3.4</w:t>
      </w:r>
      <w:r>
        <w:rPr>
          <w:rFonts w:ascii="宋体" w:hAnsi="宋体" w:eastAsia="宋体" w:cs="宋体"/>
          <w:b/>
          <w:bCs/>
          <w:spacing w:val="-2"/>
          <w:sz w:val="24"/>
          <w:szCs w:val="24"/>
        </w:rPr>
        <w:t>施工期声环境影响评价结论</w:t>
      </w:r>
    </w:p>
    <w:p w14:paraId="7F4DC5B3">
      <w:pPr>
        <w:pStyle w:val="2"/>
        <w:spacing w:line="277" w:lineRule="auto"/>
      </w:pPr>
    </w:p>
    <w:p w14:paraId="091E684B">
      <w:pPr>
        <w:spacing w:before="78" w:line="371" w:lineRule="auto"/>
        <w:ind w:right="78" w:firstLine="480"/>
        <w:jc w:val="both"/>
        <w:rPr>
          <w:rFonts w:ascii="宋体" w:hAnsi="宋体" w:eastAsia="宋体" w:cs="宋体"/>
          <w:sz w:val="24"/>
          <w:szCs w:val="24"/>
        </w:rPr>
      </w:pPr>
      <w:r>
        <w:rPr>
          <w:rFonts w:ascii="宋体" w:hAnsi="宋体" w:eastAsia="宋体" w:cs="宋体"/>
          <w:spacing w:val="2"/>
          <w:sz w:val="24"/>
          <w:szCs w:val="24"/>
        </w:rPr>
        <w:t>施工机械的噪声较高，根据估算，白天施工噪声不能满足《建筑施工场界噪声</w:t>
      </w:r>
      <w:r>
        <w:rPr>
          <w:rFonts w:ascii="宋体" w:hAnsi="宋体" w:eastAsia="宋体" w:cs="宋体"/>
          <w:spacing w:val="11"/>
          <w:sz w:val="24"/>
          <w:szCs w:val="24"/>
        </w:rPr>
        <w:t xml:space="preserve"> </w:t>
      </w:r>
      <w:r>
        <w:rPr>
          <w:rFonts w:ascii="宋体" w:hAnsi="宋体" w:eastAsia="宋体" w:cs="宋体"/>
          <w:spacing w:val="-1"/>
          <w:sz w:val="24"/>
          <w:szCs w:val="24"/>
        </w:rPr>
        <w:t>排放标准限值》（</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 xml:space="preserve">）的点出现在距声源 </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的范围内，夜间项目不</w:t>
      </w:r>
      <w:r>
        <w:rPr>
          <w:rFonts w:ascii="宋体" w:hAnsi="宋体" w:eastAsia="宋体" w:cs="宋体"/>
          <w:sz w:val="24"/>
          <w:szCs w:val="24"/>
        </w:rPr>
        <w:t xml:space="preserve"> </w:t>
      </w:r>
      <w:r>
        <w:rPr>
          <w:rFonts w:ascii="宋体" w:hAnsi="宋体" w:eastAsia="宋体" w:cs="宋体"/>
          <w:spacing w:val="3"/>
          <w:sz w:val="24"/>
          <w:szCs w:val="24"/>
        </w:rPr>
        <w:t>进行施工。距离本项目主体工程最近的敏感点为西北侧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处的龙岗村，距离较</w:t>
      </w:r>
      <w:r>
        <w:rPr>
          <w:rFonts w:ascii="宋体" w:hAnsi="宋体" w:eastAsia="宋体" w:cs="宋体"/>
          <w:spacing w:val="16"/>
          <w:sz w:val="24"/>
          <w:szCs w:val="24"/>
        </w:rPr>
        <w:t xml:space="preserve"> </w:t>
      </w:r>
      <w:r>
        <w:rPr>
          <w:rFonts w:ascii="宋体" w:hAnsi="宋体" w:eastAsia="宋体" w:cs="宋体"/>
          <w:spacing w:val="2"/>
          <w:sz w:val="24"/>
          <w:szCs w:val="24"/>
        </w:rPr>
        <w:t>远，且项目于村民住宅之间为林地，能够一定程度的阻隔噪声，因此评价认为拟建</w:t>
      </w:r>
      <w:r>
        <w:rPr>
          <w:rFonts w:ascii="宋体" w:hAnsi="宋体" w:eastAsia="宋体" w:cs="宋体"/>
          <w:spacing w:val="8"/>
          <w:sz w:val="24"/>
          <w:szCs w:val="24"/>
        </w:rPr>
        <w:t xml:space="preserve"> </w:t>
      </w:r>
      <w:r>
        <w:rPr>
          <w:rFonts w:ascii="宋体" w:hAnsi="宋体" w:eastAsia="宋体" w:cs="宋体"/>
          <w:spacing w:val="2"/>
          <w:sz w:val="24"/>
          <w:szCs w:val="24"/>
        </w:rPr>
        <w:t>工程施工期间，施工噪声对周边声环境的影响可接受，不会发生噪声扰民现象，且</w:t>
      </w:r>
      <w:r>
        <w:rPr>
          <w:rFonts w:ascii="宋体" w:hAnsi="宋体" w:eastAsia="宋体" w:cs="宋体"/>
          <w:spacing w:val="8"/>
          <w:sz w:val="24"/>
          <w:szCs w:val="24"/>
        </w:rPr>
        <w:t xml:space="preserve"> </w:t>
      </w:r>
      <w:r>
        <w:rPr>
          <w:rFonts w:ascii="宋体" w:hAnsi="宋体" w:eastAsia="宋体" w:cs="宋体"/>
          <w:spacing w:val="-1"/>
          <w:sz w:val="24"/>
          <w:szCs w:val="24"/>
        </w:rPr>
        <w:t>随着施工期的结束，噪声的影响也随之结束。</w:t>
      </w:r>
    </w:p>
    <w:p w14:paraId="70E9DBBF">
      <w:pPr>
        <w:spacing w:before="43" w:line="377" w:lineRule="auto"/>
        <w:ind w:left="2" w:right="81" w:firstLine="480"/>
        <w:jc w:val="both"/>
        <w:rPr>
          <w:rFonts w:ascii="宋体" w:hAnsi="宋体" w:eastAsia="宋体" w:cs="宋体"/>
          <w:sz w:val="24"/>
          <w:szCs w:val="24"/>
        </w:rPr>
      </w:pPr>
      <w:r>
        <w:rPr>
          <w:rFonts w:ascii="宋体" w:hAnsi="宋体" w:eastAsia="宋体" w:cs="宋体"/>
          <w:spacing w:val="2"/>
          <w:sz w:val="24"/>
          <w:szCs w:val="24"/>
        </w:rPr>
        <w:t>本工程建筑物料从厂区附近的乡道输送进场，运输车辆产生的流动噪声可能对</w:t>
      </w:r>
      <w:r>
        <w:rPr>
          <w:rFonts w:ascii="宋体" w:hAnsi="宋体" w:eastAsia="宋体" w:cs="宋体"/>
          <w:spacing w:val="9"/>
          <w:sz w:val="24"/>
          <w:szCs w:val="24"/>
        </w:rPr>
        <w:t xml:space="preserve"> </w:t>
      </w:r>
      <w:r>
        <w:rPr>
          <w:rFonts w:ascii="宋体" w:hAnsi="宋体" w:eastAsia="宋体" w:cs="宋体"/>
          <w:spacing w:val="2"/>
          <w:sz w:val="24"/>
          <w:szCs w:val="24"/>
        </w:rPr>
        <w:t>周围村庄的居民产生影响。评价要求车辆经过村庄时应减速慢行，禁止鸣笛，禁止</w:t>
      </w:r>
      <w:r>
        <w:rPr>
          <w:rFonts w:ascii="宋体" w:hAnsi="宋体" w:eastAsia="宋体" w:cs="宋体"/>
          <w:spacing w:val="5"/>
          <w:sz w:val="24"/>
          <w:szCs w:val="24"/>
        </w:rPr>
        <w:t xml:space="preserve"> </w:t>
      </w:r>
      <w:r>
        <w:rPr>
          <w:rFonts w:ascii="宋体" w:hAnsi="宋体" w:eastAsia="宋体" w:cs="宋体"/>
          <w:spacing w:val="-1"/>
          <w:sz w:val="24"/>
          <w:szCs w:val="24"/>
        </w:rPr>
        <w:t>夜间运输，尽量减少对居民的噪声影响。</w:t>
      </w:r>
    </w:p>
    <w:p w14:paraId="6356888B">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9.3.5</w:t>
      </w:r>
      <w:r>
        <w:rPr>
          <w:rFonts w:ascii="宋体" w:hAnsi="宋体" w:eastAsia="宋体" w:cs="宋体"/>
          <w:b/>
          <w:bCs/>
          <w:spacing w:val="-2"/>
          <w:sz w:val="24"/>
          <w:szCs w:val="24"/>
        </w:rPr>
        <w:t>施工期固废环境影响评价结论</w:t>
      </w:r>
    </w:p>
    <w:p w14:paraId="39D6F0F4">
      <w:pPr>
        <w:pStyle w:val="2"/>
        <w:spacing w:line="281" w:lineRule="auto"/>
      </w:pPr>
    </w:p>
    <w:p w14:paraId="46FA0260">
      <w:pPr>
        <w:spacing w:before="79" w:line="379" w:lineRule="auto"/>
        <w:ind w:right="90" w:firstLine="504"/>
        <w:jc w:val="both"/>
        <w:rPr>
          <w:rFonts w:ascii="宋体" w:hAnsi="宋体" w:eastAsia="宋体" w:cs="宋体"/>
          <w:sz w:val="24"/>
          <w:szCs w:val="24"/>
        </w:rPr>
      </w:pPr>
      <w:r>
        <w:rPr>
          <w:rFonts w:ascii="宋体" w:hAnsi="宋体" w:eastAsia="宋体" w:cs="宋体"/>
          <w:spacing w:val="9"/>
          <w:sz w:val="24"/>
          <w:szCs w:val="24"/>
        </w:rPr>
        <w:t>施工期建筑垃圾部分回收利用，不能回收利</w:t>
      </w:r>
      <w:r>
        <w:rPr>
          <w:rFonts w:ascii="宋体" w:hAnsi="宋体" w:eastAsia="宋体" w:cs="宋体"/>
          <w:spacing w:val="8"/>
          <w:sz w:val="24"/>
          <w:szCs w:val="24"/>
        </w:rPr>
        <w:t>用部分主要为废弃沙石、废包装</w:t>
      </w:r>
      <w:r>
        <w:rPr>
          <w:rFonts w:ascii="宋体" w:hAnsi="宋体" w:eastAsia="宋体" w:cs="宋体"/>
          <w:sz w:val="24"/>
          <w:szCs w:val="24"/>
        </w:rPr>
        <w:t xml:space="preserve"> </w:t>
      </w:r>
      <w:r>
        <w:rPr>
          <w:rFonts w:ascii="宋体" w:hAnsi="宋体" w:eastAsia="宋体" w:cs="宋体"/>
          <w:spacing w:val="9"/>
          <w:sz w:val="24"/>
          <w:szCs w:val="24"/>
        </w:rPr>
        <w:t>等，均不含有毒有害物质，向相关市政管理部门申报，妥善弃置消纳</w:t>
      </w:r>
      <w:r>
        <w:rPr>
          <w:rFonts w:ascii="宋体" w:hAnsi="宋体" w:eastAsia="宋体" w:cs="宋体"/>
          <w:spacing w:val="8"/>
          <w:sz w:val="24"/>
          <w:szCs w:val="24"/>
        </w:rPr>
        <w:t>，防止污染</w:t>
      </w:r>
      <w:r>
        <w:rPr>
          <w:rFonts w:ascii="宋体" w:hAnsi="宋体" w:eastAsia="宋体" w:cs="宋体"/>
          <w:sz w:val="24"/>
          <w:szCs w:val="24"/>
        </w:rPr>
        <w:t xml:space="preserve"> </w:t>
      </w:r>
      <w:r>
        <w:rPr>
          <w:rFonts w:ascii="宋体" w:hAnsi="宋体" w:eastAsia="宋体" w:cs="宋体"/>
          <w:spacing w:val="9"/>
          <w:sz w:val="24"/>
          <w:szCs w:val="24"/>
        </w:rPr>
        <w:t>环境；施工人员生活垃圾集中后运至乡镇垃圾收集点，委托环卫</w:t>
      </w:r>
      <w:r>
        <w:rPr>
          <w:rFonts w:ascii="宋体" w:hAnsi="宋体" w:eastAsia="宋体" w:cs="宋体"/>
          <w:spacing w:val="8"/>
          <w:sz w:val="24"/>
          <w:szCs w:val="24"/>
        </w:rPr>
        <w:t>部门统一清运处</w:t>
      </w:r>
      <w:r>
        <w:rPr>
          <w:rFonts w:ascii="宋体" w:hAnsi="宋体" w:eastAsia="宋体" w:cs="宋体"/>
          <w:sz w:val="24"/>
          <w:szCs w:val="24"/>
        </w:rPr>
        <w:t xml:space="preserve"> </w:t>
      </w:r>
      <w:r>
        <w:rPr>
          <w:rFonts w:ascii="宋体" w:hAnsi="宋体" w:eastAsia="宋体" w:cs="宋体"/>
          <w:spacing w:val="-4"/>
          <w:sz w:val="24"/>
          <w:szCs w:val="24"/>
        </w:rPr>
        <w:t>置。</w:t>
      </w:r>
    </w:p>
    <w:p w14:paraId="59EB7CC6">
      <w:pPr>
        <w:spacing w:before="28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9.3.6</w:t>
      </w:r>
      <w:r>
        <w:rPr>
          <w:rFonts w:ascii="宋体" w:hAnsi="宋体" w:eastAsia="宋体" w:cs="宋体"/>
          <w:b/>
          <w:bCs/>
          <w:spacing w:val="-2"/>
          <w:sz w:val="24"/>
          <w:szCs w:val="24"/>
        </w:rPr>
        <w:t>施工期生态环境影响评价结论</w:t>
      </w:r>
    </w:p>
    <w:p w14:paraId="296AB8F9">
      <w:pPr>
        <w:pStyle w:val="2"/>
        <w:spacing w:line="279" w:lineRule="auto"/>
      </w:pPr>
    </w:p>
    <w:p w14:paraId="227D51A5">
      <w:pPr>
        <w:spacing w:before="78" w:line="377" w:lineRule="auto"/>
        <w:ind w:right="81" w:firstLine="484"/>
        <w:jc w:val="both"/>
        <w:rPr>
          <w:rFonts w:ascii="宋体" w:hAnsi="宋体" w:eastAsia="宋体" w:cs="宋体"/>
          <w:sz w:val="24"/>
          <w:szCs w:val="24"/>
        </w:rPr>
      </w:pPr>
      <w:r>
        <w:rPr>
          <w:rFonts w:ascii="宋体" w:hAnsi="宋体" w:eastAsia="宋体" w:cs="宋体"/>
          <w:spacing w:val="2"/>
          <w:sz w:val="24"/>
          <w:szCs w:val="24"/>
        </w:rPr>
        <w:t>项目的施工建设，会对周围的生态环境带来一定的破坏影响，使现有的土地利</w:t>
      </w:r>
      <w:r>
        <w:rPr>
          <w:rFonts w:ascii="宋体" w:hAnsi="宋体" w:eastAsia="宋体" w:cs="宋体"/>
          <w:spacing w:val="6"/>
          <w:sz w:val="24"/>
          <w:szCs w:val="24"/>
        </w:rPr>
        <w:t xml:space="preserve"> </w:t>
      </w:r>
      <w:r>
        <w:rPr>
          <w:rFonts w:ascii="宋体" w:hAnsi="宋体" w:eastAsia="宋体" w:cs="宋体"/>
          <w:spacing w:val="2"/>
          <w:sz w:val="24"/>
          <w:szCs w:val="24"/>
        </w:rPr>
        <w:t>用类型发生变化，许多地表植被会消失，同时各种机械车辆碾压和施工人员的践踏</w:t>
      </w:r>
      <w:r>
        <w:rPr>
          <w:rFonts w:ascii="宋体" w:hAnsi="宋体" w:eastAsia="宋体" w:cs="宋体"/>
          <w:spacing w:val="7"/>
          <w:sz w:val="24"/>
          <w:szCs w:val="24"/>
        </w:rPr>
        <w:t xml:space="preserve"> </w:t>
      </w:r>
      <w:r>
        <w:rPr>
          <w:rFonts w:ascii="宋体" w:hAnsi="宋体" w:eastAsia="宋体" w:cs="宋体"/>
          <w:spacing w:val="2"/>
          <w:sz w:val="24"/>
          <w:szCs w:val="24"/>
        </w:rPr>
        <w:t>及土石的堆放，也会对植被造成较为严重的破坏和影响。随着施工期的进行，用地</w:t>
      </w:r>
      <w:r>
        <w:rPr>
          <w:rFonts w:ascii="宋体" w:hAnsi="宋体" w:eastAsia="宋体" w:cs="宋体"/>
          <w:spacing w:val="7"/>
          <w:sz w:val="24"/>
          <w:szCs w:val="24"/>
        </w:rPr>
        <w:t xml:space="preserve"> </w:t>
      </w:r>
      <w:r>
        <w:rPr>
          <w:rFonts w:ascii="宋体" w:hAnsi="宋体" w:eastAsia="宋体" w:cs="宋体"/>
          <w:spacing w:val="2"/>
          <w:sz w:val="24"/>
          <w:szCs w:val="24"/>
        </w:rPr>
        <w:t>范围内的一些植物种类将会消失，绝大部分的植物种类数量将会大大减少。随着施</w:t>
      </w:r>
      <w:r>
        <w:rPr>
          <w:rFonts w:ascii="宋体" w:hAnsi="宋体" w:eastAsia="宋体" w:cs="宋体"/>
          <w:spacing w:val="7"/>
          <w:sz w:val="24"/>
          <w:szCs w:val="24"/>
        </w:rPr>
        <w:t xml:space="preserve"> </w:t>
      </w:r>
      <w:r>
        <w:rPr>
          <w:rFonts w:ascii="宋体" w:hAnsi="宋体" w:eastAsia="宋体" w:cs="宋体"/>
          <w:spacing w:val="2"/>
          <w:sz w:val="24"/>
          <w:szCs w:val="24"/>
        </w:rPr>
        <w:t>工期的建设，经过绿化建设，植被会得到逐步恢复。因此，项目施工期对周围生态</w:t>
      </w:r>
      <w:r>
        <w:rPr>
          <w:rFonts w:ascii="宋体" w:hAnsi="宋体" w:eastAsia="宋体" w:cs="宋体"/>
          <w:spacing w:val="7"/>
          <w:sz w:val="24"/>
          <w:szCs w:val="24"/>
        </w:rPr>
        <w:t xml:space="preserve"> </w:t>
      </w:r>
      <w:r>
        <w:rPr>
          <w:rFonts w:ascii="宋体" w:hAnsi="宋体" w:eastAsia="宋体" w:cs="宋体"/>
          <w:spacing w:val="-2"/>
          <w:sz w:val="24"/>
          <w:szCs w:val="24"/>
        </w:rPr>
        <w:t>环境影响较小。</w:t>
      </w:r>
    </w:p>
    <w:p w14:paraId="195F22C1">
      <w:pPr>
        <w:spacing w:before="299" w:line="224" w:lineRule="auto"/>
        <w:ind w:left="6"/>
        <w:outlineLvl w:val="1"/>
        <w:rPr>
          <w:rFonts w:ascii="宋体" w:hAnsi="宋体" w:eastAsia="宋体" w:cs="宋体"/>
          <w:sz w:val="31"/>
          <w:szCs w:val="31"/>
        </w:rPr>
      </w:pPr>
      <w:bookmarkStart w:id="58" w:name="bookmark52"/>
      <w:bookmarkEnd w:id="58"/>
      <w:r>
        <w:rPr>
          <w:rFonts w:ascii="宋体" w:hAnsi="宋体" w:eastAsia="宋体" w:cs="宋体"/>
          <w:b/>
          <w:bCs/>
          <w:spacing w:val="5"/>
          <w:sz w:val="31"/>
          <w:szCs w:val="31"/>
        </w:rPr>
        <w:t>9.4运营期环境影响评价结论</w:t>
      </w:r>
    </w:p>
    <w:p w14:paraId="68F2728D">
      <w:pPr>
        <w:pStyle w:val="2"/>
        <w:spacing w:line="448" w:lineRule="auto"/>
      </w:pPr>
    </w:p>
    <w:p w14:paraId="03AA9FFD">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9.4.1</w:t>
      </w:r>
      <w:r>
        <w:rPr>
          <w:rFonts w:ascii="宋体" w:hAnsi="宋体" w:eastAsia="宋体" w:cs="宋体"/>
          <w:b/>
          <w:bCs/>
          <w:spacing w:val="-2"/>
          <w:sz w:val="24"/>
          <w:szCs w:val="24"/>
        </w:rPr>
        <w:t>地表水环境影响评价结论</w:t>
      </w:r>
    </w:p>
    <w:p w14:paraId="51FF733F">
      <w:pPr>
        <w:pStyle w:val="2"/>
        <w:spacing w:line="282" w:lineRule="auto"/>
      </w:pPr>
    </w:p>
    <w:p w14:paraId="55C6FDB9">
      <w:pPr>
        <w:spacing w:before="78" w:line="359" w:lineRule="auto"/>
        <w:ind w:left="10" w:firstLine="472"/>
        <w:rPr>
          <w:rFonts w:ascii="宋体" w:hAnsi="宋体" w:eastAsia="宋体" w:cs="宋体"/>
          <w:sz w:val="24"/>
          <w:szCs w:val="24"/>
        </w:rPr>
      </w:pPr>
      <w:r>
        <w:rPr>
          <w:rFonts w:ascii="宋体" w:hAnsi="宋体" w:eastAsia="宋体" w:cs="宋体"/>
          <w:spacing w:val="-2"/>
          <w:sz w:val="24"/>
          <w:szCs w:val="24"/>
        </w:rPr>
        <w:t>本项目养殖废水（猪只尿液、猪舍冲洗水）与猪只粪</w:t>
      </w:r>
      <w:r>
        <w:rPr>
          <w:rFonts w:ascii="宋体" w:hAnsi="宋体" w:eastAsia="宋体" w:cs="宋体"/>
          <w:spacing w:val="-3"/>
          <w:sz w:val="24"/>
          <w:szCs w:val="24"/>
        </w:rPr>
        <w:t>便一起收集，不单独收集，</w:t>
      </w:r>
      <w:r>
        <w:rPr>
          <w:rFonts w:ascii="宋体" w:hAnsi="宋体" w:eastAsia="宋体" w:cs="宋体"/>
          <w:sz w:val="24"/>
          <w:szCs w:val="24"/>
        </w:rPr>
        <w:t xml:space="preserve"> </w:t>
      </w:r>
      <w:r>
        <w:rPr>
          <w:rFonts w:ascii="宋体" w:hAnsi="宋体" w:eastAsia="宋体" w:cs="宋体"/>
          <w:spacing w:val="-2"/>
          <w:sz w:val="24"/>
          <w:szCs w:val="24"/>
        </w:rPr>
        <w:t>收集的粪污传至有机肥发酵处理系统进行好氧发酵</w:t>
      </w:r>
      <w:r>
        <w:rPr>
          <w:rFonts w:ascii="宋体" w:hAnsi="宋体" w:eastAsia="宋体" w:cs="宋体"/>
          <w:spacing w:val="-3"/>
          <w:sz w:val="24"/>
          <w:szCs w:val="24"/>
        </w:rPr>
        <w:t>成为有机肥半成品外售，不外排。</w:t>
      </w:r>
    </w:p>
    <w:p w14:paraId="71484287">
      <w:pPr>
        <w:spacing w:line="359" w:lineRule="auto"/>
        <w:rPr>
          <w:rFonts w:ascii="宋体" w:hAnsi="宋体" w:eastAsia="宋体" w:cs="宋体"/>
          <w:sz w:val="24"/>
          <w:szCs w:val="24"/>
        </w:rPr>
        <w:sectPr>
          <w:footerReference r:id="rId182" w:type="default"/>
          <w:pgSz w:w="11906" w:h="16839"/>
          <w:pgMar w:top="400" w:right="1507" w:bottom="1485" w:left="1596" w:header="0" w:footer="1249" w:gutter="0"/>
          <w:cols w:space="720" w:num="1"/>
        </w:sectPr>
      </w:pPr>
    </w:p>
    <w:p w14:paraId="4825FF9C">
      <w:pPr>
        <w:spacing w:before="293" w:line="376" w:lineRule="auto"/>
        <w:ind w:left="19" w:right="104" w:hanging="16"/>
        <w:rPr>
          <w:rFonts w:ascii="宋体" w:hAnsi="宋体" w:eastAsia="宋体" w:cs="宋体"/>
          <w:sz w:val="24"/>
          <w:szCs w:val="24"/>
        </w:rPr>
      </w:pPr>
      <w:r>
        <w:rPr>
          <w:rFonts w:ascii="宋体" w:hAnsi="宋体" w:eastAsia="宋体" w:cs="宋体"/>
          <w:spacing w:val="1"/>
          <w:sz w:val="24"/>
          <w:szCs w:val="24"/>
        </w:rPr>
        <w:t xml:space="preserve">生活污水也经有机肥发酵处理系统进行好氧发酵成为有机肥半成品外售，不外排。 </w:t>
      </w:r>
      <w:r>
        <w:rPr>
          <w:rFonts w:ascii="宋体" w:hAnsi="宋体" w:eastAsia="宋体" w:cs="宋体"/>
          <w:spacing w:val="-2"/>
          <w:sz w:val="24"/>
          <w:szCs w:val="24"/>
        </w:rPr>
        <w:t>因此本项目不会对区域地表水环境造成影响。</w:t>
      </w:r>
    </w:p>
    <w:p w14:paraId="1FF35DA6">
      <w:pPr>
        <w:spacing w:before="295"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9.4.2</w:t>
      </w:r>
      <w:r>
        <w:rPr>
          <w:rFonts w:ascii="宋体" w:hAnsi="宋体" w:eastAsia="宋体" w:cs="宋体"/>
          <w:b/>
          <w:bCs/>
          <w:spacing w:val="-2"/>
          <w:sz w:val="24"/>
          <w:szCs w:val="24"/>
        </w:rPr>
        <w:t>地下水环境评价结论</w:t>
      </w:r>
    </w:p>
    <w:p w14:paraId="3272B327">
      <w:pPr>
        <w:pStyle w:val="2"/>
        <w:spacing w:line="281" w:lineRule="auto"/>
      </w:pPr>
    </w:p>
    <w:p w14:paraId="5F9967BC">
      <w:pPr>
        <w:spacing w:before="78" w:line="376" w:lineRule="auto"/>
        <w:ind w:left="2" w:right="66" w:firstLine="494"/>
        <w:jc w:val="both"/>
        <w:rPr>
          <w:rFonts w:ascii="宋体" w:hAnsi="宋体" w:eastAsia="宋体" w:cs="宋体"/>
          <w:sz w:val="24"/>
          <w:szCs w:val="24"/>
        </w:rPr>
      </w:pPr>
      <w:r>
        <w:rPr>
          <w:rFonts w:ascii="宋体" w:hAnsi="宋体" w:eastAsia="宋体" w:cs="宋体"/>
          <w:spacing w:val="2"/>
          <w:sz w:val="24"/>
          <w:szCs w:val="24"/>
        </w:rPr>
        <w:t>畜禽养殖粪污中富含氮、磷等物质，运营期对地下水环境的影响主</w:t>
      </w:r>
      <w:r>
        <w:rPr>
          <w:rFonts w:ascii="宋体" w:hAnsi="宋体" w:eastAsia="宋体" w:cs="宋体"/>
          <w:spacing w:val="1"/>
          <w:sz w:val="24"/>
          <w:szCs w:val="24"/>
        </w:rPr>
        <w:t>要是畜禽养</w:t>
      </w:r>
      <w:r>
        <w:rPr>
          <w:rFonts w:ascii="宋体" w:hAnsi="宋体" w:eastAsia="宋体" w:cs="宋体"/>
          <w:sz w:val="24"/>
          <w:szCs w:val="24"/>
        </w:rPr>
        <w:t xml:space="preserve"> </w:t>
      </w:r>
      <w:r>
        <w:rPr>
          <w:rFonts w:ascii="宋体" w:hAnsi="宋体" w:eastAsia="宋体" w:cs="宋体"/>
          <w:spacing w:val="2"/>
          <w:sz w:val="24"/>
          <w:szCs w:val="24"/>
        </w:rPr>
        <w:t>殖场粪污事故性排放渗入地下可能造成地下水中的硝酸盐含量过高。对此，本环评</w:t>
      </w:r>
      <w:r>
        <w:rPr>
          <w:rFonts w:ascii="宋体" w:hAnsi="宋体" w:eastAsia="宋体" w:cs="宋体"/>
          <w:spacing w:val="5"/>
          <w:sz w:val="24"/>
          <w:szCs w:val="24"/>
        </w:rPr>
        <w:t xml:space="preserve"> </w:t>
      </w:r>
      <w:r>
        <w:rPr>
          <w:rFonts w:ascii="宋体" w:hAnsi="宋体" w:eastAsia="宋体" w:cs="宋体"/>
          <w:spacing w:val="-1"/>
          <w:sz w:val="24"/>
          <w:szCs w:val="24"/>
        </w:rPr>
        <w:t>建议采取以下措施来避免此类现象的发生：</w:t>
      </w:r>
    </w:p>
    <w:p w14:paraId="1AF57696">
      <w:pPr>
        <w:spacing w:line="298" w:lineRule="auto"/>
        <w:ind w:left="3" w:right="68" w:firstLine="477"/>
        <w:rPr>
          <w:rFonts w:ascii="宋体" w:hAnsi="宋体" w:eastAsia="宋体" w:cs="宋体"/>
          <w:sz w:val="24"/>
          <w:szCs w:val="24"/>
        </w:rPr>
      </w:pPr>
      <w:r>
        <w:rPr>
          <w:rFonts w:ascii="宋体" w:hAnsi="宋体" w:eastAsia="宋体" w:cs="宋体"/>
          <w:spacing w:val="2"/>
          <w:sz w:val="24"/>
          <w:szCs w:val="24"/>
        </w:rPr>
        <w:t>①有机肥发酵车间按有关要求建设，采用水泥硬底化并防雨，猪舍全部采用水</w:t>
      </w:r>
      <w:r>
        <w:rPr>
          <w:rFonts w:ascii="宋体" w:hAnsi="宋体" w:eastAsia="宋体" w:cs="宋体"/>
          <w:spacing w:val="8"/>
          <w:sz w:val="24"/>
          <w:szCs w:val="24"/>
        </w:rPr>
        <w:t xml:space="preserve"> </w:t>
      </w:r>
      <w:r>
        <w:rPr>
          <w:rFonts w:ascii="宋体" w:hAnsi="宋体" w:eastAsia="宋体" w:cs="宋体"/>
          <w:spacing w:val="-1"/>
          <w:sz w:val="24"/>
          <w:szCs w:val="24"/>
        </w:rPr>
        <w:t>泥硬底化，防止渗滤液泄漏污染地下水。</w:t>
      </w:r>
    </w:p>
    <w:p w14:paraId="1E65AE70">
      <w:pPr>
        <w:spacing w:before="203" w:line="218" w:lineRule="auto"/>
        <w:ind w:left="480"/>
        <w:rPr>
          <w:rFonts w:ascii="宋体" w:hAnsi="宋体" w:eastAsia="宋体" w:cs="宋体"/>
          <w:sz w:val="24"/>
          <w:szCs w:val="24"/>
        </w:rPr>
      </w:pPr>
      <w:r>
        <w:rPr>
          <w:rFonts w:ascii="宋体" w:hAnsi="宋体" w:eastAsia="宋体" w:cs="宋体"/>
          <w:spacing w:val="-1"/>
          <w:sz w:val="24"/>
          <w:szCs w:val="24"/>
        </w:rPr>
        <w:t>②养殖场的排水系统应实行雨水和污水收集输送系统分离。</w:t>
      </w:r>
    </w:p>
    <w:p w14:paraId="773D644A">
      <w:pPr>
        <w:spacing w:before="207" w:line="377" w:lineRule="auto"/>
        <w:ind w:left="1" w:right="66" w:firstLine="498"/>
        <w:jc w:val="both"/>
        <w:rPr>
          <w:rFonts w:ascii="宋体" w:hAnsi="宋体" w:eastAsia="宋体" w:cs="宋体"/>
          <w:sz w:val="24"/>
          <w:szCs w:val="24"/>
        </w:rPr>
      </w:pPr>
      <w:r>
        <w:rPr>
          <w:rFonts w:ascii="宋体" w:hAnsi="宋体" w:eastAsia="宋体" w:cs="宋体"/>
          <w:spacing w:val="2"/>
          <w:sz w:val="24"/>
          <w:szCs w:val="24"/>
        </w:rPr>
        <w:t>因此，在企业严格落实对污水明渠硬底化、环保处理设施</w:t>
      </w:r>
      <w:r>
        <w:rPr>
          <w:rFonts w:ascii="宋体" w:hAnsi="宋体" w:eastAsia="宋体" w:cs="宋体"/>
          <w:spacing w:val="1"/>
          <w:sz w:val="24"/>
          <w:szCs w:val="24"/>
        </w:rPr>
        <w:t>采用防渗漏措施以及</w:t>
      </w:r>
      <w:r>
        <w:rPr>
          <w:rFonts w:ascii="宋体" w:hAnsi="宋体" w:eastAsia="宋体" w:cs="宋体"/>
          <w:sz w:val="24"/>
          <w:szCs w:val="24"/>
        </w:rPr>
        <w:t xml:space="preserve"> </w:t>
      </w:r>
      <w:r>
        <w:rPr>
          <w:rFonts w:ascii="宋体" w:hAnsi="宋体" w:eastAsia="宋体" w:cs="宋体"/>
          <w:spacing w:val="2"/>
          <w:sz w:val="24"/>
          <w:szCs w:val="24"/>
        </w:rPr>
        <w:t>加强管理下，项目养殖粪污不会对地下水环境造成不良影响，可认为，本项目的建</w:t>
      </w:r>
      <w:r>
        <w:rPr>
          <w:rFonts w:ascii="宋体" w:hAnsi="宋体" w:eastAsia="宋体" w:cs="宋体"/>
          <w:spacing w:val="6"/>
          <w:sz w:val="24"/>
          <w:szCs w:val="24"/>
        </w:rPr>
        <w:t xml:space="preserve"> </w:t>
      </w:r>
      <w:r>
        <w:rPr>
          <w:rFonts w:ascii="宋体" w:hAnsi="宋体" w:eastAsia="宋体" w:cs="宋体"/>
          <w:spacing w:val="-1"/>
          <w:sz w:val="24"/>
          <w:szCs w:val="24"/>
        </w:rPr>
        <w:t>设对地下水的影响不大。</w:t>
      </w:r>
    </w:p>
    <w:p w14:paraId="4311B1DF">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9.4.3</w:t>
      </w:r>
      <w:r>
        <w:rPr>
          <w:rFonts w:ascii="宋体" w:hAnsi="宋体" w:eastAsia="宋体" w:cs="宋体"/>
          <w:b/>
          <w:bCs/>
          <w:spacing w:val="-2"/>
          <w:sz w:val="24"/>
          <w:szCs w:val="24"/>
        </w:rPr>
        <w:t>大气环境影响评价结论</w:t>
      </w:r>
    </w:p>
    <w:p w14:paraId="6DBE43BB">
      <w:pPr>
        <w:pStyle w:val="2"/>
        <w:spacing w:line="246" w:lineRule="auto"/>
      </w:pPr>
    </w:p>
    <w:p w14:paraId="35F0DA13">
      <w:pPr>
        <w:spacing w:before="78" w:line="361" w:lineRule="exact"/>
        <w:ind w:left="500"/>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、臭气</w:t>
      </w:r>
    </w:p>
    <w:p w14:paraId="474F164F">
      <w:pPr>
        <w:spacing w:before="166" w:line="361" w:lineRule="auto"/>
        <w:ind w:right="63" w:firstLine="481"/>
        <w:rPr>
          <w:rFonts w:ascii="宋体" w:hAnsi="宋体" w:eastAsia="宋体" w:cs="宋体"/>
          <w:sz w:val="24"/>
          <w:szCs w:val="24"/>
        </w:rPr>
      </w:pPr>
      <w:r>
        <w:rPr>
          <w:rFonts w:ascii="宋体" w:hAnsi="宋体" w:eastAsia="宋体" w:cs="宋体"/>
          <w:spacing w:val="2"/>
          <w:sz w:val="24"/>
          <w:szCs w:val="24"/>
        </w:rPr>
        <w:t>本项目猪只养殖区、有机肥发酵车间的臭气经过预测，各种污染物的最大落地</w:t>
      </w:r>
      <w:r>
        <w:rPr>
          <w:rFonts w:ascii="宋体" w:hAnsi="宋体" w:eastAsia="宋体" w:cs="宋体"/>
          <w:spacing w:val="9"/>
          <w:sz w:val="24"/>
          <w:szCs w:val="24"/>
        </w:rPr>
        <w:t xml:space="preserve"> </w:t>
      </w:r>
      <w:r>
        <w:rPr>
          <w:rFonts w:ascii="宋体" w:hAnsi="宋体" w:eastAsia="宋体" w:cs="宋体"/>
          <w:spacing w:val="-6"/>
          <w:sz w:val="24"/>
          <w:szCs w:val="24"/>
        </w:rPr>
        <w:t>浓度占标率均小于</w:t>
      </w:r>
      <w:r>
        <w:rPr>
          <w:rFonts w:ascii="宋体" w:hAnsi="宋体" w:eastAsia="宋体" w:cs="宋体"/>
          <w:spacing w:val="-14"/>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，且最大落地浓度出现点均在距源中心</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100m</w:t>
      </w:r>
      <w:r>
        <w:rPr>
          <w:rFonts w:ascii="Times New Roman" w:hAnsi="Times New Roman" w:eastAsia="Times New Roman" w:cs="Times New Roman"/>
          <w:spacing w:val="38"/>
          <w:sz w:val="24"/>
          <w:szCs w:val="24"/>
        </w:rPr>
        <w:t xml:space="preserve"> </w:t>
      </w:r>
      <w:r>
        <w:rPr>
          <w:rFonts w:ascii="宋体" w:hAnsi="宋体" w:eastAsia="宋体" w:cs="宋体"/>
          <w:spacing w:val="-6"/>
          <w:sz w:val="24"/>
          <w:szCs w:val="24"/>
        </w:rPr>
        <w:t>以内。项目下风</w:t>
      </w:r>
      <w:r>
        <w:rPr>
          <w:rFonts w:ascii="宋体" w:hAnsi="宋体" w:eastAsia="宋体" w:cs="宋体"/>
          <w:sz w:val="24"/>
          <w:szCs w:val="24"/>
        </w:rPr>
        <w:t xml:space="preserve"> </w:t>
      </w:r>
      <w:r>
        <w:rPr>
          <w:rFonts w:ascii="宋体" w:hAnsi="宋体" w:eastAsia="宋体" w:cs="宋体"/>
          <w:spacing w:val="-3"/>
          <w:sz w:val="24"/>
          <w:szCs w:val="24"/>
        </w:rPr>
        <w:t>向</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100m </w:t>
      </w:r>
      <w:r>
        <w:rPr>
          <w:rFonts w:ascii="宋体" w:hAnsi="宋体" w:eastAsia="宋体" w:cs="宋体"/>
          <w:spacing w:val="-3"/>
          <w:sz w:val="24"/>
          <w:szCs w:val="24"/>
        </w:rPr>
        <w:t>范围内无敏感目标，因此本项目大气污</w:t>
      </w:r>
      <w:r>
        <w:rPr>
          <w:rFonts w:ascii="宋体" w:hAnsi="宋体" w:eastAsia="宋体" w:cs="宋体"/>
          <w:spacing w:val="-4"/>
          <w:sz w:val="24"/>
          <w:szCs w:val="24"/>
        </w:rPr>
        <w:t>染物对周围环境影响较小。猪舍、有</w:t>
      </w:r>
      <w:r>
        <w:rPr>
          <w:rFonts w:ascii="宋体" w:hAnsi="宋体" w:eastAsia="宋体" w:cs="宋体"/>
          <w:sz w:val="24"/>
          <w:szCs w:val="24"/>
        </w:rPr>
        <w:t xml:space="preserve"> 机肥车间设有绿化带且喷洒除臭剂，排放的臭气较少，对</w:t>
      </w:r>
      <w:r>
        <w:rPr>
          <w:rFonts w:ascii="宋体" w:hAnsi="宋体" w:eastAsia="宋体" w:cs="宋体"/>
          <w:spacing w:val="-1"/>
          <w:sz w:val="24"/>
          <w:szCs w:val="24"/>
        </w:rPr>
        <w:t>周围环境的影响较小。</w:t>
      </w:r>
    </w:p>
    <w:p w14:paraId="60A5C7BF">
      <w:pPr>
        <w:spacing w:before="42" w:line="360" w:lineRule="exact"/>
        <w:ind w:left="477"/>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、饲料加工粉尘</w:t>
      </w:r>
    </w:p>
    <w:p w14:paraId="2714A597">
      <w:pPr>
        <w:spacing w:before="165" w:line="361" w:lineRule="auto"/>
        <w:ind w:right="66" w:firstLine="481"/>
        <w:jc w:val="both"/>
        <w:rPr>
          <w:rFonts w:ascii="宋体" w:hAnsi="宋体" w:eastAsia="宋体" w:cs="宋体"/>
          <w:sz w:val="24"/>
          <w:szCs w:val="24"/>
        </w:rPr>
      </w:pPr>
      <w:r>
        <w:rPr>
          <w:rFonts w:ascii="宋体" w:hAnsi="宋体" w:eastAsia="宋体" w:cs="宋体"/>
          <w:spacing w:val="2"/>
          <w:sz w:val="24"/>
          <w:szCs w:val="24"/>
        </w:rPr>
        <w:t>本项目饲料加工设备为密闭设备，产生的粉尘较小，呈物质排放，其排放符合</w:t>
      </w:r>
      <w:r>
        <w:rPr>
          <w:rFonts w:ascii="宋体" w:hAnsi="宋体" w:eastAsia="宋体" w:cs="宋体"/>
          <w:spacing w:val="9"/>
          <w:sz w:val="24"/>
          <w:szCs w:val="24"/>
        </w:rPr>
        <w:t xml:space="preserve"> </w:t>
      </w:r>
      <w:r>
        <w:rPr>
          <w:rFonts w:ascii="宋体" w:hAnsi="宋体" w:eastAsia="宋体" w:cs="宋体"/>
          <w:spacing w:val="2"/>
          <w:sz w:val="24"/>
          <w:szCs w:val="24"/>
        </w:rPr>
        <w:t>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）第二时段二级无组织排放标准，</w:t>
      </w:r>
      <w:r>
        <w:rPr>
          <w:rFonts w:ascii="宋体" w:hAnsi="宋体" w:eastAsia="宋体" w:cs="宋体"/>
          <w:sz w:val="24"/>
          <w:szCs w:val="24"/>
        </w:rPr>
        <w:t xml:space="preserve"> </w:t>
      </w:r>
      <w:r>
        <w:rPr>
          <w:rFonts w:ascii="宋体" w:hAnsi="宋体" w:eastAsia="宋体" w:cs="宋体"/>
          <w:spacing w:val="-2"/>
          <w:sz w:val="24"/>
          <w:szCs w:val="24"/>
        </w:rPr>
        <w:t>达标排放。</w:t>
      </w:r>
    </w:p>
    <w:p w14:paraId="6F2E2016">
      <w:pPr>
        <w:spacing w:before="59" w:line="219" w:lineRule="auto"/>
        <w:ind w:left="482"/>
        <w:rPr>
          <w:rFonts w:ascii="宋体" w:hAnsi="宋体" w:eastAsia="宋体" w:cs="宋体"/>
          <w:sz w:val="24"/>
          <w:szCs w:val="24"/>
        </w:rPr>
      </w:pPr>
      <w:r>
        <w:rPr>
          <w:rFonts w:ascii="宋体" w:hAnsi="宋体" w:eastAsia="宋体" w:cs="宋体"/>
          <w:sz w:val="24"/>
          <w:szCs w:val="24"/>
        </w:rPr>
        <w:t>本项目产生的饲料加工粉尘废气能达标排放</w:t>
      </w:r>
      <w:r>
        <w:rPr>
          <w:rFonts w:ascii="宋体" w:hAnsi="宋体" w:eastAsia="宋体" w:cs="宋体"/>
          <w:spacing w:val="-1"/>
          <w:sz w:val="24"/>
          <w:szCs w:val="24"/>
        </w:rPr>
        <w:t>，对周围环境的影响较小。</w:t>
      </w:r>
    </w:p>
    <w:p w14:paraId="0CDA9BD4">
      <w:pPr>
        <w:spacing w:before="166" w:line="360" w:lineRule="exact"/>
        <w:ind w:left="482"/>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、备用发电机尾气</w:t>
      </w:r>
    </w:p>
    <w:p w14:paraId="535292B8">
      <w:pPr>
        <w:spacing w:before="129" w:line="367" w:lineRule="auto"/>
        <w:ind w:left="2" w:firstLine="480"/>
        <w:rPr>
          <w:rFonts w:ascii="宋体" w:hAnsi="宋体" w:eastAsia="宋体" w:cs="宋体"/>
          <w:sz w:val="24"/>
          <w:szCs w:val="24"/>
        </w:rPr>
      </w:pPr>
      <w:r>
        <w:rPr>
          <w:rFonts w:ascii="宋体" w:hAnsi="宋体" w:eastAsia="宋体" w:cs="宋体"/>
          <w:sz w:val="24"/>
          <w:szCs w:val="24"/>
        </w:rPr>
        <w:t>本项目柴油发电机房使用时间短暂，且使用含硫量低于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的柴油，项目设</w:t>
      </w:r>
      <w:r>
        <w:rPr>
          <w:rFonts w:ascii="宋体" w:hAnsi="宋体" w:eastAsia="宋体" w:cs="宋体"/>
          <w:sz w:val="24"/>
          <w:szCs w:val="24"/>
        </w:rPr>
        <w:t xml:space="preserve"> </w:t>
      </w:r>
      <w:r>
        <w:rPr>
          <w:rFonts w:ascii="宋体" w:hAnsi="宋体" w:eastAsia="宋体" w:cs="宋体"/>
          <w:spacing w:val="-5"/>
          <w:sz w:val="24"/>
          <w:szCs w:val="24"/>
        </w:rPr>
        <w:t>有尾气收集设备，柴油发电机尾气收集后引至高空排放（建</w:t>
      </w:r>
      <w:r>
        <w:rPr>
          <w:rFonts w:ascii="宋体" w:hAnsi="宋体" w:eastAsia="宋体" w:cs="宋体"/>
          <w:spacing w:val="-6"/>
          <w:sz w:val="24"/>
          <w:szCs w:val="24"/>
        </w:rPr>
        <w:t>议排放高度不低于</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15m</w:t>
      </w:r>
      <w:r>
        <w:rPr>
          <w:rFonts w:ascii="宋体" w:hAnsi="宋体" w:eastAsia="宋体" w:cs="宋体"/>
          <w:spacing w:val="-54"/>
          <w:w w:val="85"/>
          <w:sz w:val="24"/>
          <w:szCs w:val="24"/>
        </w:rPr>
        <w:t>），</w:t>
      </w:r>
      <w:r>
        <w:rPr>
          <w:rFonts w:ascii="宋体" w:hAnsi="宋体" w:eastAsia="宋体" w:cs="宋体"/>
          <w:sz w:val="24"/>
          <w:szCs w:val="24"/>
        </w:rPr>
        <w:t xml:space="preserve"> </w:t>
      </w:r>
      <w:r>
        <w:rPr>
          <w:rFonts w:ascii="宋体" w:hAnsi="宋体" w:eastAsia="宋体" w:cs="宋体"/>
          <w:spacing w:val="2"/>
          <w:sz w:val="24"/>
          <w:szCs w:val="24"/>
        </w:rPr>
        <w:t>其污染物浓度能够达到广东省《大气污染物排放限值》（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w:t>
      </w:r>
      <w:r>
        <w:rPr>
          <w:rFonts w:ascii="宋体" w:hAnsi="宋体" w:eastAsia="宋体" w:cs="宋体"/>
          <w:sz w:val="24"/>
          <w:szCs w:val="24"/>
        </w:rPr>
        <w:t xml:space="preserve"> 二级标准限值，因此，本项目备用发电机尾</w:t>
      </w:r>
      <w:r>
        <w:rPr>
          <w:rFonts w:ascii="宋体" w:hAnsi="宋体" w:eastAsia="宋体" w:cs="宋体"/>
          <w:spacing w:val="-1"/>
          <w:sz w:val="24"/>
          <w:szCs w:val="24"/>
        </w:rPr>
        <w:t>气对周围环境的影响较小。</w:t>
      </w:r>
    </w:p>
    <w:p w14:paraId="0C5904E6">
      <w:pPr>
        <w:spacing w:line="367" w:lineRule="auto"/>
        <w:rPr>
          <w:rFonts w:ascii="宋体" w:hAnsi="宋体" w:eastAsia="宋体" w:cs="宋体"/>
          <w:sz w:val="24"/>
          <w:szCs w:val="24"/>
        </w:rPr>
        <w:sectPr>
          <w:footerReference r:id="rId183" w:type="default"/>
          <w:pgSz w:w="11906" w:h="16839"/>
          <w:pgMar w:top="400" w:right="1522" w:bottom="1485" w:left="1596" w:header="0" w:footer="1249" w:gutter="0"/>
          <w:cols w:space="720" w:num="1"/>
        </w:sectPr>
      </w:pPr>
    </w:p>
    <w:p w14:paraId="104D9C3C">
      <w:pPr>
        <w:pStyle w:val="2"/>
        <w:spacing w:line="250" w:lineRule="auto"/>
      </w:pPr>
    </w:p>
    <w:p w14:paraId="2DDE132C">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9.4.4</w:t>
      </w:r>
      <w:r>
        <w:rPr>
          <w:rFonts w:ascii="宋体" w:hAnsi="宋体" w:eastAsia="宋体" w:cs="宋体"/>
          <w:b/>
          <w:bCs/>
          <w:spacing w:val="-2"/>
          <w:sz w:val="24"/>
          <w:szCs w:val="24"/>
        </w:rPr>
        <w:t>声环境影响评价结论</w:t>
      </w:r>
    </w:p>
    <w:p w14:paraId="6708EB68">
      <w:pPr>
        <w:pStyle w:val="2"/>
        <w:spacing w:line="280" w:lineRule="auto"/>
      </w:pPr>
    </w:p>
    <w:p w14:paraId="384AAADA">
      <w:pPr>
        <w:spacing w:before="78" w:line="372" w:lineRule="auto"/>
        <w:ind w:right="2" w:firstLine="481"/>
        <w:jc w:val="both"/>
        <w:rPr>
          <w:rFonts w:ascii="宋体" w:hAnsi="宋体" w:eastAsia="宋体" w:cs="宋体"/>
          <w:sz w:val="24"/>
          <w:szCs w:val="24"/>
        </w:rPr>
      </w:pPr>
      <w:r>
        <w:rPr>
          <w:rFonts w:ascii="宋体" w:hAnsi="宋体" w:eastAsia="宋体" w:cs="宋体"/>
          <w:spacing w:val="2"/>
          <w:sz w:val="24"/>
          <w:szCs w:val="24"/>
        </w:rPr>
        <w:t>本项目在营运过程中的排气扇、水泵、发电机等设备产生的噪声，通过分别采</w:t>
      </w:r>
      <w:r>
        <w:rPr>
          <w:rFonts w:ascii="宋体" w:hAnsi="宋体" w:eastAsia="宋体" w:cs="宋体"/>
          <w:spacing w:val="9"/>
          <w:sz w:val="24"/>
          <w:szCs w:val="24"/>
        </w:rPr>
        <w:t xml:space="preserve"> </w:t>
      </w:r>
      <w:r>
        <w:rPr>
          <w:rFonts w:ascii="宋体" w:hAnsi="宋体" w:eastAsia="宋体" w:cs="宋体"/>
          <w:spacing w:val="2"/>
          <w:sz w:val="24"/>
          <w:szCs w:val="24"/>
        </w:rPr>
        <w:t>用减振、隔声、消声、吸声等措施治理，优化噪声源布局并加强环境绿化，可以削</w:t>
      </w:r>
      <w:r>
        <w:rPr>
          <w:rFonts w:ascii="宋体" w:hAnsi="宋体" w:eastAsia="宋体" w:cs="宋体"/>
          <w:spacing w:val="7"/>
          <w:sz w:val="24"/>
          <w:szCs w:val="24"/>
        </w:rPr>
        <w:t xml:space="preserve"> </w:t>
      </w:r>
      <w:r>
        <w:rPr>
          <w:rFonts w:ascii="宋体" w:hAnsi="宋体" w:eastAsia="宋体" w:cs="宋体"/>
          <w:spacing w:val="2"/>
          <w:sz w:val="24"/>
          <w:szCs w:val="24"/>
        </w:rPr>
        <w:t>弱部分噪声。项目主要噪声源产生的声环境影响将局限在小范围内，项目边界噪声</w:t>
      </w:r>
      <w:r>
        <w:rPr>
          <w:rFonts w:ascii="宋体" w:hAnsi="宋体" w:eastAsia="宋体" w:cs="宋体"/>
          <w:spacing w:val="7"/>
          <w:sz w:val="24"/>
          <w:szCs w:val="24"/>
        </w:rPr>
        <w:t xml:space="preserve"> </w:t>
      </w:r>
      <w:r>
        <w:rPr>
          <w:rFonts w:ascii="宋体" w:hAnsi="宋体" w:eastAsia="宋体" w:cs="宋体"/>
          <w:spacing w:val="2"/>
          <w:sz w:val="24"/>
          <w:szCs w:val="24"/>
        </w:rPr>
        <w:t>可达到《工业企业厂界环境噪声排放标准》（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22337-2008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类标准要求，对周</w:t>
      </w:r>
      <w:r>
        <w:rPr>
          <w:rFonts w:ascii="宋体" w:hAnsi="宋体" w:eastAsia="宋体" w:cs="宋体"/>
          <w:spacing w:val="4"/>
          <w:sz w:val="24"/>
          <w:szCs w:val="24"/>
        </w:rPr>
        <w:t xml:space="preserve"> </w:t>
      </w:r>
      <w:r>
        <w:rPr>
          <w:rFonts w:ascii="宋体" w:hAnsi="宋体" w:eastAsia="宋体" w:cs="宋体"/>
          <w:spacing w:val="-1"/>
          <w:sz w:val="24"/>
          <w:szCs w:val="24"/>
        </w:rPr>
        <w:t>边声环境的影响较小。</w:t>
      </w:r>
    </w:p>
    <w:p w14:paraId="13C356D0">
      <w:pPr>
        <w:pStyle w:val="2"/>
        <w:spacing w:line="243" w:lineRule="auto"/>
      </w:pPr>
    </w:p>
    <w:p w14:paraId="0F9762E3">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9.4.5</w:t>
      </w:r>
      <w:r>
        <w:rPr>
          <w:rFonts w:ascii="宋体" w:hAnsi="宋体" w:eastAsia="宋体" w:cs="宋体"/>
          <w:b/>
          <w:bCs/>
          <w:spacing w:val="-2"/>
          <w:sz w:val="24"/>
          <w:szCs w:val="24"/>
        </w:rPr>
        <w:t>固体废物影响评价结论</w:t>
      </w:r>
    </w:p>
    <w:p w14:paraId="1AE6CCFD">
      <w:pPr>
        <w:pStyle w:val="2"/>
        <w:spacing w:line="246" w:lineRule="auto"/>
      </w:pPr>
    </w:p>
    <w:p w14:paraId="694C7519">
      <w:pPr>
        <w:spacing w:before="78" w:line="383" w:lineRule="auto"/>
        <w:ind w:left="2" w:firstLine="480"/>
        <w:jc w:val="both"/>
        <w:rPr>
          <w:rFonts w:ascii="宋体" w:hAnsi="宋体" w:eastAsia="宋体" w:cs="宋体"/>
          <w:sz w:val="24"/>
          <w:szCs w:val="24"/>
        </w:rPr>
      </w:pPr>
      <w:r>
        <w:rPr>
          <w:rFonts w:ascii="宋体" w:hAnsi="宋体" w:eastAsia="宋体" w:cs="宋体"/>
          <w:spacing w:val="-1"/>
          <w:sz w:val="24"/>
          <w:szCs w:val="24"/>
        </w:rPr>
        <w:t>本项目粪污严格按照《畜禽养殖业污染物排放标准》（</w:t>
      </w:r>
      <w:r>
        <w:rPr>
          <w:rFonts w:ascii="Times New Roman" w:hAnsi="Times New Roman" w:eastAsia="Times New Roman" w:cs="Times New Roman"/>
          <w:spacing w:val="-1"/>
          <w:sz w:val="24"/>
          <w:szCs w:val="24"/>
        </w:rPr>
        <w:t>DB44/613-2009</w:t>
      </w:r>
      <w:r>
        <w:rPr>
          <w:rFonts w:ascii="宋体" w:hAnsi="宋体" w:eastAsia="宋体" w:cs="宋体"/>
          <w:spacing w:val="-1"/>
          <w:sz w:val="24"/>
          <w:szCs w:val="24"/>
        </w:rPr>
        <w:t>）和《粪</w:t>
      </w:r>
      <w:r>
        <w:rPr>
          <w:rFonts w:ascii="宋体" w:hAnsi="宋体" w:eastAsia="宋体" w:cs="宋体"/>
          <w:sz w:val="24"/>
          <w:szCs w:val="24"/>
        </w:rPr>
        <w:t xml:space="preserve"> </w:t>
      </w:r>
      <w:r>
        <w:rPr>
          <w:rFonts w:ascii="宋体" w:hAnsi="宋体" w:eastAsia="宋体" w:cs="宋体"/>
          <w:spacing w:val="2"/>
          <w:sz w:val="24"/>
          <w:szCs w:val="24"/>
        </w:rPr>
        <w:t>便无害化卫生标准》进行处理处置；生活垃圾临时堆放房按照《一般工业固体废物</w:t>
      </w:r>
      <w:r>
        <w:rPr>
          <w:rFonts w:ascii="宋体" w:hAnsi="宋体" w:eastAsia="宋体" w:cs="宋体"/>
          <w:spacing w:val="5"/>
          <w:sz w:val="24"/>
          <w:szCs w:val="24"/>
        </w:rPr>
        <w:t xml:space="preserve"> </w:t>
      </w:r>
      <w:r>
        <w:rPr>
          <w:rFonts w:ascii="宋体" w:hAnsi="宋体" w:eastAsia="宋体" w:cs="宋体"/>
          <w:spacing w:val="1"/>
          <w:sz w:val="24"/>
          <w:szCs w:val="24"/>
        </w:rPr>
        <w:t>贮存、处置场污染控制标准》（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18599-2001</w:t>
      </w:r>
      <w:r>
        <w:rPr>
          <w:rFonts w:ascii="宋体" w:hAnsi="宋体" w:eastAsia="宋体" w:cs="宋体"/>
          <w:spacing w:val="1"/>
          <w:sz w:val="24"/>
          <w:szCs w:val="24"/>
        </w:rPr>
        <w:t>）规</w:t>
      </w:r>
      <w:r>
        <w:rPr>
          <w:rFonts w:ascii="宋体" w:hAnsi="宋体" w:eastAsia="宋体" w:cs="宋体"/>
          <w:sz w:val="24"/>
          <w:szCs w:val="24"/>
        </w:rPr>
        <w:t>范建设和维护使用；疫苗针头等 医疗废物堆放房按照《危险废物贮存污染控制标准》（</w:t>
      </w:r>
      <w:r>
        <w:rPr>
          <w:rFonts w:ascii="Times New Roman" w:hAnsi="Times New Roman" w:eastAsia="Times New Roman" w:cs="Times New Roman"/>
          <w:sz w:val="24"/>
          <w:szCs w:val="24"/>
        </w:rPr>
        <w:t>GB18</w:t>
      </w:r>
      <w:r>
        <w:rPr>
          <w:rFonts w:ascii="Times New Roman" w:hAnsi="Times New Roman" w:eastAsia="Times New Roman" w:cs="Times New Roman"/>
          <w:spacing w:val="-1"/>
          <w:sz w:val="24"/>
          <w:szCs w:val="24"/>
        </w:rPr>
        <w:t>597-2001</w:t>
      </w:r>
      <w:r>
        <w:rPr>
          <w:rFonts w:ascii="宋体" w:hAnsi="宋体" w:eastAsia="宋体" w:cs="宋体"/>
          <w:spacing w:val="-1"/>
          <w:sz w:val="24"/>
          <w:szCs w:val="24"/>
        </w:rPr>
        <w:t>）设置。</w:t>
      </w:r>
    </w:p>
    <w:p w14:paraId="385512F0">
      <w:pPr>
        <w:spacing w:before="8" w:line="373" w:lineRule="auto"/>
        <w:ind w:left="1" w:firstLine="480"/>
        <w:jc w:val="both"/>
        <w:rPr>
          <w:rFonts w:ascii="宋体" w:hAnsi="宋体" w:eastAsia="宋体" w:cs="宋体"/>
          <w:sz w:val="24"/>
          <w:szCs w:val="24"/>
        </w:rPr>
      </w:pPr>
      <w:r>
        <w:rPr>
          <w:rFonts w:ascii="宋体" w:hAnsi="宋体" w:eastAsia="宋体" w:cs="宋体"/>
          <w:spacing w:val="2"/>
          <w:sz w:val="24"/>
          <w:szCs w:val="24"/>
        </w:rPr>
        <w:t>本项目养殖场的猪只粪便与猪只尿液、猪舍冲洗水一起收集，经异位发酵床好</w:t>
      </w:r>
      <w:r>
        <w:rPr>
          <w:rFonts w:ascii="宋体" w:hAnsi="宋体" w:eastAsia="宋体" w:cs="宋体"/>
          <w:spacing w:val="9"/>
          <w:sz w:val="24"/>
          <w:szCs w:val="24"/>
        </w:rPr>
        <w:t xml:space="preserve"> </w:t>
      </w:r>
      <w:r>
        <w:rPr>
          <w:rFonts w:ascii="宋体" w:hAnsi="宋体" w:eastAsia="宋体" w:cs="宋体"/>
          <w:spacing w:val="2"/>
          <w:sz w:val="24"/>
          <w:szCs w:val="24"/>
        </w:rPr>
        <w:t>氧高温发酵制成有机肥半成品，外售给肥料生产企业进行进一步加工成有机肥。病</w:t>
      </w:r>
      <w:r>
        <w:rPr>
          <w:rFonts w:ascii="宋体" w:hAnsi="宋体" w:eastAsia="宋体" w:cs="宋体"/>
          <w:spacing w:val="6"/>
          <w:sz w:val="24"/>
          <w:szCs w:val="24"/>
        </w:rPr>
        <w:t xml:space="preserve"> </w:t>
      </w:r>
      <w:r>
        <w:rPr>
          <w:rFonts w:ascii="宋体" w:hAnsi="宋体" w:eastAsia="宋体" w:cs="宋体"/>
          <w:sz w:val="24"/>
          <w:szCs w:val="24"/>
        </w:rPr>
        <w:t>死猪尸体按病死及病害动物无害化处理技术规范》（农医发〔</w:t>
      </w:r>
      <w:r>
        <w:rPr>
          <w:rFonts w:ascii="Times New Roman" w:hAnsi="Times New Roman" w:eastAsia="Times New Roman" w:cs="Times New Roman"/>
          <w:sz w:val="24"/>
          <w:szCs w:val="24"/>
        </w:rPr>
        <w:t>2017</w:t>
      </w:r>
      <w:r>
        <w:rPr>
          <w:rFonts w:ascii="宋体" w:hAnsi="宋体" w:eastAsia="宋体" w:cs="宋体"/>
          <w:sz w:val="24"/>
          <w:szCs w:val="24"/>
        </w:rPr>
        <w:t>〕</w:t>
      </w:r>
      <w:r>
        <w:rPr>
          <w:rFonts w:ascii="Times New Roman" w:hAnsi="Times New Roman" w:eastAsia="Times New Roman" w:cs="Times New Roman"/>
          <w:sz w:val="24"/>
          <w:szCs w:val="24"/>
        </w:rPr>
        <w:t xml:space="preserve">25 </w:t>
      </w:r>
      <w:r>
        <w:rPr>
          <w:rFonts w:ascii="宋体" w:hAnsi="宋体" w:eastAsia="宋体" w:cs="宋体"/>
          <w:sz w:val="24"/>
          <w:szCs w:val="24"/>
        </w:rPr>
        <w:t>号）和《畜</w:t>
      </w:r>
      <w:r>
        <w:rPr>
          <w:rFonts w:ascii="宋体" w:hAnsi="宋体" w:eastAsia="宋体" w:cs="宋体"/>
          <w:spacing w:val="16"/>
          <w:sz w:val="24"/>
          <w:szCs w:val="24"/>
        </w:rPr>
        <w:t xml:space="preserve"> </w:t>
      </w:r>
      <w:r>
        <w:rPr>
          <w:rFonts w:ascii="宋体" w:hAnsi="宋体" w:eastAsia="宋体" w:cs="宋体"/>
          <w:sz w:val="24"/>
          <w:szCs w:val="24"/>
        </w:rPr>
        <w:t>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 xml:space="preserve">）进行填埋处理。生活垃圾设置固定的 </w:t>
      </w:r>
      <w:r>
        <w:rPr>
          <w:rFonts w:ascii="宋体" w:hAnsi="宋体" w:eastAsia="宋体" w:cs="宋体"/>
          <w:spacing w:val="2"/>
          <w:sz w:val="24"/>
          <w:szCs w:val="24"/>
        </w:rPr>
        <w:t>垃圾堆放点，定期由环卫部门清运处理。疫苗针头等医疗废物设置专用储存容器，</w:t>
      </w:r>
      <w:r>
        <w:rPr>
          <w:rFonts w:ascii="宋体" w:hAnsi="宋体" w:eastAsia="宋体" w:cs="宋体"/>
          <w:spacing w:val="8"/>
          <w:sz w:val="24"/>
          <w:szCs w:val="24"/>
        </w:rPr>
        <w:t xml:space="preserve"> </w:t>
      </w:r>
      <w:r>
        <w:rPr>
          <w:rFonts w:ascii="宋体" w:hAnsi="宋体" w:eastAsia="宋体" w:cs="宋体"/>
          <w:spacing w:val="2"/>
          <w:sz w:val="24"/>
          <w:szCs w:val="24"/>
        </w:rPr>
        <w:t>并存放于医疗废物暂存间，收集到一定数量后交由有资质单位进行安全处置。废包</w:t>
      </w:r>
      <w:r>
        <w:rPr>
          <w:rFonts w:ascii="宋体" w:hAnsi="宋体" w:eastAsia="宋体" w:cs="宋体"/>
          <w:spacing w:val="6"/>
          <w:sz w:val="24"/>
          <w:szCs w:val="24"/>
        </w:rPr>
        <w:t xml:space="preserve"> </w:t>
      </w:r>
      <w:r>
        <w:rPr>
          <w:rFonts w:ascii="宋体" w:hAnsi="宋体" w:eastAsia="宋体" w:cs="宋体"/>
          <w:spacing w:val="2"/>
          <w:sz w:val="24"/>
          <w:szCs w:val="24"/>
        </w:rPr>
        <w:t>装收集后交由供应商处理。经上述处理后，本项目产生固体废物不会对环境造成明</w:t>
      </w:r>
      <w:r>
        <w:rPr>
          <w:rFonts w:ascii="宋体" w:hAnsi="宋体" w:eastAsia="宋体" w:cs="宋体"/>
          <w:spacing w:val="6"/>
          <w:sz w:val="24"/>
          <w:szCs w:val="24"/>
        </w:rPr>
        <w:t xml:space="preserve"> </w:t>
      </w:r>
      <w:r>
        <w:rPr>
          <w:rFonts w:ascii="宋体" w:hAnsi="宋体" w:eastAsia="宋体" w:cs="宋体"/>
          <w:spacing w:val="-2"/>
          <w:sz w:val="24"/>
          <w:szCs w:val="24"/>
        </w:rPr>
        <w:t>显不良影响。</w:t>
      </w:r>
    </w:p>
    <w:p w14:paraId="7D2524C2">
      <w:pPr>
        <w:pStyle w:val="2"/>
        <w:spacing w:line="244" w:lineRule="auto"/>
      </w:pPr>
    </w:p>
    <w:p w14:paraId="247A1E9C">
      <w:pPr>
        <w:spacing w:before="79"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9.4.6</w:t>
      </w:r>
      <w:r>
        <w:rPr>
          <w:rFonts w:ascii="宋体" w:hAnsi="宋体" w:eastAsia="宋体" w:cs="宋体"/>
          <w:b/>
          <w:bCs/>
          <w:spacing w:val="-2"/>
          <w:sz w:val="24"/>
          <w:szCs w:val="24"/>
        </w:rPr>
        <w:t>土壤环境影响评价结论</w:t>
      </w:r>
    </w:p>
    <w:p w14:paraId="42878A9E">
      <w:pPr>
        <w:pStyle w:val="2"/>
        <w:spacing w:line="283" w:lineRule="auto"/>
      </w:pPr>
    </w:p>
    <w:p w14:paraId="5BE11AAE">
      <w:pPr>
        <w:spacing w:before="78" w:line="377" w:lineRule="auto"/>
        <w:ind w:right="2" w:firstLine="481"/>
        <w:jc w:val="both"/>
        <w:rPr>
          <w:rFonts w:ascii="宋体" w:hAnsi="宋体" w:eastAsia="宋体" w:cs="宋体"/>
          <w:sz w:val="24"/>
          <w:szCs w:val="24"/>
        </w:rPr>
      </w:pPr>
      <w:r>
        <w:rPr>
          <w:rFonts w:ascii="宋体" w:hAnsi="宋体" w:eastAsia="宋体" w:cs="宋体"/>
          <w:spacing w:val="2"/>
          <w:sz w:val="24"/>
          <w:szCs w:val="24"/>
        </w:rPr>
        <w:t>本项目运营期产生的固体废物主要为猪粪、病死猪尸体，医疗废物、生活垃圾</w:t>
      </w:r>
      <w:r>
        <w:rPr>
          <w:rFonts w:ascii="宋体" w:hAnsi="宋体" w:eastAsia="宋体" w:cs="宋体"/>
          <w:spacing w:val="9"/>
          <w:sz w:val="24"/>
          <w:szCs w:val="24"/>
        </w:rPr>
        <w:t xml:space="preserve"> </w:t>
      </w:r>
      <w:r>
        <w:rPr>
          <w:rFonts w:ascii="宋体" w:hAnsi="宋体" w:eastAsia="宋体" w:cs="宋体"/>
          <w:spacing w:val="2"/>
          <w:sz w:val="24"/>
          <w:szCs w:val="24"/>
        </w:rPr>
        <w:t>等。猪粪进行发酵处理，病死猪尸体进行安全填埋处理，医疗废物储存在场内医疗</w:t>
      </w:r>
      <w:r>
        <w:rPr>
          <w:rFonts w:ascii="宋体" w:hAnsi="宋体" w:eastAsia="宋体" w:cs="宋体"/>
          <w:spacing w:val="7"/>
          <w:sz w:val="24"/>
          <w:szCs w:val="24"/>
        </w:rPr>
        <w:t xml:space="preserve"> </w:t>
      </w:r>
      <w:r>
        <w:rPr>
          <w:rFonts w:ascii="宋体" w:hAnsi="宋体" w:eastAsia="宋体" w:cs="宋体"/>
          <w:spacing w:val="2"/>
          <w:sz w:val="24"/>
          <w:szCs w:val="24"/>
        </w:rPr>
        <w:t>废物暂存间，定期交由有资质单位处置，生活垃圾由环卫部门清运处理。安全填埋</w:t>
      </w:r>
      <w:r>
        <w:rPr>
          <w:rFonts w:ascii="宋体" w:hAnsi="宋体" w:eastAsia="宋体" w:cs="宋体"/>
          <w:spacing w:val="7"/>
          <w:sz w:val="24"/>
          <w:szCs w:val="24"/>
        </w:rPr>
        <w:t xml:space="preserve"> </w:t>
      </w:r>
      <w:r>
        <w:rPr>
          <w:rFonts w:ascii="宋体" w:hAnsi="宋体" w:eastAsia="宋体" w:cs="宋体"/>
          <w:spacing w:val="2"/>
          <w:sz w:val="24"/>
          <w:szCs w:val="24"/>
        </w:rPr>
        <w:t>井、有机肥发酵车间、医疗废物暂存间进行防渗处理，因此项目物料存放过程不会</w:t>
      </w:r>
      <w:r>
        <w:rPr>
          <w:rFonts w:ascii="宋体" w:hAnsi="宋体" w:eastAsia="宋体" w:cs="宋体"/>
          <w:spacing w:val="7"/>
          <w:sz w:val="24"/>
          <w:szCs w:val="24"/>
        </w:rPr>
        <w:t xml:space="preserve"> </w:t>
      </w:r>
      <w:r>
        <w:rPr>
          <w:rFonts w:ascii="宋体" w:hAnsi="宋体" w:eastAsia="宋体" w:cs="宋体"/>
          <w:spacing w:val="-2"/>
          <w:sz w:val="24"/>
          <w:szCs w:val="24"/>
        </w:rPr>
        <w:t>对土壤造成影响。</w:t>
      </w:r>
    </w:p>
    <w:p w14:paraId="54BE1FB5">
      <w:pPr>
        <w:spacing w:before="291"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9.4.7</w:t>
      </w:r>
      <w:r>
        <w:rPr>
          <w:rFonts w:ascii="宋体" w:hAnsi="宋体" w:eastAsia="宋体" w:cs="宋体"/>
          <w:b/>
          <w:bCs/>
          <w:spacing w:val="-2"/>
          <w:sz w:val="24"/>
          <w:szCs w:val="24"/>
        </w:rPr>
        <w:t>生态环境影响评价结论</w:t>
      </w:r>
    </w:p>
    <w:p w14:paraId="6F792F3A">
      <w:pPr>
        <w:pStyle w:val="2"/>
        <w:spacing w:line="279" w:lineRule="auto"/>
      </w:pPr>
    </w:p>
    <w:p w14:paraId="6232AED8">
      <w:pPr>
        <w:spacing w:before="78" w:line="219" w:lineRule="auto"/>
        <w:ind w:right="2"/>
        <w:jc w:val="right"/>
        <w:rPr>
          <w:rFonts w:ascii="宋体" w:hAnsi="宋体" w:eastAsia="宋体" w:cs="宋体"/>
          <w:sz w:val="24"/>
          <w:szCs w:val="24"/>
        </w:rPr>
      </w:pPr>
      <w:r>
        <w:rPr>
          <w:rFonts w:ascii="宋体" w:hAnsi="宋体" w:eastAsia="宋体" w:cs="宋体"/>
          <w:spacing w:val="2"/>
          <w:sz w:val="24"/>
          <w:szCs w:val="24"/>
        </w:rPr>
        <w:t>本项目在施工期间对生态环境产生一定的影响，通过采取相应的生态保护和恢</w:t>
      </w:r>
    </w:p>
    <w:p w14:paraId="784006CC">
      <w:pPr>
        <w:spacing w:line="219" w:lineRule="auto"/>
        <w:rPr>
          <w:rFonts w:ascii="宋体" w:hAnsi="宋体" w:eastAsia="宋体" w:cs="宋体"/>
          <w:sz w:val="24"/>
          <w:szCs w:val="24"/>
        </w:rPr>
        <w:sectPr>
          <w:footerReference r:id="rId184" w:type="default"/>
          <w:pgSz w:w="11906" w:h="16839"/>
          <w:pgMar w:top="400" w:right="1585" w:bottom="1485" w:left="1596" w:header="0" w:footer="1249" w:gutter="0"/>
          <w:cols w:space="720" w:num="1"/>
        </w:sectPr>
      </w:pPr>
    </w:p>
    <w:p w14:paraId="3DB2A9C5">
      <w:pPr>
        <w:spacing w:before="292" w:line="377" w:lineRule="auto"/>
        <w:ind w:left="2" w:right="81" w:firstLine="5"/>
        <w:rPr>
          <w:rFonts w:ascii="宋体" w:hAnsi="宋体" w:eastAsia="宋体" w:cs="宋体"/>
          <w:sz w:val="24"/>
          <w:szCs w:val="24"/>
        </w:rPr>
      </w:pPr>
      <w:r>
        <w:rPr>
          <w:rFonts w:ascii="宋体" w:hAnsi="宋体" w:eastAsia="宋体" w:cs="宋体"/>
          <w:spacing w:val="2"/>
          <w:sz w:val="24"/>
          <w:szCs w:val="24"/>
        </w:rPr>
        <w:t>复措施，尤其是通过施工管理和强化施工期的保护和恢复，则本项目建设对生态环</w:t>
      </w:r>
      <w:r>
        <w:rPr>
          <w:rFonts w:ascii="宋体" w:hAnsi="宋体" w:eastAsia="宋体" w:cs="宋体"/>
          <w:sz w:val="24"/>
          <w:szCs w:val="24"/>
        </w:rPr>
        <w:t xml:space="preserve"> </w:t>
      </w:r>
      <w:r>
        <w:rPr>
          <w:rFonts w:ascii="宋体" w:hAnsi="宋体" w:eastAsia="宋体" w:cs="宋体"/>
          <w:spacing w:val="-2"/>
          <w:sz w:val="24"/>
          <w:szCs w:val="24"/>
        </w:rPr>
        <w:t>境影响是可接受的。</w:t>
      </w:r>
    </w:p>
    <w:p w14:paraId="24572DB3">
      <w:pPr>
        <w:spacing w:before="293"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9.4.8</w:t>
      </w:r>
      <w:r>
        <w:rPr>
          <w:rFonts w:ascii="宋体" w:hAnsi="宋体" w:eastAsia="宋体" w:cs="宋体"/>
          <w:b/>
          <w:bCs/>
          <w:spacing w:val="-2"/>
          <w:sz w:val="24"/>
          <w:szCs w:val="24"/>
        </w:rPr>
        <w:t>环境风险评价结论</w:t>
      </w:r>
    </w:p>
    <w:p w14:paraId="742E811D">
      <w:pPr>
        <w:pStyle w:val="2"/>
        <w:spacing w:line="282" w:lineRule="auto"/>
      </w:pPr>
    </w:p>
    <w:p w14:paraId="70190AEE">
      <w:pPr>
        <w:spacing w:before="78" w:line="219" w:lineRule="auto"/>
        <w:ind w:left="482"/>
        <w:rPr>
          <w:rFonts w:ascii="宋体" w:hAnsi="宋体" w:eastAsia="宋体" w:cs="宋体"/>
          <w:sz w:val="24"/>
          <w:szCs w:val="24"/>
        </w:rPr>
      </w:pPr>
      <w:r>
        <w:rPr>
          <w:rFonts w:ascii="宋体" w:hAnsi="宋体" w:eastAsia="宋体" w:cs="宋体"/>
          <w:spacing w:val="-1"/>
          <w:sz w:val="24"/>
          <w:szCs w:val="24"/>
        </w:rPr>
        <w:t>本项目的环境风险主要是粪污处理风险分析以及卫生防疫事故。</w:t>
      </w:r>
    </w:p>
    <w:p w14:paraId="46AFDE9E">
      <w:pPr>
        <w:spacing w:before="204" w:line="376" w:lineRule="auto"/>
        <w:ind w:right="81" w:firstLine="496"/>
        <w:rPr>
          <w:rFonts w:ascii="宋体" w:hAnsi="宋体" w:eastAsia="宋体" w:cs="宋体"/>
          <w:sz w:val="24"/>
          <w:szCs w:val="24"/>
        </w:rPr>
      </w:pPr>
      <w:r>
        <w:rPr>
          <w:rFonts w:ascii="宋体" w:hAnsi="宋体" w:eastAsia="宋体" w:cs="宋体"/>
          <w:spacing w:val="2"/>
          <w:sz w:val="24"/>
          <w:szCs w:val="24"/>
        </w:rPr>
        <w:t>当粪污处理系统不能正常运行，当粪污输送系统发生泄漏时，有可</w:t>
      </w:r>
      <w:r>
        <w:rPr>
          <w:rFonts w:ascii="宋体" w:hAnsi="宋体" w:eastAsia="宋体" w:cs="宋体"/>
          <w:spacing w:val="1"/>
          <w:sz w:val="24"/>
          <w:szCs w:val="24"/>
        </w:rPr>
        <w:t>能发生水污</w:t>
      </w:r>
      <w:r>
        <w:rPr>
          <w:rFonts w:ascii="宋体" w:hAnsi="宋体" w:eastAsia="宋体" w:cs="宋体"/>
          <w:sz w:val="24"/>
          <w:szCs w:val="24"/>
        </w:rPr>
        <w:t xml:space="preserve"> </w:t>
      </w:r>
      <w:r>
        <w:rPr>
          <w:rFonts w:ascii="宋体" w:hAnsi="宋体" w:eastAsia="宋体" w:cs="宋体"/>
          <w:spacing w:val="2"/>
          <w:sz w:val="24"/>
          <w:szCs w:val="24"/>
        </w:rPr>
        <w:t>染环境的事故，因此应制定水污染事故的应急方案，在发生污染时及时采取堵漏、</w:t>
      </w:r>
      <w:r>
        <w:rPr>
          <w:rFonts w:ascii="宋体" w:hAnsi="宋体" w:eastAsia="宋体" w:cs="宋体"/>
          <w:spacing w:val="7"/>
          <w:sz w:val="24"/>
          <w:szCs w:val="24"/>
        </w:rPr>
        <w:t xml:space="preserve"> </w:t>
      </w:r>
      <w:r>
        <w:rPr>
          <w:rFonts w:ascii="宋体" w:hAnsi="宋体" w:eastAsia="宋体" w:cs="宋体"/>
          <w:spacing w:val="-1"/>
          <w:sz w:val="24"/>
          <w:szCs w:val="24"/>
        </w:rPr>
        <w:t>截污的措施，设置事故应急池等措施。</w:t>
      </w:r>
    </w:p>
    <w:p w14:paraId="26832594">
      <w:pPr>
        <w:spacing w:line="377" w:lineRule="auto"/>
        <w:ind w:left="4" w:right="81" w:firstLine="485"/>
        <w:jc w:val="both"/>
        <w:rPr>
          <w:rFonts w:ascii="宋体" w:hAnsi="宋体" w:eastAsia="宋体" w:cs="宋体"/>
          <w:sz w:val="24"/>
          <w:szCs w:val="24"/>
        </w:rPr>
      </w:pPr>
      <w:r>
        <w:rPr>
          <w:rFonts w:ascii="宋体" w:hAnsi="宋体" w:eastAsia="宋体" w:cs="宋体"/>
          <w:spacing w:val="2"/>
          <w:sz w:val="24"/>
          <w:szCs w:val="24"/>
        </w:rPr>
        <w:t>患人畜共患的传染病的猪和工作人员接触后引发工作人员发病，病猪的猪粪和</w:t>
      </w:r>
      <w:r>
        <w:rPr>
          <w:rFonts w:ascii="宋体" w:hAnsi="宋体" w:eastAsia="宋体" w:cs="宋体"/>
          <w:spacing w:val="1"/>
          <w:sz w:val="24"/>
          <w:szCs w:val="24"/>
        </w:rPr>
        <w:t xml:space="preserve"> </w:t>
      </w:r>
      <w:r>
        <w:rPr>
          <w:rFonts w:ascii="宋体" w:hAnsi="宋体" w:eastAsia="宋体" w:cs="宋体"/>
          <w:spacing w:val="2"/>
          <w:sz w:val="24"/>
          <w:szCs w:val="24"/>
        </w:rPr>
        <w:t>工作人员接触后引发工作人员发病。提高员工专业素质，增强防病观念；做好卫生</w:t>
      </w:r>
      <w:r>
        <w:rPr>
          <w:rFonts w:ascii="宋体" w:hAnsi="宋体" w:eastAsia="宋体" w:cs="宋体"/>
          <w:spacing w:val="3"/>
          <w:sz w:val="24"/>
          <w:szCs w:val="24"/>
        </w:rPr>
        <w:t xml:space="preserve"> </w:t>
      </w:r>
      <w:r>
        <w:rPr>
          <w:rFonts w:ascii="宋体" w:hAnsi="宋体" w:eastAsia="宋体" w:cs="宋体"/>
          <w:spacing w:val="2"/>
          <w:sz w:val="24"/>
          <w:szCs w:val="24"/>
        </w:rPr>
        <w:t>管理和环境消毒；药物防疫；猪的免疫接种；建立疫病报告制度；妥善处理病死猪</w:t>
      </w:r>
      <w:r>
        <w:rPr>
          <w:rFonts w:ascii="宋体" w:hAnsi="宋体" w:eastAsia="宋体" w:cs="宋体"/>
          <w:spacing w:val="3"/>
          <w:sz w:val="24"/>
          <w:szCs w:val="24"/>
        </w:rPr>
        <w:t xml:space="preserve"> </w:t>
      </w:r>
      <w:r>
        <w:rPr>
          <w:rFonts w:ascii="宋体" w:hAnsi="宋体" w:eastAsia="宋体" w:cs="宋体"/>
          <w:spacing w:val="-1"/>
          <w:sz w:val="24"/>
          <w:szCs w:val="24"/>
        </w:rPr>
        <w:t>尸体处置。落实以上措施，项目环境风险在属于可接受水平。</w:t>
      </w:r>
    </w:p>
    <w:p w14:paraId="6E7AD660">
      <w:pPr>
        <w:spacing w:before="299" w:line="225" w:lineRule="auto"/>
        <w:ind w:left="2"/>
        <w:outlineLvl w:val="1"/>
        <w:rPr>
          <w:rFonts w:ascii="宋体" w:hAnsi="宋体" w:eastAsia="宋体" w:cs="宋体"/>
          <w:sz w:val="31"/>
          <w:szCs w:val="31"/>
        </w:rPr>
      </w:pPr>
      <w:bookmarkStart w:id="59" w:name="bookmark53"/>
      <w:bookmarkEnd w:id="59"/>
      <w:r>
        <w:rPr>
          <w:rFonts w:ascii="Times New Roman" w:hAnsi="Times New Roman" w:eastAsia="Times New Roman" w:cs="Times New Roman"/>
          <w:b/>
          <w:bCs/>
          <w:spacing w:val="5"/>
          <w:sz w:val="31"/>
          <w:szCs w:val="31"/>
        </w:rPr>
        <w:t>9.5</w:t>
      </w:r>
      <w:r>
        <w:rPr>
          <w:rFonts w:ascii="宋体" w:hAnsi="宋体" w:eastAsia="宋体" w:cs="宋体"/>
          <w:b/>
          <w:bCs/>
          <w:spacing w:val="5"/>
          <w:sz w:val="31"/>
          <w:szCs w:val="31"/>
        </w:rPr>
        <w:t>公众意见采纳情况</w:t>
      </w:r>
    </w:p>
    <w:p w14:paraId="363965A9">
      <w:pPr>
        <w:pStyle w:val="2"/>
        <w:spacing w:line="374" w:lineRule="auto"/>
      </w:pPr>
    </w:p>
    <w:p w14:paraId="5B339142">
      <w:pPr>
        <w:spacing w:before="78" w:line="376" w:lineRule="auto"/>
        <w:ind w:left="4" w:right="15" w:firstLine="480"/>
        <w:jc w:val="both"/>
        <w:rPr>
          <w:rFonts w:ascii="宋体" w:hAnsi="宋体" w:eastAsia="宋体" w:cs="宋体"/>
          <w:sz w:val="24"/>
          <w:szCs w:val="24"/>
        </w:rPr>
      </w:pPr>
      <w:r>
        <w:rPr>
          <w:rFonts w:ascii="宋体" w:hAnsi="宋体" w:eastAsia="宋体" w:cs="宋体"/>
          <w:spacing w:val="-3"/>
          <w:sz w:val="24"/>
          <w:szCs w:val="24"/>
        </w:rPr>
        <w:t>建设单位严格按照《环境影响评价公众参与办</w:t>
      </w:r>
      <w:r>
        <w:rPr>
          <w:rFonts w:ascii="宋体" w:hAnsi="宋体" w:eastAsia="宋体" w:cs="宋体"/>
          <w:spacing w:val="-4"/>
          <w:sz w:val="24"/>
          <w:szCs w:val="24"/>
        </w:rPr>
        <w:t>法》（环境部令第</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号）的要求，</w:t>
      </w:r>
      <w:r>
        <w:rPr>
          <w:rFonts w:ascii="宋体" w:hAnsi="宋体" w:eastAsia="宋体" w:cs="宋体"/>
          <w:sz w:val="24"/>
          <w:szCs w:val="24"/>
        </w:rPr>
        <w:t xml:space="preserve"> </w:t>
      </w:r>
      <w:r>
        <w:rPr>
          <w:rFonts w:ascii="宋体" w:hAnsi="宋体" w:eastAsia="宋体" w:cs="宋体"/>
          <w:spacing w:val="2"/>
          <w:sz w:val="24"/>
          <w:szCs w:val="24"/>
        </w:rPr>
        <w:t>组织和实施公众参与。实施方式包括网上公示、报纸公示和现场公示，得到当地居</w:t>
      </w:r>
      <w:r>
        <w:rPr>
          <w:rFonts w:ascii="宋体" w:hAnsi="宋体" w:eastAsia="宋体" w:cs="宋体"/>
          <w:spacing w:val="3"/>
          <w:sz w:val="24"/>
          <w:szCs w:val="24"/>
        </w:rPr>
        <w:t xml:space="preserve"> </w:t>
      </w:r>
      <w:r>
        <w:rPr>
          <w:rFonts w:ascii="宋体" w:hAnsi="宋体" w:eastAsia="宋体" w:cs="宋体"/>
          <w:spacing w:val="-1"/>
          <w:sz w:val="24"/>
          <w:szCs w:val="24"/>
        </w:rPr>
        <w:t>民和单位的积极参与和配合，使本次公众参与工作顺利完成。</w:t>
      </w:r>
    </w:p>
    <w:p w14:paraId="4784D80B">
      <w:pPr>
        <w:spacing w:line="367" w:lineRule="auto"/>
        <w:ind w:left="9" w:right="81" w:firstLine="468"/>
        <w:rPr>
          <w:rFonts w:ascii="宋体" w:hAnsi="宋体" w:eastAsia="宋体" w:cs="宋体"/>
          <w:sz w:val="24"/>
          <w:szCs w:val="24"/>
        </w:rPr>
      </w:pP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 xml:space="preserve">11 </w:t>
      </w:r>
      <w:r>
        <w:rPr>
          <w:rFonts w:ascii="宋体" w:hAnsi="宋体" w:eastAsia="宋体" w:cs="宋体"/>
          <w:spacing w:val="-5"/>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日，建设单位将本项目的情况在环评互联网论坛上进行了第一次</w:t>
      </w:r>
      <w:r>
        <w:rPr>
          <w:rFonts w:ascii="宋体" w:hAnsi="宋体" w:eastAsia="宋体" w:cs="宋体"/>
          <w:sz w:val="24"/>
          <w:szCs w:val="24"/>
        </w:rPr>
        <w:t xml:space="preserve"> </w:t>
      </w:r>
      <w:r>
        <w:rPr>
          <w:rFonts w:ascii="宋体" w:hAnsi="宋体" w:eastAsia="宋体" w:cs="宋体"/>
          <w:spacing w:val="-6"/>
          <w:sz w:val="24"/>
          <w:szCs w:val="24"/>
        </w:rPr>
        <w:t>公示。</w:t>
      </w:r>
    </w:p>
    <w:p w14:paraId="2EED98FE">
      <w:pPr>
        <w:spacing w:before="25" w:line="365" w:lineRule="auto"/>
        <w:ind w:left="2" w:right="8" w:firstLine="474"/>
        <w:jc w:val="both"/>
        <w:rPr>
          <w:rFonts w:ascii="宋体" w:hAnsi="宋体" w:eastAsia="宋体" w:cs="宋体"/>
          <w:sz w:val="24"/>
          <w:szCs w:val="24"/>
        </w:rPr>
      </w:pPr>
      <w:r>
        <w:rPr>
          <w:rFonts w:ascii="Times New Roman" w:hAnsi="Times New Roman" w:eastAsia="Times New Roman" w:cs="Times New Roman"/>
          <w:spacing w:val="-7"/>
          <w:sz w:val="24"/>
          <w:szCs w:val="24"/>
        </w:rPr>
        <w:t xml:space="preserve">2020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日</w:t>
      </w:r>
      <w:r>
        <w:rPr>
          <w:rFonts w:ascii="Times New Roman" w:hAnsi="Times New Roman" w:eastAsia="Times New Roman" w:cs="Times New Roman"/>
          <w:spacing w:val="-7"/>
          <w:sz w:val="24"/>
          <w:szCs w:val="24"/>
        </w:rPr>
        <w:t xml:space="preserve">~2020 </w:t>
      </w:r>
      <w:r>
        <w:rPr>
          <w:rFonts w:ascii="宋体" w:hAnsi="宋体" w:eastAsia="宋体" w:cs="宋体"/>
          <w:spacing w:val="-7"/>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17  </w:t>
      </w:r>
      <w:r>
        <w:rPr>
          <w:rFonts w:ascii="宋体" w:hAnsi="宋体" w:eastAsia="宋体" w:cs="宋体"/>
          <w:spacing w:val="-7"/>
          <w:sz w:val="24"/>
          <w:szCs w:val="24"/>
        </w:rPr>
        <w:t>日，环评报</w:t>
      </w:r>
      <w:r>
        <w:rPr>
          <w:rFonts w:ascii="宋体" w:hAnsi="宋体" w:eastAsia="宋体" w:cs="宋体"/>
          <w:spacing w:val="-8"/>
          <w:sz w:val="24"/>
          <w:szCs w:val="24"/>
        </w:rPr>
        <w:t>告书征求意见稿完成后，于</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2020</w:t>
      </w:r>
      <w:r>
        <w:rPr>
          <w:rFonts w:ascii="Times New Roman" w:hAnsi="Times New Roman" w:eastAsia="Times New Roman" w:cs="Times New Roman"/>
          <w:sz w:val="24"/>
          <w:szCs w:val="24"/>
        </w:rPr>
        <w:t xml:space="preserve">  </w:t>
      </w:r>
      <w:r>
        <w:rPr>
          <w:rFonts w:ascii="宋体" w:hAnsi="宋体" w:eastAsia="宋体" w:cs="宋体"/>
          <w:spacing w:val="-8"/>
          <w:sz w:val="24"/>
          <w:szCs w:val="24"/>
        </w:rPr>
        <w:t>年</w:t>
      </w:r>
      <w:r>
        <w:rPr>
          <w:rFonts w:ascii="宋体" w:hAnsi="宋体" w:eastAsia="宋体" w:cs="宋体"/>
          <w:spacing w:val="-34"/>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月</w:t>
      </w:r>
      <w:r>
        <w:rPr>
          <w:rFonts w:ascii="宋体" w:hAnsi="宋体" w:eastAsia="宋体" w:cs="宋体"/>
          <w:spacing w:val="-42"/>
          <w:sz w:val="24"/>
          <w:szCs w:val="24"/>
        </w:rPr>
        <w:t xml:space="preserve"> </w:t>
      </w:r>
      <w:r>
        <w:rPr>
          <w:rFonts w:ascii="Times New Roman" w:hAnsi="Times New Roman" w:eastAsia="Times New Roman" w:cs="Times New Roman"/>
          <w:spacing w:val="-8"/>
          <w:sz w:val="24"/>
          <w:szCs w:val="24"/>
        </w:rPr>
        <w:t>17</w:t>
      </w:r>
      <w:r>
        <w:rPr>
          <w:rFonts w:ascii="Times New Roman" w:hAnsi="Times New Roman" w:eastAsia="Times New Roman" w:cs="Times New Roman"/>
          <w:spacing w:val="39"/>
          <w:sz w:val="24"/>
          <w:szCs w:val="24"/>
        </w:rPr>
        <w:t xml:space="preserve"> </w:t>
      </w:r>
      <w:r>
        <w:rPr>
          <w:rFonts w:ascii="宋体" w:hAnsi="宋体" w:eastAsia="宋体" w:cs="宋体"/>
          <w:spacing w:val="-8"/>
          <w:sz w:val="24"/>
          <w:szCs w:val="24"/>
        </w:rPr>
        <w:t>日</w:t>
      </w:r>
      <w:r>
        <w:rPr>
          <w:rFonts w:ascii="Times New Roman" w:hAnsi="Times New Roman" w:eastAsia="Times New Roman" w:cs="Times New Roman"/>
          <w:spacing w:val="-8"/>
          <w:sz w:val="24"/>
          <w:szCs w:val="24"/>
        </w:rPr>
        <w:t xml:space="preserve">~2020 </w:t>
      </w:r>
      <w:r>
        <w:rPr>
          <w:rFonts w:ascii="宋体" w:hAnsi="宋体" w:eastAsia="宋体" w:cs="宋体"/>
          <w:spacing w:val="-8"/>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月</w:t>
      </w:r>
      <w:r>
        <w:rPr>
          <w:rFonts w:ascii="Times New Roman" w:hAnsi="Times New Roman" w:eastAsia="Times New Roman" w:cs="Times New Roman"/>
          <w:spacing w:val="-8"/>
          <w:sz w:val="24"/>
          <w:szCs w:val="24"/>
        </w:rPr>
        <w:t>31</w:t>
      </w:r>
      <w:r>
        <w:rPr>
          <w:rFonts w:ascii="Times New Roman" w:hAnsi="Times New Roman" w:eastAsia="Times New Roman" w:cs="Times New Roman"/>
          <w:spacing w:val="39"/>
          <w:w w:val="101"/>
          <w:sz w:val="24"/>
          <w:szCs w:val="24"/>
        </w:rPr>
        <w:t xml:space="preserve"> </w:t>
      </w:r>
      <w:r>
        <w:rPr>
          <w:rFonts w:ascii="宋体" w:hAnsi="宋体" w:eastAsia="宋体" w:cs="宋体"/>
          <w:spacing w:val="-8"/>
          <w:sz w:val="24"/>
          <w:szCs w:val="24"/>
        </w:rPr>
        <w:t>日，建设单位在环评物联网论坛上进行了第二次公示，</w:t>
      </w:r>
      <w:r>
        <w:rPr>
          <w:rFonts w:ascii="宋体" w:hAnsi="宋体" w:eastAsia="宋体" w:cs="宋体"/>
          <w:sz w:val="24"/>
          <w:szCs w:val="24"/>
        </w:rPr>
        <w:t xml:space="preserve"> </w:t>
      </w:r>
      <w:r>
        <w:rPr>
          <w:rFonts w:ascii="宋体" w:hAnsi="宋体" w:eastAsia="宋体" w:cs="宋体"/>
          <w:spacing w:val="-3"/>
          <w:sz w:val="24"/>
          <w:szCs w:val="24"/>
        </w:rPr>
        <w:t>并在项目附近的敏感点张贴了第二次公示，公示期内未收到反对意见，公示结束后，</w:t>
      </w:r>
    </w:p>
    <w:p w14:paraId="0AE33612">
      <w:pPr>
        <w:spacing w:before="77" w:line="379" w:lineRule="auto"/>
        <w:ind w:left="5" w:right="83" w:firstLine="483"/>
        <w:jc w:val="both"/>
        <w:rPr>
          <w:rFonts w:ascii="宋体" w:hAnsi="宋体" w:eastAsia="宋体" w:cs="宋体"/>
          <w:sz w:val="24"/>
          <w:szCs w:val="24"/>
        </w:rPr>
      </w:pPr>
      <w:r>
        <w:rPr>
          <w:rFonts w:ascii="宋体" w:hAnsi="宋体" w:eastAsia="宋体" w:cs="宋体"/>
          <w:spacing w:val="2"/>
          <w:sz w:val="24"/>
          <w:szCs w:val="24"/>
        </w:rPr>
        <w:t>公示期内未收到群众反馈的意见。本项目不属于“对环境影响方面公众质疑意</w:t>
      </w:r>
      <w:r>
        <w:rPr>
          <w:rFonts w:ascii="宋体" w:hAnsi="宋体" w:eastAsia="宋体" w:cs="宋体"/>
          <w:sz w:val="24"/>
          <w:szCs w:val="24"/>
        </w:rPr>
        <w:t xml:space="preserve"> </w:t>
      </w:r>
      <w:r>
        <w:rPr>
          <w:rFonts w:ascii="宋体" w:hAnsi="宋体" w:eastAsia="宋体" w:cs="宋体"/>
          <w:spacing w:val="-3"/>
          <w:sz w:val="24"/>
          <w:szCs w:val="24"/>
        </w:rPr>
        <w:t>见多的建设项目</w:t>
      </w:r>
      <w:r>
        <w:rPr>
          <w:rFonts w:ascii="宋体" w:hAnsi="宋体" w:eastAsia="宋体" w:cs="宋体"/>
          <w:spacing w:val="-72"/>
          <w:sz w:val="24"/>
          <w:szCs w:val="24"/>
        </w:rPr>
        <w:t xml:space="preserve"> </w:t>
      </w:r>
      <w:r>
        <w:rPr>
          <w:rFonts w:ascii="宋体" w:hAnsi="宋体" w:eastAsia="宋体" w:cs="宋体"/>
          <w:spacing w:val="-3"/>
          <w:sz w:val="24"/>
          <w:szCs w:val="24"/>
        </w:rPr>
        <w:t>”，因此未进行深度公众参与。</w:t>
      </w:r>
    </w:p>
    <w:p w14:paraId="48041146">
      <w:pPr>
        <w:spacing w:before="299" w:line="226" w:lineRule="auto"/>
        <w:ind w:left="2"/>
        <w:outlineLvl w:val="1"/>
        <w:rPr>
          <w:rFonts w:ascii="宋体" w:hAnsi="宋体" w:eastAsia="宋体" w:cs="宋体"/>
          <w:sz w:val="31"/>
          <w:szCs w:val="31"/>
        </w:rPr>
      </w:pPr>
      <w:bookmarkStart w:id="60" w:name="bookmark54"/>
      <w:bookmarkEnd w:id="60"/>
      <w:r>
        <w:rPr>
          <w:rFonts w:ascii="Times New Roman" w:hAnsi="Times New Roman" w:eastAsia="Times New Roman" w:cs="Times New Roman"/>
          <w:b/>
          <w:bCs/>
          <w:spacing w:val="6"/>
          <w:sz w:val="31"/>
          <w:szCs w:val="31"/>
        </w:rPr>
        <w:t>9.6</w:t>
      </w:r>
      <w:r>
        <w:rPr>
          <w:rFonts w:ascii="宋体" w:hAnsi="宋体" w:eastAsia="宋体" w:cs="宋体"/>
          <w:b/>
          <w:bCs/>
          <w:spacing w:val="6"/>
          <w:sz w:val="31"/>
          <w:szCs w:val="31"/>
        </w:rPr>
        <w:t>环境影响经济损益分析结论</w:t>
      </w:r>
    </w:p>
    <w:p w14:paraId="3F45DF7F">
      <w:pPr>
        <w:pStyle w:val="2"/>
        <w:spacing w:line="371" w:lineRule="auto"/>
      </w:pPr>
    </w:p>
    <w:p w14:paraId="29FB3D1E">
      <w:pPr>
        <w:spacing w:before="78" w:line="380" w:lineRule="auto"/>
        <w:ind w:left="2" w:firstLine="480"/>
        <w:jc w:val="both"/>
        <w:rPr>
          <w:rFonts w:ascii="Times New Roman" w:hAnsi="Times New Roman" w:eastAsia="Times New Roman" w:cs="Times New Roman"/>
          <w:sz w:val="24"/>
          <w:szCs w:val="24"/>
        </w:rPr>
      </w:pPr>
      <w:r>
        <w:rPr>
          <w:rFonts w:ascii="宋体" w:hAnsi="宋体" w:eastAsia="宋体" w:cs="宋体"/>
          <w:spacing w:val="-8"/>
          <w:sz w:val="24"/>
          <w:szCs w:val="24"/>
        </w:rPr>
        <w:t>本项目总投资</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 xml:space="preserve">1300 </w:t>
      </w:r>
      <w:r>
        <w:rPr>
          <w:rFonts w:ascii="宋体" w:hAnsi="宋体" w:eastAsia="宋体" w:cs="宋体"/>
          <w:spacing w:val="-8"/>
          <w:sz w:val="24"/>
          <w:szCs w:val="24"/>
        </w:rPr>
        <w:t>万元，其中环保投资约</w:t>
      </w:r>
      <w:r>
        <w:rPr>
          <w:rFonts w:ascii="宋体" w:hAnsi="宋体" w:eastAsia="宋体" w:cs="宋体"/>
          <w:spacing w:val="-72"/>
          <w:sz w:val="24"/>
          <w:szCs w:val="24"/>
        </w:rPr>
        <w:t xml:space="preserve"> </w:t>
      </w:r>
      <w:r>
        <w:rPr>
          <w:rFonts w:ascii="Times New Roman" w:hAnsi="Times New Roman" w:eastAsia="Times New Roman" w:cs="Times New Roman"/>
          <w:spacing w:val="-8"/>
          <w:sz w:val="24"/>
          <w:szCs w:val="24"/>
        </w:rPr>
        <w:t xml:space="preserve">320 </w:t>
      </w:r>
      <w:r>
        <w:rPr>
          <w:rFonts w:ascii="宋体" w:hAnsi="宋体" w:eastAsia="宋体" w:cs="宋体"/>
          <w:spacing w:val="-8"/>
          <w:sz w:val="24"/>
          <w:szCs w:val="24"/>
        </w:rPr>
        <w:t>万元，环保投资占总投资的</w:t>
      </w:r>
      <w:r>
        <w:rPr>
          <w:rFonts w:ascii="Times New Roman" w:hAnsi="Times New Roman" w:eastAsia="Times New Roman" w:cs="Times New Roman"/>
          <w:spacing w:val="-8"/>
          <w:sz w:val="24"/>
          <w:szCs w:val="24"/>
        </w:rPr>
        <w:t>24.6%</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2"/>
          <w:sz w:val="24"/>
          <w:szCs w:val="24"/>
        </w:rPr>
        <w:t>本项目经济效益良好，有较好的抗风险能力，从财务角度和经济效益来看，本工程</w:t>
      </w:r>
      <w:r>
        <w:rPr>
          <w:rFonts w:ascii="宋体" w:hAnsi="宋体" w:eastAsia="宋体" w:cs="宋体"/>
          <w:spacing w:val="5"/>
          <w:sz w:val="24"/>
          <w:szCs w:val="24"/>
        </w:rPr>
        <w:t xml:space="preserve"> </w:t>
      </w:r>
      <w:r>
        <w:rPr>
          <w:rFonts w:ascii="宋体" w:hAnsi="宋体" w:eastAsia="宋体" w:cs="宋体"/>
          <w:spacing w:val="4"/>
          <w:sz w:val="24"/>
          <w:szCs w:val="24"/>
        </w:rPr>
        <w:t>建设是可行的；本项目采用的生产工艺和设备居国内同行业的较领先水平，</w:t>
      </w:r>
      <w:r>
        <w:rPr>
          <w:rFonts w:ascii="Times New Roman" w:hAnsi="Times New Roman" w:eastAsia="Times New Roman" w:cs="Times New Roman"/>
          <w:spacing w:val="4"/>
          <w:sz w:val="24"/>
          <w:szCs w:val="24"/>
        </w:rPr>
        <w:t>“</w:t>
      </w:r>
      <w:r>
        <w:rPr>
          <w:rFonts w:ascii="宋体" w:hAnsi="宋体" w:eastAsia="宋体" w:cs="宋体"/>
          <w:spacing w:val="4"/>
          <w:sz w:val="24"/>
          <w:szCs w:val="24"/>
        </w:rPr>
        <w:t>三废</w:t>
      </w:r>
      <w:r>
        <w:rPr>
          <w:rFonts w:ascii="Times New Roman" w:hAnsi="Times New Roman" w:eastAsia="Times New Roman" w:cs="Times New Roman"/>
          <w:spacing w:val="4"/>
          <w:sz w:val="24"/>
          <w:szCs w:val="24"/>
        </w:rPr>
        <w:t>”</w:t>
      </w:r>
    </w:p>
    <w:p w14:paraId="3CDB7821">
      <w:pPr>
        <w:spacing w:line="380" w:lineRule="auto"/>
        <w:rPr>
          <w:rFonts w:ascii="Times New Roman" w:hAnsi="Times New Roman" w:eastAsia="Times New Roman" w:cs="Times New Roman"/>
          <w:sz w:val="24"/>
          <w:szCs w:val="24"/>
        </w:rPr>
        <w:sectPr>
          <w:footerReference r:id="rId185" w:type="default"/>
          <w:pgSz w:w="11906" w:h="16839"/>
          <w:pgMar w:top="400" w:right="1507" w:bottom="1485" w:left="1596" w:header="0" w:footer="1249" w:gutter="0"/>
          <w:cols w:space="720" w:num="1"/>
        </w:sectPr>
      </w:pPr>
    </w:p>
    <w:p w14:paraId="226E9C39">
      <w:pPr>
        <w:spacing w:before="292" w:line="377" w:lineRule="auto"/>
        <w:ind w:right="63"/>
        <w:jc w:val="both"/>
        <w:rPr>
          <w:rFonts w:ascii="宋体" w:hAnsi="宋体" w:eastAsia="宋体" w:cs="宋体"/>
          <w:sz w:val="24"/>
          <w:szCs w:val="24"/>
        </w:rPr>
      </w:pPr>
      <w:r>
        <w:rPr>
          <w:rFonts w:ascii="宋体" w:hAnsi="宋体" w:eastAsia="宋体" w:cs="宋体"/>
          <w:spacing w:val="2"/>
          <w:sz w:val="24"/>
          <w:szCs w:val="24"/>
        </w:rPr>
        <w:t>排放量较少，生产工艺符合清洁生产和环境保护要求，具有明显的环境效益。该项</w:t>
      </w:r>
      <w:r>
        <w:rPr>
          <w:rFonts w:ascii="宋体" w:hAnsi="宋体" w:eastAsia="宋体" w:cs="宋体"/>
          <w:spacing w:val="6"/>
          <w:sz w:val="24"/>
          <w:szCs w:val="24"/>
        </w:rPr>
        <w:t xml:space="preserve"> </w:t>
      </w:r>
      <w:r>
        <w:rPr>
          <w:rFonts w:ascii="宋体" w:hAnsi="宋体" w:eastAsia="宋体" w:cs="宋体"/>
          <w:spacing w:val="2"/>
          <w:sz w:val="24"/>
          <w:szCs w:val="24"/>
        </w:rPr>
        <w:t>目的建设符合国家，省、地、市的农业产生政策，充分切合了产业结构调整和农业</w:t>
      </w:r>
      <w:r>
        <w:rPr>
          <w:rFonts w:ascii="宋体" w:hAnsi="宋体" w:eastAsia="宋体" w:cs="宋体"/>
          <w:spacing w:val="6"/>
          <w:sz w:val="24"/>
          <w:szCs w:val="24"/>
        </w:rPr>
        <w:t xml:space="preserve"> </w:t>
      </w:r>
      <w:r>
        <w:rPr>
          <w:rFonts w:ascii="宋体" w:hAnsi="宋体" w:eastAsia="宋体" w:cs="宋体"/>
          <w:spacing w:val="2"/>
          <w:sz w:val="24"/>
          <w:szCs w:val="24"/>
        </w:rPr>
        <w:t>产业化发展的大方向。项目实施将会有力地带动周边农村种植业、养殖业的发展，</w:t>
      </w:r>
      <w:r>
        <w:rPr>
          <w:rFonts w:ascii="宋体" w:hAnsi="宋体" w:eastAsia="宋体" w:cs="宋体"/>
          <w:spacing w:val="6"/>
          <w:sz w:val="24"/>
          <w:szCs w:val="24"/>
        </w:rPr>
        <w:t xml:space="preserve"> </w:t>
      </w:r>
      <w:r>
        <w:rPr>
          <w:rFonts w:ascii="宋体" w:hAnsi="宋体" w:eastAsia="宋体" w:cs="宋体"/>
          <w:spacing w:val="2"/>
          <w:sz w:val="24"/>
          <w:szCs w:val="24"/>
        </w:rPr>
        <w:t>促进当地农业产业结构调整，能符合经济效益与环保效益的要求，满足实现经济与</w:t>
      </w:r>
      <w:r>
        <w:rPr>
          <w:rFonts w:ascii="宋体" w:hAnsi="宋体" w:eastAsia="宋体" w:cs="宋体"/>
          <w:spacing w:val="6"/>
          <w:sz w:val="24"/>
          <w:szCs w:val="24"/>
        </w:rPr>
        <w:t xml:space="preserve"> </w:t>
      </w:r>
      <w:r>
        <w:rPr>
          <w:rFonts w:ascii="宋体" w:hAnsi="宋体" w:eastAsia="宋体" w:cs="宋体"/>
          <w:spacing w:val="-1"/>
          <w:sz w:val="24"/>
          <w:szCs w:val="24"/>
        </w:rPr>
        <w:t>环境协调、可持续发展的要求。</w:t>
      </w:r>
    </w:p>
    <w:p w14:paraId="21E0FACC">
      <w:pPr>
        <w:spacing w:before="297" w:line="226" w:lineRule="auto"/>
        <w:outlineLvl w:val="1"/>
        <w:rPr>
          <w:rFonts w:ascii="宋体" w:hAnsi="宋体" w:eastAsia="宋体" w:cs="宋体"/>
          <w:sz w:val="31"/>
          <w:szCs w:val="31"/>
        </w:rPr>
      </w:pPr>
      <w:bookmarkStart w:id="61" w:name="bookmark55"/>
      <w:bookmarkEnd w:id="61"/>
      <w:r>
        <w:rPr>
          <w:rFonts w:ascii="Times New Roman" w:hAnsi="Times New Roman" w:eastAsia="Times New Roman" w:cs="Times New Roman"/>
          <w:b/>
          <w:bCs/>
          <w:spacing w:val="4"/>
          <w:sz w:val="31"/>
          <w:szCs w:val="31"/>
        </w:rPr>
        <w:t>9.7</w:t>
      </w:r>
      <w:r>
        <w:rPr>
          <w:rFonts w:ascii="宋体" w:hAnsi="宋体" w:eastAsia="宋体" w:cs="宋体"/>
          <w:b/>
          <w:bCs/>
          <w:spacing w:val="4"/>
          <w:sz w:val="31"/>
          <w:szCs w:val="31"/>
        </w:rPr>
        <w:t>综合结论</w:t>
      </w:r>
    </w:p>
    <w:p w14:paraId="71DE5C19">
      <w:pPr>
        <w:pStyle w:val="2"/>
        <w:spacing w:line="321" w:lineRule="auto"/>
      </w:pPr>
    </w:p>
    <w:p w14:paraId="73B8FCF2">
      <w:pPr>
        <w:spacing w:before="78" w:line="359" w:lineRule="auto"/>
        <w:ind w:right="56" w:firstLine="481"/>
        <w:jc w:val="both"/>
        <w:rPr>
          <w:rFonts w:ascii="宋体" w:hAnsi="宋体" w:eastAsia="宋体" w:cs="宋体"/>
          <w:sz w:val="24"/>
          <w:szCs w:val="24"/>
        </w:rPr>
      </w:pPr>
      <w:r>
        <w:rPr>
          <w:rFonts w:ascii="宋体" w:hAnsi="宋体" w:eastAsia="宋体" w:cs="宋体"/>
          <w:spacing w:val="2"/>
          <w:sz w:val="24"/>
          <w:szCs w:val="24"/>
        </w:rPr>
        <w:t>综上所述，汕尾市天磊联信种养有限公司生猪养殖项目选址基本合理，项目建</w:t>
      </w:r>
      <w:r>
        <w:rPr>
          <w:rFonts w:ascii="宋体" w:hAnsi="宋体" w:eastAsia="宋体" w:cs="宋体"/>
          <w:spacing w:val="7"/>
          <w:sz w:val="24"/>
          <w:szCs w:val="24"/>
        </w:rPr>
        <w:t xml:space="preserve"> </w:t>
      </w:r>
      <w:r>
        <w:rPr>
          <w:rFonts w:ascii="宋体" w:hAnsi="宋体" w:eastAsia="宋体" w:cs="宋体"/>
          <w:spacing w:val="2"/>
          <w:sz w:val="24"/>
          <w:szCs w:val="24"/>
        </w:rPr>
        <w:t>设性质、规模，所采用的生产工艺符合产业政策的要求，拟采取的污染防治措施符</w:t>
      </w:r>
      <w:r>
        <w:rPr>
          <w:rFonts w:ascii="宋体" w:hAnsi="宋体" w:eastAsia="宋体" w:cs="宋体"/>
          <w:spacing w:val="5"/>
          <w:sz w:val="24"/>
          <w:szCs w:val="24"/>
        </w:rPr>
        <w:t xml:space="preserve"> </w:t>
      </w:r>
      <w:r>
        <w:rPr>
          <w:rFonts w:ascii="宋体" w:hAnsi="宋体" w:eastAsia="宋体" w:cs="宋体"/>
          <w:spacing w:val="-1"/>
          <w:sz w:val="24"/>
          <w:szCs w:val="24"/>
        </w:rPr>
        <w:t>合《畜禽养殖业污染防治技术规范》（</w:t>
      </w:r>
      <w:r>
        <w:rPr>
          <w:rFonts w:ascii="Times New Roman" w:hAnsi="Times New Roman" w:eastAsia="Times New Roman" w:cs="Times New Roman"/>
          <w:spacing w:val="-1"/>
          <w:sz w:val="24"/>
          <w:szCs w:val="24"/>
        </w:rPr>
        <w:t>HJ/T 81-2001</w:t>
      </w:r>
      <w:r>
        <w:rPr>
          <w:rFonts w:ascii="宋体" w:hAnsi="宋体" w:eastAsia="宋体" w:cs="宋体"/>
          <w:spacing w:val="-1"/>
          <w:sz w:val="24"/>
          <w:szCs w:val="24"/>
        </w:rPr>
        <w:t>）</w:t>
      </w:r>
      <w:r>
        <w:rPr>
          <w:rFonts w:ascii="宋体" w:hAnsi="宋体" w:eastAsia="宋体" w:cs="宋体"/>
          <w:spacing w:val="-2"/>
          <w:sz w:val="24"/>
          <w:szCs w:val="24"/>
        </w:rPr>
        <w:t>和《病死及病害动物无害化处</w:t>
      </w:r>
      <w:r>
        <w:rPr>
          <w:rFonts w:ascii="宋体" w:hAnsi="宋体" w:eastAsia="宋体" w:cs="宋体"/>
          <w:sz w:val="24"/>
          <w:szCs w:val="24"/>
        </w:rPr>
        <w:t xml:space="preserve"> </w:t>
      </w:r>
      <w:r>
        <w:rPr>
          <w:rFonts w:ascii="宋体" w:hAnsi="宋体" w:eastAsia="宋体" w:cs="宋体"/>
          <w:spacing w:val="2"/>
          <w:sz w:val="24"/>
          <w:szCs w:val="24"/>
        </w:rPr>
        <w:t>理技术规范》（农医发</w:t>
      </w:r>
      <w:r>
        <w:rPr>
          <w:rFonts w:ascii="Times New Roman" w:hAnsi="Times New Roman" w:eastAsia="Times New Roman" w:cs="Times New Roman"/>
          <w:spacing w:val="2"/>
          <w:sz w:val="24"/>
          <w:szCs w:val="24"/>
        </w:rPr>
        <w:t xml:space="preserve">201725 </w:t>
      </w:r>
      <w:r>
        <w:rPr>
          <w:rFonts w:ascii="宋体" w:hAnsi="宋体" w:eastAsia="宋体" w:cs="宋体"/>
          <w:spacing w:val="2"/>
          <w:sz w:val="24"/>
          <w:szCs w:val="24"/>
        </w:rPr>
        <w:t>号）的要求。</w:t>
      </w:r>
    </w:p>
    <w:p w14:paraId="0726A67E">
      <w:pPr>
        <w:spacing w:before="3" w:line="359" w:lineRule="auto"/>
        <w:ind w:right="63" w:firstLine="481"/>
        <w:jc w:val="both"/>
        <w:rPr>
          <w:rFonts w:ascii="宋体" w:hAnsi="宋体" w:eastAsia="宋体" w:cs="宋体"/>
          <w:sz w:val="24"/>
          <w:szCs w:val="24"/>
        </w:rPr>
      </w:pPr>
      <w:r>
        <w:rPr>
          <w:rFonts w:ascii="宋体" w:hAnsi="宋体" w:eastAsia="宋体" w:cs="宋体"/>
          <w:spacing w:val="1"/>
          <w:sz w:val="24"/>
          <w:szCs w:val="24"/>
        </w:rPr>
        <w:t>建设单位必须严格遵守“三同时</w:t>
      </w:r>
      <w:r>
        <w:rPr>
          <w:rFonts w:ascii="宋体" w:hAnsi="宋体" w:eastAsia="宋体" w:cs="宋体"/>
          <w:spacing w:val="-82"/>
          <w:sz w:val="24"/>
          <w:szCs w:val="24"/>
        </w:rPr>
        <w:t xml:space="preserve"> </w:t>
      </w:r>
      <w:r>
        <w:rPr>
          <w:rFonts w:ascii="宋体" w:hAnsi="宋体" w:eastAsia="宋体" w:cs="宋体"/>
          <w:spacing w:val="1"/>
          <w:sz w:val="24"/>
          <w:szCs w:val="24"/>
        </w:rPr>
        <w:t>”的管理规定，完成各项报建手续，确实保证</w:t>
      </w:r>
      <w:r>
        <w:rPr>
          <w:rFonts w:ascii="宋体" w:hAnsi="宋体" w:eastAsia="宋体" w:cs="宋体"/>
          <w:sz w:val="24"/>
          <w:szCs w:val="24"/>
        </w:rPr>
        <w:t xml:space="preserve"> </w:t>
      </w:r>
      <w:r>
        <w:rPr>
          <w:rFonts w:ascii="宋体" w:hAnsi="宋体" w:eastAsia="宋体" w:cs="宋体"/>
          <w:spacing w:val="2"/>
          <w:sz w:val="24"/>
          <w:szCs w:val="24"/>
        </w:rPr>
        <w:t>本报告提出的各项环保措施的落实，并尽一切可能确保本项目所在区域的环境质量</w:t>
      </w:r>
      <w:r>
        <w:rPr>
          <w:rFonts w:ascii="宋体" w:hAnsi="宋体" w:eastAsia="宋体" w:cs="宋体"/>
          <w:spacing w:val="5"/>
          <w:sz w:val="24"/>
          <w:szCs w:val="24"/>
        </w:rPr>
        <w:t xml:space="preserve"> </w:t>
      </w:r>
      <w:r>
        <w:rPr>
          <w:rFonts w:ascii="宋体" w:hAnsi="宋体" w:eastAsia="宋体" w:cs="宋体"/>
          <w:spacing w:val="2"/>
          <w:sz w:val="24"/>
          <w:szCs w:val="24"/>
        </w:rPr>
        <w:t>不因本项目的建设而受到不良影响，真正实现环境保护与经济建设的可持续协调发</w:t>
      </w:r>
      <w:r>
        <w:rPr>
          <w:rFonts w:ascii="宋体" w:hAnsi="宋体" w:eastAsia="宋体" w:cs="宋体"/>
          <w:spacing w:val="5"/>
          <w:sz w:val="24"/>
          <w:szCs w:val="24"/>
        </w:rPr>
        <w:t xml:space="preserve"> </w:t>
      </w:r>
      <w:r>
        <w:rPr>
          <w:rFonts w:ascii="宋体" w:hAnsi="宋体" w:eastAsia="宋体" w:cs="宋体"/>
          <w:spacing w:val="2"/>
          <w:sz w:val="24"/>
          <w:szCs w:val="24"/>
        </w:rPr>
        <w:t>展。项目建成后，须经过验收合格后方可投入使用，在投入使用后，应加强对设备</w:t>
      </w:r>
      <w:r>
        <w:rPr>
          <w:rFonts w:ascii="宋体" w:hAnsi="宋体" w:eastAsia="宋体" w:cs="宋体"/>
          <w:spacing w:val="5"/>
          <w:sz w:val="24"/>
          <w:szCs w:val="24"/>
        </w:rPr>
        <w:t xml:space="preserve"> </w:t>
      </w:r>
      <w:r>
        <w:rPr>
          <w:rFonts w:ascii="宋体" w:hAnsi="宋体" w:eastAsia="宋体" w:cs="宋体"/>
          <w:spacing w:val="2"/>
          <w:sz w:val="24"/>
          <w:szCs w:val="24"/>
        </w:rPr>
        <w:t>的维修保养，确保环保设施的正常运转。在达到本报告所提出的各项要求后，该项</w:t>
      </w:r>
      <w:r>
        <w:rPr>
          <w:rFonts w:ascii="宋体" w:hAnsi="宋体" w:eastAsia="宋体" w:cs="宋体"/>
          <w:spacing w:val="5"/>
          <w:sz w:val="24"/>
          <w:szCs w:val="24"/>
        </w:rPr>
        <w:t xml:space="preserve"> </w:t>
      </w:r>
      <w:r>
        <w:rPr>
          <w:rFonts w:ascii="宋体" w:hAnsi="宋体" w:eastAsia="宋体" w:cs="宋体"/>
          <w:spacing w:val="-1"/>
          <w:sz w:val="24"/>
          <w:szCs w:val="24"/>
        </w:rPr>
        <w:t>目对周围环境将不会产生明显的不利影响。</w:t>
      </w:r>
    </w:p>
    <w:p w14:paraId="03D3418A">
      <w:pPr>
        <w:spacing w:before="86" w:line="219" w:lineRule="auto"/>
        <w:ind w:left="482"/>
        <w:rPr>
          <w:rFonts w:ascii="宋体" w:hAnsi="宋体" w:eastAsia="宋体" w:cs="宋体"/>
          <w:sz w:val="24"/>
          <w:szCs w:val="24"/>
        </w:rPr>
      </w:pPr>
      <w:r>
        <w:rPr>
          <w:rFonts w:ascii="宋体" w:hAnsi="宋体" w:eastAsia="宋体" w:cs="宋体"/>
          <w:spacing w:val="-1"/>
          <w:sz w:val="24"/>
          <w:szCs w:val="24"/>
        </w:rPr>
        <w:t>从环保的角度看，该项目的建设是可行的。</w:t>
      </w:r>
    </w:p>
    <w:p w14:paraId="7ACB53C1">
      <w:pPr>
        <w:pStyle w:val="2"/>
        <w:spacing w:line="403" w:lineRule="auto"/>
      </w:pPr>
    </w:p>
    <w:p w14:paraId="2953E519">
      <w:pPr>
        <w:spacing w:before="101" w:line="226" w:lineRule="auto"/>
        <w:ind w:left="4"/>
        <w:outlineLvl w:val="1"/>
        <w:rPr>
          <w:rFonts w:ascii="宋体" w:hAnsi="宋体" w:eastAsia="宋体" w:cs="宋体"/>
          <w:sz w:val="31"/>
          <w:szCs w:val="31"/>
        </w:rPr>
      </w:pPr>
      <w:bookmarkStart w:id="62" w:name="bookmark56"/>
      <w:bookmarkEnd w:id="62"/>
      <w:r>
        <w:rPr>
          <w:rFonts w:ascii="宋体" w:hAnsi="宋体" w:eastAsia="宋体" w:cs="宋体"/>
          <w:b/>
          <w:bCs/>
          <w:spacing w:val="3"/>
          <w:sz w:val="31"/>
          <w:szCs w:val="31"/>
        </w:rPr>
        <w:t>9.8其他建议</w:t>
      </w:r>
    </w:p>
    <w:p w14:paraId="314C9C0B">
      <w:pPr>
        <w:pStyle w:val="2"/>
        <w:spacing w:line="409" w:lineRule="auto"/>
      </w:pPr>
    </w:p>
    <w:p w14:paraId="7F3CDF82">
      <w:pPr>
        <w:spacing w:before="78" w:line="362" w:lineRule="auto"/>
        <w:ind w:right="63" w:firstLine="481"/>
        <w:rPr>
          <w:rFonts w:ascii="宋体" w:hAnsi="宋体" w:eastAsia="宋体" w:cs="宋体"/>
          <w:sz w:val="24"/>
          <w:szCs w:val="24"/>
        </w:rPr>
      </w:pPr>
      <w:r>
        <w:rPr>
          <w:rFonts w:ascii="宋体" w:hAnsi="宋体" w:eastAsia="宋体" w:cs="宋体"/>
          <w:spacing w:val="2"/>
          <w:sz w:val="24"/>
          <w:szCs w:val="24"/>
        </w:rPr>
        <w:t>为了更好地落实报告书中提出的各种环境保护措施，建议建设单位在项目运行</w:t>
      </w:r>
      <w:r>
        <w:rPr>
          <w:rFonts w:ascii="宋体" w:hAnsi="宋体" w:eastAsia="宋体" w:cs="宋体"/>
          <w:spacing w:val="7"/>
          <w:sz w:val="24"/>
          <w:szCs w:val="24"/>
        </w:rPr>
        <w:t xml:space="preserve"> </w:t>
      </w:r>
      <w:r>
        <w:rPr>
          <w:rFonts w:ascii="宋体" w:hAnsi="宋体" w:eastAsia="宋体" w:cs="宋体"/>
          <w:spacing w:val="-1"/>
          <w:sz w:val="24"/>
          <w:szCs w:val="24"/>
        </w:rPr>
        <w:t>过程中进一步落实下列工作：</w:t>
      </w:r>
    </w:p>
    <w:p w14:paraId="676E7D1C">
      <w:pPr>
        <w:spacing w:before="2" w:line="333" w:lineRule="auto"/>
        <w:ind w:right="63" w:firstLine="498"/>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、建设单位全体职工应增强环保意识，确保环境保护资金的到位，切实落实到</w:t>
      </w:r>
      <w:r>
        <w:rPr>
          <w:rFonts w:ascii="宋体" w:hAnsi="宋体" w:eastAsia="宋体" w:cs="宋体"/>
          <w:sz w:val="24"/>
          <w:szCs w:val="24"/>
        </w:rPr>
        <w:t xml:space="preserve"> </w:t>
      </w:r>
      <w:r>
        <w:rPr>
          <w:rFonts w:ascii="宋体" w:hAnsi="宋体" w:eastAsia="宋体" w:cs="宋体"/>
          <w:spacing w:val="2"/>
          <w:sz w:val="24"/>
          <w:szCs w:val="24"/>
        </w:rPr>
        <w:t>环评报告中提出的各项环境保护治理措施，并确保计划内容按时按质完成，达到预</w:t>
      </w:r>
      <w:r>
        <w:rPr>
          <w:rFonts w:ascii="宋体" w:hAnsi="宋体" w:eastAsia="宋体" w:cs="宋体"/>
          <w:spacing w:val="6"/>
          <w:sz w:val="24"/>
          <w:szCs w:val="24"/>
        </w:rPr>
        <w:t xml:space="preserve"> </w:t>
      </w:r>
      <w:r>
        <w:rPr>
          <w:rFonts w:ascii="宋体" w:hAnsi="宋体" w:eastAsia="宋体" w:cs="宋体"/>
          <w:spacing w:val="-1"/>
          <w:sz w:val="24"/>
          <w:szCs w:val="24"/>
        </w:rPr>
        <w:t>期环保治理目的和效果。</w:t>
      </w:r>
    </w:p>
    <w:p w14:paraId="59C16FAD">
      <w:pPr>
        <w:spacing w:before="165" w:line="312" w:lineRule="auto"/>
        <w:ind w:left="3" w:right="63" w:firstLine="471"/>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、建议建设单位关注恶臭问题，确保种植树木的数量、设置合理的卫生防护距</w:t>
      </w:r>
      <w:r>
        <w:rPr>
          <w:rFonts w:ascii="宋体" w:hAnsi="宋体" w:eastAsia="宋体" w:cs="宋体"/>
          <w:sz w:val="24"/>
          <w:szCs w:val="24"/>
        </w:rPr>
        <w:t xml:space="preserve"> </w:t>
      </w:r>
      <w:r>
        <w:rPr>
          <w:rFonts w:ascii="宋体" w:hAnsi="宋体" w:eastAsia="宋体" w:cs="宋体"/>
          <w:spacing w:val="-1"/>
          <w:sz w:val="24"/>
          <w:szCs w:val="24"/>
        </w:rPr>
        <w:t>离，做好清洁生产，保证好粪污处理系统的正常运行。</w:t>
      </w:r>
    </w:p>
    <w:p w14:paraId="69804D45">
      <w:pPr>
        <w:spacing w:before="168" w:line="361" w:lineRule="exact"/>
        <w:ind w:left="480"/>
        <w:rPr>
          <w:rFonts w:ascii="宋体" w:hAnsi="宋体" w:eastAsia="宋体" w:cs="宋体"/>
          <w:sz w:val="24"/>
          <w:szCs w:val="24"/>
        </w:rPr>
      </w:pPr>
      <w:r>
        <w:rPr>
          <w:rFonts w:ascii="Times New Roman" w:hAnsi="Times New Roman" w:eastAsia="Times New Roman" w:cs="Times New Roman"/>
          <w:spacing w:val="-2"/>
          <w:position w:val="2"/>
          <w:sz w:val="24"/>
          <w:szCs w:val="24"/>
        </w:rPr>
        <w:t>3</w:t>
      </w:r>
      <w:r>
        <w:rPr>
          <w:rFonts w:ascii="Times New Roman" w:hAnsi="Times New Roman" w:eastAsia="Times New Roman" w:cs="Times New Roman"/>
          <w:spacing w:val="-19"/>
          <w:position w:val="2"/>
          <w:sz w:val="24"/>
          <w:szCs w:val="24"/>
        </w:rPr>
        <w:t xml:space="preserve"> </w:t>
      </w:r>
      <w:r>
        <w:rPr>
          <w:rFonts w:ascii="宋体" w:hAnsi="宋体" w:eastAsia="宋体" w:cs="宋体"/>
          <w:spacing w:val="-2"/>
          <w:position w:val="2"/>
          <w:sz w:val="24"/>
          <w:szCs w:val="24"/>
        </w:rPr>
        <w:t>、应加强对设备的日常维护、检查，及时发现事故隐患。</w:t>
      </w:r>
    </w:p>
    <w:p w14:paraId="51176520">
      <w:pPr>
        <w:spacing w:before="126" w:line="313" w:lineRule="auto"/>
        <w:ind w:firstLine="474"/>
        <w:rPr>
          <w:rFonts w:ascii="宋体" w:hAnsi="宋体" w:eastAsia="宋体" w:cs="宋体"/>
          <w:sz w:val="24"/>
          <w:szCs w:val="24"/>
        </w:rPr>
      </w:pPr>
      <w:r>
        <w:rPr>
          <w:rFonts w:ascii="Times New Roman" w:hAnsi="Times New Roman" w:eastAsia="Times New Roman" w:cs="Times New Roman"/>
          <w:spacing w:val="-6"/>
          <w:sz w:val="24"/>
          <w:szCs w:val="24"/>
        </w:rPr>
        <w:t>4</w:t>
      </w:r>
      <w:r>
        <w:rPr>
          <w:rFonts w:ascii="宋体" w:hAnsi="宋体" w:eastAsia="宋体" w:cs="宋体"/>
          <w:spacing w:val="-6"/>
          <w:sz w:val="24"/>
          <w:szCs w:val="24"/>
        </w:rPr>
        <w:t>、当地卫生防疫部门、环境卫生监测站等单位应依据有关卫生防护距离的要求，</w:t>
      </w:r>
      <w:r>
        <w:rPr>
          <w:rFonts w:ascii="宋体" w:hAnsi="宋体" w:eastAsia="宋体" w:cs="宋体"/>
          <w:spacing w:val="3"/>
          <w:sz w:val="24"/>
          <w:szCs w:val="24"/>
        </w:rPr>
        <w:t xml:space="preserve"> </w:t>
      </w:r>
      <w:r>
        <w:rPr>
          <w:rFonts w:ascii="宋体" w:hAnsi="宋体" w:eastAsia="宋体" w:cs="宋体"/>
          <w:spacing w:val="2"/>
          <w:sz w:val="24"/>
          <w:szCs w:val="24"/>
        </w:rPr>
        <w:t>加强监督管理。当地规划部门应按照有关法律实行严格控制，为避免对居民区造成</w:t>
      </w:r>
    </w:p>
    <w:p w14:paraId="69576392">
      <w:pPr>
        <w:spacing w:line="313" w:lineRule="auto"/>
        <w:rPr>
          <w:rFonts w:ascii="宋体" w:hAnsi="宋体" w:eastAsia="宋体" w:cs="宋体"/>
          <w:sz w:val="24"/>
          <w:szCs w:val="24"/>
        </w:rPr>
        <w:sectPr>
          <w:footerReference r:id="rId186" w:type="default"/>
          <w:pgSz w:w="11906" w:h="16839"/>
          <w:pgMar w:top="400" w:right="1525" w:bottom="1485" w:left="1598" w:header="0" w:footer="1249" w:gutter="0"/>
          <w:cols w:space="720" w:num="1"/>
        </w:sectPr>
      </w:pPr>
    </w:p>
    <w:p w14:paraId="1D579864">
      <w:pPr>
        <w:spacing w:before="292" w:line="221" w:lineRule="auto"/>
        <w:ind w:left="1"/>
        <w:rPr>
          <w:rFonts w:ascii="宋体" w:hAnsi="宋体" w:eastAsia="宋体" w:cs="宋体"/>
          <w:sz w:val="24"/>
          <w:szCs w:val="24"/>
        </w:rPr>
      </w:pPr>
      <w:r>
        <w:rPr>
          <w:rFonts w:ascii="宋体" w:hAnsi="宋体" w:eastAsia="宋体" w:cs="宋体"/>
          <w:spacing w:val="-3"/>
          <w:sz w:val="24"/>
          <w:szCs w:val="24"/>
        </w:rPr>
        <w:t>污染影响。</w:t>
      </w:r>
    </w:p>
    <w:p w14:paraId="39A67921">
      <w:pPr>
        <w:spacing w:before="200" w:line="378" w:lineRule="auto"/>
        <w:ind w:firstLine="482"/>
        <w:jc w:val="both"/>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、积极做好厂区绿化、美化工作，在进场道路两侧、厂房周围及厂区空地、围</w:t>
      </w:r>
      <w:r>
        <w:rPr>
          <w:rFonts w:ascii="宋体" w:hAnsi="宋体" w:eastAsia="宋体" w:cs="宋体"/>
          <w:sz w:val="24"/>
          <w:szCs w:val="24"/>
        </w:rPr>
        <w:t xml:space="preserve"> </w:t>
      </w:r>
      <w:r>
        <w:rPr>
          <w:rFonts w:ascii="宋体" w:hAnsi="宋体" w:eastAsia="宋体" w:cs="宋体"/>
          <w:spacing w:val="2"/>
          <w:sz w:val="24"/>
          <w:szCs w:val="24"/>
        </w:rPr>
        <w:t>墙、办公管理区等场所，种植大量对硫化氢、氨等刺激性气体有吸收作用或抗性作</w:t>
      </w:r>
      <w:r>
        <w:rPr>
          <w:rFonts w:ascii="宋体" w:hAnsi="宋体" w:eastAsia="宋体" w:cs="宋体"/>
          <w:spacing w:val="6"/>
          <w:sz w:val="24"/>
          <w:szCs w:val="24"/>
        </w:rPr>
        <w:t xml:space="preserve"> </w:t>
      </w:r>
      <w:r>
        <w:rPr>
          <w:rFonts w:ascii="宋体" w:hAnsi="宋体" w:eastAsia="宋体" w:cs="宋体"/>
          <w:spacing w:val="-2"/>
          <w:sz w:val="24"/>
          <w:szCs w:val="24"/>
        </w:rPr>
        <w:t>用的花草树木</w:t>
      </w:r>
    </w:p>
    <w:p w14:paraId="6F53F76F">
      <w:pPr>
        <w:spacing w:line="378" w:lineRule="auto"/>
        <w:rPr>
          <w:rFonts w:ascii="宋体" w:hAnsi="宋体" w:eastAsia="宋体" w:cs="宋体"/>
          <w:sz w:val="24"/>
          <w:szCs w:val="24"/>
        </w:rPr>
        <w:sectPr>
          <w:footerReference r:id="rId187" w:type="default"/>
          <w:pgSz w:w="11906" w:h="16839"/>
          <w:pgMar w:top="400" w:right="1588" w:bottom="1485" w:left="1598" w:header="0" w:footer="1249" w:gutter="0"/>
          <w:cols w:space="720" w:num="1"/>
        </w:sectPr>
      </w:pPr>
    </w:p>
    <w:p w14:paraId="3E81086B">
      <w:pPr>
        <w:spacing w:before="292" w:line="219" w:lineRule="auto"/>
        <w:ind w:left="170"/>
        <w:rPr>
          <w:rFonts w:ascii="宋体" w:hAnsi="宋体" w:eastAsia="宋体" w:cs="宋体"/>
          <w:sz w:val="24"/>
          <w:szCs w:val="24"/>
        </w:rPr>
      </w:pPr>
      <w:r>
        <w:rPr>
          <w:rFonts w:ascii="宋体" w:hAnsi="宋体" w:eastAsia="宋体" w:cs="宋体"/>
          <w:b/>
          <w:bCs/>
          <w:spacing w:val="-12"/>
          <w:sz w:val="24"/>
          <w:szCs w:val="24"/>
        </w:rPr>
        <w:t>附表：</w:t>
      </w:r>
    </w:p>
    <w:p w14:paraId="3C850D18">
      <w:pPr>
        <w:spacing w:before="201" w:line="219" w:lineRule="auto"/>
        <w:ind w:left="650"/>
        <w:outlineLvl w:val="0"/>
        <w:rPr>
          <w:rFonts w:ascii="宋体" w:hAnsi="宋体" w:eastAsia="宋体" w:cs="宋体"/>
          <w:sz w:val="24"/>
          <w:szCs w:val="24"/>
        </w:rPr>
      </w:pPr>
      <w:r>
        <w:rPr>
          <w:rFonts w:ascii="宋体" w:hAnsi="宋体" w:eastAsia="宋体" w:cs="宋体"/>
          <w:b/>
          <w:bCs/>
          <w:spacing w:val="-4"/>
          <w:sz w:val="24"/>
          <w:szCs w:val="24"/>
        </w:rPr>
        <w:t>附表</w:t>
      </w:r>
      <w:r>
        <w:rPr>
          <w:rFonts w:ascii="宋体" w:hAnsi="宋体" w:eastAsia="宋体" w:cs="宋体"/>
          <w:spacing w:val="-44"/>
          <w:sz w:val="24"/>
          <w:szCs w:val="24"/>
        </w:rPr>
        <w:t xml:space="preserve"> </w:t>
      </w:r>
      <w:r>
        <w:rPr>
          <w:rFonts w:ascii="Times New Roman" w:hAnsi="Times New Roman" w:eastAsia="Times New Roman" w:cs="Times New Roman"/>
          <w:b/>
          <w:bCs/>
          <w:spacing w:val="-4"/>
          <w:sz w:val="24"/>
          <w:szCs w:val="24"/>
        </w:rPr>
        <w:t xml:space="preserve">1 </w:t>
      </w:r>
      <w:r>
        <w:rPr>
          <w:rFonts w:ascii="宋体" w:hAnsi="宋体" w:eastAsia="宋体" w:cs="宋体"/>
          <w:b/>
          <w:bCs/>
          <w:spacing w:val="-4"/>
          <w:sz w:val="24"/>
          <w:szCs w:val="24"/>
        </w:rPr>
        <w:t>建设项目大气环境影响评价自查表</w:t>
      </w:r>
    </w:p>
    <w:p w14:paraId="7ECC6640">
      <w:pPr>
        <w:spacing w:line="81" w:lineRule="exact"/>
      </w:pPr>
    </w:p>
    <w:tbl>
      <w:tblPr>
        <w:tblStyle w:val="5"/>
        <w:tblW w:w="950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2"/>
        <w:gridCol w:w="1767"/>
        <w:gridCol w:w="1022"/>
        <w:gridCol w:w="393"/>
        <w:gridCol w:w="120"/>
        <w:gridCol w:w="273"/>
        <w:gridCol w:w="132"/>
        <w:gridCol w:w="122"/>
        <w:gridCol w:w="588"/>
        <w:gridCol w:w="277"/>
        <w:gridCol w:w="122"/>
        <w:gridCol w:w="110"/>
        <w:gridCol w:w="126"/>
        <w:gridCol w:w="413"/>
        <w:gridCol w:w="436"/>
        <w:gridCol w:w="189"/>
        <w:gridCol w:w="648"/>
        <w:gridCol w:w="197"/>
        <w:gridCol w:w="246"/>
        <w:gridCol w:w="510"/>
        <w:gridCol w:w="770"/>
      </w:tblGrid>
      <w:tr w14:paraId="12EC8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809" w:type="dxa"/>
            <w:gridSpan w:val="2"/>
            <w:tcBorders>
              <w:top w:val="single" w:color="000000" w:sz="10" w:space="0"/>
              <w:left w:val="single" w:color="000000" w:sz="10" w:space="0"/>
            </w:tcBorders>
            <w:vAlign w:val="top"/>
          </w:tcPr>
          <w:p w14:paraId="15838053">
            <w:pPr>
              <w:pStyle w:val="6"/>
              <w:spacing w:before="78" w:line="220" w:lineRule="auto"/>
              <w:ind w:left="829"/>
              <w:rPr>
                <w:sz w:val="18"/>
                <w:szCs w:val="18"/>
              </w:rPr>
            </w:pPr>
            <w:r>
              <w:rPr>
                <w:spacing w:val="-3"/>
                <w:sz w:val="18"/>
                <w:szCs w:val="18"/>
              </w:rPr>
              <w:t>工作内容</w:t>
            </w:r>
          </w:p>
        </w:tc>
        <w:tc>
          <w:tcPr>
            <w:tcW w:w="6694" w:type="dxa"/>
            <w:gridSpan w:val="19"/>
            <w:tcBorders>
              <w:top w:val="single" w:color="000000" w:sz="10" w:space="0"/>
              <w:right w:val="single" w:color="000000" w:sz="10" w:space="0"/>
            </w:tcBorders>
            <w:vAlign w:val="top"/>
          </w:tcPr>
          <w:p w14:paraId="0A4EEC7F">
            <w:pPr>
              <w:pStyle w:val="6"/>
              <w:spacing w:before="78" w:line="221" w:lineRule="auto"/>
              <w:ind w:left="3011"/>
              <w:rPr>
                <w:sz w:val="18"/>
                <w:szCs w:val="18"/>
              </w:rPr>
            </w:pPr>
            <w:r>
              <w:rPr>
                <w:spacing w:val="-10"/>
                <w:sz w:val="18"/>
                <w:szCs w:val="18"/>
              </w:rPr>
              <w:t>自查项目</w:t>
            </w:r>
          </w:p>
        </w:tc>
      </w:tr>
      <w:tr w14:paraId="33BC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restart"/>
            <w:tcBorders>
              <w:left w:val="single" w:color="000000" w:sz="10" w:space="0"/>
              <w:bottom w:val="nil"/>
            </w:tcBorders>
            <w:vAlign w:val="top"/>
          </w:tcPr>
          <w:p w14:paraId="7ED6033E">
            <w:pPr>
              <w:pStyle w:val="6"/>
              <w:spacing w:before="78" w:line="219" w:lineRule="auto"/>
              <w:ind w:left="63"/>
              <w:rPr>
                <w:sz w:val="18"/>
                <w:szCs w:val="18"/>
              </w:rPr>
            </w:pPr>
            <w:r>
              <w:rPr>
                <w:spacing w:val="-2"/>
                <w:sz w:val="18"/>
                <w:szCs w:val="18"/>
              </w:rPr>
              <w:t>评价等级与</w:t>
            </w:r>
          </w:p>
          <w:p w14:paraId="3519FAF9">
            <w:pPr>
              <w:pStyle w:val="6"/>
              <w:spacing w:before="113" w:line="221" w:lineRule="auto"/>
              <w:ind w:left="339"/>
              <w:rPr>
                <w:sz w:val="18"/>
                <w:szCs w:val="18"/>
              </w:rPr>
            </w:pPr>
            <w:r>
              <w:rPr>
                <w:spacing w:val="-6"/>
                <w:sz w:val="18"/>
                <w:szCs w:val="18"/>
              </w:rPr>
              <w:t>范围</w:t>
            </w:r>
          </w:p>
        </w:tc>
        <w:tc>
          <w:tcPr>
            <w:tcW w:w="1767" w:type="dxa"/>
            <w:vAlign w:val="top"/>
          </w:tcPr>
          <w:p w14:paraId="43D3E264">
            <w:pPr>
              <w:pStyle w:val="6"/>
              <w:spacing w:before="71" w:line="219" w:lineRule="auto"/>
              <w:ind w:left="516"/>
              <w:rPr>
                <w:sz w:val="18"/>
                <w:szCs w:val="18"/>
              </w:rPr>
            </w:pPr>
            <w:r>
              <w:rPr>
                <w:spacing w:val="-2"/>
                <w:sz w:val="18"/>
                <w:szCs w:val="18"/>
              </w:rPr>
              <w:t>评价等级</w:t>
            </w:r>
          </w:p>
        </w:tc>
        <w:tc>
          <w:tcPr>
            <w:tcW w:w="2650" w:type="dxa"/>
            <w:gridSpan w:val="7"/>
            <w:vAlign w:val="top"/>
          </w:tcPr>
          <w:p w14:paraId="22917553">
            <w:pPr>
              <w:pStyle w:val="6"/>
              <w:spacing w:before="71" w:line="222" w:lineRule="auto"/>
              <w:ind w:left="1093"/>
              <w:rPr>
                <w:rFonts w:ascii="Times New Roman" w:hAnsi="Times New Roman" w:eastAsia="Times New Roman" w:cs="Times New Roman"/>
                <w:sz w:val="18"/>
                <w:szCs w:val="18"/>
              </w:rPr>
            </w:pPr>
            <w:r>
              <w:rPr>
                <w:spacing w:val="-4"/>
                <w:sz w:val="18"/>
                <w:szCs w:val="18"/>
              </w:rPr>
              <w:t>一级</w:t>
            </w:r>
            <w:r>
              <w:rPr>
                <w:rFonts w:ascii="Times New Roman" w:hAnsi="Times New Roman" w:eastAsia="Times New Roman" w:cs="Times New Roman"/>
                <w:spacing w:val="-4"/>
                <w:sz w:val="18"/>
                <w:szCs w:val="18"/>
              </w:rPr>
              <w:t>□</w:t>
            </w:r>
          </w:p>
        </w:tc>
        <w:tc>
          <w:tcPr>
            <w:tcW w:w="2321" w:type="dxa"/>
            <w:gridSpan w:val="8"/>
            <w:vAlign w:val="top"/>
          </w:tcPr>
          <w:p w14:paraId="41EFAF14">
            <w:pPr>
              <w:pStyle w:val="6"/>
              <w:spacing w:before="62" w:line="227" w:lineRule="auto"/>
              <w:ind w:left="910"/>
              <w:rPr>
                <w:sz w:val="18"/>
                <w:szCs w:val="18"/>
              </w:rPr>
            </w:pPr>
            <w:r>
              <w:rPr>
                <w:spacing w:val="-5"/>
                <w:sz w:val="18"/>
                <w:szCs w:val="18"/>
              </w:rPr>
              <w:t>二级</w:t>
            </w:r>
            <w:r>
              <w:rPr>
                <w:position w:val="-3"/>
                <w:sz w:val="18"/>
                <w:szCs w:val="18"/>
              </w:rPr>
              <w:drawing>
                <wp:inline distT="0" distB="0" distL="0" distR="0">
                  <wp:extent cx="100330" cy="1263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37"/>
                          <a:stretch>
                            <a:fillRect/>
                          </a:stretch>
                        </pic:blipFill>
                        <pic:spPr>
                          <a:xfrm>
                            <a:off x="0" y="0"/>
                            <a:ext cx="100584" cy="126644"/>
                          </a:xfrm>
                          <a:prstGeom prst="rect">
                            <a:avLst/>
                          </a:prstGeom>
                        </pic:spPr>
                      </pic:pic>
                    </a:graphicData>
                  </a:graphic>
                </wp:inline>
              </w:drawing>
            </w:r>
          </w:p>
        </w:tc>
        <w:tc>
          <w:tcPr>
            <w:tcW w:w="1723" w:type="dxa"/>
            <w:gridSpan w:val="4"/>
            <w:tcBorders>
              <w:right w:val="single" w:color="000000" w:sz="10" w:space="0"/>
            </w:tcBorders>
            <w:vAlign w:val="top"/>
          </w:tcPr>
          <w:p w14:paraId="6A0FE4F9">
            <w:pPr>
              <w:pStyle w:val="6"/>
              <w:spacing w:before="71" w:line="222" w:lineRule="auto"/>
              <w:ind w:left="629"/>
              <w:rPr>
                <w:rFonts w:ascii="Times New Roman" w:hAnsi="Times New Roman" w:eastAsia="Times New Roman" w:cs="Times New Roman"/>
                <w:sz w:val="18"/>
                <w:szCs w:val="18"/>
              </w:rPr>
            </w:pPr>
            <w:r>
              <w:rPr>
                <w:spacing w:val="-3"/>
                <w:sz w:val="18"/>
                <w:szCs w:val="18"/>
              </w:rPr>
              <w:t>三级</w:t>
            </w:r>
            <w:r>
              <w:rPr>
                <w:rFonts w:ascii="Times New Roman" w:hAnsi="Times New Roman" w:eastAsia="Times New Roman" w:cs="Times New Roman"/>
                <w:spacing w:val="-3"/>
                <w:sz w:val="18"/>
                <w:szCs w:val="18"/>
              </w:rPr>
              <w:t>□</w:t>
            </w:r>
          </w:p>
        </w:tc>
      </w:tr>
      <w:tr w14:paraId="66959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1186A7BE">
            <w:pPr>
              <w:rPr>
                <w:rFonts w:ascii="Arial"/>
                <w:sz w:val="21"/>
              </w:rPr>
            </w:pPr>
          </w:p>
        </w:tc>
        <w:tc>
          <w:tcPr>
            <w:tcW w:w="1767" w:type="dxa"/>
            <w:vAlign w:val="top"/>
          </w:tcPr>
          <w:p w14:paraId="2965877A">
            <w:pPr>
              <w:pStyle w:val="6"/>
              <w:spacing w:before="72" w:line="219" w:lineRule="auto"/>
              <w:ind w:left="516"/>
              <w:rPr>
                <w:sz w:val="18"/>
                <w:szCs w:val="18"/>
              </w:rPr>
            </w:pPr>
            <w:r>
              <w:rPr>
                <w:spacing w:val="-2"/>
                <w:sz w:val="18"/>
                <w:szCs w:val="18"/>
              </w:rPr>
              <w:t>评价范围</w:t>
            </w:r>
          </w:p>
        </w:tc>
        <w:tc>
          <w:tcPr>
            <w:tcW w:w="2650" w:type="dxa"/>
            <w:gridSpan w:val="7"/>
            <w:vAlign w:val="top"/>
          </w:tcPr>
          <w:p w14:paraId="4774010B">
            <w:pPr>
              <w:pStyle w:val="6"/>
              <w:spacing w:before="45" w:line="274" w:lineRule="exact"/>
              <w:ind w:left="835"/>
              <w:rPr>
                <w:rFonts w:ascii="Times New Roman" w:hAnsi="Times New Roman" w:eastAsia="Times New Roman" w:cs="Times New Roman"/>
                <w:sz w:val="18"/>
                <w:szCs w:val="18"/>
              </w:rPr>
            </w:pPr>
            <w:r>
              <w:rPr>
                <w:spacing w:val="-1"/>
                <w:position w:val="2"/>
                <w:sz w:val="18"/>
                <w:szCs w:val="18"/>
              </w:rPr>
              <w:t>边长</w:t>
            </w:r>
            <w:r>
              <w:rPr>
                <w:rFonts w:ascii="Times New Roman" w:hAnsi="Times New Roman" w:eastAsia="Times New Roman" w:cs="Times New Roman"/>
                <w:spacing w:val="-1"/>
                <w:position w:val="2"/>
                <w:sz w:val="18"/>
                <w:szCs w:val="18"/>
              </w:rPr>
              <w:t>=50km□</w:t>
            </w:r>
          </w:p>
        </w:tc>
        <w:tc>
          <w:tcPr>
            <w:tcW w:w="2321" w:type="dxa"/>
            <w:gridSpan w:val="8"/>
            <w:vAlign w:val="top"/>
          </w:tcPr>
          <w:p w14:paraId="4D67FC6D">
            <w:pPr>
              <w:pStyle w:val="6"/>
              <w:spacing w:before="45" w:line="274" w:lineRule="exact"/>
              <w:ind w:left="571"/>
              <w:rPr>
                <w:rFonts w:ascii="Times New Roman" w:hAnsi="Times New Roman" w:eastAsia="Times New Roman" w:cs="Times New Roman"/>
                <w:sz w:val="18"/>
                <w:szCs w:val="18"/>
              </w:rPr>
            </w:pPr>
            <w:r>
              <w:rPr>
                <w:spacing w:val="-2"/>
                <w:position w:val="2"/>
                <w:sz w:val="18"/>
                <w:szCs w:val="18"/>
              </w:rPr>
              <w:t>边长</w:t>
            </w:r>
            <w:r>
              <w:rPr>
                <w:spacing w:val="-35"/>
                <w:position w:val="2"/>
                <w:sz w:val="18"/>
                <w:szCs w:val="18"/>
              </w:rPr>
              <w:t xml:space="preserve"> </w:t>
            </w:r>
            <w:r>
              <w:rPr>
                <w:rFonts w:ascii="Times New Roman" w:hAnsi="Times New Roman" w:eastAsia="Times New Roman" w:cs="Times New Roman"/>
                <w:spacing w:val="-2"/>
                <w:position w:val="2"/>
                <w:sz w:val="18"/>
                <w:szCs w:val="18"/>
              </w:rPr>
              <w:t>5</w:t>
            </w:r>
            <w:r>
              <w:rPr>
                <w:spacing w:val="-2"/>
                <w:position w:val="2"/>
                <w:sz w:val="18"/>
                <w:szCs w:val="18"/>
              </w:rPr>
              <w:t>～</w:t>
            </w:r>
            <w:r>
              <w:rPr>
                <w:rFonts w:ascii="Times New Roman" w:hAnsi="Times New Roman" w:eastAsia="Times New Roman" w:cs="Times New Roman"/>
                <w:spacing w:val="-2"/>
                <w:position w:val="2"/>
                <w:sz w:val="18"/>
                <w:szCs w:val="18"/>
              </w:rPr>
              <w:t>50km□</w:t>
            </w:r>
          </w:p>
        </w:tc>
        <w:tc>
          <w:tcPr>
            <w:tcW w:w="1723" w:type="dxa"/>
            <w:gridSpan w:val="4"/>
            <w:tcBorders>
              <w:right w:val="single" w:color="000000" w:sz="10" w:space="0"/>
            </w:tcBorders>
            <w:vAlign w:val="top"/>
          </w:tcPr>
          <w:p w14:paraId="7AD77449">
            <w:pPr>
              <w:pStyle w:val="6"/>
              <w:spacing w:before="45" w:line="259" w:lineRule="exact"/>
              <w:ind w:left="391"/>
              <w:rPr>
                <w:sz w:val="18"/>
                <w:szCs w:val="18"/>
              </w:rPr>
            </w:pPr>
            <w:r>
              <w:rPr>
                <w:spacing w:val="-2"/>
                <w:position w:val="1"/>
                <w:sz w:val="18"/>
                <w:szCs w:val="18"/>
              </w:rPr>
              <w:t>边长</w:t>
            </w:r>
            <w:r>
              <w:rPr>
                <w:rFonts w:ascii="Times New Roman" w:hAnsi="Times New Roman" w:eastAsia="Times New Roman" w:cs="Times New Roman"/>
                <w:spacing w:val="-2"/>
                <w:position w:val="1"/>
                <w:sz w:val="18"/>
                <w:szCs w:val="18"/>
              </w:rPr>
              <w:t>=5km</w:t>
            </w:r>
            <w:r>
              <w:rPr>
                <w:rFonts w:ascii="Times New Roman" w:hAnsi="Times New Roman" w:eastAsia="Times New Roman" w:cs="Times New Roman"/>
                <w:spacing w:val="-25"/>
                <w:position w:val="1"/>
                <w:sz w:val="18"/>
                <w:szCs w:val="18"/>
              </w:rPr>
              <w:t xml:space="preserve"> </w:t>
            </w:r>
            <w:r>
              <w:rPr>
                <w:position w:val="-2"/>
                <w:sz w:val="18"/>
                <w:szCs w:val="18"/>
              </w:rPr>
              <w:drawing>
                <wp:inline distT="0" distB="0" distL="0" distR="0">
                  <wp:extent cx="90805" cy="1263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38"/>
                          <a:stretch>
                            <a:fillRect/>
                          </a:stretch>
                        </pic:blipFill>
                        <pic:spPr>
                          <a:xfrm>
                            <a:off x="0" y="0"/>
                            <a:ext cx="90982" cy="126644"/>
                          </a:xfrm>
                          <a:prstGeom prst="rect">
                            <a:avLst/>
                          </a:prstGeom>
                        </pic:spPr>
                      </pic:pic>
                    </a:graphicData>
                  </a:graphic>
                </wp:inline>
              </w:drawing>
            </w:r>
          </w:p>
        </w:tc>
      </w:tr>
      <w:tr w14:paraId="3582F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restart"/>
            <w:tcBorders>
              <w:left w:val="single" w:color="000000" w:sz="10" w:space="0"/>
              <w:bottom w:val="nil"/>
            </w:tcBorders>
            <w:vAlign w:val="top"/>
          </w:tcPr>
          <w:p w14:paraId="1B59C10F">
            <w:pPr>
              <w:spacing w:line="345" w:lineRule="auto"/>
              <w:rPr>
                <w:rFonts w:ascii="Arial"/>
                <w:sz w:val="21"/>
              </w:rPr>
            </w:pPr>
          </w:p>
          <w:p w14:paraId="7883B177">
            <w:pPr>
              <w:pStyle w:val="6"/>
              <w:spacing w:before="59" w:line="219" w:lineRule="auto"/>
              <w:ind w:left="154"/>
              <w:rPr>
                <w:sz w:val="18"/>
                <w:szCs w:val="18"/>
              </w:rPr>
            </w:pPr>
            <w:r>
              <w:rPr>
                <w:spacing w:val="-2"/>
                <w:sz w:val="18"/>
                <w:szCs w:val="18"/>
              </w:rPr>
              <w:t>评价因子</w:t>
            </w:r>
          </w:p>
        </w:tc>
        <w:tc>
          <w:tcPr>
            <w:tcW w:w="1767" w:type="dxa"/>
            <w:vAlign w:val="top"/>
          </w:tcPr>
          <w:p w14:paraId="39D54DD8">
            <w:pPr>
              <w:pStyle w:val="6"/>
              <w:spacing w:before="56" w:line="263" w:lineRule="exact"/>
              <w:ind w:left="166"/>
              <w:rPr>
                <w:sz w:val="18"/>
                <w:szCs w:val="18"/>
              </w:rPr>
            </w:pPr>
            <w:r>
              <w:rPr>
                <w:rFonts w:ascii="Times New Roman" w:hAnsi="Times New Roman" w:eastAsia="Times New Roman" w:cs="Times New Roman"/>
                <w:spacing w:val="-1"/>
                <w:position w:val="1"/>
                <w:sz w:val="18"/>
                <w:szCs w:val="18"/>
              </w:rPr>
              <w:t>SO2 +NO</w:t>
            </w:r>
            <w:r>
              <w:rPr>
                <w:rFonts w:ascii="Times New Roman" w:hAnsi="Times New Roman" w:eastAsia="Times New Roman" w:cs="Times New Roman"/>
                <w:i/>
                <w:iCs/>
                <w:spacing w:val="-1"/>
                <w:position w:val="1"/>
                <w:sz w:val="18"/>
                <w:szCs w:val="18"/>
              </w:rPr>
              <w:t xml:space="preserve">x  </w:t>
            </w:r>
            <w:r>
              <w:rPr>
                <w:spacing w:val="-1"/>
                <w:position w:val="1"/>
                <w:sz w:val="18"/>
                <w:szCs w:val="18"/>
              </w:rPr>
              <w:t>排放量</w:t>
            </w:r>
          </w:p>
        </w:tc>
        <w:tc>
          <w:tcPr>
            <w:tcW w:w="1415" w:type="dxa"/>
            <w:gridSpan w:val="2"/>
            <w:vAlign w:val="top"/>
          </w:tcPr>
          <w:p w14:paraId="19B9E6B5">
            <w:pPr>
              <w:spacing w:before="46" w:line="236" w:lineRule="exact"/>
              <w:ind w:left="305"/>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 2000t/a□</w:t>
            </w:r>
          </w:p>
        </w:tc>
        <w:tc>
          <w:tcPr>
            <w:tcW w:w="3556" w:type="dxa"/>
            <w:gridSpan w:val="13"/>
            <w:vAlign w:val="top"/>
          </w:tcPr>
          <w:p w14:paraId="646D46F0">
            <w:pPr>
              <w:spacing w:before="46" w:line="236" w:lineRule="exact"/>
              <w:ind w:left="12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500 ~ 2000t/a□</w:t>
            </w:r>
          </w:p>
        </w:tc>
        <w:tc>
          <w:tcPr>
            <w:tcW w:w="1723" w:type="dxa"/>
            <w:gridSpan w:val="4"/>
            <w:tcBorders>
              <w:right w:val="single" w:color="000000" w:sz="10" w:space="0"/>
            </w:tcBorders>
            <w:vAlign w:val="top"/>
          </w:tcPr>
          <w:p w14:paraId="4F8ABC75">
            <w:pPr>
              <w:pStyle w:val="6"/>
              <w:spacing w:before="46" w:line="259" w:lineRule="exact"/>
              <w:ind w:left="460"/>
              <w:rPr>
                <w:sz w:val="18"/>
                <w:szCs w:val="18"/>
              </w:rPr>
            </w:pPr>
            <w:r>
              <w:rPr>
                <w:spacing w:val="8"/>
                <w:position w:val="1"/>
                <w:sz w:val="18"/>
                <w:szCs w:val="18"/>
              </w:rPr>
              <w:t>&lt;</w:t>
            </w:r>
            <w:r>
              <w:rPr>
                <w:rFonts w:ascii="Times New Roman" w:hAnsi="Times New Roman" w:eastAsia="Times New Roman" w:cs="Times New Roman"/>
                <w:spacing w:val="8"/>
                <w:position w:val="1"/>
                <w:sz w:val="18"/>
                <w:szCs w:val="18"/>
              </w:rPr>
              <w:t>500 t/a</w:t>
            </w:r>
            <w:r>
              <w:rPr>
                <w:position w:val="-2"/>
                <w:sz w:val="18"/>
                <w:szCs w:val="18"/>
              </w:rPr>
              <w:drawing>
                <wp:inline distT="0" distB="0" distL="0" distR="0">
                  <wp:extent cx="99695" cy="12636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37"/>
                          <a:stretch>
                            <a:fillRect/>
                          </a:stretch>
                        </pic:blipFill>
                        <pic:spPr>
                          <a:xfrm>
                            <a:off x="0" y="0"/>
                            <a:ext cx="100252" cy="126644"/>
                          </a:xfrm>
                          <a:prstGeom prst="rect">
                            <a:avLst/>
                          </a:prstGeom>
                        </pic:spPr>
                      </pic:pic>
                    </a:graphicData>
                  </a:graphic>
                </wp:inline>
              </w:drawing>
            </w:r>
          </w:p>
        </w:tc>
      </w:tr>
      <w:tr w14:paraId="5D4F0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tcBorders>
            <w:vAlign w:val="top"/>
          </w:tcPr>
          <w:p w14:paraId="434596CC">
            <w:pPr>
              <w:rPr>
                <w:rFonts w:ascii="Arial"/>
                <w:sz w:val="21"/>
              </w:rPr>
            </w:pPr>
          </w:p>
        </w:tc>
        <w:tc>
          <w:tcPr>
            <w:tcW w:w="1767" w:type="dxa"/>
            <w:vAlign w:val="top"/>
          </w:tcPr>
          <w:p w14:paraId="6FEA0AFE">
            <w:pPr>
              <w:pStyle w:val="6"/>
              <w:spacing w:before="236" w:line="219" w:lineRule="auto"/>
              <w:ind w:left="516"/>
              <w:rPr>
                <w:sz w:val="18"/>
                <w:szCs w:val="18"/>
              </w:rPr>
            </w:pPr>
            <w:r>
              <w:rPr>
                <w:spacing w:val="-2"/>
                <w:sz w:val="18"/>
                <w:szCs w:val="18"/>
              </w:rPr>
              <w:t>评价因子</w:t>
            </w:r>
          </w:p>
        </w:tc>
        <w:tc>
          <w:tcPr>
            <w:tcW w:w="3698" w:type="dxa"/>
            <w:gridSpan w:val="12"/>
            <w:vAlign w:val="top"/>
          </w:tcPr>
          <w:p w14:paraId="5ADBEF3B">
            <w:pPr>
              <w:pStyle w:val="6"/>
              <w:spacing w:before="47" w:line="250" w:lineRule="exact"/>
              <w:ind w:right="2"/>
              <w:jc w:val="right"/>
              <w:rPr>
                <w:rFonts w:ascii="Times New Roman" w:hAnsi="Times New Roman" w:eastAsia="Times New Roman" w:cs="Times New Roman"/>
                <w:sz w:val="18"/>
                <w:szCs w:val="18"/>
              </w:rPr>
            </w:pPr>
            <w:r>
              <w:rPr>
                <w:spacing w:val="-3"/>
                <w:position w:val="2"/>
                <w:sz w:val="18"/>
                <w:szCs w:val="18"/>
              </w:rPr>
              <w:t>基本污染物</w:t>
            </w:r>
            <w:r>
              <w:rPr>
                <w:rFonts w:ascii="Times New Roman" w:hAnsi="Times New Roman" w:eastAsia="Times New Roman" w:cs="Times New Roman"/>
                <w:spacing w:val="-3"/>
                <w:position w:val="2"/>
                <w:sz w:val="18"/>
                <w:szCs w:val="18"/>
              </w:rPr>
              <w:t>(SO</w:t>
            </w:r>
            <w:r>
              <w:rPr>
                <w:rFonts w:ascii="Times New Roman" w:hAnsi="Times New Roman" w:eastAsia="Times New Roman" w:cs="Times New Roman"/>
                <w:spacing w:val="-3"/>
                <w:position w:val="1"/>
                <w:sz w:val="11"/>
                <w:szCs w:val="11"/>
              </w:rPr>
              <w:t>2</w:t>
            </w:r>
            <w:r>
              <w:rPr>
                <w:rFonts w:ascii="Times New Roman" w:hAnsi="Times New Roman" w:eastAsia="Times New Roman" w:cs="Times New Roman"/>
                <w:spacing w:val="-5"/>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NO</w:t>
            </w:r>
            <w:r>
              <w:rPr>
                <w:rFonts w:ascii="Times New Roman" w:hAnsi="Times New Roman" w:eastAsia="Times New Roman" w:cs="Times New Roman"/>
                <w:spacing w:val="-3"/>
                <w:position w:val="1"/>
                <w:sz w:val="11"/>
                <w:szCs w:val="11"/>
              </w:rPr>
              <w:t>X</w:t>
            </w:r>
            <w:r>
              <w:rPr>
                <w:rFonts w:ascii="Times New Roman" w:hAnsi="Times New Roman" w:eastAsia="Times New Roman" w:cs="Times New Roman"/>
                <w:spacing w:val="-10"/>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PM</w:t>
            </w:r>
            <w:r>
              <w:rPr>
                <w:rFonts w:ascii="Times New Roman" w:hAnsi="Times New Roman" w:eastAsia="Times New Roman" w:cs="Times New Roman"/>
                <w:spacing w:val="-3"/>
                <w:position w:val="1"/>
                <w:sz w:val="11"/>
                <w:szCs w:val="11"/>
              </w:rPr>
              <w:t>10</w:t>
            </w:r>
            <w:r>
              <w:rPr>
                <w:rFonts w:ascii="Times New Roman" w:hAnsi="Times New Roman" w:eastAsia="Times New Roman" w:cs="Times New Roman"/>
                <w:spacing w:val="-7"/>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T</w:t>
            </w:r>
            <w:r>
              <w:rPr>
                <w:rFonts w:ascii="Times New Roman" w:hAnsi="Times New Roman" w:eastAsia="Times New Roman" w:cs="Times New Roman"/>
                <w:spacing w:val="-4"/>
                <w:position w:val="2"/>
                <w:sz w:val="18"/>
                <w:szCs w:val="18"/>
              </w:rPr>
              <w:t>SP</w:t>
            </w:r>
            <w:r>
              <w:rPr>
                <w:rFonts w:ascii="Times New Roman" w:hAnsi="Times New Roman" w:eastAsia="Times New Roman" w:cs="Times New Roman"/>
                <w:spacing w:val="-23"/>
                <w:position w:val="2"/>
                <w:sz w:val="18"/>
                <w:szCs w:val="18"/>
              </w:rPr>
              <w:t xml:space="preserve"> </w:t>
            </w:r>
            <w:r>
              <w:rPr>
                <w:spacing w:val="-4"/>
                <w:position w:val="2"/>
                <w:sz w:val="18"/>
                <w:szCs w:val="18"/>
              </w:rPr>
              <w:t>、</w:t>
            </w:r>
            <w:r>
              <w:rPr>
                <w:rFonts w:ascii="Times New Roman" w:hAnsi="Times New Roman" w:eastAsia="Times New Roman" w:cs="Times New Roman"/>
                <w:spacing w:val="-4"/>
                <w:position w:val="2"/>
                <w:sz w:val="18"/>
                <w:szCs w:val="18"/>
              </w:rPr>
              <w:t>CO</w:t>
            </w:r>
            <w:r>
              <w:rPr>
                <w:rFonts w:ascii="Times New Roman" w:hAnsi="Times New Roman" w:eastAsia="Times New Roman" w:cs="Times New Roman"/>
                <w:spacing w:val="-25"/>
                <w:position w:val="2"/>
                <w:sz w:val="18"/>
                <w:szCs w:val="18"/>
              </w:rPr>
              <w:t xml:space="preserve"> </w:t>
            </w:r>
            <w:r>
              <w:rPr>
                <w:spacing w:val="-4"/>
                <w:position w:val="2"/>
                <w:sz w:val="18"/>
                <w:szCs w:val="18"/>
              </w:rPr>
              <w:t>、</w:t>
            </w:r>
            <w:r>
              <w:rPr>
                <w:rFonts w:ascii="Times New Roman" w:hAnsi="Times New Roman" w:eastAsia="Times New Roman" w:cs="Times New Roman"/>
                <w:spacing w:val="-4"/>
                <w:position w:val="2"/>
                <w:sz w:val="18"/>
                <w:szCs w:val="18"/>
              </w:rPr>
              <w:t>O</w:t>
            </w:r>
            <w:r>
              <w:rPr>
                <w:rFonts w:ascii="Times New Roman" w:hAnsi="Times New Roman" w:eastAsia="Times New Roman" w:cs="Times New Roman"/>
                <w:spacing w:val="-4"/>
                <w:position w:val="1"/>
                <w:sz w:val="11"/>
                <w:szCs w:val="11"/>
              </w:rPr>
              <w:t>3</w:t>
            </w:r>
            <w:r>
              <w:rPr>
                <w:rFonts w:ascii="Times New Roman" w:hAnsi="Times New Roman" w:eastAsia="Times New Roman" w:cs="Times New Roman"/>
                <w:spacing w:val="-4"/>
                <w:position w:val="2"/>
                <w:sz w:val="18"/>
                <w:szCs w:val="18"/>
              </w:rPr>
              <w:t>)</w:t>
            </w:r>
          </w:p>
          <w:p w14:paraId="1B073925">
            <w:pPr>
              <w:pStyle w:val="6"/>
              <w:spacing w:before="76" w:line="250" w:lineRule="exact"/>
              <w:ind w:left="501"/>
              <w:rPr>
                <w:rFonts w:ascii="Times New Roman" w:hAnsi="Times New Roman" w:eastAsia="Times New Roman" w:cs="Times New Roman"/>
                <w:sz w:val="18"/>
                <w:szCs w:val="18"/>
              </w:rPr>
            </w:pPr>
            <w:r>
              <w:rPr>
                <w:spacing w:val="-3"/>
                <w:position w:val="2"/>
                <w:sz w:val="18"/>
                <w:szCs w:val="18"/>
              </w:rPr>
              <w:t>其他污染物</w:t>
            </w:r>
            <w:r>
              <w:rPr>
                <w:rFonts w:ascii="Times New Roman" w:hAnsi="Times New Roman" w:eastAsia="Times New Roman" w:cs="Times New Roman"/>
                <w:spacing w:val="-3"/>
                <w:position w:val="2"/>
                <w:sz w:val="18"/>
                <w:szCs w:val="18"/>
              </w:rPr>
              <w:t>(NH</w:t>
            </w:r>
            <w:r>
              <w:rPr>
                <w:rFonts w:ascii="Times New Roman" w:hAnsi="Times New Roman" w:eastAsia="Times New Roman" w:cs="Times New Roman"/>
                <w:spacing w:val="-3"/>
                <w:position w:val="1"/>
                <w:sz w:val="11"/>
                <w:szCs w:val="11"/>
              </w:rPr>
              <w:t>3</w:t>
            </w:r>
            <w:r>
              <w:rPr>
                <w:rFonts w:ascii="Times New Roman" w:hAnsi="Times New Roman" w:eastAsia="Times New Roman" w:cs="Times New Roman"/>
                <w:spacing w:val="5"/>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H</w:t>
            </w:r>
            <w:r>
              <w:rPr>
                <w:rFonts w:ascii="Times New Roman" w:hAnsi="Times New Roman" w:eastAsia="Times New Roman" w:cs="Times New Roman"/>
                <w:spacing w:val="-3"/>
                <w:position w:val="1"/>
                <w:sz w:val="11"/>
                <w:szCs w:val="11"/>
              </w:rPr>
              <w:t>2</w:t>
            </w:r>
            <w:r>
              <w:rPr>
                <w:rFonts w:ascii="Times New Roman" w:hAnsi="Times New Roman" w:eastAsia="Times New Roman" w:cs="Times New Roman"/>
                <w:spacing w:val="-3"/>
                <w:position w:val="2"/>
                <w:sz w:val="18"/>
                <w:szCs w:val="18"/>
              </w:rPr>
              <w:t>S</w:t>
            </w:r>
            <w:r>
              <w:rPr>
                <w:rFonts w:ascii="Times New Roman" w:hAnsi="Times New Roman" w:eastAsia="Times New Roman" w:cs="Times New Roman"/>
                <w:spacing w:val="-25"/>
                <w:position w:val="2"/>
                <w:sz w:val="18"/>
                <w:szCs w:val="18"/>
              </w:rPr>
              <w:t xml:space="preserve"> </w:t>
            </w:r>
            <w:r>
              <w:rPr>
                <w:spacing w:val="-3"/>
                <w:position w:val="2"/>
                <w:sz w:val="18"/>
                <w:szCs w:val="18"/>
              </w:rPr>
              <w:t>、臭气浓度</w:t>
            </w:r>
            <w:r>
              <w:rPr>
                <w:rFonts w:ascii="Times New Roman" w:hAnsi="Times New Roman" w:eastAsia="Times New Roman" w:cs="Times New Roman"/>
                <w:spacing w:val="-3"/>
                <w:position w:val="2"/>
                <w:sz w:val="18"/>
                <w:szCs w:val="18"/>
              </w:rPr>
              <w:t>)</w:t>
            </w:r>
          </w:p>
        </w:tc>
        <w:tc>
          <w:tcPr>
            <w:tcW w:w="2996" w:type="dxa"/>
            <w:gridSpan w:val="7"/>
            <w:tcBorders>
              <w:right w:val="single" w:color="000000" w:sz="10" w:space="0"/>
            </w:tcBorders>
            <w:vAlign w:val="top"/>
          </w:tcPr>
          <w:p w14:paraId="48BA8631">
            <w:pPr>
              <w:pStyle w:val="6"/>
              <w:spacing w:before="57" w:line="302" w:lineRule="auto"/>
              <w:ind w:left="664" w:right="651" w:firstLine="112"/>
              <w:rPr>
                <w:sz w:val="18"/>
                <w:szCs w:val="18"/>
              </w:rPr>
            </w:pPr>
            <w:r>
              <w:rPr>
                <w:spacing w:val="6"/>
                <w:sz w:val="18"/>
                <w:szCs w:val="18"/>
              </w:rPr>
              <w:t>包括二次</w:t>
            </w:r>
            <w:r>
              <w:rPr>
                <w:spacing w:val="-17"/>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6"/>
                <w:sz w:val="18"/>
                <w:szCs w:val="18"/>
              </w:rPr>
              <w:t>2.5□</w:t>
            </w:r>
            <w:r>
              <w:rPr>
                <w:rFonts w:ascii="Times New Roman" w:hAnsi="Times New Roman" w:eastAsia="Times New Roman" w:cs="Times New Roman"/>
                <w:sz w:val="18"/>
                <w:szCs w:val="18"/>
              </w:rPr>
              <w:t xml:space="preserve">   </w:t>
            </w:r>
            <w:r>
              <w:rPr>
                <w:spacing w:val="6"/>
                <w:sz w:val="18"/>
                <w:szCs w:val="18"/>
              </w:rPr>
              <w:t>不包括二次</w:t>
            </w:r>
            <w:r>
              <w:rPr>
                <w:spacing w:val="-19"/>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6"/>
                <w:sz w:val="18"/>
                <w:szCs w:val="18"/>
              </w:rPr>
              <w:t>2.5</w:t>
            </w:r>
            <w:r>
              <w:rPr>
                <w:position w:val="-3"/>
                <w:sz w:val="18"/>
                <w:szCs w:val="18"/>
              </w:rPr>
              <w:drawing>
                <wp:inline distT="0" distB="0" distL="0" distR="0">
                  <wp:extent cx="99695" cy="12636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38"/>
                          <a:stretch>
                            <a:fillRect/>
                          </a:stretch>
                        </pic:blipFill>
                        <pic:spPr>
                          <a:xfrm>
                            <a:off x="0" y="0"/>
                            <a:ext cx="99833" cy="126644"/>
                          </a:xfrm>
                          <a:prstGeom prst="rect">
                            <a:avLst/>
                          </a:prstGeom>
                        </pic:spPr>
                      </pic:pic>
                    </a:graphicData>
                  </a:graphic>
                </wp:inline>
              </w:drawing>
            </w:r>
          </w:p>
        </w:tc>
      </w:tr>
      <w:tr w14:paraId="6D336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tcBorders>
              <w:left w:val="single" w:color="000000" w:sz="10" w:space="0"/>
            </w:tcBorders>
            <w:vAlign w:val="top"/>
          </w:tcPr>
          <w:p w14:paraId="7EEB8B7A">
            <w:pPr>
              <w:pStyle w:val="6"/>
              <w:spacing w:before="74" w:line="219" w:lineRule="auto"/>
              <w:ind w:left="154"/>
              <w:rPr>
                <w:sz w:val="18"/>
                <w:szCs w:val="18"/>
              </w:rPr>
            </w:pPr>
            <w:r>
              <w:rPr>
                <w:spacing w:val="-2"/>
                <w:sz w:val="18"/>
                <w:szCs w:val="18"/>
              </w:rPr>
              <w:t>评价标准</w:t>
            </w:r>
          </w:p>
        </w:tc>
        <w:tc>
          <w:tcPr>
            <w:tcW w:w="1767" w:type="dxa"/>
            <w:vAlign w:val="top"/>
          </w:tcPr>
          <w:p w14:paraId="49E5E1A9">
            <w:pPr>
              <w:pStyle w:val="6"/>
              <w:spacing w:before="74" w:line="219" w:lineRule="auto"/>
              <w:ind w:left="516"/>
              <w:rPr>
                <w:sz w:val="18"/>
                <w:szCs w:val="18"/>
              </w:rPr>
            </w:pPr>
            <w:r>
              <w:rPr>
                <w:spacing w:val="-2"/>
                <w:sz w:val="18"/>
                <w:szCs w:val="18"/>
              </w:rPr>
              <w:t>评价标准</w:t>
            </w:r>
          </w:p>
        </w:tc>
        <w:tc>
          <w:tcPr>
            <w:tcW w:w="2062" w:type="dxa"/>
            <w:gridSpan w:val="6"/>
            <w:vAlign w:val="top"/>
          </w:tcPr>
          <w:p w14:paraId="010628BA">
            <w:pPr>
              <w:pStyle w:val="6"/>
              <w:spacing w:before="68" w:line="227" w:lineRule="auto"/>
              <w:ind w:left="609"/>
              <w:rPr>
                <w:sz w:val="18"/>
                <w:szCs w:val="18"/>
              </w:rPr>
            </w:pPr>
            <w:r>
              <w:rPr>
                <w:spacing w:val="-7"/>
                <w:sz w:val="18"/>
                <w:szCs w:val="18"/>
              </w:rPr>
              <w:t>国家标准</w:t>
            </w:r>
            <w:r>
              <w:rPr>
                <w:position w:val="-3"/>
                <w:sz w:val="18"/>
                <w:szCs w:val="18"/>
              </w:rPr>
              <w:drawing>
                <wp:inline distT="0" distB="0" distL="0" distR="0">
                  <wp:extent cx="100330" cy="1263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39"/>
                          <a:stretch>
                            <a:fillRect/>
                          </a:stretch>
                        </pic:blipFill>
                        <pic:spPr>
                          <a:xfrm>
                            <a:off x="0" y="0"/>
                            <a:ext cx="100583" cy="126644"/>
                          </a:xfrm>
                          <a:prstGeom prst="rect">
                            <a:avLst/>
                          </a:prstGeom>
                        </pic:spPr>
                      </pic:pic>
                    </a:graphicData>
                  </a:graphic>
                </wp:inline>
              </w:drawing>
            </w:r>
          </w:p>
        </w:tc>
        <w:tc>
          <w:tcPr>
            <w:tcW w:w="1636" w:type="dxa"/>
            <w:gridSpan w:val="6"/>
            <w:vAlign w:val="top"/>
          </w:tcPr>
          <w:p w14:paraId="04538608">
            <w:pPr>
              <w:pStyle w:val="6"/>
              <w:spacing w:before="68" w:line="227" w:lineRule="auto"/>
              <w:ind w:left="382"/>
              <w:rPr>
                <w:sz w:val="18"/>
                <w:szCs w:val="18"/>
              </w:rPr>
            </w:pPr>
            <w:r>
              <w:rPr>
                <w:spacing w:val="-2"/>
                <w:sz w:val="18"/>
                <w:szCs w:val="18"/>
              </w:rPr>
              <w:t>地方标准</w:t>
            </w:r>
            <w:r>
              <w:rPr>
                <w:position w:val="-3"/>
                <w:sz w:val="18"/>
                <w:szCs w:val="18"/>
              </w:rPr>
              <w:drawing>
                <wp:inline distT="0" distB="0" distL="0" distR="0">
                  <wp:extent cx="100330" cy="12636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38"/>
                          <a:stretch>
                            <a:fillRect/>
                          </a:stretch>
                        </pic:blipFill>
                        <pic:spPr>
                          <a:xfrm>
                            <a:off x="0" y="0"/>
                            <a:ext cx="100584" cy="126644"/>
                          </a:xfrm>
                          <a:prstGeom prst="rect">
                            <a:avLst/>
                          </a:prstGeom>
                        </pic:spPr>
                      </pic:pic>
                    </a:graphicData>
                  </a:graphic>
                </wp:inline>
              </w:drawing>
            </w:r>
          </w:p>
        </w:tc>
        <w:tc>
          <w:tcPr>
            <w:tcW w:w="1716" w:type="dxa"/>
            <w:gridSpan w:val="5"/>
            <w:vAlign w:val="top"/>
          </w:tcPr>
          <w:p w14:paraId="72CAC3BC">
            <w:pPr>
              <w:pStyle w:val="6"/>
              <w:spacing w:before="68" w:line="227" w:lineRule="auto"/>
              <w:ind w:left="533"/>
              <w:rPr>
                <w:sz w:val="18"/>
                <w:szCs w:val="18"/>
              </w:rPr>
            </w:pPr>
            <w:r>
              <w:rPr>
                <w:spacing w:val="-9"/>
                <w:sz w:val="18"/>
                <w:szCs w:val="18"/>
              </w:rPr>
              <w:t>附录</w:t>
            </w:r>
            <w:r>
              <w:rPr>
                <w:spacing w:val="-40"/>
                <w:sz w:val="18"/>
                <w:szCs w:val="18"/>
              </w:rPr>
              <w:t xml:space="preserve"> </w:t>
            </w:r>
            <w:r>
              <w:rPr>
                <w:rFonts w:ascii="Times New Roman" w:hAnsi="Times New Roman" w:eastAsia="Times New Roman" w:cs="Times New Roman"/>
                <w:spacing w:val="-9"/>
                <w:sz w:val="18"/>
                <w:szCs w:val="18"/>
              </w:rPr>
              <w:t>D</w:t>
            </w:r>
            <w:r>
              <w:rPr>
                <w:position w:val="-3"/>
                <w:sz w:val="18"/>
                <w:szCs w:val="18"/>
              </w:rPr>
              <w:drawing>
                <wp:inline distT="0" distB="0" distL="0" distR="0">
                  <wp:extent cx="100330" cy="12636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38"/>
                          <a:stretch>
                            <a:fillRect/>
                          </a:stretch>
                        </pic:blipFill>
                        <pic:spPr>
                          <a:xfrm>
                            <a:off x="0" y="0"/>
                            <a:ext cx="100343" cy="126644"/>
                          </a:xfrm>
                          <a:prstGeom prst="rect">
                            <a:avLst/>
                          </a:prstGeom>
                        </pic:spPr>
                      </pic:pic>
                    </a:graphicData>
                  </a:graphic>
                </wp:inline>
              </w:drawing>
            </w:r>
          </w:p>
        </w:tc>
        <w:tc>
          <w:tcPr>
            <w:tcW w:w="1280" w:type="dxa"/>
            <w:gridSpan w:val="2"/>
            <w:tcBorders>
              <w:right w:val="single" w:color="000000" w:sz="10" w:space="0"/>
            </w:tcBorders>
            <w:vAlign w:val="top"/>
          </w:tcPr>
          <w:p w14:paraId="79495710">
            <w:pPr>
              <w:pStyle w:val="6"/>
              <w:spacing w:before="74" w:line="221" w:lineRule="auto"/>
              <w:ind w:left="227"/>
              <w:rPr>
                <w:rFonts w:ascii="Times New Roman" w:hAnsi="Times New Roman" w:eastAsia="Times New Roman" w:cs="Times New Roman"/>
                <w:sz w:val="18"/>
                <w:szCs w:val="18"/>
              </w:rPr>
            </w:pPr>
            <w:r>
              <w:rPr>
                <w:spacing w:val="-2"/>
                <w:sz w:val="18"/>
                <w:szCs w:val="18"/>
              </w:rPr>
              <w:t>其他标准</w:t>
            </w:r>
            <w:r>
              <w:rPr>
                <w:rFonts w:ascii="Times New Roman" w:hAnsi="Times New Roman" w:eastAsia="Times New Roman" w:cs="Times New Roman"/>
                <w:spacing w:val="-2"/>
                <w:sz w:val="18"/>
                <w:szCs w:val="18"/>
              </w:rPr>
              <w:t>□</w:t>
            </w:r>
          </w:p>
        </w:tc>
      </w:tr>
      <w:tr w14:paraId="281AC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restart"/>
            <w:tcBorders>
              <w:left w:val="single" w:color="000000" w:sz="10" w:space="0"/>
              <w:bottom w:val="nil"/>
            </w:tcBorders>
            <w:vAlign w:val="top"/>
          </w:tcPr>
          <w:p w14:paraId="002521FA">
            <w:pPr>
              <w:spacing w:line="343" w:lineRule="auto"/>
              <w:rPr>
                <w:rFonts w:ascii="Arial"/>
                <w:sz w:val="21"/>
              </w:rPr>
            </w:pPr>
          </w:p>
          <w:p w14:paraId="4C14DD48">
            <w:pPr>
              <w:spacing w:line="344" w:lineRule="auto"/>
              <w:rPr>
                <w:rFonts w:ascii="Arial"/>
                <w:sz w:val="21"/>
              </w:rPr>
            </w:pPr>
          </w:p>
          <w:p w14:paraId="0D6913E2">
            <w:pPr>
              <w:pStyle w:val="6"/>
              <w:spacing w:before="58" w:line="219" w:lineRule="auto"/>
              <w:ind w:left="156"/>
              <w:rPr>
                <w:sz w:val="18"/>
                <w:szCs w:val="18"/>
              </w:rPr>
            </w:pPr>
            <w:r>
              <w:rPr>
                <w:spacing w:val="-3"/>
                <w:sz w:val="18"/>
                <w:szCs w:val="18"/>
              </w:rPr>
              <w:t>现状评价</w:t>
            </w:r>
          </w:p>
        </w:tc>
        <w:tc>
          <w:tcPr>
            <w:tcW w:w="1767" w:type="dxa"/>
            <w:vAlign w:val="top"/>
          </w:tcPr>
          <w:p w14:paraId="6B4C9103">
            <w:pPr>
              <w:pStyle w:val="6"/>
              <w:spacing w:before="75" w:line="221" w:lineRule="auto"/>
              <w:ind w:left="428"/>
              <w:rPr>
                <w:sz w:val="18"/>
                <w:szCs w:val="18"/>
              </w:rPr>
            </w:pPr>
            <w:r>
              <w:rPr>
                <w:spacing w:val="-2"/>
                <w:sz w:val="18"/>
                <w:szCs w:val="18"/>
              </w:rPr>
              <w:t>环境功能区</w:t>
            </w:r>
          </w:p>
        </w:tc>
        <w:tc>
          <w:tcPr>
            <w:tcW w:w="2650" w:type="dxa"/>
            <w:gridSpan w:val="7"/>
            <w:vAlign w:val="top"/>
          </w:tcPr>
          <w:p w14:paraId="3192E013">
            <w:pPr>
              <w:pStyle w:val="6"/>
              <w:spacing w:before="76" w:line="220" w:lineRule="auto"/>
              <w:ind w:left="1004"/>
              <w:rPr>
                <w:rFonts w:ascii="Times New Roman" w:hAnsi="Times New Roman" w:eastAsia="Times New Roman" w:cs="Times New Roman"/>
                <w:sz w:val="18"/>
                <w:szCs w:val="18"/>
              </w:rPr>
            </w:pPr>
            <w:r>
              <w:rPr>
                <w:spacing w:val="-3"/>
                <w:sz w:val="18"/>
                <w:szCs w:val="18"/>
              </w:rPr>
              <w:t>一类区</w:t>
            </w:r>
            <w:r>
              <w:rPr>
                <w:rFonts w:ascii="Times New Roman" w:hAnsi="Times New Roman" w:eastAsia="Times New Roman" w:cs="Times New Roman"/>
                <w:spacing w:val="-3"/>
                <w:sz w:val="18"/>
                <w:szCs w:val="18"/>
              </w:rPr>
              <w:t>□</w:t>
            </w:r>
          </w:p>
        </w:tc>
        <w:tc>
          <w:tcPr>
            <w:tcW w:w="2321" w:type="dxa"/>
            <w:gridSpan w:val="8"/>
            <w:vAlign w:val="top"/>
          </w:tcPr>
          <w:p w14:paraId="642C3278">
            <w:pPr>
              <w:pStyle w:val="6"/>
              <w:spacing w:before="76" w:line="220" w:lineRule="auto"/>
              <w:ind w:left="845"/>
              <w:rPr>
                <w:rFonts w:ascii="Times New Roman" w:hAnsi="Times New Roman" w:eastAsia="Times New Roman" w:cs="Times New Roman"/>
                <w:sz w:val="18"/>
                <w:szCs w:val="18"/>
              </w:rPr>
            </w:pPr>
            <w:r>
              <w:rPr>
                <w:spacing w:val="-3"/>
                <w:sz w:val="18"/>
                <w:szCs w:val="18"/>
              </w:rPr>
              <w:t>二类区</w:t>
            </w:r>
            <w:r>
              <w:rPr>
                <w:rFonts w:ascii="Times New Roman" w:hAnsi="Times New Roman" w:eastAsia="Times New Roman" w:cs="Times New Roman"/>
                <w:spacing w:val="-3"/>
                <w:sz w:val="18"/>
                <w:szCs w:val="18"/>
              </w:rPr>
              <w:t>□</w:t>
            </w:r>
          </w:p>
        </w:tc>
        <w:tc>
          <w:tcPr>
            <w:tcW w:w="1723" w:type="dxa"/>
            <w:gridSpan w:val="4"/>
            <w:tcBorders>
              <w:right w:val="single" w:color="000000" w:sz="10" w:space="0"/>
            </w:tcBorders>
            <w:vAlign w:val="top"/>
          </w:tcPr>
          <w:p w14:paraId="12ACCA21">
            <w:pPr>
              <w:pStyle w:val="6"/>
              <w:spacing w:before="76" w:line="220" w:lineRule="auto"/>
              <w:ind w:left="180"/>
              <w:rPr>
                <w:rFonts w:ascii="Times New Roman" w:hAnsi="Times New Roman" w:eastAsia="Times New Roman" w:cs="Times New Roman"/>
                <w:sz w:val="18"/>
                <w:szCs w:val="18"/>
              </w:rPr>
            </w:pPr>
            <w:r>
              <w:rPr>
                <w:spacing w:val="-2"/>
                <w:sz w:val="18"/>
                <w:szCs w:val="18"/>
              </w:rPr>
              <w:t>一类区和二类区</w:t>
            </w:r>
            <w:r>
              <w:rPr>
                <w:rFonts w:ascii="Times New Roman" w:hAnsi="Times New Roman" w:eastAsia="Times New Roman" w:cs="Times New Roman"/>
                <w:spacing w:val="-2"/>
                <w:sz w:val="18"/>
                <w:szCs w:val="18"/>
              </w:rPr>
              <w:t>□</w:t>
            </w:r>
          </w:p>
        </w:tc>
      </w:tr>
      <w:tr w14:paraId="64CD6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bottom w:val="nil"/>
            </w:tcBorders>
            <w:vAlign w:val="top"/>
          </w:tcPr>
          <w:p w14:paraId="51636700">
            <w:pPr>
              <w:rPr>
                <w:rFonts w:ascii="Arial"/>
                <w:sz w:val="21"/>
              </w:rPr>
            </w:pPr>
          </w:p>
        </w:tc>
        <w:tc>
          <w:tcPr>
            <w:tcW w:w="1767" w:type="dxa"/>
            <w:vAlign w:val="top"/>
          </w:tcPr>
          <w:p w14:paraId="26533A05">
            <w:pPr>
              <w:pStyle w:val="6"/>
              <w:spacing w:before="76" w:line="219" w:lineRule="auto"/>
              <w:ind w:left="428"/>
              <w:rPr>
                <w:sz w:val="18"/>
                <w:szCs w:val="18"/>
              </w:rPr>
            </w:pPr>
            <w:r>
              <w:rPr>
                <w:spacing w:val="-2"/>
                <w:sz w:val="18"/>
                <w:szCs w:val="18"/>
              </w:rPr>
              <w:t>评价基准年</w:t>
            </w:r>
          </w:p>
        </w:tc>
        <w:tc>
          <w:tcPr>
            <w:tcW w:w="6694" w:type="dxa"/>
            <w:gridSpan w:val="19"/>
            <w:tcBorders>
              <w:right w:val="single" w:color="000000" w:sz="10" w:space="0"/>
            </w:tcBorders>
            <w:vAlign w:val="top"/>
          </w:tcPr>
          <w:p w14:paraId="6B3A52F4">
            <w:pPr>
              <w:pStyle w:val="6"/>
              <w:spacing w:before="50" w:line="270" w:lineRule="exact"/>
              <w:ind w:left="2900"/>
              <w:rPr>
                <w:sz w:val="18"/>
                <w:szCs w:val="18"/>
              </w:rPr>
            </w:pPr>
            <w:r>
              <w:rPr>
                <w:spacing w:val="-2"/>
                <w:position w:val="2"/>
                <w:sz w:val="18"/>
                <w:szCs w:val="18"/>
              </w:rPr>
              <w:t>（</w:t>
            </w:r>
            <w:r>
              <w:rPr>
                <w:rFonts w:ascii="Times New Roman" w:hAnsi="Times New Roman" w:eastAsia="Times New Roman" w:cs="Times New Roman"/>
                <w:spacing w:val="-2"/>
                <w:position w:val="2"/>
                <w:sz w:val="18"/>
                <w:szCs w:val="18"/>
              </w:rPr>
              <w:t>2019</w:t>
            </w:r>
            <w:r>
              <w:rPr>
                <w:spacing w:val="-2"/>
                <w:position w:val="2"/>
                <w:sz w:val="18"/>
                <w:szCs w:val="18"/>
              </w:rPr>
              <w:t>）年</w:t>
            </w:r>
          </w:p>
        </w:tc>
      </w:tr>
      <w:tr w14:paraId="2DF0C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3FB77E3A">
            <w:pPr>
              <w:rPr>
                <w:rFonts w:ascii="Arial"/>
                <w:sz w:val="21"/>
              </w:rPr>
            </w:pPr>
          </w:p>
        </w:tc>
        <w:tc>
          <w:tcPr>
            <w:tcW w:w="1767" w:type="dxa"/>
            <w:vAlign w:val="top"/>
          </w:tcPr>
          <w:p w14:paraId="597E5C55">
            <w:pPr>
              <w:pStyle w:val="6"/>
              <w:spacing w:before="77" w:line="221" w:lineRule="auto"/>
              <w:ind w:left="337"/>
              <w:rPr>
                <w:sz w:val="18"/>
                <w:szCs w:val="18"/>
              </w:rPr>
            </w:pPr>
            <w:r>
              <w:rPr>
                <w:spacing w:val="-2"/>
                <w:sz w:val="18"/>
                <w:szCs w:val="18"/>
              </w:rPr>
              <w:t>环境空气质量</w:t>
            </w:r>
          </w:p>
          <w:p w14:paraId="6AE80412">
            <w:pPr>
              <w:pStyle w:val="6"/>
              <w:spacing w:before="111" w:line="220" w:lineRule="auto"/>
              <w:ind w:left="159"/>
              <w:rPr>
                <w:sz w:val="18"/>
                <w:szCs w:val="18"/>
              </w:rPr>
            </w:pPr>
            <w:r>
              <w:rPr>
                <w:spacing w:val="-2"/>
                <w:sz w:val="18"/>
                <w:szCs w:val="18"/>
              </w:rPr>
              <w:t>现状调查数据来源</w:t>
            </w:r>
          </w:p>
        </w:tc>
        <w:tc>
          <w:tcPr>
            <w:tcW w:w="2650" w:type="dxa"/>
            <w:gridSpan w:val="7"/>
            <w:vAlign w:val="top"/>
          </w:tcPr>
          <w:p w14:paraId="658E14E8">
            <w:pPr>
              <w:pStyle w:val="6"/>
              <w:spacing w:before="240" w:line="220" w:lineRule="auto"/>
              <w:ind w:left="551"/>
              <w:rPr>
                <w:rFonts w:ascii="Times New Roman" w:hAnsi="Times New Roman" w:eastAsia="Times New Roman" w:cs="Times New Roman"/>
                <w:sz w:val="18"/>
                <w:szCs w:val="18"/>
              </w:rPr>
            </w:pPr>
            <w:r>
              <w:rPr>
                <w:spacing w:val="-1"/>
                <w:sz w:val="18"/>
                <w:szCs w:val="18"/>
              </w:rPr>
              <w:t>长期例行监测数据</w:t>
            </w:r>
            <w:r>
              <w:rPr>
                <w:rFonts w:ascii="Times New Roman" w:hAnsi="Times New Roman" w:eastAsia="Times New Roman" w:cs="Times New Roman"/>
                <w:spacing w:val="-1"/>
                <w:sz w:val="18"/>
                <w:szCs w:val="18"/>
              </w:rPr>
              <w:t>□</w:t>
            </w:r>
          </w:p>
        </w:tc>
        <w:tc>
          <w:tcPr>
            <w:tcW w:w="2321" w:type="dxa"/>
            <w:gridSpan w:val="8"/>
            <w:vAlign w:val="top"/>
          </w:tcPr>
          <w:p w14:paraId="5E9B6F34">
            <w:pPr>
              <w:pStyle w:val="6"/>
              <w:spacing w:before="234" w:line="227" w:lineRule="auto"/>
              <w:ind w:left="278"/>
              <w:rPr>
                <w:sz w:val="18"/>
                <w:szCs w:val="18"/>
              </w:rPr>
            </w:pPr>
            <w:r>
              <w:rPr>
                <w:spacing w:val="-1"/>
                <w:sz w:val="18"/>
                <w:szCs w:val="18"/>
              </w:rPr>
              <w:t>主管部门发布的数据</w:t>
            </w:r>
            <w:r>
              <w:rPr>
                <w:position w:val="-3"/>
                <w:sz w:val="18"/>
                <w:szCs w:val="18"/>
              </w:rPr>
              <w:drawing>
                <wp:inline distT="0" distB="0" distL="0" distR="0">
                  <wp:extent cx="100330" cy="1263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37"/>
                          <a:stretch>
                            <a:fillRect/>
                          </a:stretch>
                        </pic:blipFill>
                        <pic:spPr>
                          <a:xfrm>
                            <a:off x="0" y="0"/>
                            <a:ext cx="100584" cy="126644"/>
                          </a:xfrm>
                          <a:prstGeom prst="rect">
                            <a:avLst/>
                          </a:prstGeom>
                        </pic:spPr>
                      </pic:pic>
                    </a:graphicData>
                  </a:graphic>
                </wp:inline>
              </w:drawing>
            </w:r>
          </w:p>
        </w:tc>
        <w:tc>
          <w:tcPr>
            <w:tcW w:w="1723" w:type="dxa"/>
            <w:gridSpan w:val="4"/>
            <w:tcBorders>
              <w:right w:val="single" w:color="000000" w:sz="10" w:space="0"/>
            </w:tcBorders>
            <w:vAlign w:val="top"/>
          </w:tcPr>
          <w:p w14:paraId="0308F439">
            <w:pPr>
              <w:pStyle w:val="6"/>
              <w:spacing w:before="234" w:line="227" w:lineRule="auto"/>
              <w:ind w:left="244"/>
              <w:rPr>
                <w:sz w:val="18"/>
                <w:szCs w:val="18"/>
              </w:rPr>
            </w:pPr>
            <w:r>
              <w:rPr>
                <w:spacing w:val="-2"/>
                <w:sz w:val="18"/>
                <w:szCs w:val="18"/>
              </w:rPr>
              <w:t>现状补充监测</w:t>
            </w:r>
            <w:r>
              <w:rPr>
                <w:position w:val="-3"/>
                <w:sz w:val="18"/>
                <w:szCs w:val="18"/>
              </w:rPr>
              <w:drawing>
                <wp:inline distT="0" distB="0" distL="0" distR="0">
                  <wp:extent cx="100330" cy="1263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38"/>
                          <a:stretch>
                            <a:fillRect/>
                          </a:stretch>
                        </pic:blipFill>
                        <pic:spPr>
                          <a:xfrm>
                            <a:off x="0" y="0"/>
                            <a:ext cx="100583" cy="126644"/>
                          </a:xfrm>
                          <a:prstGeom prst="rect">
                            <a:avLst/>
                          </a:prstGeom>
                        </pic:spPr>
                      </pic:pic>
                    </a:graphicData>
                  </a:graphic>
                </wp:inline>
              </w:drawing>
            </w:r>
          </w:p>
        </w:tc>
      </w:tr>
      <w:tr w14:paraId="38AF3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1F70AC68">
            <w:pPr>
              <w:rPr>
                <w:rFonts w:ascii="Arial"/>
                <w:sz w:val="21"/>
              </w:rPr>
            </w:pPr>
          </w:p>
        </w:tc>
        <w:tc>
          <w:tcPr>
            <w:tcW w:w="1767" w:type="dxa"/>
            <w:vAlign w:val="top"/>
          </w:tcPr>
          <w:p w14:paraId="72861E5A">
            <w:pPr>
              <w:pStyle w:val="6"/>
              <w:spacing w:before="78" w:line="219" w:lineRule="auto"/>
              <w:ind w:left="519"/>
              <w:rPr>
                <w:sz w:val="18"/>
                <w:szCs w:val="18"/>
              </w:rPr>
            </w:pPr>
            <w:r>
              <w:rPr>
                <w:spacing w:val="-3"/>
                <w:sz w:val="18"/>
                <w:szCs w:val="18"/>
              </w:rPr>
              <w:t>现状评价</w:t>
            </w:r>
          </w:p>
        </w:tc>
        <w:tc>
          <w:tcPr>
            <w:tcW w:w="3698" w:type="dxa"/>
            <w:gridSpan w:val="12"/>
            <w:vAlign w:val="top"/>
          </w:tcPr>
          <w:p w14:paraId="53136A1B">
            <w:pPr>
              <w:pStyle w:val="6"/>
              <w:spacing w:before="72" w:line="227" w:lineRule="auto"/>
              <w:ind w:left="1500"/>
              <w:rPr>
                <w:sz w:val="18"/>
                <w:szCs w:val="18"/>
              </w:rPr>
            </w:pPr>
            <w:r>
              <w:rPr>
                <w:spacing w:val="-3"/>
                <w:sz w:val="18"/>
                <w:szCs w:val="18"/>
              </w:rPr>
              <w:t>达标区</w:t>
            </w:r>
            <w:r>
              <w:rPr>
                <w:position w:val="-3"/>
                <w:sz w:val="18"/>
                <w:szCs w:val="18"/>
              </w:rPr>
              <w:drawing>
                <wp:inline distT="0" distB="0" distL="0" distR="0">
                  <wp:extent cx="100330" cy="12636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40"/>
                          <a:stretch>
                            <a:fillRect/>
                          </a:stretch>
                        </pic:blipFill>
                        <pic:spPr>
                          <a:xfrm>
                            <a:off x="0" y="0"/>
                            <a:ext cx="100584" cy="126644"/>
                          </a:xfrm>
                          <a:prstGeom prst="rect">
                            <a:avLst/>
                          </a:prstGeom>
                        </pic:spPr>
                      </pic:pic>
                    </a:graphicData>
                  </a:graphic>
                </wp:inline>
              </w:drawing>
            </w:r>
          </w:p>
        </w:tc>
        <w:tc>
          <w:tcPr>
            <w:tcW w:w="2996" w:type="dxa"/>
            <w:gridSpan w:val="7"/>
            <w:tcBorders>
              <w:right w:val="single" w:color="000000" w:sz="10" w:space="0"/>
            </w:tcBorders>
            <w:vAlign w:val="top"/>
          </w:tcPr>
          <w:p w14:paraId="5F797101">
            <w:pPr>
              <w:pStyle w:val="6"/>
              <w:spacing w:before="78" w:line="221" w:lineRule="auto"/>
              <w:ind w:left="1086"/>
              <w:rPr>
                <w:rFonts w:ascii="Times New Roman" w:hAnsi="Times New Roman" w:eastAsia="Times New Roman" w:cs="Times New Roman"/>
                <w:sz w:val="18"/>
                <w:szCs w:val="18"/>
              </w:rPr>
            </w:pPr>
            <w:r>
              <w:rPr>
                <w:spacing w:val="-2"/>
                <w:sz w:val="18"/>
                <w:szCs w:val="18"/>
              </w:rPr>
              <w:t>不达标区</w:t>
            </w:r>
            <w:r>
              <w:rPr>
                <w:rFonts w:ascii="Times New Roman" w:hAnsi="Times New Roman" w:eastAsia="Times New Roman" w:cs="Times New Roman"/>
                <w:spacing w:val="-2"/>
                <w:sz w:val="18"/>
                <w:szCs w:val="18"/>
              </w:rPr>
              <w:t>□</w:t>
            </w:r>
          </w:p>
        </w:tc>
      </w:tr>
      <w:tr w14:paraId="4F5B6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042" w:type="dxa"/>
            <w:tcBorders>
              <w:left w:val="single" w:color="000000" w:sz="10" w:space="0"/>
            </w:tcBorders>
            <w:vAlign w:val="top"/>
          </w:tcPr>
          <w:p w14:paraId="11A28794">
            <w:pPr>
              <w:spacing w:line="345" w:lineRule="auto"/>
              <w:rPr>
                <w:rFonts w:ascii="Arial"/>
                <w:sz w:val="21"/>
              </w:rPr>
            </w:pPr>
          </w:p>
          <w:p w14:paraId="415AEA63">
            <w:pPr>
              <w:pStyle w:val="6"/>
              <w:spacing w:before="58" w:line="221" w:lineRule="auto"/>
              <w:ind w:left="65"/>
              <w:rPr>
                <w:sz w:val="18"/>
                <w:szCs w:val="18"/>
              </w:rPr>
            </w:pPr>
            <w:r>
              <w:rPr>
                <w:spacing w:val="-2"/>
                <w:sz w:val="18"/>
                <w:szCs w:val="18"/>
              </w:rPr>
              <w:t>污染源调查</w:t>
            </w:r>
          </w:p>
        </w:tc>
        <w:tc>
          <w:tcPr>
            <w:tcW w:w="1767" w:type="dxa"/>
            <w:vAlign w:val="top"/>
          </w:tcPr>
          <w:p w14:paraId="0A908D72">
            <w:pPr>
              <w:spacing w:line="345" w:lineRule="auto"/>
              <w:rPr>
                <w:rFonts w:ascii="Arial"/>
                <w:sz w:val="21"/>
              </w:rPr>
            </w:pPr>
          </w:p>
          <w:p w14:paraId="30483DE3">
            <w:pPr>
              <w:pStyle w:val="6"/>
              <w:spacing w:before="58" w:line="220" w:lineRule="auto"/>
              <w:ind w:left="519"/>
              <w:rPr>
                <w:sz w:val="18"/>
                <w:szCs w:val="18"/>
              </w:rPr>
            </w:pPr>
            <w:r>
              <w:rPr>
                <w:spacing w:val="-3"/>
                <w:sz w:val="18"/>
                <w:szCs w:val="18"/>
              </w:rPr>
              <w:t>调查内容</w:t>
            </w:r>
          </w:p>
        </w:tc>
        <w:tc>
          <w:tcPr>
            <w:tcW w:w="2062" w:type="dxa"/>
            <w:gridSpan w:val="6"/>
            <w:vAlign w:val="top"/>
          </w:tcPr>
          <w:p w14:paraId="0E598898">
            <w:pPr>
              <w:pStyle w:val="6"/>
              <w:spacing w:before="72" w:line="227" w:lineRule="auto"/>
              <w:ind w:left="232"/>
              <w:rPr>
                <w:sz w:val="18"/>
                <w:szCs w:val="18"/>
              </w:rPr>
            </w:pPr>
            <w:r>
              <w:rPr>
                <w:spacing w:val="-1"/>
                <w:sz w:val="18"/>
                <w:szCs w:val="18"/>
              </w:rPr>
              <w:t>本项目正常排放源</w:t>
            </w:r>
            <w:r>
              <w:rPr>
                <w:position w:val="-3"/>
                <w:sz w:val="18"/>
                <w:szCs w:val="18"/>
              </w:rPr>
              <w:drawing>
                <wp:inline distT="0" distB="0" distL="0" distR="0">
                  <wp:extent cx="100330" cy="12636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39"/>
                          <a:stretch>
                            <a:fillRect/>
                          </a:stretch>
                        </pic:blipFill>
                        <pic:spPr>
                          <a:xfrm>
                            <a:off x="0" y="0"/>
                            <a:ext cx="100583" cy="126644"/>
                          </a:xfrm>
                          <a:prstGeom prst="rect">
                            <a:avLst/>
                          </a:prstGeom>
                        </pic:spPr>
                      </pic:pic>
                    </a:graphicData>
                  </a:graphic>
                </wp:inline>
              </w:drawing>
            </w:r>
          </w:p>
          <w:p w14:paraId="02D15893">
            <w:pPr>
              <w:pStyle w:val="6"/>
              <w:spacing w:before="112" w:line="219" w:lineRule="auto"/>
              <w:ind w:left="167"/>
              <w:rPr>
                <w:rFonts w:ascii="Times New Roman" w:hAnsi="Times New Roman" w:eastAsia="Times New Roman" w:cs="Times New Roman"/>
                <w:sz w:val="18"/>
                <w:szCs w:val="18"/>
              </w:rPr>
            </w:pPr>
            <w:r>
              <w:rPr>
                <w:spacing w:val="-1"/>
                <w:sz w:val="18"/>
                <w:szCs w:val="18"/>
              </w:rPr>
              <w:t>本项目非正常排放源</w:t>
            </w:r>
            <w:r>
              <w:rPr>
                <w:rFonts w:ascii="Times New Roman" w:hAnsi="Times New Roman" w:eastAsia="Times New Roman" w:cs="Times New Roman"/>
                <w:spacing w:val="-1"/>
                <w:sz w:val="18"/>
                <w:szCs w:val="18"/>
              </w:rPr>
              <w:t>□</w:t>
            </w:r>
          </w:p>
          <w:p w14:paraId="077E93FC">
            <w:pPr>
              <w:pStyle w:val="6"/>
              <w:spacing w:before="112" w:line="221" w:lineRule="auto"/>
              <w:ind w:left="535"/>
              <w:rPr>
                <w:rFonts w:ascii="Times New Roman" w:hAnsi="Times New Roman" w:eastAsia="Times New Roman" w:cs="Times New Roman"/>
                <w:sz w:val="18"/>
                <w:szCs w:val="18"/>
              </w:rPr>
            </w:pPr>
            <w:r>
              <w:rPr>
                <w:spacing w:val="-2"/>
                <w:sz w:val="18"/>
                <w:szCs w:val="18"/>
              </w:rPr>
              <w:t>现有污染源</w:t>
            </w:r>
            <w:r>
              <w:rPr>
                <w:rFonts w:ascii="Times New Roman" w:hAnsi="Times New Roman" w:eastAsia="Times New Roman" w:cs="Times New Roman"/>
                <w:spacing w:val="-2"/>
                <w:sz w:val="18"/>
                <w:szCs w:val="18"/>
              </w:rPr>
              <w:t>□</w:t>
            </w:r>
          </w:p>
        </w:tc>
        <w:tc>
          <w:tcPr>
            <w:tcW w:w="1636" w:type="dxa"/>
            <w:gridSpan w:val="6"/>
            <w:vAlign w:val="top"/>
          </w:tcPr>
          <w:p w14:paraId="69328978">
            <w:pPr>
              <w:spacing w:line="345" w:lineRule="auto"/>
              <w:rPr>
                <w:rFonts w:ascii="Arial"/>
                <w:sz w:val="21"/>
              </w:rPr>
            </w:pPr>
          </w:p>
          <w:p w14:paraId="23A4D561">
            <w:pPr>
              <w:pStyle w:val="6"/>
              <w:spacing w:before="59" w:line="219" w:lineRule="auto"/>
              <w:ind w:left="137"/>
              <w:rPr>
                <w:rFonts w:ascii="Times New Roman" w:hAnsi="Times New Roman" w:eastAsia="Times New Roman" w:cs="Times New Roman"/>
                <w:sz w:val="18"/>
                <w:szCs w:val="18"/>
              </w:rPr>
            </w:pPr>
            <w:r>
              <w:rPr>
                <w:spacing w:val="-1"/>
                <w:sz w:val="18"/>
                <w:szCs w:val="18"/>
              </w:rPr>
              <w:t>拟替代的污染源</w:t>
            </w:r>
            <w:r>
              <w:rPr>
                <w:rFonts w:ascii="Times New Roman" w:hAnsi="Times New Roman" w:eastAsia="Times New Roman" w:cs="Times New Roman"/>
                <w:spacing w:val="-1"/>
                <w:sz w:val="18"/>
                <w:szCs w:val="18"/>
              </w:rPr>
              <w:t>□</w:t>
            </w:r>
          </w:p>
        </w:tc>
        <w:tc>
          <w:tcPr>
            <w:tcW w:w="1716" w:type="dxa"/>
            <w:gridSpan w:val="5"/>
            <w:vAlign w:val="top"/>
          </w:tcPr>
          <w:p w14:paraId="19E7F102">
            <w:pPr>
              <w:pStyle w:val="6"/>
              <w:spacing w:before="243" w:line="337" w:lineRule="auto"/>
              <w:ind w:left="544" w:right="36" w:hanging="487"/>
              <w:rPr>
                <w:rFonts w:ascii="Times New Roman" w:hAnsi="Times New Roman" w:eastAsia="Times New Roman" w:cs="Times New Roman"/>
                <w:sz w:val="18"/>
                <w:szCs w:val="18"/>
              </w:rPr>
            </w:pPr>
            <w:r>
              <w:rPr>
                <w:spacing w:val="-1"/>
                <w:sz w:val="18"/>
                <w:szCs w:val="18"/>
              </w:rPr>
              <w:t>其他在建、拟建项目</w:t>
            </w:r>
            <w:r>
              <w:rPr>
                <w:sz w:val="18"/>
                <w:szCs w:val="18"/>
              </w:rPr>
              <w:t xml:space="preserve"> </w:t>
            </w:r>
            <w:r>
              <w:rPr>
                <w:spacing w:val="-3"/>
                <w:sz w:val="18"/>
                <w:szCs w:val="18"/>
              </w:rPr>
              <w:t>污染源</w:t>
            </w:r>
            <w:r>
              <w:rPr>
                <w:rFonts w:ascii="Times New Roman" w:hAnsi="Times New Roman" w:eastAsia="Times New Roman" w:cs="Times New Roman"/>
                <w:spacing w:val="-3"/>
                <w:sz w:val="18"/>
                <w:szCs w:val="18"/>
              </w:rPr>
              <w:t>□</w:t>
            </w:r>
          </w:p>
        </w:tc>
        <w:tc>
          <w:tcPr>
            <w:tcW w:w="1280" w:type="dxa"/>
            <w:gridSpan w:val="2"/>
            <w:tcBorders>
              <w:right w:val="single" w:color="000000" w:sz="10" w:space="0"/>
            </w:tcBorders>
            <w:vAlign w:val="top"/>
          </w:tcPr>
          <w:p w14:paraId="11D44AD7">
            <w:pPr>
              <w:spacing w:line="345" w:lineRule="auto"/>
              <w:rPr>
                <w:rFonts w:ascii="Arial"/>
                <w:sz w:val="21"/>
              </w:rPr>
            </w:pPr>
          </w:p>
          <w:p w14:paraId="5A8B4D5A">
            <w:pPr>
              <w:pStyle w:val="6"/>
              <w:spacing w:before="58" w:line="221" w:lineRule="auto"/>
              <w:ind w:left="151"/>
              <w:rPr>
                <w:rFonts w:ascii="Times New Roman" w:hAnsi="Times New Roman" w:eastAsia="Times New Roman" w:cs="Times New Roman"/>
                <w:sz w:val="18"/>
                <w:szCs w:val="18"/>
              </w:rPr>
            </w:pPr>
            <w:r>
              <w:rPr>
                <w:spacing w:val="-4"/>
                <w:sz w:val="18"/>
                <w:szCs w:val="18"/>
              </w:rPr>
              <w:t>区域污染源</w:t>
            </w:r>
            <w:r>
              <w:rPr>
                <w:rFonts w:ascii="Times New Roman" w:hAnsi="Times New Roman" w:eastAsia="Times New Roman" w:cs="Times New Roman"/>
                <w:spacing w:val="-4"/>
                <w:sz w:val="18"/>
                <w:szCs w:val="18"/>
              </w:rPr>
              <w:t>□</w:t>
            </w:r>
          </w:p>
        </w:tc>
      </w:tr>
      <w:tr w14:paraId="47C69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restart"/>
            <w:tcBorders>
              <w:left w:val="single" w:color="000000" w:sz="10" w:space="0"/>
              <w:bottom w:val="nil"/>
            </w:tcBorders>
            <w:vAlign w:val="top"/>
          </w:tcPr>
          <w:p w14:paraId="55F9A0C4">
            <w:pPr>
              <w:spacing w:line="268" w:lineRule="auto"/>
              <w:rPr>
                <w:rFonts w:ascii="Arial"/>
                <w:sz w:val="21"/>
              </w:rPr>
            </w:pPr>
          </w:p>
          <w:p w14:paraId="2DDBDE91">
            <w:pPr>
              <w:spacing w:line="269" w:lineRule="auto"/>
              <w:rPr>
                <w:rFonts w:ascii="Arial"/>
                <w:sz w:val="21"/>
              </w:rPr>
            </w:pPr>
          </w:p>
          <w:p w14:paraId="1D9B839B">
            <w:pPr>
              <w:spacing w:line="269" w:lineRule="auto"/>
              <w:rPr>
                <w:rFonts w:ascii="Arial"/>
                <w:sz w:val="21"/>
              </w:rPr>
            </w:pPr>
          </w:p>
          <w:p w14:paraId="3FCDD9AA">
            <w:pPr>
              <w:spacing w:line="269" w:lineRule="auto"/>
              <w:rPr>
                <w:rFonts w:ascii="Arial"/>
                <w:sz w:val="21"/>
              </w:rPr>
            </w:pPr>
          </w:p>
          <w:p w14:paraId="4086EC84">
            <w:pPr>
              <w:spacing w:line="269" w:lineRule="auto"/>
              <w:rPr>
                <w:rFonts w:ascii="Arial"/>
                <w:sz w:val="21"/>
              </w:rPr>
            </w:pPr>
          </w:p>
          <w:p w14:paraId="4ED94176">
            <w:pPr>
              <w:spacing w:line="269" w:lineRule="auto"/>
              <w:rPr>
                <w:rFonts w:ascii="Arial"/>
                <w:sz w:val="21"/>
              </w:rPr>
            </w:pPr>
          </w:p>
          <w:p w14:paraId="26BE9D77">
            <w:pPr>
              <w:spacing w:line="269" w:lineRule="auto"/>
              <w:rPr>
                <w:rFonts w:ascii="Arial"/>
                <w:sz w:val="21"/>
              </w:rPr>
            </w:pPr>
          </w:p>
          <w:p w14:paraId="38876729">
            <w:pPr>
              <w:spacing w:line="269" w:lineRule="auto"/>
              <w:rPr>
                <w:rFonts w:ascii="Arial"/>
                <w:sz w:val="21"/>
              </w:rPr>
            </w:pPr>
          </w:p>
          <w:p w14:paraId="5561DA2D">
            <w:pPr>
              <w:pStyle w:val="6"/>
              <w:spacing w:before="58" w:line="221" w:lineRule="auto"/>
              <w:ind w:left="87"/>
              <w:rPr>
                <w:sz w:val="18"/>
                <w:szCs w:val="18"/>
              </w:rPr>
            </w:pPr>
            <w:r>
              <w:rPr>
                <w:spacing w:val="-7"/>
                <w:sz w:val="18"/>
                <w:szCs w:val="18"/>
              </w:rPr>
              <w:t>大气环境影</w:t>
            </w:r>
          </w:p>
          <w:p w14:paraId="1D729F49">
            <w:pPr>
              <w:pStyle w:val="6"/>
              <w:spacing w:before="110" w:line="221" w:lineRule="auto"/>
              <w:ind w:left="73"/>
              <w:rPr>
                <w:sz w:val="18"/>
                <w:szCs w:val="18"/>
              </w:rPr>
            </w:pPr>
            <w:r>
              <w:rPr>
                <w:spacing w:val="-4"/>
                <w:sz w:val="18"/>
                <w:szCs w:val="18"/>
              </w:rPr>
              <w:t>响预测与评</w:t>
            </w:r>
          </w:p>
          <w:p w14:paraId="08BD6FDF">
            <w:pPr>
              <w:pStyle w:val="6"/>
              <w:spacing w:before="108" w:line="219" w:lineRule="auto"/>
              <w:ind w:left="424"/>
              <w:rPr>
                <w:sz w:val="18"/>
                <w:szCs w:val="18"/>
              </w:rPr>
            </w:pPr>
            <w:r>
              <w:rPr>
                <w:sz w:val="18"/>
                <w:szCs w:val="18"/>
              </w:rPr>
              <w:t>价</w:t>
            </w:r>
          </w:p>
        </w:tc>
        <w:tc>
          <w:tcPr>
            <w:tcW w:w="1767" w:type="dxa"/>
            <w:vAlign w:val="top"/>
          </w:tcPr>
          <w:p w14:paraId="61948B47">
            <w:pPr>
              <w:pStyle w:val="6"/>
              <w:spacing w:before="245" w:line="220" w:lineRule="auto"/>
              <w:ind w:left="519"/>
              <w:rPr>
                <w:sz w:val="18"/>
                <w:szCs w:val="18"/>
              </w:rPr>
            </w:pPr>
            <w:r>
              <w:rPr>
                <w:spacing w:val="-3"/>
                <w:sz w:val="18"/>
                <w:szCs w:val="18"/>
              </w:rPr>
              <w:t>预测模型</w:t>
            </w:r>
          </w:p>
        </w:tc>
        <w:tc>
          <w:tcPr>
            <w:tcW w:w="1022" w:type="dxa"/>
            <w:vAlign w:val="top"/>
          </w:tcPr>
          <w:p w14:paraId="2215B6F0">
            <w:pPr>
              <w:spacing w:before="113" w:line="188" w:lineRule="auto"/>
              <w:ind w:left="1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AERMOD</w:t>
            </w:r>
          </w:p>
          <w:p w14:paraId="679C9170">
            <w:pPr>
              <w:spacing w:before="201" w:line="123" w:lineRule="exact"/>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8" w:type="dxa"/>
            <w:gridSpan w:val="4"/>
            <w:vAlign w:val="top"/>
          </w:tcPr>
          <w:p w14:paraId="7959210F">
            <w:pPr>
              <w:spacing w:before="113" w:line="188" w:lineRule="auto"/>
              <w:ind w:left="1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ADMS</w:t>
            </w:r>
          </w:p>
          <w:p w14:paraId="2725B039">
            <w:pPr>
              <w:spacing w:before="201" w:line="123" w:lineRule="exact"/>
              <w:ind w:left="4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09" w:type="dxa"/>
            <w:gridSpan w:val="4"/>
            <w:vAlign w:val="top"/>
          </w:tcPr>
          <w:p w14:paraId="4D2DB19E">
            <w:pPr>
              <w:spacing w:before="55" w:line="236" w:lineRule="exact"/>
              <w:ind w:left="3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AUSTAL2000</w:t>
            </w:r>
          </w:p>
          <w:p w14:paraId="0263A217">
            <w:pPr>
              <w:spacing w:before="184" w:line="123" w:lineRule="exact"/>
              <w:ind w:left="5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85" w:type="dxa"/>
            <w:gridSpan w:val="4"/>
            <w:vAlign w:val="top"/>
          </w:tcPr>
          <w:p w14:paraId="0DA78568">
            <w:pPr>
              <w:spacing w:before="55" w:line="236" w:lineRule="exact"/>
              <w:ind w:left="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EDMS/AEDT</w:t>
            </w:r>
          </w:p>
          <w:p w14:paraId="38A62052">
            <w:pPr>
              <w:spacing w:before="184" w:line="123" w:lineRule="exact"/>
              <w:ind w:left="5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gridSpan w:val="2"/>
            <w:vAlign w:val="top"/>
          </w:tcPr>
          <w:p w14:paraId="47F9AAEF">
            <w:pPr>
              <w:spacing w:before="113" w:line="188" w:lineRule="auto"/>
              <w:ind w:left="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CALPUFF</w:t>
            </w:r>
          </w:p>
          <w:p w14:paraId="5BD76A24">
            <w:pPr>
              <w:spacing w:before="200" w:line="124" w:lineRule="exact"/>
              <w:ind w:left="37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53" w:type="dxa"/>
            <w:gridSpan w:val="3"/>
            <w:vAlign w:val="top"/>
          </w:tcPr>
          <w:p w14:paraId="3C3B17CD">
            <w:pPr>
              <w:pStyle w:val="6"/>
              <w:spacing w:before="82" w:line="220" w:lineRule="auto"/>
              <w:ind w:left="141"/>
              <w:rPr>
                <w:sz w:val="18"/>
                <w:szCs w:val="18"/>
              </w:rPr>
            </w:pPr>
            <w:r>
              <w:rPr>
                <w:spacing w:val="-6"/>
                <w:sz w:val="18"/>
                <w:szCs w:val="18"/>
              </w:rPr>
              <w:t>网格模型</w:t>
            </w:r>
          </w:p>
          <w:p w14:paraId="5862FA54">
            <w:pPr>
              <w:spacing w:before="179" w:line="123" w:lineRule="exact"/>
              <w:ind w:left="44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0" w:type="dxa"/>
            <w:tcBorders>
              <w:right w:val="single" w:color="000000" w:sz="10" w:space="0"/>
            </w:tcBorders>
            <w:vAlign w:val="top"/>
          </w:tcPr>
          <w:p w14:paraId="5BBA88F0">
            <w:pPr>
              <w:pStyle w:val="6"/>
              <w:spacing w:before="81" w:line="221" w:lineRule="auto"/>
              <w:ind w:left="207"/>
              <w:rPr>
                <w:sz w:val="18"/>
                <w:szCs w:val="18"/>
              </w:rPr>
            </w:pPr>
            <w:r>
              <w:rPr>
                <w:spacing w:val="-4"/>
                <w:sz w:val="18"/>
                <w:szCs w:val="18"/>
              </w:rPr>
              <w:t>其他</w:t>
            </w:r>
          </w:p>
          <w:p w14:paraId="38CA7B2E">
            <w:pPr>
              <w:spacing w:before="179" w:line="123" w:lineRule="exact"/>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36FAA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bottom w:val="nil"/>
            </w:tcBorders>
            <w:vAlign w:val="top"/>
          </w:tcPr>
          <w:p w14:paraId="6435F806">
            <w:pPr>
              <w:rPr>
                <w:rFonts w:ascii="Arial"/>
                <w:sz w:val="21"/>
              </w:rPr>
            </w:pPr>
          </w:p>
        </w:tc>
        <w:tc>
          <w:tcPr>
            <w:tcW w:w="1767" w:type="dxa"/>
            <w:vAlign w:val="top"/>
          </w:tcPr>
          <w:p w14:paraId="03E5D9E7">
            <w:pPr>
              <w:pStyle w:val="6"/>
              <w:spacing w:before="83" w:line="221" w:lineRule="auto"/>
              <w:ind w:left="519"/>
              <w:rPr>
                <w:sz w:val="18"/>
                <w:szCs w:val="18"/>
              </w:rPr>
            </w:pPr>
            <w:r>
              <w:rPr>
                <w:spacing w:val="-3"/>
                <w:sz w:val="18"/>
                <w:szCs w:val="18"/>
              </w:rPr>
              <w:t>预测范围</w:t>
            </w:r>
          </w:p>
        </w:tc>
        <w:tc>
          <w:tcPr>
            <w:tcW w:w="1940" w:type="dxa"/>
            <w:gridSpan w:val="5"/>
            <w:vAlign w:val="top"/>
          </w:tcPr>
          <w:p w14:paraId="54248727">
            <w:pPr>
              <w:pStyle w:val="6"/>
              <w:spacing w:before="56" w:line="263" w:lineRule="exact"/>
              <w:ind w:left="458"/>
              <w:rPr>
                <w:rFonts w:ascii="Times New Roman" w:hAnsi="Times New Roman" w:eastAsia="Times New Roman" w:cs="Times New Roman"/>
                <w:sz w:val="18"/>
                <w:szCs w:val="18"/>
              </w:rPr>
            </w:pPr>
            <w:r>
              <w:rPr>
                <w:spacing w:val="-1"/>
                <w:position w:val="1"/>
                <w:sz w:val="18"/>
                <w:szCs w:val="18"/>
              </w:rPr>
              <w:t>边长</w:t>
            </w:r>
            <w:r>
              <w:rPr>
                <w:rFonts w:ascii="Times New Roman" w:hAnsi="Times New Roman" w:eastAsia="Times New Roman" w:cs="Times New Roman"/>
                <w:spacing w:val="-1"/>
                <w:position w:val="1"/>
                <w:sz w:val="18"/>
                <w:szCs w:val="18"/>
              </w:rPr>
              <w:t>≥ 50km□</w:t>
            </w:r>
          </w:p>
        </w:tc>
        <w:tc>
          <w:tcPr>
            <w:tcW w:w="3031" w:type="dxa"/>
            <w:gridSpan w:val="10"/>
            <w:vAlign w:val="top"/>
          </w:tcPr>
          <w:p w14:paraId="22DBDBC1">
            <w:pPr>
              <w:pStyle w:val="6"/>
              <w:spacing w:before="56" w:line="263" w:lineRule="exact"/>
              <w:ind w:left="902"/>
              <w:rPr>
                <w:rFonts w:ascii="Times New Roman" w:hAnsi="Times New Roman" w:eastAsia="Times New Roman" w:cs="Times New Roman"/>
                <w:sz w:val="18"/>
                <w:szCs w:val="18"/>
              </w:rPr>
            </w:pPr>
            <w:r>
              <w:rPr>
                <w:spacing w:val="-2"/>
                <w:position w:val="1"/>
                <w:sz w:val="18"/>
                <w:szCs w:val="18"/>
              </w:rPr>
              <w:t>边长</w:t>
            </w:r>
            <w:r>
              <w:rPr>
                <w:spacing w:val="-37"/>
                <w:position w:val="1"/>
                <w:sz w:val="18"/>
                <w:szCs w:val="18"/>
              </w:rPr>
              <w:t xml:space="preserve"> </w:t>
            </w:r>
            <w:r>
              <w:rPr>
                <w:rFonts w:ascii="Times New Roman" w:hAnsi="Times New Roman" w:eastAsia="Times New Roman" w:cs="Times New Roman"/>
                <w:spacing w:val="-2"/>
                <w:position w:val="1"/>
                <w:sz w:val="18"/>
                <w:szCs w:val="18"/>
              </w:rPr>
              <w:t>5</w:t>
            </w:r>
            <w:r>
              <w:rPr>
                <w:spacing w:val="-2"/>
                <w:position w:val="1"/>
                <w:sz w:val="18"/>
                <w:szCs w:val="18"/>
              </w:rPr>
              <w:t>～</w:t>
            </w:r>
            <w:r>
              <w:rPr>
                <w:rFonts w:ascii="Times New Roman" w:hAnsi="Times New Roman" w:eastAsia="Times New Roman" w:cs="Times New Roman"/>
                <w:spacing w:val="-2"/>
                <w:position w:val="1"/>
                <w:sz w:val="18"/>
                <w:szCs w:val="18"/>
              </w:rPr>
              <w:t>50km</w:t>
            </w:r>
            <w:r>
              <w:rPr>
                <w:rFonts w:ascii="Times New Roman" w:hAnsi="Times New Roman" w:eastAsia="Times New Roman" w:cs="Times New Roman"/>
                <w:spacing w:val="13"/>
                <w:w w:val="101"/>
                <w:position w:val="1"/>
                <w:sz w:val="18"/>
                <w:szCs w:val="18"/>
              </w:rPr>
              <w:t xml:space="preserve"> </w:t>
            </w:r>
            <w:r>
              <w:rPr>
                <w:rFonts w:ascii="Times New Roman" w:hAnsi="Times New Roman" w:eastAsia="Times New Roman" w:cs="Times New Roman"/>
                <w:spacing w:val="-2"/>
                <w:position w:val="1"/>
                <w:sz w:val="18"/>
                <w:szCs w:val="18"/>
              </w:rPr>
              <w:t>□</w:t>
            </w:r>
          </w:p>
        </w:tc>
        <w:tc>
          <w:tcPr>
            <w:tcW w:w="1723" w:type="dxa"/>
            <w:gridSpan w:val="4"/>
            <w:tcBorders>
              <w:right w:val="single" w:color="000000" w:sz="10" w:space="0"/>
            </w:tcBorders>
            <w:vAlign w:val="top"/>
          </w:tcPr>
          <w:p w14:paraId="1448866D">
            <w:pPr>
              <w:pStyle w:val="6"/>
              <w:spacing w:before="56" w:line="263" w:lineRule="exact"/>
              <w:ind w:left="350"/>
              <w:rPr>
                <w:rFonts w:ascii="Times New Roman" w:hAnsi="Times New Roman" w:eastAsia="Times New Roman" w:cs="Times New Roman"/>
                <w:sz w:val="18"/>
                <w:szCs w:val="18"/>
              </w:rPr>
            </w:pPr>
            <w:r>
              <w:rPr>
                <w:spacing w:val="-3"/>
                <w:position w:val="1"/>
                <w:sz w:val="18"/>
                <w:szCs w:val="18"/>
              </w:rPr>
              <w:t>边长</w:t>
            </w:r>
            <w:r>
              <w:rPr>
                <w:rFonts w:ascii="Times New Roman" w:hAnsi="Times New Roman" w:eastAsia="Times New Roman" w:cs="Times New Roman"/>
                <w:spacing w:val="-3"/>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3"/>
                <w:position w:val="1"/>
                <w:sz w:val="18"/>
                <w:szCs w:val="18"/>
              </w:rPr>
              <w:t>5 km</w:t>
            </w:r>
            <w:r>
              <w:rPr>
                <w:rFonts w:ascii="Times New Roman" w:hAnsi="Times New Roman" w:eastAsia="Times New Roman" w:cs="Times New Roman"/>
                <w:spacing w:val="15"/>
                <w:position w:val="1"/>
                <w:sz w:val="18"/>
                <w:szCs w:val="18"/>
              </w:rPr>
              <w:t xml:space="preserve"> </w:t>
            </w:r>
            <w:r>
              <w:rPr>
                <w:rFonts w:ascii="Times New Roman" w:hAnsi="Times New Roman" w:eastAsia="Times New Roman" w:cs="Times New Roman"/>
                <w:spacing w:val="-3"/>
                <w:position w:val="1"/>
                <w:sz w:val="18"/>
                <w:szCs w:val="18"/>
              </w:rPr>
              <w:t>□</w:t>
            </w:r>
          </w:p>
        </w:tc>
      </w:tr>
      <w:tr w14:paraId="52696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55B0FCB1">
            <w:pPr>
              <w:rPr>
                <w:rFonts w:ascii="Arial"/>
                <w:sz w:val="21"/>
              </w:rPr>
            </w:pPr>
          </w:p>
        </w:tc>
        <w:tc>
          <w:tcPr>
            <w:tcW w:w="1767" w:type="dxa"/>
            <w:vAlign w:val="top"/>
          </w:tcPr>
          <w:p w14:paraId="28A37B22">
            <w:pPr>
              <w:pStyle w:val="6"/>
              <w:spacing w:before="247" w:line="221" w:lineRule="auto"/>
              <w:ind w:left="519"/>
              <w:rPr>
                <w:sz w:val="18"/>
                <w:szCs w:val="18"/>
              </w:rPr>
            </w:pPr>
            <w:r>
              <w:rPr>
                <w:spacing w:val="-3"/>
                <w:sz w:val="18"/>
                <w:szCs w:val="18"/>
              </w:rPr>
              <w:t>预测因子</w:t>
            </w:r>
          </w:p>
        </w:tc>
        <w:tc>
          <w:tcPr>
            <w:tcW w:w="3698" w:type="dxa"/>
            <w:gridSpan w:val="12"/>
            <w:vAlign w:val="top"/>
          </w:tcPr>
          <w:p w14:paraId="71693AEB">
            <w:pPr>
              <w:pStyle w:val="6"/>
              <w:spacing w:before="220" w:line="250" w:lineRule="exact"/>
              <w:ind w:left="192"/>
              <w:rPr>
                <w:rFonts w:ascii="Times New Roman" w:hAnsi="Times New Roman" w:eastAsia="Times New Roman" w:cs="Times New Roman"/>
                <w:sz w:val="18"/>
                <w:szCs w:val="18"/>
              </w:rPr>
            </w:pPr>
            <w:r>
              <w:rPr>
                <w:position w:val="2"/>
                <w:sz w:val="18"/>
                <w:szCs w:val="18"/>
              </w:rPr>
              <w:t>预测因子</w:t>
            </w:r>
            <w:r>
              <w:rPr>
                <w:rFonts w:ascii="Times New Roman" w:hAnsi="Times New Roman" w:eastAsia="Times New Roman" w:cs="Times New Roman"/>
                <w:position w:val="2"/>
                <w:sz w:val="18"/>
                <w:szCs w:val="18"/>
              </w:rPr>
              <w:t xml:space="preserve">(                          /                      </w:t>
            </w:r>
            <w:r>
              <w:rPr>
                <w:rFonts w:ascii="Times New Roman" w:hAnsi="Times New Roman" w:eastAsia="Times New Roman" w:cs="Times New Roman"/>
                <w:spacing w:val="-1"/>
                <w:position w:val="2"/>
                <w:sz w:val="18"/>
                <w:szCs w:val="18"/>
              </w:rPr>
              <w:t xml:space="preserve">      )</w:t>
            </w:r>
          </w:p>
        </w:tc>
        <w:tc>
          <w:tcPr>
            <w:tcW w:w="2996" w:type="dxa"/>
            <w:gridSpan w:val="7"/>
            <w:tcBorders>
              <w:right w:val="single" w:color="000000" w:sz="10" w:space="0"/>
            </w:tcBorders>
            <w:vAlign w:val="top"/>
          </w:tcPr>
          <w:p w14:paraId="52C55B46">
            <w:pPr>
              <w:pStyle w:val="6"/>
              <w:spacing w:before="66" w:line="297" w:lineRule="auto"/>
              <w:ind w:left="688" w:right="676" w:firstLine="88"/>
              <w:rPr>
                <w:rFonts w:ascii="Times New Roman" w:hAnsi="Times New Roman" w:eastAsia="Times New Roman" w:cs="Times New Roman"/>
                <w:sz w:val="18"/>
                <w:szCs w:val="18"/>
              </w:rPr>
            </w:pPr>
            <w:r>
              <w:rPr>
                <w:spacing w:val="6"/>
                <w:sz w:val="18"/>
                <w:szCs w:val="18"/>
              </w:rPr>
              <w:t>包括二次</w:t>
            </w:r>
            <w:r>
              <w:rPr>
                <w:spacing w:val="-17"/>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6"/>
                <w:sz w:val="18"/>
                <w:szCs w:val="18"/>
              </w:rPr>
              <w:t>2.5□</w:t>
            </w:r>
            <w:r>
              <w:rPr>
                <w:rFonts w:ascii="Times New Roman" w:hAnsi="Times New Roman" w:eastAsia="Times New Roman" w:cs="Times New Roman"/>
                <w:sz w:val="18"/>
                <w:szCs w:val="18"/>
              </w:rPr>
              <w:t xml:space="preserve">   </w:t>
            </w:r>
            <w:r>
              <w:rPr>
                <w:spacing w:val="5"/>
                <w:sz w:val="18"/>
                <w:szCs w:val="18"/>
              </w:rPr>
              <w:t>不包括二次</w:t>
            </w:r>
            <w:r>
              <w:rPr>
                <w:spacing w:val="-17"/>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5"/>
                <w:sz w:val="18"/>
                <w:szCs w:val="18"/>
              </w:rPr>
              <w:t>2.5□</w:t>
            </w:r>
          </w:p>
        </w:tc>
      </w:tr>
      <w:tr w14:paraId="59B47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04413BB2">
            <w:pPr>
              <w:rPr>
                <w:rFonts w:ascii="Arial"/>
                <w:sz w:val="21"/>
              </w:rPr>
            </w:pPr>
          </w:p>
        </w:tc>
        <w:tc>
          <w:tcPr>
            <w:tcW w:w="1767" w:type="dxa"/>
            <w:vAlign w:val="top"/>
          </w:tcPr>
          <w:p w14:paraId="42E82515">
            <w:pPr>
              <w:pStyle w:val="6"/>
              <w:spacing w:before="86" w:line="287" w:lineRule="auto"/>
              <w:ind w:left="697" w:right="75" w:hanging="625"/>
              <w:rPr>
                <w:sz w:val="18"/>
                <w:szCs w:val="18"/>
              </w:rPr>
            </w:pPr>
            <w:r>
              <w:rPr>
                <w:spacing w:val="-2"/>
                <w:sz w:val="18"/>
                <w:szCs w:val="18"/>
              </w:rPr>
              <w:t>正常排放短期浓度贡</w:t>
            </w:r>
            <w:r>
              <w:rPr>
                <w:spacing w:val="6"/>
                <w:sz w:val="18"/>
                <w:szCs w:val="18"/>
              </w:rPr>
              <w:t xml:space="preserve"> </w:t>
            </w:r>
            <w:r>
              <w:rPr>
                <w:spacing w:val="-4"/>
                <w:sz w:val="18"/>
                <w:szCs w:val="18"/>
              </w:rPr>
              <w:t>献值</w:t>
            </w:r>
          </w:p>
        </w:tc>
        <w:tc>
          <w:tcPr>
            <w:tcW w:w="3698" w:type="dxa"/>
            <w:gridSpan w:val="12"/>
            <w:vAlign w:val="top"/>
          </w:tcPr>
          <w:p w14:paraId="6B120EFB">
            <w:pPr>
              <w:pStyle w:val="6"/>
              <w:spacing w:before="195" w:line="258" w:lineRule="exact"/>
              <w:ind w:left="769"/>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≤100%□</w:t>
            </w:r>
          </w:p>
        </w:tc>
        <w:tc>
          <w:tcPr>
            <w:tcW w:w="2996" w:type="dxa"/>
            <w:gridSpan w:val="7"/>
            <w:tcBorders>
              <w:right w:val="single" w:color="000000" w:sz="10" w:space="0"/>
            </w:tcBorders>
            <w:vAlign w:val="top"/>
          </w:tcPr>
          <w:p w14:paraId="20440DFE">
            <w:pPr>
              <w:pStyle w:val="6"/>
              <w:spacing w:before="195" w:line="258" w:lineRule="exact"/>
              <w:ind w:left="351"/>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100%</w:t>
            </w:r>
            <w:r>
              <w:rPr>
                <w:rFonts w:ascii="Times New Roman" w:hAnsi="Times New Roman" w:eastAsia="Times New Roman" w:cs="Times New Roman"/>
                <w:spacing w:val="22"/>
                <w:position w:val="1"/>
                <w:sz w:val="18"/>
                <w:szCs w:val="18"/>
              </w:rPr>
              <w:t xml:space="preserve"> </w:t>
            </w:r>
            <w:r>
              <w:rPr>
                <w:rFonts w:ascii="Times New Roman" w:hAnsi="Times New Roman" w:eastAsia="Times New Roman" w:cs="Times New Roman"/>
                <w:spacing w:val="-1"/>
                <w:position w:val="1"/>
                <w:sz w:val="18"/>
                <w:szCs w:val="18"/>
              </w:rPr>
              <w:t>□</w:t>
            </w:r>
          </w:p>
        </w:tc>
      </w:tr>
      <w:tr w14:paraId="2E913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042" w:type="dxa"/>
            <w:vMerge w:val="continue"/>
            <w:tcBorders>
              <w:top w:val="nil"/>
              <w:left w:val="single" w:color="000000" w:sz="10" w:space="0"/>
              <w:bottom w:val="nil"/>
            </w:tcBorders>
            <w:vAlign w:val="top"/>
          </w:tcPr>
          <w:p w14:paraId="6A5FA70F">
            <w:pPr>
              <w:rPr>
                <w:rFonts w:ascii="Arial"/>
                <w:sz w:val="21"/>
              </w:rPr>
            </w:pPr>
          </w:p>
        </w:tc>
        <w:tc>
          <w:tcPr>
            <w:tcW w:w="1767" w:type="dxa"/>
            <w:vMerge w:val="restart"/>
            <w:tcBorders>
              <w:bottom w:val="nil"/>
            </w:tcBorders>
            <w:vAlign w:val="top"/>
          </w:tcPr>
          <w:p w14:paraId="6278D9D6">
            <w:pPr>
              <w:pStyle w:val="6"/>
              <w:spacing w:before="215" w:line="337" w:lineRule="auto"/>
              <w:ind w:left="697" w:right="75" w:hanging="625"/>
              <w:rPr>
                <w:sz w:val="18"/>
                <w:szCs w:val="18"/>
              </w:rPr>
            </w:pPr>
            <w:r>
              <w:rPr>
                <w:spacing w:val="-2"/>
                <w:sz w:val="18"/>
                <w:szCs w:val="18"/>
              </w:rPr>
              <w:t>正常排放年均浓度贡</w:t>
            </w:r>
            <w:r>
              <w:rPr>
                <w:spacing w:val="6"/>
                <w:sz w:val="18"/>
                <w:szCs w:val="18"/>
              </w:rPr>
              <w:t xml:space="preserve"> </w:t>
            </w:r>
            <w:r>
              <w:rPr>
                <w:spacing w:val="-4"/>
                <w:sz w:val="18"/>
                <w:szCs w:val="18"/>
              </w:rPr>
              <w:t>献值</w:t>
            </w:r>
          </w:p>
        </w:tc>
        <w:tc>
          <w:tcPr>
            <w:tcW w:w="1022" w:type="dxa"/>
            <w:tcBorders>
              <w:right w:val="single" w:color="000000" w:sz="2" w:space="0"/>
            </w:tcBorders>
            <w:vAlign w:val="top"/>
          </w:tcPr>
          <w:p w14:paraId="376B69AA">
            <w:pPr>
              <w:pStyle w:val="6"/>
              <w:spacing w:before="168" w:line="220" w:lineRule="auto"/>
              <w:ind w:left="241"/>
              <w:rPr>
                <w:sz w:val="18"/>
                <w:szCs w:val="18"/>
              </w:rPr>
            </w:pPr>
            <w:r>
              <w:rPr>
                <w:spacing w:val="-4"/>
                <w:sz w:val="18"/>
                <w:szCs w:val="18"/>
              </w:rPr>
              <w:t>一类区</w:t>
            </w:r>
          </w:p>
        </w:tc>
        <w:tc>
          <w:tcPr>
            <w:tcW w:w="2676" w:type="dxa"/>
            <w:gridSpan w:val="11"/>
            <w:tcBorders>
              <w:left w:val="single" w:color="000000" w:sz="2" w:space="0"/>
            </w:tcBorders>
            <w:vAlign w:val="top"/>
          </w:tcPr>
          <w:p w14:paraId="3EBA101E">
            <w:pPr>
              <w:pStyle w:val="6"/>
              <w:spacing w:before="115" w:line="257" w:lineRule="exact"/>
              <w:ind w:left="306"/>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w:t>
            </w:r>
            <w:r>
              <w:rPr>
                <w:rFonts w:ascii="Times New Roman" w:hAnsi="Times New Roman" w:eastAsia="Times New Roman" w:cs="Times New Roman"/>
                <w:spacing w:val="-1"/>
                <w:position w:val="2"/>
                <w:sz w:val="18"/>
                <w:szCs w:val="18"/>
              </w:rPr>
              <w:t>10%□</w:t>
            </w:r>
          </w:p>
        </w:tc>
        <w:tc>
          <w:tcPr>
            <w:tcW w:w="2996" w:type="dxa"/>
            <w:gridSpan w:val="7"/>
            <w:tcBorders>
              <w:right w:val="single" w:color="000000" w:sz="10" w:space="0"/>
            </w:tcBorders>
            <w:vAlign w:val="top"/>
          </w:tcPr>
          <w:p w14:paraId="6DCEDEFB">
            <w:pPr>
              <w:pStyle w:val="6"/>
              <w:spacing w:before="115" w:line="257" w:lineRule="exact"/>
              <w:ind w:left="488"/>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本项目最大标率＞</w:t>
            </w:r>
            <w:r>
              <w:rPr>
                <w:rFonts w:ascii="Times New Roman" w:hAnsi="Times New Roman" w:eastAsia="Times New Roman" w:cs="Times New Roman"/>
                <w:spacing w:val="-1"/>
                <w:position w:val="1"/>
                <w:sz w:val="18"/>
                <w:szCs w:val="18"/>
              </w:rPr>
              <w:t>10%</w:t>
            </w:r>
            <w:r>
              <w:rPr>
                <w:rFonts w:ascii="Times New Roman" w:hAnsi="Times New Roman" w:eastAsia="Times New Roman" w:cs="Times New Roman"/>
                <w:spacing w:val="16"/>
                <w:w w:val="101"/>
                <w:position w:val="1"/>
                <w:sz w:val="18"/>
                <w:szCs w:val="18"/>
              </w:rPr>
              <w:t xml:space="preserve"> </w:t>
            </w:r>
            <w:r>
              <w:rPr>
                <w:rFonts w:ascii="Times New Roman" w:hAnsi="Times New Roman" w:eastAsia="Times New Roman" w:cs="Times New Roman"/>
                <w:spacing w:val="-1"/>
                <w:position w:val="2"/>
                <w:sz w:val="18"/>
                <w:szCs w:val="18"/>
              </w:rPr>
              <w:t>□</w:t>
            </w:r>
          </w:p>
        </w:tc>
      </w:tr>
      <w:tr w14:paraId="61D14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042" w:type="dxa"/>
            <w:vMerge w:val="continue"/>
            <w:tcBorders>
              <w:top w:val="nil"/>
              <w:left w:val="single" w:color="000000" w:sz="10" w:space="0"/>
              <w:bottom w:val="nil"/>
            </w:tcBorders>
            <w:vAlign w:val="top"/>
          </w:tcPr>
          <w:p w14:paraId="05AFCBA9">
            <w:pPr>
              <w:rPr>
                <w:rFonts w:ascii="Arial"/>
                <w:sz w:val="21"/>
              </w:rPr>
            </w:pPr>
          </w:p>
        </w:tc>
        <w:tc>
          <w:tcPr>
            <w:tcW w:w="1767" w:type="dxa"/>
            <w:vMerge w:val="continue"/>
            <w:tcBorders>
              <w:top w:val="nil"/>
            </w:tcBorders>
            <w:vAlign w:val="top"/>
          </w:tcPr>
          <w:p w14:paraId="0C3EA63F">
            <w:pPr>
              <w:rPr>
                <w:rFonts w:ascii="Arial"/>
                <w:sz w:val="21"/>
              </w:rPr>
            </w:pPr>
          </w:p>
        </w:tc>
        <w:tc>
          <w:tcPr>
            <w:tcW w:w="1022" w:type="dxa"/>
            <w:tcBorders>
              <w:right w:val="single" w:color="000000" w:sz="2" w:space="0"/>
            </w:tcBorders>
            <w:vAlign w:val="top"/>
          </w:tcPr>
          <w:p w14:paraId="31049A8F">
            <w:pPr>
              <w:pStyle w:val="6"/>
              <w:spacing w:before="129" w:line="220" w:lineRule="auto"/>
              <w:ind w:left="241"/>
              <w:rPr>
                <w:sz w:val="18"/>
                <w:szCs w:val="18"/>
              </w:rPr>
            </w:pPr>
            <w:r>
              <w:rPr>
                <w:spacing w:val="-4"/>
                <w:sz w:val="18"/>
                <w:szCs w:val="18"/>
              </w:rPr>
              <w:t>二类区</w:t>
            </w:r>
          </w:p>
        </w:tc>
        <w:tc>
          <w:tcPr>
            <w:tcW w:w="2676" w:type="dxa"/>
            <w:gridSpan w:val="11"/>
            <w:tcBorders>
              <w:left w:val="single" w:color="000000" w:sz="2" w:space="0"/>
            </w:tcBorders>
            <w:vAlign w:val="top"/>
          </w:tcPr>
          <w:p w14:paraId="2A54AB80">
            <w:pPr>
              <w:pStyle w:val="6"/>
              <w:spacing w:before="78" w:line="258" w:lineRule="exact"/>
              <w:ind w:left="306"/>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w:t>
            </w:r>
            <w:r>
              <w:rPr>
                <w:rFonts w:ascii="Times New Roman" w:hAnsi="Times New Roman" w:eastAsia="Times New Roman" w:cs="Times New Roman"/>
                <w:spacing w:val="-1"/>
                <w:position w:val="2"/>
                <w:sz w:val="18"/>
                <w:szCs w:val="18"/>
              </w:rPr>
              <w:t>30%□</w:t>
            </w:r>
          </w:p>
        </w:tc>
        <w:tc>
          <w:tcPr>
            <w:tcW w:w="2996" w:type="dxa"/>
            <w:gridSpan w:val="7"/>
            <w:tcBorders>
              <w:right w:val="single" w:color="000000" w:sz="10" w:space="0"/>
            </w:tcBorders>
            <w:vAlign w:val="top"/>
          </w:tcPr>
          <w:p w14:paraId="77668D7F">
            <w:pPr>
              <w:pStyle w:val="6"/>
              <w:spacing w:before="78" w:line="258" w:lineRule="exact"/>
              <w:ind w:left="488"/>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本项目最大标率＞</w:t>
            </w:r>
            <w:r>
              <w:rPr>
                <w:rFonts w:ascii="Times New Roman" w:hAnsi="Times New Roman" w:eastAsia="Times New Roman" w:cs="Times New Roman"/>
                <w:spacing w:val="-1"/>
                <w:position w:val="1"/>
                <w:sz w:val="18"/>
                <w:szCs w:val="18"/>
              </w:rPr>
              <w:t>30%</w:t>
            </w:r>
            <w:r>
              <w:rPr>
                <w:rFonts w:ascii="Times New Roman" w:hAnsi="Times New Roman" w:eastAsia="Times New Roman" w:cs="Times New Roman"/>
                <w:spacing w:val="16"/>
                <w:w w:val="101"/>
                <w:position w:val="1"/>
                <w:sz w:val="18"/>
                <w:szCs w:val="18"/>
              </w:rPr>
              <w:t xml:space="preserve"> </w:t>
            </w:r>
            <w:r>
              <w:rPr>
                <w:rFonts w:ascii="Times New Roman" w:hAnsi="Times New Roman" w:eastAsia="Times New Roman" w:cs="Times New Roman"/>
                <w:spacing w:val="-1"/>
                <w:position w:val="2"/>
                <w:sz w:val="18"/>
                <w:szCs w:val="18"/>
              </w:rPr>
              <w:t>□</w:t>
            </w:r>
          </w:p>
        </w:tc>
      </w:tr>
      <w:tr w14:paraId="711E6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24DB578A">
            <w:pPr>
              <w:rPr>
                <w:rFonts w:ascii="Arial"/>
                <w:sz w:val="21"/>
              </w:rPr>
            </w:pPr>
          </w:p>
        </w:tc>
        <w:tc>
          <w:tcPr>
            <w:tcW w:w="1767" w:type="dxa"/>
            <w:vAlign w:val="top"/>
          </w:tcPr>
          <w:p w14:paraId="60A4DCC9">
            <w:pPr>
              <w:pStyle w:val="6"/>
              <w:spacing w:before="60" w:line="300" w:lineRule="auto"/>
              <w:ind w:left="610" w:right="99" w:hanging="517"/>
              <w:rPr>
                <w:sz w:val="18"/>
                <w:szCs w:val="18"/>
              </w:rPr>
            </w:pPr>
            <w:r>
              <w:rPr>
                <w:spacing w:val="-3"/>
                <w:sz w:val="18"/>
                <w:szCs w:val="18"/>
              </w:rPr>
              <w:t>非正常排放</w:t>
            </w:r>
            <w:r>
              <w:rPr>
                <w:spacing w:val="-24"/>
                <w:sz w:val="18"/>
                <w:szCs w:val="18"/>
              </w:rPr>
              <w:t xml:space="preserve"> </w:t>
            </w:r>
            <w:r>
              <w:rPr>
                <w:rFonts w:ascii="Times New Roman" w:hAnsi="Times New Roman" w:eastAsia="Times New Roman" w:cs="Times New Roman"/>
                <w:spacing w:val="-3"/>
                <w:sz w:val="18"/>
                <w:szCs w:val="18"/>
              </w:rPr>
              <w:t xml:space="preserve">1h  </w:t>
            </w:r>
            <w:r>
              <w:rPr>
                <w:spacing w:val="-3"/>
                <w:sz w:val="18"/>
                <w:szCs w:val="18"/>
              </w:rPr>
              <w:t>浓度</w:t>
            </w:r>
            <w:r>
              <w:rPr>
                <w:sz w:val="18"/>
                <w:szCs w:val="18"/>
              </w:rPr>
              <w:t xml:space="preserve"> </w:t>
            </w:r>
            <w:r>
              <w:rPr>
                <w:spacing w:val="-4"/>
                <w:sz w:val="18"/>
                <w:szCs w:val="18"/>
              </w:rPr>
              <w:t>贡献值</w:t>
            </w:r>
          </w:p>
        </w:tc>
        <w:tc>
          <w:tcPr>
            <w:tcW w:w="1535" w:type="dxa"/>
            <w:gridSpan w:val="3"/>
            <w:tcBorders>
              <w:right w:val="single" w:color="000000" w:sz="2" w:space="0"/>
            </w:tcBorders>
            <w:vAlign w:val="top"/>
          </w:tcPr>
          <w:p w14:paraId="7FEE7E6F">
            <w:pPr>
              <w:pStyle w:val="6"/>
              <w:spacing w:before="87" w:line="220" w:lineRule="auto"/>
              <w:ind w:left="140"/>
              <w:rPr>
                <w:sz w:val="18"/>
                <w:szCs w:val="18"/>
              </w:rPr>
            </w:pPr>
            <w:r>
              <w:rPr>
                <w:spacing w:val="-2"/>
                <w:sz w:val="18"/>
                <w:szCs w:val="18"/>
              </w:rPr>
              <w:t>非正常持续时长</w:t>
            </w:r>
          </w:p>
          <w:p w14:paraId="4F60D7F1">
            <w:pPr>
              <w:pStyle w:val="6"/>
              <w:spacing w:before="85" w:line="259" w:lineRule="exact"/>
              <w:ind w:left="635"/>
              <w:rPr>
                <w:rFonts w:ascii="Times New Roman" w:hAnsi="Times New Roman" w:eastAsia="Times New Roman" w:cs="Times New Roman"/>
                <w:sz w:val="18"/>
                <w:szCs w:val="18"/>
              </w:rPr>
            </w:pPr>
            <w:r>
              <w:rPr>
                <w:spacing w:val="-8"/>
                <w:position w:val="1"/>
                <w:sz w:val="18"/>
                <w:szCs w:val="18"/>
              </w:rPr>
              <w:t>()</w:t>
            </w:r>
            <w:r>
              <w:rPr>
                <w:spacing w:val="12"/>
                <w:position w:val="1"/>
                <w:sz w:val="18"/>
                <w:szCs w:val="18"/>
              </w:rPr>
              <w:t xml:space="preserve"> </w:t>
            </w:r>
            <w:r>
              <w:rPr>
                <w:rFonts w:ascii="Times New Roman" w:hAnsi="Times New Roman" w:eastAsia="Times New Roman" w:cs="Times New Roman"/>
                <w:spacing w:val="-8"/>
                <w:position w:val="1"/>
                <w:sz w:val="18"/>
                <w:szCs w:val="18"/>
              </w:rPr>
              <w:t>h</w:t>
            </w:r>
          </w:p>
        </w:tc>
        <w:tc>
          <w:tcPr>
            <w:tcW w:w="2788" w:type="dxa"/>
            <w:gridSpan w:val="11"/>
            <w:tcBorders>
              <w:left w:val="single" w:color="000000" w:sz="2" w:space="0"/>
            </w:tcBorders>
            <w:vAlign w:val="top"/>
          </w:tcPr>
          <w:p w14:paraId="43843D39">
            <w:pPr>
              <w:pStyle w:val="6"/>
              <w:spacing w:before="197" w:line="260" w:lineRule="exact"/>
              <w:ind w:left="475"/>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非正常占标率</w:t>
            </w:r>
            <w:r>
              <w:rPr>
                <w:rFonts w:ascii="Times New Roman" w:hAnsi="Times New Roman" w:eastAsia="Times New Roman" w:cs="Times New Roman"/>
                <w:spacing w:val="-1"/>
                <w:position w:val="1"/>
                <w:sz w:val="18"/>
                <w:szCs w:val="18"/>
              </w:rPr>
              <w:t>≤</w:t>
            </w:r>
            <w:r>
              <w:rPr>
                <w:rFonts w:ascii="Times New Roman" w:hAnsi="Times New Roman" w:eastAsia="Times New Roman" w:cs="Times New Roman"/>
                <w:spacing w:val="-1"/>
                <w:position w:val="3"/>
                <w:sz w:val="18"/>
                <w:szCs w:val="18"/>
              </w:rPr>
              <w:t>100%</w:t>
            </w:r>
            <w:r>
              <w:rPr>
                <w:rFonts w:ascii="Times New Roman" w:hAnsi="Times New Roman" w:eastAsia="Times New Roman" w:cs="Times New Roman"/>
                <w:spacing w:val="19"/>
                <w:w w:val="102"/>
                <w:position w:val="3"/>
                <w:sz w:val="18"/>
                <w:szCs w:val="18"/>
              </w:rPr>
              <w:t xml:space="preserve"> </w:t>
            </w:r>
            <w:r>
              <w:rPr>
                <w:rFonts w:ascii="Times New Roman" w:hAnsi="Times New Roman" w:eastAsia="Times New Roman" w:cs="Times New Roman"/>
                <w:spacing w:val="-1"/>
                <w:position w:val="3"/>
                <w:sz w:val="18"/>
                <w:szCs w:val="18"/>
              </w:rPr>
              <w:t>□</w:t>
            </w:r>
          </w:p>
        </w:tc>
        <w:tc>
          <w:tcPr>
            <w:tcW w:w="2371" w:type="dxa"/>
            <w:gridSpan w:val="5"/>
            <w:tcBorders>
              <w:right w:val="single" w:color="000000" w:sz="10" w:space="0"/>
            </w:tcBorders>
            <w:vAlign w:val="top"/>
          </w:tcPr>
          <w:p w14:paraId="40B61BEE">
            <w:pPr>
              <w:pStyle w:val="6"/>
              <w:spacing w:before="197" w:line="260" w:lineRule="exact"/>
              <w:ind w:left="242"/>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非正常占标率＞</w:t>
            </w:r>
            <w:r>
              <w:rPr>
                <w:rFonts w:ascii="Times New Roman" w:hAnsi="Times New Roman" w:eastAsia="Times New Roman" w:cs="Times New Roman"/>
                <w:spacing w:val="-1"/>
                <w:position w:val="1"/>
                <w:sz w:val="18"/>
                <w:szCs w:val="18"/>
              </w:rPr>
              <w:t>100%</w:t>
            </w:r>
            <w:r>
              <w:rPr>
                <w:rFonts w:ascii="Times New Roman" w:hAnsi="Times New Roman" w:eastAsia="Times New Roman" w:cs="Times New Roman"/>
                <w:spacing w:val="-1"/>
                <w:position w:val="2"/>
                <w:sz w:val="18"/>
                <w:szCs w:val="18"/>
              </w:rPr>
              <w:t>□</w:t>
            </w:r>
          </w:p>
        </w:tc>
      </w:tr>
      <w:tr w14:paraId="3FCA8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1B176928">
            <w:pPr>
              <w:rPr>
                <w:rFonts w:ascii="Arial"/>
                <w:sz w:val="21"/>
              </w:rPr>
            </w:pPr>
          </w:p>
        </w:tc>
        <w:tc>
          <w:tcPr>
            <w:tcW w:w="1767" w:type="dxa"/>
            <w:vAlign w:val="top"/>
          </w:tcPr>
          <w:p w14:paraId="1603F156">
            <w:pPr>
              <w:pStyle w:val="6"/>
              <w:spacing w:before="88" w:line="286" w:lineRule="auto"/>
              <w:ind w:left="157" w:right="75" w:hanging="88"/>
              <w:rPr>
                <w:sz w:val="18"/>
                <w:szCs w:val="18"/>
              </w:rPr>
            </w:pPr>
            <w:r>
              <w:rPr>
                <w:spacing w:val="-1"/>
                <w:sz w:val="18"/>
                <w:szCs w:val="18"/>
              </w:rPr>
              <w:t>保证率日平均浓度和</w:t>
            </w:r>
            <w:r>
              <w:rPr>
                <w:sz w:val="18"/>
                <w:szCs w:val="18"/>
              </w:rPr>
              <w:t xml:space="preserve"> </w:t>
            </w:r>
            <w:r>
              <w:rPr>
                <w:spacing w:val="-1"/>
                <w:sz w:val="18"/>
                <w:szCs w:val="18"/>
              </w:rPr>
              <w:t>年平均浓度叠加值</w:t>
            </w:r>
          </w:p>
        </w:tc>
        <w:tc>
          <w:tcPr>
            <w:tcW w:w="3159" w:type="dxa"/>
            <w:gridSpan w:val="10"/>
            <w:vAlign w:val="top"/>
          </w:tcPr>
          <w:p w14:paraId="1789CD71">
            <w:pPr>
              <w:pStyle w:val="6"/>
              <w:spacing w:before="227" w:line="266" w:lineRule="exact"/>
              <w:ind w:left="1117"/>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叠加达标</w:t>
            </w:r>
            <w:r>
              <w:rPr>
                <w:rFonts w:ascii="Times New Roman" w:hAnsi="Times New Roman" w:eastAsia="Times New Roman" w:cs="Times New Roman"/>
                <w:spacing w:val="-1"/>
                <w:position w:val="3"/>
                <w:sz w:val="18"/>
                <w:szCs w:val="18"/>
              </w:rPr>
              <w:t>□</w:t>
            </w:r>
          </w:p>
        </w:tc>
        <w:tc>
          <w:tcPr>
            <w:tcW w:w="3535" w:type="dxa"/>
            <w:gridSpan w:val="9"/>
            <w:tcBorders>
              <w:right w:val="single" w:color="000000" w:sz="10" w:space="0"/>
            </w:tcBorders>
            <w:vAlign w:val="top"/>
          </w:tcPr>
          <w:p w14:paraId="58473F44">
            <w:pPr>
              <w:pStyle w:val="6"/>
              <w:spacing w:before="227" w:line="266" w:lineRule="exact"/>
              <w:ind w:left="1212"/>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叠加不达标</w:t>
            </w:r>
            <w:r>
              <w:rPr>
                <w:rFonts w:ascii="Times New Roman" w:hAnsi="Times New Roman" w:eastAsia="Times New Roman" w:cs="Times New Roman"/>
                <w:spacing w:val="-1"/>
                <w:position w:val="2"/>
                <w:sz w:val="18"/>
                <w:szCs w:val="18"/>
              </w:rPr>
              <w:t>□</w:t>
            </w:r>
          </w:p>
        </w:tc>
      </w:tr>
      <w:tr w14:paraId="11232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tcBorders>
            <w:vAlign w:val="top"/>
          </w:tcPr>
          <w:p w14:paraId="3F4C924C">
            <w:pPr>
              <w:rPr>
                <w:rFonts w:ascii="Arial"/>
                <w:sz w:val="21"/>
              </w:rPr>
            </w:pPr>
          </w:p>
        </w:tc>
        <w:tc>
          <w:tcPr>
            <w:tcW w:w="1767" w:type="dxa"/>
            <w:vAlign w:val="top"/>
          </w:tcPr>
          <w:p w14:paraId="089162AC">
            <w:pPr>
              <w:pStyle w:val="6"/>
              <w:spacing w:before="90" w:line="285" w:lineRule="auto"/>
              <w:ind w:left="517" w:right="75" w:hanging="435"/>
              <w:rPr>
                <w:sz w:val="18"/>
                <w:szCs w:val="18"/>
              </w:rPr>
            </w:pPr>
            <w:r>
              <w:rPr>
                <w:spacing w:val="-3"/>
                <w:sz w:val="18"/>
                <w:szCs w:val="18"/>
              </w:rPr>
              <w:t>区域环境质量的整体</w:t>
            </w:r>
            <w:r>
              <w:rPr>
                <w:spacing w:val="5"/>
                <w:sz w:val="18"/>
                <w:szCs w:val="18"/>
              </w:rPr>
              <w:t xml:space="preserve"> </w:t>
            </w:r>
            <w:r>
              <w:rPr>
                <w:spacing w:val="-2"/>
                <w:sz w:val="18"/>
                <w:szCs w:val="18"/>
              </w:rPr>
              <w:t>变化情况</w:t>
            </w:r>
          </w:p>
        </w:tc>
        <w:tc>
          <w:tcPr>
            <w:tcW w:w="3159" w:type="dxa"/>
            <w:gridSpan w:val="10"/>
            <w:vAlign w:val="top"/>
          </w:tcPr>
          <w:p w14:paraId="6E507874">
            <w:pPr>
              <w:spacing w:before="223" w:line="239" w:lineRule="exact"/>
              <w:ind w:left="1126"/>
              <w:rPr>
                <w:rFonts w:ascii="Times New Roman" w:hAnsi="Times New Roman" w:eastAsia="Times New Roman" w:cs="Times New Roman"/>
                <w:sz w:val="18"/>
                <w:szCs w:val="18"/>
              </w:rPr>
            </w:pPr>
            <w:r>
              <w:rPr>
                <w:rFonts w:ascii="Times New Roman" w:hAnsi="Times New Roman" w:eastAsia="Times New Roman" w:cs="Times New Roman"/>
                <w:i/>
                <w:iCs/>
                <w:position w:val="2"/>
                <w:sz w:val="18"/>
                <w:szCs w:val="18"/>
              </w:rPr>
              <w:t>k</w:t>
            </w:r>
            <w:r>
              <w:rPr>
                <w:rFonts w:ascii="Times New Roman" w:hAnsi="Times New Roman" w:eastAsia="Times New Roman" w:cs="Times New Roman"/>
                <w:i/>
                <w:iCs/>
                <w:spacing w:val="13"/>
                <w:w w:val="101"/>
                <w:position w:val="2"/>
                <w:sz w:val="18"/>
                <w:szCs w:val="18"/>
              </w:rPr>
              <w:t xml:space="preserve">   </w:t>
            </w:r>
            <w:r>
              <w:rPr>
                <w:rFonts w:ascii="Times New Roman" w:hAnsi="Times New Roman" w:eastAsia="Times New Roman" w:cs="Times New Roman"/>
                <w:position w:val="2"/>
                <w:sz w:val="18"/>
                <w:szCs w:val="18"/>
              </w:rPr>
              <w:t>≤-20%</w:t>
            </w:r>
            <w:r>
              <w:rPr>
                <w:rFonts w:ascii="Times New Roman" w:hAnsi="Times New Roman" w:eastAsia="Times New Roman" w:cs="Times New Roman"/>
                <w:spacing w:val="13"/>
                <w:position w:val="2"/>
                <w:sz w:val="18"/>
                <w:szCs w:val="18"/>
              </w:rPr>
              <w:t xml:space="preserve"> </w:t>
            </w:r>
            <w:r>
              <w:rPr>
                <w:rFonts w:ascii="Times New Roman" w:hAnsi="Times New Roman" w:eastAsia="Times New Roman" w:cs="Times New Roman"/>
                <w:position w:val="2"/>
                <w:sz w:val="18"/>
                <w:szCs w:val="18"/>
              </w:rPr>
              <w:t>□</w:t>
            </w:r>
          </w:p>
        </w:tc>
        <w:tc>
          <w:tcPr>
            <w:tcW w:w="3535" w:type="dxa"/>
            <w:gridSpan w:val="9"/>
            <w:tcBorders>
              <w:right w:val="single" w:color="000000" w:sz="10" w:space="0"/>
            </w:tcBorders>
            <w:vAlign w:val="top"/>
          </w:tcPr>
          <w:p w14:paraId="787D37D4">
            <w:pPr>
              <w:pStyle w:val="6"/>
              <w:spacing w:before="223" w:line="239" w:lineRule="exact"/>
              <w:ind w:left="1269"/>
              <w:rPr>
                <w:rFonts w:ascii="Times New Roman" w:hAnsi="Times New Roman" w:eastAsia="Times New Roman" w:cs="Times New Roman"/>
                <w:sz w:val="18"/>
                <w:szCs w:val="18"/>
              </w:rPr>
            </w:pPr>
            <w:r>
              <w:rPr>
                <w:rFonts w:ascii="Times New Roman" w:hAnsi="Times New Roman" w:eastAsia="Times New Roman" w:cs="Times New Roman"/>
                <w:i/>
                <w:iCs/>
                <w:position w:val="1"/>
                <w:sz w:val="18"/>
                <w:szCs w:val="18"/>
              </w:rPr>
              <w:t>k</w:t>
            </w:r>
            <w:r>
              <w:rPr>
                <w:rFonts w:ascii="Times New Roman" w:hAnsi="Times New Roman" w:eastAsia="Times New Roman" w:cs="Times New Roman"/>
                <w:i/>
                <w:iCs/>
                <w:spacing w:val="13"/>
                <w:w w:val="101"/>
                <w:position w:val="1"/>
                <w:sz w:val="18"/>
                <w:szCs w:val="18"/>
              </w:rPr>
              <w:t xml:space="preserve">   </w:t>
            </w:r>
            <w:r>
              <w:rPr>
                <w:position w:val="1"/>
                <w:sz w:val="18"/>
                <w:szCs w:val="18"/>
              </w:rPr>
              <w:t>＞</w:t>
            </w:r>
            <w:r>
              <w:rPr>
                <w:rFonts w:ascii="Times New Roman" w:hAnsi="Times New Roman" w:eastAsia="Times New Roman" w:cs="Times New Roman"/>
                <w:position w:val="1"/>
                <w:sz w:val="18"/>
                <w:szCs w:val="18"/>
              </w:rPr>
              <w:t>-20%</w:t>
            </w:r>
            <w:r>
              <w:rPr>
                <w:rFonts w:ascii="Times New Roman" w:hAnsi="Times New Roman" w:eastAsia="Times New Roman" w:cs="Times New Roman"/>
                <w:spacing w:val="15"/>
                <w:w w:val="101"/>
                <w:position w:val="1"/>
                <w:sz w:val="18"/>
                <w:szCs w:val="18"/>
              </w:rPr>
              <w:t xml:space="preserve"> </w:t>
            </w:r>
            <w:r>
              <w:rPr>
                <w:rFonts w:ascii="Times New Roman" w:hAnsi="Times New Roman" w:eastAsia="Times New Roman" w:cs="Times New Roman"/>
                <w:position w:val="1"/>
                <w:sz w:val="18"/>
                <w:szCs w:val="18"/>
              </w:rPr>
              <w:t>□</w:t>
            </w:r>
          </w:p>
        </w:tc>
      </w:tr>
      <w:tr w14:paraId="1CF99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restart"/>
            <w:tcBorders>
              <w:left w:val="single" w:color="000000" w:sz="10" w:space="0"/>
              <w:bottom w:val="nil"/>
            </w:tcBorders>
            <w:vAlign w:val="top"/>
          </w:tcPr>
          <w:p w14:paraId="40361227">
            <w:pPr>
              <w:pStyle w:val="6"/>
              <w:spacing w:before="261" w:line="221" w:lineRule="auto"/>
              <w:ind w:left="64"/>
              <w:rPr>
                <w:sz w:val="18"/>
                <w:szCs w:val="18"/>
              </w:rPr>
            </w:pPr>
            <w:r>
              <w:rPr>
                <w:spacing w:val="-2"/>
                <w:sz w:val="18"/>
                <w:szCs w:val="18"/>
              </w:rPr>
              <w:t>环境监测计</w:t>
            </w:r>
          </w:p>
          <w:p w14:paraId="0D9C82E0">
            <w:pPr>
              <w:pStyle w:val="6"/>
              <w:spacing w:before="111" w:line="222" w:lineRule="auto"/>
              <w:ind w:left="423"/>
              <w:rPr>
                <w:sz w:val="18"/>
                <w:szCs w:val="18"/>
              </w:rPr>
            </w:pPr>
            <w:r>
              <w:rPr>
                <w:sz w:val="18"/>
                <w:szCs w:val="18"/>
              </w:rPr>
              <w:t>划</w:t>
            </w:r>
          </w:p>
        </w:tc>
        <w:tc>
          <w:tcPr>
            <w:tcW w:w="1767" w:type="dxa"/>
            <w:vAlign w:val="top"/>
          </w:tcPr>
          <w:p w14:paraId="69C5BE84">
            <w:pPr>
              <w:pStyle w:val="6"/>
              <w:spacing w:before="253" w:line="221" w:lineRule="auto"/>
              <w:ind w:left="430"/>
              <w:rPr>
                <w:sz w:val="18"/>
                <w:szCs w:val="18"/>
              </w:rPr>
            </w:pPr>
            <w:r>
              <w:rPr>
                <w:spacing w:val="-2"/>
                <w:sz w:val="18"/>
                <w:szCs w:val="18"/>
              </w:rPr>
              <w:t>污染源监测</w:t>
            </w:r>
          </w:p>
        </w:tc>
        <w:tc>
          <w:tcPr>
            <w:tcW w:w="2927" w:type="dxa"/>
            <w:gridSpan w:val="8"/>
            <w:vAlign w:val="top"/>
          </w:tcPr>
          <w:p w14:paraId="622834D2">
            <w:pPr>
              <w:pStyle w:val="6"/>
              <w:spacing w:before="254" w:line="220" w:lineRule="auto"/>
              <w:ind w:left="563"/>
              <w:rPr>
                <w:sz w:val="18"/>
                <w:szCs w:val="18"/>
              </w:rPr>
            </w:pPr>
            <w:r>
              <w:rPr>
                <w:spacing w:val="2"/>
                <w:sz w:val="18"/>
                <w:szCs w:val="18"/>
              </w:rPr>
              <w:t>监测因子</w:t>
            </w:r>
            <w:r>
              <w:rPr>
                <w:spacing w:val="-27"/>
                <w:w w:val="57"/>
                <w:sz w:val="18"/>
                <w:szCs w:val="18"/>
              </w:rPr>
              <w:t>：（</w:t>
            </w:r>
            <w:r>
              <w:rPr>
                <w:spacing w:val="2"/>
                <w:sz w:val="18"/>
                <w:szCs w:val="18"/>
              </w:rPr>
              <w:t>臭气浓度）</w:t>
            </w:r>
          </w:p>
        </w:tc>
        <w:tc>
          <w:tcPr>
            <w:tcW w:w="2487" w:type="dxa"/>
            <w:gridSpan w:val="9"/>
            <w:vAlign w:val="top"/>
          </w:tcPr>
          <w:p w14:paraId="30EC59E3">
            <w:pPr>
              <w:pStyle w:val="6"/>
              <w:spacing w:before="90" w:line="285" w:lineRule="auto"/>
              <w:ind w:left="543" w:right="523" w:firstLine="25"/>
              <w:rPr>
                <w:sz w:val="18"/>
                <w:szCs w:val="18"/>
              </w:rPr>
            </w:pPr>
            <w:r>
              <w:rPr>
                <w:spacing w:val="-1"/>
                <w:sz w:val="18"/>
                <w:szCs w:val="18"/>
              </w:rPr>
              <w:t>有组织废气监测</w:t>
            </w:r>
            <w:r>
              <w:rPr>
                <w:rFonts w:ascii="Times New Roman" w:hAnsi="Times New Roman" w:eastAsia="Times New Roman" w:cs="Times New Roman"/>
                <w:spacing w:val="-1"/>
                <w:sz w:val="18"/>
                <w:szCs w:val="18"/>
              </w:rPr>
              <w:t>□</w:t>
            </w:r>
            <w:r>
              <w:rPr>
                <w:rFonts w:ascii="Times New Roman" w:hAnsi="Times New Roman" w:eastAsia="Times New Roman" w:cs="Times New Roman"/>
                <w:sz w:val="18"/>
                <w:szCs w:val="18"/>
              </w:rPr>
              <w:t xml:space="preserve"> </w:t>
            </w:r>
            <w:r>
              <w:rPr>
                <w:spacing w:val="-2"/>
                <w:sz w:val="18"/>
                <w:szCs w:val="18"/>
              </w:rPr>
              <w:t>无组织废气监测</w:t>
            </w:r>
            <w:r>
              <w:rPr>
                <w:position w:val="-3"/>
                <w:sz w:val="18"/>
                <w:szCs w:val="18"/>
              </w:rPr>
              <w:drawing>
                <wp:inline distT="0" distB="0" distL="0" distR="0">
                  <wp:extent cx="100330" cy="12636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39"/>
                          <a:stretch>
                            <a:fillRect/>
                          </a:stretch>
                        </pic:blipFill>
                        <pic:spPr>
                          <a:xfrm>
                            <a:off x="0" y="0"/>
                            <a:ext cx="100584" cy="126644"/>
                          </a:xfrm>
                          <a:prstGeom prst="rect">
                            <a:avLst/>
                          </a:prstGeom>
                        </pic:spPr>
                      </pic:pic>
                    </a:graphicData>
                  </a:graphic>
                </wp:inline>
              </w:drawing>
            </w:r>
          </w:p>
        </w:tc>
        <w:tc>
          <w:tcPr>
            <w:tcW w:w="1280" w:type="dxa"/>
            <w:gridSpan w:val="2"/>
            <w:tcBorders>
              <w:right w:val="single" w:color="000000" w:sz="10" w:space="0"/>
            </w:tcBorders>
            <w:vAlign w:val="top"/>
          </w:tcPr>
          <w:p w14:paraId="5F512ACF">
            <w:pPr>
              <w:pStyle w:val="6"/>
              <w:spacing w:before="253" w:line="221" w:lineRule="auto"/>
              <w:ind w:left="319"/>
              <w:rPr>
                <w:rFonts w:ascii="Times New Roman" w:hAnsi="Times New Roman" w:eastAsia="Times New Roman" w:cs="Times New Roman"/>
                <w:sz w:val="18"/>
                <w:szCs w:val="18"/>
              </w:rPr>
            </w:pPr>
            <w:r>
              <w:rPr>
                <w:spacing w:val="-3"/>
                <w:sz w:val="18"/>
                <w:szCs w:val="18"/>
              </w:rPr>
              <w:t>无监测</w:t>
            </w:r>
            <w:r>
              <w:rPr>
                <w:rFonts w:ascii="Times New Roman" w:hAnsi="Times New Roman" w:eastAsia="Times New Roman" w:cs="Times New Roman"/>
                <w:spacing w:val="-3"/>
                <w:sz w:val="18"/>
                <w:szCs w:val="18"/>
              </w:rPr>
              <w:t>□</w:t>
            </w:r>
          </w:p>
        </w:tc>
      </w:tr>
      <w:tr w14:paraId="34BF3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7AF53DA8">
            <w:pPr>
              <w:rPr>
                <w:rFonts w:ascii="Arial"/>
                <w:sz w:val="21"/>
              </w:rPr>
            </w:pPr>
          </w:p>
        </w:tc>
        <w:tc>
          <w:tcPr>
            <w:tcW w:w="1767" w:type="dxa"/>
            <w:vAlign w:val="top"/>
          </w:tcPr>
          <w:p w14:paraId="6A3F298B">
            <w:pPr>
              <w:pStyle w:val="6"/>
              <w:spacing w:before="91" w:line="221" w:lineRule="auto"/>
              <w:ind w:left="337"/>
              <w:rPr>
                <w:sz w:val="18"/>
                <w:szCs w:val="18"/>
              </w:rPr>
            </w:pPr>
            <w:r>
              <w:rPr>
                <w:spacing w:val="-2"/>
                <w:sz w:val="18"/>
                <w:szCs w:val="18"/>
              </w:rPr>
              <w:t>环境质量监测</w:t>
            </w:r>
          </w:p>
        </w:tc>
        <w:tc>
          <w:tcPr>
            <w:tcW w:w="2927" w:type="dxa"/>
            <w:gridSpan w:val="8"/>
            <w:vAlign w:val="top"/>
          </w:tcPr>
          <w:p w14:paraId="2D97A185">
            <w:pPr>
              <w:pStyle w:val="6"/>
              <w:spacing w:before="91" w:line="234" w:lineRule="auto"/>
              <w:ind w:left="537"/>
              <w:rPr>
                <w:sz w:val="18"/>
                <w:szCs w:val="18"/>
              </w:rPr>
            </w:pPr>
            <w:r>
              <w:rPr>
                <w:spacing w:val="-1"/>
                <w:sz w:val="18"/>
                <w:szCs w:val="18"/>
              </w:rPr>
              <w:t>监测因子</w:t>
            </w:r>
            <w:r>
              <w:rPr>
                <w:spacing w:val="-29"/>
                <w:w w:val="61"/>
                <w:sz w:val="18"/>
                <w:szCs w:val="18"/>
              </w:rPr>
              <w:t>：（</w:t>
            </w:r>
            <w:r>
              <w:rPr>
                <w:rFonts w:ascii="Times New Roman" w:hAnsi="Times New Roman" w:eastAsia="Times New Roman" w:cs="Times New Roman"/>
                <w:spacing w:val="-1"/>
                <w:sz w:val="18"/>
                <w:szCs w:val="18"/>
              </w:rPr>
              <w:t>TSP</w:t>
            </w:r>
            <w:r>
              <w:rPr>
                <w:rFonts w:ascii="Times New Roman" w:hAnsi="Times New Roman" w:eastAsia="Times New Roman" w:cs="Times New Roman"/>
                <w:spacing w:val="-22"/>
                <w:sz w:val="18"/>
                <w:szCs w:val="18"/>
              </w:rPr>
              <w:t xml:space="preserve"> </w:t>
            </w:r>
            <w:r>
              <w:rPr>
                <w:spacing w:val="-1"/>
                <w:sz w:val="18"/>
                <w:szCs w:val="18"/>
              </w:rPr>
              <w:t>、</w:t>
            </w: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r>
              <w:rPr>
                <w:spacing w:val="-1"/>
                <w:sz w:val="18"/>
                <w:szCs w:val="18"/>
              </w:rPr>
              <w:t>）</w:t>
            </w:r>
          </w:p>
        </w:tc>
        <w:tc>
          <w:tcPr>
            <w:tcW w:w="2487" w:type="dxa"/>
            <w:gridSpan w:val="9"/>
            <w:vAlign w:val="top"/>
          </w:tcPr>
          <w:p w14:paraId="1B7E3F70">
            <w:pPr>
              <w:pStyle w:val="6"/>
              <w:spacing w:before="65" w:line="255" w:lineRule="exact"/>
              <w:ind w:left="576"/>
              <w:rPr>
                <w:sz w:val="18"/>
                <w:szCs w:val="18"/>
              </w:rPr>
            </w:pPr>
            <w:r>
              <w:rPr>
                <w:spacing w:val="-1"/>
                <w:position w:val="1"/>
                <w:sz w:val="18"/>
                <w:szCs w:val="18"/>
              </w:rPr>
              <w:t>监测点位数（</w:t>
            </w:r>
            <w:r>
              <w:rPr>
                <w:rFonts w:ascii="Times New Roman" w:hAnsi="Times New Roman" w:eastAsia="Times New Roman" w:cs="Times New Roman"/>
                <w:spacing w:val="-1"/>
                <w:position w:val="1"/>
                <w:sz w:val="18"/>
                <w:szCs w:val="18"/>
              </w:rPr>
              <w:t>1</w:t>
            </w:r>
            <w:r>
              <w:rPr>
                <w:spacing w:val="-1"/>
                <w:position w:val="1"/>
                <w:sz w:val="18"/>
                <w:szCs w:val="18"/>
              </w:rPr>
              <w:t>）</w:t>
            </w:r>
          </w:p>
        </w:tc>
        <w:tc>
          <w:tcPr>
            <w:tcW w:w="1280" w:type="dxa"/>
            <w:gridSpan w:val="2"/>
            <w:tcBorders>
              <w:right w:val="single" w:color="000000" w:sz="10" w:space="0"/>
            </w:tcBorders>
            <w:vAlign w:val="top"/>
          </w:tcPr>
          <w:p w14:paraId="25A73F27">
            <w:pPr>
              <w:pStyle w:val="6"/>
              <w:spacing w:before="91" w:line="221" w:lineRule="auto"/>
              <w:ind w:left="319"/>
              <w:rPr>
                <w:rFonts w:ascii="Times New Roman" w:hAnsi="Times New Roman" w:eastAsia="Times New Roman" w:cs="Times New Roman"/>
                <w:sz w:val="18"/>
                <w:szCs w:val="18"/>
              </w:rPr>
            </w:pPr>
            <w:r>
              <w:rPr>
                <w:spacing w:val="-3"/>
                <w:sz w:val="18"/>
                <w:szCs w:val="18"/>
              </w:rPr>
              <w:t>无监测</w:t>
            </w:r>
            <w:r>
              <w:rPr>
                <w:rFonts w:ascii="Times New Roman" w:hAnsi="Times New Roman" w:eastAsia="Times New Roman" w:cs="Times New Roman"/>
                <w:spacing w:val="-3"/>
                <w:sz w:val="18"/>
                <w:szCs w:val="18"/>
              </w:rPr>
              <w:t>□</w:t>
            </w:r>
          </w:p>
        </w:tc>
      </w:tr>
      <w:tr w14:paraId="3DAA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42" w:type="dxa"/>
            <w:vMerge w:val="restart"/>
            <w:tcBorders>
              <w:left w:val="single" w:color="000000" w:sz="10" w:space="0"/>
              <w:bottom w:val="nil"/>
            </w:tcBorders>
            <w:vAlign w:val="top"/>
          </w:tcPr>
          <w:p w14:paraId="420F5981">
            <w:pPr>
              <w:spacing w:line="441" w:lineRule="auto"/>
              <w:rPr>
                <w:rFonts w:ascii="Arial"/>
                <w:sz w:val="21"/>
              </w:rPr>
            </w:pPr>
          </w:p>
          <w:p w14:paraId="1DF1E403">
            <w:pPr>
              <w:pStyle w:val="6"/>
              <w:spacing w:before="59" w:line="219" w:lineRule="auto"/>
              <w:ind w:left="154"/>
              <w:rPr>
                <w:sz w:val="18"/>
                <w:szCs w:val="18"/>
              </w:rPr>
            </w:pPr>
            <w:r>
              <w:rPr>
                <w:spacing w:val="-2"/>
                <w:sz w:val="18"/>
                <w:szCs w:val="18"/>
              </w:rPr>
              <w:t>评价结论</w:t>
            </w:r>
          </w:p>
        </w:tc>
        <w:tc>
          <w:tcPr>
            <w:tcW w:w="1767" w:type="dxa"/>
            <w:vAlign w:val="top"/>
          </w:tcPr>
          <w:p w14:paraId="34725837">
            <w:pPr>
              <w:pStyle w:val="6"/>
              <w:spacing w:before="126" w:line="221" w:lineRule="auto"/>
              <w:ind w:left="517"/>
              <w:rPr>
                <w:sz w:val="18"/>
                <w:szCs w:val="18"/>
              </w:rPr>
            </w:pPr>
            <w:r>
              <w:rPr>
                <w:spacing w:val="-2"/>
                <w:sz w:val="18"/>
                <w:szCs w:val="18"/>
              </w:rPr>
              <w:t>环境影响</w:t>
            </w:r>
          </w:p>
        </w:tc>
        <w:tc>
          <w:tcPr>
            <w:tcW w:w="6694" w:type="dxa"/>
            <w:gridSpan w:val="19"/>
            <w:tcBorders>
              <w:right w:val="single" w:color="000000" w:sz="10" w:space="0"/>
            </w:tcBorders>
            <w:vAlign w:val="top"/>
          </w:tcPr>
          <w:p w14:paraId="722B762D">
            <w:pPr>
              <w:pStyle w:val="6"/>
              <w:spacing w:before="117" w:line="227" w:lineRule="auto"/>
              <w:ind w:left="2212"/>
              <w:rPr>
                <w:rFonts w:ascii="Times New Roman" w:hAnsi="Times New Roman" w:eastAsia="Times New Roman" w:cs="Times New Roman"/>
                <w:sz w:val="18"/>
                <w:szCs w:val="18"/>
              </w:rPr>
            </w:pPr>
            <w:r>
              <w:rPr>
                <w:spacing w:val="-3"/>
                <w:sz w:val="18"/>
                <w:szCs w:val="18"/>
              </w:rPr>
              <w:t>可以接受</w:t>
            </w:r>
            <w:r>
              <w:rPr>
                <w:position w:val="-3"/>
                <w:sz w:val="18"/>
                <w:szCs w:val="18"/>
              </w:rPr>
              <w:drawing>
                <wp:inline distT="0" distB="0" distL="0" distR="0">
                  <wp:extent cx="100330" cy="12636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39"/>
                          <a:stretch>
                            <a:fillRect/>
                          </a:stretch>
                        </pic:blipFill>
                        <pic:spPr>
                          <a:xfrm>
                            <a:off x="0" y="0"/>
                            <a:ext cx="100584" cy="126644"/>
                          </a:xfrm>
                          <a:prstGeom prst="rect">
                            <a:avLst/>
                          </a:prstGeom>
                        </pic:spPr>
                      </pic:pic>
                    </a:graphicData>
                  </a:graphic>
                </wp:inline>
              </w:drawing>
            </w:r>
            <w:r>
              <w:rPr>
                <w:spacing w:val="8"/>
                <w:sz w:val="18"/>
                <w:szCs w:val="18"/>
              </w:rPr>
              <w:t xml:space="preserve">    </w:t>
            </w:r>
            <w:r>
              <w:rPr>
                <w:spacing w:val="-3"/>
                <w:sz w:val="18"/>
                <w:szCs w:val="18"/>
              </w:rPr>
              <w:t>不可以接受</w:t>
            </w:r>
            <w:r>
              <w:rPr>
                <w:rFonts w:ascii="Times New Roman" w:hAnsi="Times New Roman" w:eastAsia="Times New Roman" w:cs="Times New Roman"/>
                <w:spacing w:val="-3"/>
                <w:sz w:val="18"/>
                <w:szCs w:val="18"/>
              </w:rPr>
              <w:t>□</w:t>
            </w:r>
          </w:p>
        </w:tc>
      </w:tr>
      <w:tr w14:paraId="40BA9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42" w:type="dxa"/>
            <w:vMerge w:val="continue"/>
            <w:tcBorders>
              <w:top w:val="nil"/>
              <w:left w:val="single" w:color="000000" w:sz="10" w:space="0"/>
              <w:bottom w:val="nil"/>
            </w:tcBorders>
            <w:vAlign w:val="top"/>
          </w:tcPr>
          <w:p w14:paraId="4BE0DA9F">
            <w:pPr>
              <w:rPr>
                <w:rFonts w:ascii="Arial"/>
                <w:sz w:val="21"/>
              </w:rPr>
            </w:pPr>
          </w:p>
        </w:tc>
        <w:tc>
          <w:tcPr>
            <w:tcW w:w="1767" w:type="dxa"/>
            <w:vAlign w:val="top"/>
          </w:tcPr>
          <w:p w14:paraId="30E99460">
            <w:pPr>
              <w:pStyle w:val="6"/>
              <w:spacing w:before="128" w:line="221" w:lineRule="auto"/>
              <w:ind w:left="159"/>
              <w:rPr>
                <w:sz w:val="18"/>
                <w:szCs w:val="18"/>
              </w:rPr>
            </w:pPr>
            <w:r>
              <w:rPr>
                <w:spacing w:val="-2"/>
                <w:sz w:val="18"/>
                <w:szCs w:val="18"/>
              </w:rPr>
              <w:t>大气环境防护距离</w:t>
            </w:r>
          </w:p>
        </w:tc>
        <w:tc>
          <w:tcPr>
            <w:tcW w:w="6694" w:type="dxa"/>
            <w:gridSpan w:val="19"/>
            <w:tcBorders>
              <w:right w:val="single" w:color="000000" w:sz="10" w:space="0"/>
            </w:tcBorders>
            <w:vAlign w:val="top"/>
          </w:tcPr>
          <w:p w14:paraId="105E6D33">
            <w:pPr>
              <w:pStyle w:val="6"/>
              <w:spacing w:before="128" w:line="220" w:lineRule="auto"/>
              <w:ind w:left="2340"/>
              <w:rPr>
                <w:rFonts w:ascii="Times New Roman" w:hAnsi="Times New Roman" w:eastAsia="Times New Roman" w:cs="Times New Roman"/>
                <w:sz w:val="18"/>
                <w:szCs w:val="18"/>
              </w:rPr>
            </w:pPr>
            <w:r>
              <w:rPr>
                <w:spacing w:val="-3"/>
                <w:sz w:val="18"/>
                <w:szCs w:val="18"/>
              </w:rPr>
              <w:t>距</w:t>
            </w:r>
            <w:r>
              <w:rPr>
                <w:spacing w:val="-24"/>
                <w:sz w:val="18"/>
                <w:szCs w:val="18"/>
              </w:rPr>
              <w:t>（</w:t>
            </w:r>
            <w:r>
              <w:rPr>
                <w:spacing w:val="25"/>
                <w:w w:val="101"/>
                <w:sz w:val="18"/>
                <w:szCs w:val="18"/>
              </w:rPr>
              <w:t xml:space="preserve"> </w:t>
            </w:r>
            <w:r>
              <w:rPr>
                <w:spacing w:val="-24"/>
                <w:sz w:val="18"/>
                <w:szCs w:val="18"/>
              </w:rPr>
              <w:t>）</w:t>
            </w:r>
            <w:r>
              <w:rPr>
                <w:spacing w:val="-3"/>
                <w:sz w:val="18"/>
                <w:szCs w:val="18"/>
              </w:rPr>
              <w:t>厂界最远</w:t>
            </w:r>
            <w:r>
              <w:rPr>
                <w:spacing w:val="-24"/>
                <w:sz w:val="18"/>
                <w:szCs w:val="18"/>
              </w:rPr>
              <w:t>（</w:t>
            </w:r>
            <w:r>
              <w:rPr>
                <w:spacing w:val="26"/>
                <w:sz w:val="18"/>
                <w:szCs w:val="18"/>
              </w:rPr>
              <w:t xml:space="preserve">  </w:t>
            </w:r>
            <w:r>
              <w:rPr>
                <w:spacing w:val="-24"/>
                <w:sz w:val="18"/>
                <w:szCs w:val="18"/>
              </w:rPr>
              <w:t>）</w:t>
            </w:r>
            <w:r>
              <w:rPr>
                <w:rFonts w:ascii="Times New Roman" w:hAnsi="Times New Roman" w:eastAsia="Times New Roman" w:cs="Times New Roman"/>
                <w:spacing w:val="-3"/>
                <w:sz w:val="18"/>
                <w:szCs w:val="18"/>
              </w:rPr>
              <w:t>m</w:t>
            </w:r>
          </w:p>
        </w:tc>
      </w:tr>
      <w:tr w14:paraId="48EA0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27381512">
            <w:pPr>
              <w:rPr>
                <w:rFonts w:ascii="Arial"/>
                <w:sz w:val="21"/>
              </w:rPr>
            </w:pPr>
          </w:p>
        </w:tc>
        <w:tc>
          <w:tcPr>
            <w:tcW w:w="1767" w:type="dxa"/>
            <w:vAlign w:val="top"/>
          </w:tcPr>
          <w:p w14:paraId="50B42502">
            <w:pPr>
              <w:pStyle w:val="6"/>
              <w:spacing w:before="94" w:line="220" w:lineRule="auto"/>
              <w:ind w:left="250"/>
              <w:rPr>
                <w:sz w:val="18"/>
                <w:szCs w:val="18"/>
              </w:rPr>
            </w:pPr>
            <w:r>
              <w:rPr>
                <w:spacing w:val="-2"/>
                <w:sz w:val="18"/>
                <w:szCs w:val="18"/>
              </w:rPr>
              <w:t>污染源年排放量</w:t>
            </w:r>
          </w:p>
        </w:tc>
        <w:tc>
          <w:tcPr>
            <w:tcW w:w="1808" w:type="dxa"/>
            <w:gridSpan w:val="4"/>
            <w:vAlign w:val="top"/>
          </w:tcPr>
          <w:p w14:paraId="7AD05C9B">
            <w:pPr>
              <w:pStyle w:val="6"/>
              <w:spacing w:before="67" w:line="241" w:lineRule="exact"/>
              <w:ind w:left="17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SO</w:t>
            </w:r>
            <w:r>
              <w:rPr>
                <w:rFonts w:ascii="Times New Roman" w:hAnsi="Times New Roman" w:eastAsia="Times New Roman" w:cs="Times New Roman"/>
                <w:spacing w:val="-3"/>
                <w:sz w:val="11"/>
                <w:szCs w:val="11"/>
              </w:rPr>
              <w:t>2</w:t>
            </w:r>
            <w:r>
              <w:rPr>
                <w:rFonts w:ascii="Times New Roman" w:hAnsi="Times New Roman" w:eastAsia="Times New Roman" w:cs="Times New Roman"/>
                <w:spacing w:val="-3"/>
                <w:sz w:val="18"/>
                <w:szCs w:val="18"/>
              </w:rPr>
              <w:t>:</w:t>
            </w:r>
            <w:r>
              <w:rPr>
                <w:position w:val="1"/>
                <w:sz w:val="18"/>
                <w:szCs w:val="18"/>
              </w:rPr>
              <w:t>（</w:t>
            </w:r>
            <w:r>
              <w:rPr>
                <w:rFonts w:ascii="Times New Roman" w:hAnsi="Times New Roman" w:eastAsia="Times New Roman" w:cs="Times New Roman"/>
                <w:position w:val="1"/>
                <w:sz w:val="18"/>
                <w:szCs w:val="18"/>
              </w:rPr>
              <w:t>0.00056</w:t>
            </w:r>
            <w:r>
              <w:rPr>
                <w:position w:val="1"/>
                <w:sz w:val="18"/>
                <w:szCs w:val="18"/>
              </w:rPr>
              <w:t>）</w:t>
            </w:r>
            <w:r>
              <w:rPr>
                <w:rFonts w:ascii="Times New Roman" w:hAnsi="Times New Roman" w:eastAsia="Times New Roman" w:cs="Times New Roman"/>
                <w:position w:val="1"/>
                <w:sz w:val="18"/>
                <w:szCs w:val="18"/>
              </w:rPr>
              <w:t>t/a</w:t>
            </w:r>
          </w:p>
        </w:tc>
        <w:tc>
          <w:tcPr>
            <w:tcW w:w="1477" w:type="dxa"/>
            <w:gridSpan w:val="7"/>
            <w:vAlign w:val="top"/>
          </w:tcPr>
          <w:p w14:paraId="379B6B1D">
            <w:pPr>
              <w:pStyle w:val="6"/>
              <w:spacing w:before="67" w:line="252" w:lineRule="exact"/>
              <w:jc w:val="right"/>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NOx</w:t>
            </w:r>
            <w:r>
              <w:rPr>
                <w:rFonts w:ascii="Times New Roman" w:hAnsi="Times New Roman" w:eastAsia="Times New Roman" w:cs="Times New Roman"/>
                <w:spacing w:val="-4"/>
                <w:position w:val="1"/>
                <w:sz w:val="18"/>
                <w:szCs w:val="18"/>
              </w:rPr>
              <w:t>:</w:t>
            </w:r>
            <w:r>
              <w:rPr>
                <w:spacing w:val="-4"/>
                <w:position w:val="1"/>
                <w:sz w:val="18"/>
                <w:szCs w:val="18"/>
              </w:rPr>
              <w:t>（</w:t>
            </w:r>
            <w:r>
              <w:rPr>
                <w:rFonts w:ascii="Times New Roman" w:hAnsi="Times New Roman" w:eastAsia="Times New Roman" w:cs="Times New Roman"/>
                <w:spacing w:val="-4"/>
                <w:position w:val="1"/>
                <w:sz w:val="18"/>
                <w:szCs w:val="18"/>
              </w:rPr>
              <w:t>0.00133</w:t>
            </w:r>
            <w:r>
              <w:rPr>
                <w:spacing w:val="-4"/>
                <w:position w:val="1"/>
                <w:sz w:val="18"/>
                <w:szCs w:val="18"/>
              </w:rPr>
              <w:t>）</w:t>
            </w:r>
            <w:r>
              <w:rPr>
                <w:rFonts w:ascii="Times New Roman" w:hAnsi="Times New Roman" w:eastAsia="Times New Roman" w:cs="Times New Roman"/>
                <w:spacing w:val="-4"/>
                <w:position w:val="1"/>
                <w:sz w:val="18"/>
                <w:szCs w:val="18"/>
              </w:rPr>
              <w:t>t/</w:t>
            </w:r>
            <w:r>
              <w:rPr>
                <w:rFonts w:ascii="Times New Roman" w:hAnsi="Times New Roman" w:eastAsia="Times New Roman" w:cs="Times New Roman"/>
                <w:spacing w:val="-1"/>
                <w:position w:val="1"/>
                <w:sz w:val="18"/>
                <w:szCs w:val="18"/>
              </w:rPr>
              <w:t>a</w:t>
            </w:r>
          </w:p>
        </w:tc>
        <w:tc>
          <w:tcPr>
            <w:tcW w:w="1883" w:type="dxa"/>
            <w:gridSpan w:val="5"/>
            <w:vAlign w:val="top"/>
          </w:tcPr>
          <w:p w14:paraId="25501106">
            <w:pPr>
              <w:pStyle w:val="6"/>
              <w:spacing w:before="67" w:line="252" w:lineRule="exact"/>
              <w:ind w:left="92"/>
              <w:rPr>
                <w:rFonts w:ascii="Times New Roman" w:hAnsi="Times New Roman" w:eastAsia="Times New Roman" w:cs="Times New Roman"/>
                <w:sz w:val="18"/>
                <w:szCs w:val="18"/>
              </w:rPr>
            </w:pPr>
            <w:r>
              <w:rPr>
                <w:spacing w:val="-1"/>
                <w:position w:val="1"/>
                <w:sz w:val="18"/>
                <w:szCs w:val="18"/>
              </w:rPr>
              <w:t>颗粒物</w:t>
            </w:r>
            <w:r>
              <w:rPr>
                <w:rFonts w:ascii="Times New Roman" w:hAnsi="Times New Roman" w:eastAsia="Times New Roman" w:cs="Times New Roman"/>
                <w:spacing w:val="-1"/>
                <w:position w:val="1"/>
                <w:sz w:val="18"/>
                <w:szCs w:val="18"/>
              </w:rPr>
              <w:t>:</w:t>
            </w:r>
            <w:r>
              <w:rPr>
                <w:spacing w:val="-1"/>
                <w:position w:val="1"/>
                <w:sz w:val="18"/>
                <w:szCs w:val="18"/>
              </w:rPr>
              <w:t>（</w:t>
            </w:r>
            <w:r>
              <w:rPr>
                <w:rFonts w:ascii="Times New Roman" w:hAnsi="Times New Roman" w:eastAsia="Times New Roman" w:cs="Times New Roman"/>
                <w:spacing w:val="-1"/>
                <w:position w:val="1"/>
                <w:sz w:val="18"/>
                <w:szCs w:val="18"/>
              </w:rPr>
              <w:t>0.00768</w:t>
            </w:r>
            <w:r>
              <w:rPr>
                <w:spacing w:val="-1"/>
                <w:position w:val="1"/>
                <w:sz w:val="18"/>
                <w:szCs w:val="18"/>
              </w:rPr>
              <w:t>）</w:t>
            </w:r>
            <w:r>
              <w:rPr>
                <w:rFonts w:ascii="Times New Roman" w:hAnsi="Times New Roman" w:eastAsia="Times New Roman" w:cs="Times New Roman"/>
                <w:spacing w:val="-1"/>
                <w:position w:val="1"/>
                <w:sz w:val="18"/>
                <w:szCs w:val="18"/>
              </w:rPr>
              <w:t>t/a</w:t>
            </w:r>
          </w:p>
        </w:tc>
        <w:tc>
          <w:tcPr>
            <w:tcW w:w="1526" w:type="dxa"/>
            <w:gridSpan w:val="3"/>
            <w:tcBorders>
              <w:right w:val="single" w:color="000000" w:sz="10" w:space="0"/>
            </w:tcBorders>
            <w:vAlign w:val="top"/>
          </w:tcPr>
          <w:p w14:paraId="32FA6DA3">
            <w:pPr>
              <w:pStyle w:val="6"/>
              <w:spacing w:before="67" w:line="252" w:lineRule="exact"/>
              <w:ind w:left="21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VOCs:</w:t>
            </w:r>
            <w:r>
              <w:rPr>
                <w:spacing w:val="-1"/>
                <w:position w:val="1"/>
                <w:sz w:val="18"/>
                <w:szCs w:val="18"/>
              </w:rPr>
              <w:t>（</w:t>
            </w:r>
            <w:r>
              <w:rPr>
                <w:rFonts w:ascii="Times New Roman" w:hAnsi="Times New Roman" w:eastAsia="Times New Roman" w:cs="Times New Roman"/>
                <w:spacing w:val="-1"/>
                <w:position w:val="1"/>
                <w:sz w:val="18"/>
                <w:szCs w:val="18"/>
              </w:rPr>
              <w:t>/</w:t>
            </w:r>
            <w:r>
              <w:rPr>
                <w:spacing w:val="-1"/>
                <w:position w:val="1"/>
                <w:sz w:val="18"/>
                <w:szCs w:val="18"/>
              </w:rPr>
              <w:t>）</w:t>
            </w:r>
            <w:r>
              <w:rPr>
                <w:rFonts w:ascii="Times New Roman" w:hAnsi="Times New Roman" w:eastAsia="Times New Roman" w:cs="Times New Roman"/>
                <w:spacing w:val="-1"/>
                <w:position w:val="1"/>
                <w:sz w:val="18"/>
                <w:szCs w:val="18"/>
              </w:rPr>
              <w:t>t/a</w:t>
            </w:r>
          </w:p>
        </w:tc>
      </w:tr>
      <w:tr w14:paraId="6BBDB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9503" w:type="dxa"/>
            <w:gridSpan w:val="21"/>
            <w:tcBorders>
              <w:left w:val="single" w:color="000000" w:sz="10" w:space="0"/>
              <w:bottom w:val="single" w:color="000000" w:sz="10" w:space="0"/>
              <w:right w:val="single" w:color="000000" w:sz="10" w:space="0"/>
            </w:tcBorders>
            <w:vAlign w:val="top"/>
          </w:tcPr>
          <w:p w14:paraId="6C768B2D">
            <w:pPr>
              <w:pStyle w:val="6"/>
              <w:spacing w:before="111" w:line="271" w:lineRule="exact"/>
              <w:ind w:left="2728"/>
              <w:rPr>
                <w:sz w:val="18"/>
                <w:szCs w:val="18"/>
              </w:rPr>
            </w:pPr>
            <w:r>
              <w:rPr>
                <w:spacing w:val="-12"/>
                <w:position w:val="1"/>
                <w:sz w:val="18"/>
                <w:szCs w:val="18"/>
              </w:rPr>
              <w:t>注</w:t>
            </w:r>
            <w:r>
              <w:rPr>
                <w:rFonts w:ascii="Times New Roman" w:hAnsi="Times New Roman" w:eastAsia="Times New Roman" w:cs="Times New Roman"/>
                <w:spacing w:val="-12"/>
                <w:position w:val="1"/>
                <w:sz w:val="18"/>
                <w:szCs w:val="18"/>
              </w:rPr>
              <w:t>“</w:t>
            </w:r>
            <w:r>
              <w:rPr>
                <w:spacing w:val="-12"/>
                <w:position w:val="1"/>
                <w:sz w:val="18"/>
                <w:szCs w:val="18"/>
              </w:rPr>
              <w:t>：</w:t>
            </w:r>
            <w:r>
              <w:rPr>
                <w:rFonts w:ascii="Times New Roman" w:hAnsi="Times New Roman" w:eastAsia="Times New Roman" w:cs="Times New Roman"/>
                <w:spacing w:val="-12"/>
                <w:position w:val="1"/>
                <w:sz w:val="18"/>
                <w:szCs w:val="18"/>
              </w:rPr>
              <w:t>□”</w:t>
            </w:r>
            <w:r>
              <w:rPr>
                <w:spacing w:val="-12"/>
                <w:position w:val="1"/>
                <w:sz w:val="18"/>
                <w:szCs w:val="18"/>
              </w:rPr>
              <w:t>为勾选项，填</w:t>
            </w:r>
            <w:r>
              <w:rPr>
                <w:rFonts w:ascii="Times New Roman" w:hAnsi="Times New Roman" w:eastAsia="Times New Roman" w:cs="Times New Roman"/>
                <w:spacing w:val="-12"/>
                <w:position w:val="1"/>
                <w:sz w:val="18"/>
                <w:szCs w:val="18"/>
              </w:rPr>
              <w:t>“√”</w:t>
            </w:r>
            <w:r>
              <w:rPr>
                <w:rFonts w:ascii="Times New Roman" w:hAnsi="Times New Roman" w:eastAsia="Times New Roman" w:cs="Times New Roman"/>
                <w:spacing w:val="-20"/>
                <w:position w:val="1"/>
                <w:sz w:val="18"/>
                <w:szCs w:val="18"/>
              </w:rPr>
              <w:t xml:space="preserve"> </w:t>
            </w:r>
            <w:r>
              <w:rPr>
                <w:spacing w:val="-12"/>
                <w:position w:val="1"/>
                <w:sz w:val="18"/>
                <w:szCs w:val="18"/>
              </w:rPr>
              <w:t>;</w:t>
            </w:r>
            <w:r>
              <w:rPr>
                <w:spacing w:val="41"/>
                <w:position w:val="1"/>
                <w:sz w:val="18"/>
                <w:szCs w:val="18"/>
              </w:rPr>
              <w:t xml:space="preserve"> </w:t>
            </w:r>
            <w:r>
              <w:rPr>
                <w:rFonts w:ascii="Times New Roman" w:hAnsi="Times New Roman" w:eastAsia="Times New Roman" w:cs="Times New Roman"/>
                <w:spacing w:val="-12"/>
                <w:position w:val="1"/>
                <w:sz w:val="18"/>
                <w:szCs w:val="18"/>
              </w:rPr>
              <w:t xml:space="preserve">“  </w:t>
            </w:r>
            <w:r>
              <w:rPr>
                <w:spacing w:val="-12"/>
                <w:position w:val="1"/>
                <w:sz w:val="18"/>
                <w:szCs w:val="18"/>
              </w:rPr>
              <w:t>(</w:t>
            </w:r>
            <w:r>
              <w:rPr>
                <w:spacing w:val="25"/>
                <w:w w:val="101"/>
                <w:position w:val="1"/>
                <w:sz w:val="18"/>
                <w:szCs w:val="18"/>
              </w:rPr>
              <w:t xml:space="preserve">   </w:t>
            </w:r>
            <w:r>
              <w:rPr>
                <w:spacing w:val="-12"/>
                <w:position w:val="1"/>
                <w:sz w:val="18"/>
                <w:szCs w:val="18"/>
              </w:rPr>
              <w:t>)</w:t>
            </w:r>
            <w:r>
              <w:rPr>
                <w:spacing w:val="18"/>
                <w:position w:val="1"/>
                <w:sz w:val="18"/>
                <w:szCs w:val="18"/>
              </w:rPr>
              <w:t xml:space="preserve"> </w:t>
            </w:r>
            <w:r>
              <w:rPr>
                <w:rFonts w:ascii="Times New Roman" w:hAnsi="Times New Roman" w:eastAsia="Times New Roman" w:cs="Times New Roman"/>
                <w:spacing w:val="-13"/>
                <w:position w:val="1"/>
                <w:sz w:val="18"/>
                <w:szCs w:val="18"/>
              </w:rPr>
              <w:t>”</w:t>
            </w:r>
            <w:r>
              <w:rPr>
                <w:rFonts w:ascii="Times New Roman" w:hAnsi="Times New Roman" w:eastAsia="Times New Roman" w:cs="Times New Roman"/>
                <w:position w:val="1"/>
                <w:sz w:val="18"/>
                <w:szCs w:val="18"/>
              </w:rPr>
              <w:t xml:space="preserve">    </w:t>
            </w:r>
            <w:r>
              <w:rPr>
                <w:spacing w:val="-13"/>
                <w:position w:val="1"/>
                <w:sz w:val="18"/>
                <w:szCs w:val="18"/>
              </w:rPr>
              <w:t>为内容填写项</w:t>
            </w:r>
          </w:p>
        </w:tc>
      </w:tr>
    </w:tbl>
    <w:p w14:paraId="68930C96">
      <w:pPr>
        <w:pStyle w:val="2"/>
      </w:pPr>
    </w:p>
    <w:p w14:paraId="3E4DA154">
      <w:pPr>
        <w:sectPr>
          <w:footerReference r:id="rId188" w:type="default"/>
          <w:pgSz w:w="11906" w:h="16839"/>
          <w:pgMar w:top="400" w:right="930" w:bottom="1485" w:left="1446" w:header="0" w:footer="1249" w:gutter="0"/>
          <w:cols w:space="720" w:num="1"/>
        </w:sectPr>
      </w:pPr>
    </w:p>
    <w:p w14:paraId="5E29FC06">
      <w:pPr>
        <w:pStyle w:val="2"/>
        <w:spacing w:line="264" w:lineRule="auto"/>
      </w:pPr>
    </w:p>
    <w:p w14:paraId="3002BF5D">
      <w:pPr>
        <w:pStyle w:val="2"/>
        <w:spacing w:line="264" w:lineRule="auto"/>
      </w:pPr>
    </w:p>
    <w:p w14:paraId="50A3717E">
      <w:pPr>
        <w:pStyle w:val="2"/>
        <w:spacing w:line="264" w:lineRule="auto"/>
      </w:pPr>
    </w:p>
    <w:p w14:paraId="45FF3D32">
      <w:pPr>
        <w:pStyle w:val="2"/>
        <w:spacing w:line="265" w:lineRule="auto"/>
      </w:pPr>
    </w:p>
    <w:p w14:paraId="02E08CC8">
      <w:pPr>
        <w:spacing w:before="78" w:line="219" w:lineRule="auto"/>
        <w:ind w:left="677"/>
        <w:rPr>
          <w:rFonts w:ascii="宋体" w:hAnsi="宋体" w:eastAsia="宋体" w:cs="宋体"/>
          <w:sz w:val="24"/>
          <w:szCs w:val="24"/>
        </w:rPr>
      </w:pPr>
      <w:r>
        <w:rPr>
          <w:rFonts w:ascii="宋体" w:hAnsi="宋体" w:eastAsia="宋体" w:cs="宋体"/>
          <w:b/>
          <w:bCs/>
          <w:spacing w:val="-4"/>
          <w:sz w:val="24"/>
          <w:szCs w:val="24"/>
        </w:rPr>
        <w:t>附表</w:t>
      </w:r>
      <w:r>
        <w:rPr>
          <w:rFonts w:ascii="宋体" w:hAnsi="宋体" w:eastAsia="宋体" w:cs="宋体"/>
          <w:spacing w:val="-47"/>
          <w:sz w:val="24"/>
          <w:szCs w:val="24"/>
        </w:rPr>
        <w:t xml:space="preserve"> </w:t>
      </w:r>
      <w:r>
        <w:rPr>
          <w:rFonts w:ascii="Times New Roman" w:hAnsi="Times New Roman" w:eastAsia="Times New Roman" w:cs="Times New Roman"/>
          <w:b/>
          <w:bCs/>
          <w:spacing w:val="-4"/>
          <w:sz w:val="24"/>
          <w:szCs w:val="24"/>
        </w:rPr>
        <w:t xml:space="preserve">2 </w:t>
      </w:r>
      <w:r>
        <w:rPr>
          <w:rFonts w:ascii="宋体" w:hAnsi="宋体" w:eastAsia="宋体" w:cs="宋体"/>
          <w:b/>
          <w:bCs/>
          <w:spacing w:val="-4"/>
          <w:sz w:val="24"/>
          <w:szCs w:val="24"/>
        </w:rPr>
        <w:t>建设项目环境风险评价自查表</w:t>
      </w:r>
    </w:p>
    <w:p w14:paraId="1D7998B7">
      <w:pPr>
        <w:spacing w:line="80" w:lineRule="exact"/>
      </w:pPr>
    </w:p>
    <w:tbl>
      <w:tblPr>
        <w:tblStyle w:val="5"/>
        <w:tblW w:w="9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1269"/>
        <w:gridCol w:w="1012"/>
        <w:gridCol w:w="405"/>
        <w:gridCol w:w="70"/>
        <w:gridCol w:w="639"/>
        <w:gridCol w:w="473"/>
        <w:gridCol w:w="94"/>
        <w:gridCol w:w="282"/>
        <w:gridCol w:w="400"/>
        <w:gridCol w:w="795"/>
        <w:gridCol w:w="247"/>
        <w:gridCol w:w="539"/>
        <w:gridCol w:w="98"/>
        <w:gridCol w:w="719"/>
        <w:gridCol w:w="106"/>
        <w:gridCol w:w="700"/>
        <w:gridCol w:w="783"/>
      </w:tblGrid>
      <w:tr w14:paraId="47E40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700" w:type="dxa"/>
            <w:gridSpan w:val="2"/>
            <w:vAlign w:val="top"/>
          </w:tcPr>
          <w:p w14:paraId="47F75A56">
            <w:pPr>
              <w:pStyle w:val="6"/>
              <w:spacing w:before="36" w:line="228" w:lineRule="auto"/>
              <w:ind w:left="439"/>
            </w:pPr>
            <w:r>
              <w:rPr>
                <w:spacing w:val="6"/>
              </w:rPr>
              <w:t>工作内容</w:t>
            </w:r>
          </w:p>
        </w:tc>
        <w:tc>
          <w:tcPr>
            <w:tcW w:w="7362" w:type="dxa"/>
            <w:gridSpan w:val="16"/>
            <w:vAlign w:val="top"/>
          </w:tcPr>
          <w:p w14:paraId="590146C9">
            <w:pPr>
              <w:pStyle w:val="6"/>
              <w:spacing w:before="36" w:line="228" w:lineRule="auto"/>
              <w:ind w:left="3267"/>
            </w:pPr>
            <w:r>
              <w:rPr>
                <w:spacing w:val="6"/>
              </w:rPr>
              <w:t>完成情况</w:t>
            </w:r>
          </w:p>
        </w:tc>
      </w:tr>
      <w:tr w14:paraId="691E1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restart"/>
            <w:tcBorders>
              <w:bottom w:val="nil"/>
            </w:tcBorders>
            <w:vAlign w:val="top"/>
          </w:tcPr>
          <w:p w14:paraId="2AF81614">
            <w:pPr>
              <w:rPr>
                <w:rFonts w:ascii="Arial"/>
                <w:sz w:val="21"/>
              </w:rPr>
            </w:pPr>
          </w:p>
        </w:tc>
        <w:tc>
          <w:tcPr>
            <w:tcW w:w="1269" w:type="dxa"/>
            <w:vMerge w:val="restart"/>
            <w:tcBorders>
              <w:bottom w:val="nil"/>
            </w:tcBorders>
            <w:vAlign w:val="top"/>
          </w:tcPr>
          <w:p w14:paraId="4BA0113B">
            <w:pPr>
              <w:spacing w:line="283" w:lineRule="auto"/>
              <w:rPr>
                <w:rFonts w:ascii="Arial"/>
                <w:sz w:val="21"/>
              </w:rPr>
            </w:pPr>
          </w:p>
          <w:p w14:paraId="7B14EBF7">
            <w:pPr>
              <w:pStyle w:val="6"/>
              <w:spacing w:before="65" w:line="229" w:lineRule="auto"/>
              <w:ind w:left="219"/>
            </w:pPr>
            <w:r>
              <w:rPr>
                <w:spacing w:val="6"/>
              </w:rPr>
              <w:t>危险物质</w:t>
            </w:r>
          </w:p>
        </w:tc>
        <w:tc>
          <w:tcPr>
            <w:tcW w:w="1012" w:type="dxa"/>
            <w:vAlign w:val="top"/>
          </w:tcPr>
          <w:p w14:paraId="7DD31BCA">
            <w:pPr>
              <w:pStyle w:val="6"/>
              <w:spacing w:before="32" w:line="231" w:lineRule="auto"/>
              <w:ind w:left="301"/>
            </w:pPr>
            <w:r>
              <w:rPr>
                <w:spacing w:val="3"/>
              </w:rPr>
              <w:t>名称</w:t>
            </w:r>
          </w:p>
        </w:tc>
        <w:tc>
          <w:tcPr>
            <w:tcW w:w="1114" w:type="dxa"/>
            <w:gridSpan w:val="3"/>
            <w:vAlign w:val="top"/>
          </w:tcPr>
          <w:p w14:paraId="34489314">
            <w:pPr>
              <w:rPr>
                <w:rFonts w:ascii="Arial"/>
                <w:sz w:val="21"/>
              </w:rPr>
            </w:pPr>
          </w:p>
        </w:tc>
        <w:tc>
          <w:tcPr>
            <w:tcW w:w="567" w:type="dxa"/>
            <w:gridSpan w:val="2"/>
            <w:vAlign w:val="top"/>
          </w:tcPr>
          <w:p w14:paraId="5A9961A6">
            <w:pPr>
              <w:rPr>
                <w:rFonts w:ascii="Arial"/>
                <w:sz w:val="21"/>
              </w:rPr>
            </w:pPr>
          </w:p>
        </w:tc>
        <w:tc>
          <w:tcPr>
            <w:tcW w:w="682" w:type="dxa"/>
            <w:gridSpan w:val="2"/>
            <w:vAlign w:val="top"/>
          </w:tcPr>
          <w:p w14:paraId="5DA7D9A6">
            <w:pPr>
              <w:rPr>
                <w:rFonts w:ascii="Arial"/>
                <w:sz w:val="21"/>
              </w:rPr>
            </w:pPr>
          </w:p>
        </w:tc>
        <w:tc>
          <w:tcPr>
            <w:tcW w:w="795" w:type="dxa"/>
            <w:vAlign w:val="top"/>
          </w:tcPr>
          <w:p w14:paraId="21E24268">
            <w:pPr>
              <w:rPr>
                <w:rFonts w:ascii="Arial"/>
                <w:sz w:val="21"/>
              </w:rPr>
            </w:pPr>
          </w:p>
        </w:tc>
        <w:tc>
          <w:tcPr>
            <w:tcW w:w="786" w:type="dxa"/>
            <w:gridSpan w:val="2"/>
            <w:vAlign w:val="top"/>
          </w:tcPr>
          <w:p w14:paraId="145D1361">
            <w:pPr>
              <w:rPr>
                <w:rFonts w:ascii="Arial"/>
                <w:sz w:val="21"/>
              </w:rPr>
            </w:pPr>
          </w:p>
        </w:tc>
        <w:tc>
          <w:tcPr>
            <w:tcW w:w="817" w:type="dxa"/>
            <w:gridSpan w:val="2"/>
            <w:vAlign w:val="top"/>
          </w:tcPr>
          <w:p w14:paraId="31C37D02">
            <w:pPr>
              <w:rPr>
                <w:rFonts w:ascii="Arial"/>
                <w:sz w:val="21"/>
              </w:rPr>
            </w:pPr>
          </w:p>
        </w:tc>
        <w:tc>
          <w:tcPr>
            <w:tcW w:w="806" w:type="dxa"/>
            <w:gridSpan w:val="2"/>
            <w:vAlign w:val="top"/>
          </w:tcPr>
          <w:p w14:paraId="672288EE">
            <w:pPr>
              <w:rPr>
                <w:rFonts w:ascii="Arial"/>
                <w:sz w:val="21"/>
              </w:rPr>
            </w:pPr>
          </w:p>
        </w:tc>
        <w:tc>
          <w:tcPr>
            <w:tcW w:w="783" w:type="dxa"/>
            <w:vAlign w:val="top"/>
          </w:tcPr>
          <w:p w14:paraId="7C104064">
            <w:pPr>
              <w:rPr>
                <w:rFonts w:ascii="Arial"/>
                <w:sz w:val="21"/>
              </w:rPr>
            </w:pPr>
          </w:p>
        </w:tc>
      </w:tr>
      <w:tr w14:paraId="70EEB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31" w:type="dxa"/>
            <w:vMerge w:val="continue"/>
            <w:tcBorders>
              <w:top w:val="nil"/>
              <w:bottom w:val="nil"/>
            </w:tcBorders>
            <w:vAlign w:val="top"/>
          </w:tcPr>
          <w:p w14:paraId="7A7605C1">
            <w:pPr>
              <w:rPr>
                <w:rFonts w:ascii="Arial"/>
                <w:sz w:val="21"/>
              </w:rPr>
            </w:pPr>
          </w:p>
        </w:tc>
        <w:tc>
          <w:tcPr>
            <w:tcW w:w="1269" w:type="dxa"/>
            <w:vMerge w:val="continue"/>
            <w:tcBorders>
              <w:top w:val="nil"/>
            </w:tcBorders>
            <w:vAlign w:val="top"/>
          </w:tcPr>
          <w:p w14:paraId="28A1F2DD">
            <w:pPr>
              <w:rPr>
                <w:rFonts w:ascii="Arial"/>
                <w:sz w:val="21"/>
              </w:rPr>
            </w:pPr>
          </w:p>
        </w:tc>
        <w:tc>
          <w:tcPr>
            <w:tcW w:w="1012" w:type="dxa"/>
            <w:vAlign w:val="top"/>
          </w:tcPr>
          <w:p w14:paraId="75A12A77">
            <w:pPr>
              <w:pStyle w:val="6"/>
              <w:spacing w:before="31" w:line="228" w:lineRule="auto"/>
              <w:ind w:left="195"/>
            </w:pPr>
            <w:r>
              <w:rPr>
                <w:spacing w:val="7"/>
              </w:rPr>
              <w:t>存在总</w:t>
            </w:r>
          </w:p>
          <w:p w14:paraId="76F20C69">
            <w:pPr>
              <w:pStyle w:val="6"/>
              <w:spacing w:before="36" w:line="274" w:lineRule="exact"/>
              <w:ind w:left="347"/>
              <w:rPr>
                <w:rFonts w:ascii="Times New Roman" w:hAnsi="Times New Roman" w:eastAsia="Times New Roman" w:cs="Times New Roman"/>
              </w:rPr>
            </w:pPr>
            <w:r>
              <w:rPr>
                <w:spacing w:val="1"/>
                <w:position w:val="1"/>
              </w:rPr>
              <w:t>量</w:t>
            </w:r>
            <w:r>
              <w:rPr>
                <w:rFonts w:ascii="Times New Roman" w:hAnsi="Times New Roman" w:eastAsia="Times New Roman" w:cs="Times New Roman"/>
                <w:spacing w:val="1"/>
                <w:position w:val="1"/>
              </w:rPr>
              <w:t>/t</w:t>
            </w:r>
          </w:p>
        </w:tc>
        <w:tc>
          <w:tcPr>
            <w:tcW w:w="1114" w:type="dxa"/>
            <w:gridSpan w:val="3"/>
            <w:vAlign w:val="top"/>
          </w:tcPr>
          <w:p w14:paraId="65A5AD56">
            <w:pPr>
              <w:rPr>
                <w:rFonts w:ascii="Arial"/>
                <w:sz w:val="21"/>
              </w:rPr>
            </w:pPr>
          </w:p>
        </w:tc>
        <w:tc>
          <w:tcPr>
            <w:tcW w:w="567" w:type="dxa"/>
            <w:gridSpan w:val="2"/>
            <w:vAlign w:val="top"/>
          </w:tcPr>
          <w:p w14:paraId="364BDDC2">
            <w:pPr>
              <w:rPr>
                <w:rFonts w:ascii="Arial"/>
                <w:sz w:val="21"/>
              </w:rPr>
            </w:pPr>
          </w:p>
        </w:tc>
        <w:tc>
          <w:tcPr>
            <w:tcW w:w="682" w:type="dxa"/>
            <w:gridSpan w:val="2"/>
            <w:vAlign w:val="top"/>
          </w:tcPr>
          <w:p w14:paraId="5C7F7C67">
            <w:pPr>
              <w:rPr>
                <w:rFonts w:ascii="Arial"/>
                <w:sz w:val="21"/>
              </w:rPr>
            </w:pPr>
          </w:p>
        </w:tc>
        <w:tc>
          <w:tcPr>
            <w:tcW w:w="795" w:type="dxa"/>
            <w:vAlign w:val="top"/>
          </w:tcPr>
          <w:p w14:paraId="108C324F">
            <w:pPr>
              <w:rPr>
                <w:rFonts w:ascii="Arial"/>
                <w:sz w:val="21"/>
              </w:rPr>
            </w:pPr>
          </w:p>
        </w:tc>
        <w:tc>
          <w:tcPr>
            <w:tcW w:w="786" w:type="dxa"/>
            <w:gridSpan w:val="2"/>
            <w:vAlign w:val="top"/>
          </w:tcPr>
          <w:p w14:paraId="04E0487A">
            <w:pPr>
              <w:rPr>
                <w:rFonts w:ascii="Arial"/>
                <w:sz w:val="21"/>
              </w:rPr>
            </w:pPr>
          </w:p>
        </w:tc>
        <w:tc>
          <w:tcPr>
            <w:tcW w:w="817" w:type="dxa"/>
            <w:gridSpan w:val="2"/>
            <w:vAlign w:val="top"/>
          </w:tcPr>
          <w:p w14:paraId="7BAC1578">
            <w:pPr>
              <w:rPr>
                <w:rFonts w:ascii="Arial"/>
                <w:sz w:val="21"/>
              </w:rPr>
            </w:pPr>
          </w:p>
        </w:tc>
        <w:tc>
          <w:tcPr>
            <w:tcW w:w="806" w:type="dxa"/>
            <w:gridSpan w:val="2"/>
            <w:vAlign w:val="top"/>
          </w:tcPr>
          <w:p w14:paraId="6AC84BEC">
            <w:pPr>
              <w:rPr>
                <w:rFonts w:ascii="Arial"/>
                <w:sz w:val="21"/>
              </w:rPr>
            </w:pPr>
          </w:p>
        </w:tc>
        <w:tc>
          <w:tcPr>
            <w:tcW w:w="783" w:type="dxa"/>
            <w:vAlign w:val="top"/>
          </w:tcPr>
          <w:p w14:paraId="3ED51E39">
            <w:pPr>
              <w:rPr>
                <w:rFonts w:ascii="Arial"/>
                <w:sz w:val="21"/>
              </w:rPr>
            </w:pPr>
          </w:p>
        </w:tc>
      </w:tr>
      <w:tr w14:paraId="096E0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8" w:hRule="atLeast"/>
        </w:trPr>
        <w:tc>
          <w:tcPr>
            <w:tcW w:w="431" w:type="dxa"/>
            <w:vMerge w:val="continue"/>
            <w:tcBorders>
              <w:top w:val="nil"/>
              <w:bottom w:val="nil"/>
            </w:tcBorders>
            <w:vAlign w:val="top"/>
          </w:tcPr>
          <w:p w14:paraId="6D5C6B25">
            <w:pPr>
              <w:rPr>
                <w:rFonts w:ascii="Arial"/>
                <w:sz w:val="21"/>
              </w:rPr>
            </w:pPr>
          </w:p>
        </w:tc>
        <w:tc>
          <w:tcPr>
            <w:tcW w:w="1269" w:type="dxa"/>
            <w:vMerge w:val="restart"/>
            <w:tcBorders>
              <w:bottom w:val="nil"/>
            </w:tcBorders>
            <w:vAlign w:val="top"/>
          </w:tcPr>
          <w:p w14:paraId="18474CDC">
            <w:pPr>
              <w:spacing w:line="256" w:lineRule="auto"/>
              <w:rPr>
                <w:rFonts w:ascii="Arial"/>
                <w:sz w:val="21"/>
              </w:rPr>
            </w:pPr>
          </w:p>
          <w:p w14:paraId="735A0D3F">
            <w:pPr>
              <w:spacing w:line="257" w:lineRule="auto"/>
              <w:rPr>
                <w:rFonts w:ascii="Arial"/>
                <w:sz w:val="21"/>
              </w:rPr>
            </w:pPr>
          </w:p>
          <w:p w14:paraId="6178E80E">
            <w:pPr>
              <w:spacing w:line="257" w:lineRule="auto"/>
              <w:rPr>
                <w:rFonts w:ascii="Arial"/>
                <w:sz w:val="21"/>
              </w:rPr>
            </w:pPr>
          </w:p>
          <w:p w14:paraId="48245BA9">
            <w:pPr>
              <w:pStyle w:val="6"/>
              <w:spacing w:before="65" w:line="228" w:lineRule="auto"/>
              <w:ind w:left="113"/>
            </w:pPr>
            <w:r>
              <w:rPr>
                <w:spacing w:val="8"/>
              </w:rPr>
              <w:t>环境敏感性</w:t>
            </w:r>
          </w:p>
        </w:tc>
        <w:tc>
          <w:tcPr>
            <w:tcW w:w="1012" w:type="dxa"/>
            <w:vMerge w:val="restart"/>
            <w:tcBorders>
              <w:bottom w:val="nil"/>
            </w:tcBorders>
            <w:vAlign w:val="top"/>
          </w:tcPr>
          <w:p w14:paraId="1C14930F">
            <w:pPr>
              <w:pStyle w:val="6"/>
              <w:spacing w:before="192" w:line="229" w:lineRule="auto"/>
              <w:ind w:left="301"/>
            </w:pPr>
            <w:r>
              <w:rPr>
                <w:spacing w:val="3"/>
              </w:rPr>
              <w:t>大气</w:t>
            </w:r>
          </w:p>
        </w:tc>
        <w:tc>
          <w:tcPr>
            <w:tcW w:w="3158" w:type="dxa"/>
            <w:gridSpan w:val="8"/>
            <w:vAlign w:val="top"/>
          </w:tcPr>
          <w:p w14:paraId="102B0369">
            <w:pPr>
              <w:pStyle w:val="6"/>
              <w:spacing w:line="274" w:lineRule="exact"/>
              <w:ind w:left="426"/>
            </w:pPr>
            <w:r>
              <w:rPr>
                <w:rFonts w:ascii="Times New Roman" w:hAnsi="Times New Roman" w:eastAsia="Times New Roman" w:cs="Times New Roman"/>
                <w:spacing w:val="6"/>
                <w:position w:val="2"/>
              </w:rPr>
              <w:t xml:space="preserve">500m </w:t>
            </w:r>
            <w:r>
              <w:rPr>
                <w:spacing w:val="6"/>
                <w:position w:val="2"/>
              </w:rPr>
              <w:t>范围内人口数</w:t>
            </w:r>
            <w:r>
              <w:rPr>
                <w:rFonts w:ascii="Times New Roman" w:hAnsi="Times New Roman" w:eastAsia="Times New Roman" w:cs="Times New Roman"/>
                <w:spacing w:val="6"/>
                <w:position w:val="2"/>
              </w:rPr>
              <w:t>___</w:t>
            </w:r>
            <w:r>
              <w:rPr>
                <w:spacing w:val="6"/>
                <w:position w:val="2"/>
              </w:rPr>
              <w:t>人</w:t>
            </w:r>
          </w:p>
        </w:tc>
        <w:tc>
          <w:tcPr>
            <w:tcW w:w="3192" w:type="dxa"/>
            <w:gridSpan w:val="7"/>
            <w:vAlign w:val="top"/>
          </w:tcPr>
          <w:p w14:paraId="692FE835">
            <w:pPr>
              <w:pStyle w:val="6"/>
              <w:spacing w:line="274" w:lineRule="exact"/>
              <w:ind w:left="496"/>
            </w:pPr>
            <w:r>
              <w:rPr>
                <w:rFonts w:ascii="Times New Roman" w:hAnsi="Times New Roman" w:eastAsia="Times New Roman" w:cs="Times New Roman"/>
                <w:spacing w:val="6"/>
                <w:position w:val="2"/>
              </w:rPr>
              <w:t>5</w:t>
            </w:r>
            <w:r>
              <w:rPr>
                <w:rFonts w:ascii="Times New Roman" w:hAnsi="Times New Roman" w:eastAsia="Times New Roman" w:cs="Times New Roman"/>
                <w:position w:val="2"/>
              </w:rPr>
              <w:t>km</w:t>
            </w:r>
            <w:r>
              <w:rPr>
                <w:rFonts w:ascii="Times New Roman" w:hAnsi="Times New Roman" w:eastAsia="Times New Roman" w:cs="Times New Roman"/>
                <w:spacing w:val="26"/>
                <w:position w:val="2"/>
              </w:rPr>
              <w:t xml:space="preserve"> </w:t>
            </w:r>
            <w:r>
              <w:rPr>
                <w:spacing w:val="6"/>
                <w:position w:val="2"/>
              </w:rPr>
              <w:t>范围内人口数</w:t>
            </w:r>
            <w:r>
              <w:rPr>
                <w:rFonts w:ascii="Times New Roman" w:hAnsi="Times New Roman" w:eastAsia="Times New Roman" w:cs="Times New Roman"/>
                <w:spacing w:val="6"/>
                <w:position w:val="2"/>
              </w:rPr>
              <w:t>___</w:t>
            </w:r>
            <w:r>
              <w:rPr>
                <w:spacing w:val="6"/>
                <w:position w:val="2"/>
              </w:rPr>
              <w:t>人</w:t>
            </w:r>
          </w:p>
        </w:tc>
      </w:tr>
      <w:tr w14:paraId="68D98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vAlign w:val="top"/>
          </w:tcPr>
          <w:p w14:paraId="70454080">
            <w:pPr>
              <w:rPr>
                <w:rFonts w:ascii="Arial"/>
                <w:sz w:val="21"/>
              </w:rPr>
            </w:pPr>
          </w:p>
        </w:tc>
        <w:tc>
          <w:tcPr>
            <w:tcW w:w="1269" w:type="dxa"/>
            <w:vMerge w:val="continue"/>
            <w:tcBorders>
              <w:top w:val="nil"/>
              <w:bottom w:val="nil"/>
            </w:tcBorders>
            <w:vAlign w:val="top"/>
          </w:tcPr>
          <w:p w14:paraId="79485A4D">
            <w:pPr>
              <w:rPr>
                <w:rFonts w:ascii="Arial"/>
                <w:sz w:val="21"/>
              </w:rPr>
            </w:pPr>
          </w:p>
        </w:tc>
        <w:tc>
          <w:tcPr>
            <w:tcW w:w="1012" w:type="dxa"/>
            <w:vMerge w:val="continue"/>
            <w:tcBorders>
              <w:top w:val="nil"/>
            </w:tcBorders>
            <w:vAlign w:val="top"/>
          </w:tcPr>
          <w:p w14:paraId="16E951E4">
            <w:pPr>
              <w:rPr>
                <w:rFonts w:ascii="Arial"/>
                <w:sz w:val="21"/>
              </w:rPr>
            </w:pPr>
          </w:p>
        </w:tc>
        <w:tc>
          <w:tcPr>
            <w:tcW w:w="4761" w:type="dxa"/>
            <w:gridSpan w:val="12"/>
            <w:vAlign w:val="top"/>
          </w:tcPr>
          <w:p w14:paraId="00365D60">
            <w:pPr>
              <w:pStyle w:val="6"/>
              <w:spacing w:before="1" w:line="274" w:lineRule="exact"/>
              <w:ind w:left="302"/>
            </w:pPr>
            <w:r>
              <w:rPr>
                <w:spacing w:val="7"/>
                <w:position w:val="1"/>
              </w:rPr>
              <w:t>每公里管段周边</w:t>
            </w:r>
            <w:r>
              <w:rPr>
                <w:spacing w:val="-28"/>
                <w:position w:val="1"/>
              </w:rPr>
              <w:t xml:space="preserve"> </w:t>
            </w:r>
            <w:r>
              <w:rPr>
                <w:rFonts w:ascii="Times New Roman" w:hAnsi="Times New Roman" w:eastAsia="Times New Roman" w:cs="Times New Roman"/>
                <w:spacing w:val="7"/>
                <w:position w:val="1"/>
              </w:rPr>
              <w:t xml:space="preserve">200m </w:t>
            </w:r>
            <w:r>
              <w:rPr>
                <w:spacing w:val="7"/>
                <w:position w:val="1"/>
              </w:rPr>
              <w:t>范围内人口数（最大）</w:t>
            </w:r>
          </w:p>
        </w:tc>
        <w:tc>
          <w:tcPr>
            <w:tcW w:w="1589" w:type="dxa"/>
            <w:gridSpan w:val="3"/>
            <w:vAlign w:val="top"/>
          </w:tcPr>
          <w:p w14:paraId="08FC902B">
            <w:pPr>
              <w:pStyle w:val="6"/>
              <w:spacing w:before="32" w:line="221" w:lineRule="auto"/>
              <w:ind w:left="310"/>
            </w:pPr>
            <w:r>
              <w:rPr>
                <w:rFonts w:ascii="Times New Roman" w:hAnsi="Times New Roman" w:eastAsia="Times New Roman" w:cs="Times New Roman"/>
                <w:spacing w:val="5"/>
              </w:rPr>
              <w:t>_______</w:t>
            </w:r>
            <w:r>
              <w:rPr>
                <w:spacing w:val="5"/>
              </w:rPr>
              <w:t>人</w:t>
            </w:r>
          </w:p>
        </w:tc>
      </w:tr>
      <w:tr w14:paraId="09FC6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vAlign w:val="top"/>
          </w:tcPr>
          <w:p w14:paraId="261E8207">
            <w:pPr>
              <w:rPr>
                <w:rFonts w:ascii="Arial"/>
                <w:sz w:val="21"/>
              </w:rPr>
            </w:pPr>
          </w:p>
        </w:tc>
        <w:tc>
          <w:tcPr>
            <w:tcW w:w="1269" w:type="dxa"/>
            <w:vMerge w:val="continue"/>
            <w:tcBorders>
              <w:top w:val="nil"/>
              <w:bottom w:val="nil"/>
            </w:tcBorders>
            <w:vAlign w:val="top"/>
          </w:tcPr>
          <w:p w14:paraId="38528F72">
            <w:pPr>
              <w:rPr>
                <w:rFonts w:ascii="Arial"/>
                <w:sz w:val="21"/>
              </w:rPr>
            </w:pPr>
          </w:p>
        </w:tc>
        <w:tc>
          <w:tcPr>
            <w:tcW w:w="1012" w:type="dxa"/>
            <w:vMerge w:val="restart"/>
            <w:tcBorders>
              <w:bottom w:val="nil"/>
            </w:tcBorders>
            <w:vAlign w:val="top"/>
          </w:tcPr>
          <w:p w14:paraId="39A2B282">
            <w:pPr>
              <w:pStyle w:val="6"/>
              <w:spacing w:before="194" w:line="228" w:lineRule="auto"/>
              <w:ind w:left="195"/>
            </w:pPr>
            <w:r>
              <w:rPr>
                <w:spacing w:val="6"/>
              </w:rPr>
              <w:t>地表水</w:t>
            </w:r>
          </w:p>
        </w:tc>
        <w:tc>
          <w:tcPr>
            <w:tcW w:w="1963" w:type="dxa"/>
            <w:gridSpan w:val="6"/>
            <w:vAlign w:val="top"/>
          </w:tcPr>
          <w:p w14:paraId="7CAF3F1B">
            <w:pPr>
              <w:pStyle w:val="6"/>
              <w:spacing w:before="33" w:line="228" w:lineRule="auto"/>
              <w:ind w:left="146"/>
            </w:pPr>
            <w:r>
              <w:rPr>
                <w:spacing w:val="8"/>
              </w:rPr>
              <w:t>地表水功能敏感性</w:t>
            </w:r>
          </w:p>
        </w:tc>
        <w:tc>
          <w:tcPr>
            <w:tcW w:w="1442" w:type="dxa"/>
            <w:gridSpan w:val="3"/>
            <w:vAlign w:val="top"/>
          </w:tcPr>
          <w:p w14:paraId="703ADC4C">
            <w:pPr>
              <w:spacing w:before="5" w:line="274"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F</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2"/>
                <w:position w:val="1"/>
                <w:sz w:val="20"/>
                <w:szCs w:val="20"/>
              </w:rPr>
              <w:t xml:space="preserve"> </w:t>
            </w:r>
            <w:r>
              <w:rPr>
                <w:rFonts w:ascii="Times New Roman" w:hAnsi="Times New Roman" w:eastAsia="Times New Roman" w:cs="Times New Roman"/>
                <w:spacing w:val="-7"/>
                <w:position w:val="1"/>
                <w:sz w:val="20"/>
                <w:szCs w:val="20"/>
              </w:rPr>
              <w:t>□</w:t>
            </w:r>
          </w:p>
        </w:tc>
        <w:tc>
          <w:tcPr>
            <w:tcW w:w="1462" w:type="dxa"/>
            <w:gridSpan w:val="4"/>
            <w:vAlign w:val="top"/>
          </w:tcPr>
          <w:p w14:paraId="6213BBFB">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F2</w:t>
            </w:r>
            <w:r>
              <w:rPr>
                <w:rFonts w:ascii="Times New Roman" w:hAnsi="Times New Roman" w:eastAsia="Times New Roman" w:cs="Times New Roman"/>
                <w:spacing w:val="-33"/>
                <w:position w:val="1"/>
                <w:sz w:val="20"/>
                <w:szCs w:val="20"/>
              </w:rPr>
              <w:t xml:space="preserve"> </w:t>
            </w:r>
            <w:r>
              <w:rPr>
                <w:rFonts w:ascii="Times New Roman" w:hAnsi="Times New Roman" w:eastAsia="Times New Roman" w:cs="Times New Roman"/>
                <w:spacing w:val="1"/>
                <w:position w:val="1"/>
                <w:sz w:val="20"/>
                <w:szCs w:val="20"/>
              </w:rPr>
              <w:t>□</w:t>
            </w:r>
          </w:p>
        </w:tc>
        <w:tc>
          <w:tcPr>
            <w:tcW w:w="1483" w:type="dxa"/>
            <w:gridSpan w:val="2"/>
            <w:vAlign w:val="top"/>
          </w:tcPr>
          <w:p w14:paraId="54324F83">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F3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3AB28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31" w:type="dxa"/>
            <w:vMerge w:val="continue"/>
            <w:tcBorders>
              <w:top w:val="nil"/>
              <w:bottom w:val="nil"/>
            </w:tcBorders>
            <w:vAlign w:val="top"/>
          </w:tcPr>
          <w:p w14:paraId="3DD7DEE5">
            <w:pPr>
              <w:rPr>
                <w:rFonts w:ascii="Arial"/>
                <w:sz w:val="21"/>
              </w:rPr>
            </w:pPr>
          </w:p>
        </w:tc>
        <w:tc>
          <w:tcPr>
            <w:tcW w:w="1269" w:type="dxa"/>
            <w:vMerge w:val="continue"/>
            <w:tcBorders>
              <w:top w:val="nil"/>
              <w:bottom w:val="nil"/>
            </w:tcBorders>
            <w:vAlign w:val="top"/>
          </w:tcPr>
          <w:p w14:paraId="48CC4329">
            <w:pPr>
              <w:rPr>
                <w:rFonts w:ascii="Arial"/>
                <w:sz w:val="21"/>
              </w:rPr>
            </w:pPr>
          </w:p>
        </w:tc>
        <w:tc>
          <w:tcPr>
            <w:tcW w:w="1012" w:type="dxa"/>
            <w:vMerge w:val="continue"/>
            <w:tcBorders>
              <w:top w:val="nil"/>
            </w:tcBorders>
            <w:vAlign w:val="top"/>
          </w:tcPr>
          <w:p w14:paraId="1A214440">
            <w:pPr>
              <w:rPr>
                <w:rFonts w:ascii="Arial"/>
                <w:sz w:val="21"/>
              </w:rPr>
            </w:pPr>
          </w:p>
        </w:tc>
        <w:tc>
          <w:tcPr>
            <w:tcW w:w="1963" w:type="dxa"/>
            <w:gridSpan w:val="6"/>
            <w:vAlign w:val="top"/>
          </w:tcPr>
          <w:p w14:paraId="016DB64A">
            <w:pPr>
              <w:pStyle w:val="6"/>
              <w:spacing w:before="34" w:line="228" w:lineRule="auto"/>
              <w:ind w:left="146"/>
            </w:pPr>
            <w:r>
              <w:rPr>
                <w:spacing w:val="8"/>
              </w:rPr>
              <w:t>环境敏感目标分级</w:t>
            </w:r>
          </w:p>
        </w:tc>
        <w:tc>
          <w:tcPr>
            <w:tcW w:w="1442" w:type="dxa"/>
            <w:gridSpan w:val="3"/>
            <w:vAlign w:val="top"/>
          </w:tcPr>
          <w:p w14:paraId="5EFEB11C">
            <w:pPr>
              <w:spacing w:before="3" w:line="274" w:lineRule="exact"/>
              <w:ind w:left="566"/>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S</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10"/>
                <w:position w:val="2"/>
                <w:sz w:val="20"/>
                <w:szCs w:val="20"/>
              </w:rPr>
              <w:t>1</w:t>
            </w:r>
            <w:r>
              <w:rPr>
                <w:rFonts w:ascii="Times New Roman" w:hAnsi="Times New Roman" w:eastAsia="Times New Roman" w:cs="Times New Roman"/>
                <w:spacing w:val="-32"/>
                <w:position w:val="2"/>
                <w:sz w:val="20"/>
                <w:szCs w:val="20"/>
              </w:rPr>
              <w:t xml:space="preserve"> </w:t>
            </w:r>
            <w:r>
              <w:rPr>
                <w:rFonts w:ascii="Times New Roman" w:hAnsi="Times New Roman" w:eastAsia="Times New Roman" w:cs="Times New Roman"/>
                <w:spacing w:val="-10"/>
                <w:position w:val="2"/>
                <w:sz w:val="20"/>
                <w:szCs w:val="20"/>
              </w:rPr>
              <w:t>□</w:t>
            </w:r>
          </w:p>
        </w:tc>
        <w:tc>
          <w:tcPr>
            <w:tcW w:w="1462" w:type="dxa"/>
            <w:gridSpan w:val="4"/>
            <w:vAlign w:val="top"/>
          </w:tcPr>
          <w:p w14:paraId="71439530">
            <w:pPr>
              <w:spacing w:before="3" w:line="274" w:lineRule="exact"/>
              <w:ind w:left="5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S2</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c>
          <w:tcPr>
            <w:tcW w:w="1483" w:type="dxa"/>
            <w:gridSpan w:val="2"/>
            <w:vAlign w:val="top"/>
          </w:tcPr>
          <w:p w14:paraId="6220A991">
            <w:pPr>
              <w:spacing w:before="3" w:line="27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S3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r>
      <w:tr w14:paraId="7761A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vAlign w:val="top"/>
          </w:tcPr>
          <w:p w14:paraId="63B445E7">
            <w:pPr>
              <w:rPr>
                <w:rFonts w:ascii="Arial"/>
                <w:sz w:val="21"/>
              </w:rPr>
            </w:pPr>
          </w:p>
        </w:tc>
        <w:tc>
          <w:tcPr>
            <w:tcW w:w="1269" w:type="dxa"/>
            <w:vMerge w:val="continue"/>
            <w:tcBorders>
              <w:top w:val="nil"/>
              <w:bottom w:val="nil"/>
            </w:tcBorders>
            <w:vAlign w:val="top"/>
          </w:tcPr>
          <w:p w14:paraId="0D8DD140">
            <w:pPr>
              <w:rPr>
                <w:rFonts w:ascii="Arial"/>
                <w:sz w:val="21"/>
              </w:rPr>
            </w:pPr>
          </w:p>
        </w:tc>
        <w:tc>
          <w:tcPr>
            <w:tcW w:w="1012" w:type="dxa"/>
            <w:vMerge w:val="restart"/>
            <w:tcBorders>
              <w:bottom w:val="nil"/>
            </w:tcBorders>
            <w:vAlign w:val="top"/>
          </w:tcPr>
          <w:p w14:paraId="64B0A577">
            <w:pPr>
              <w:pStyle w:val="6"/>
              <w:spacing w:before="193" w:line="228" w:lineRule="auto"/>
              <w:ind w:left="195"/>
            </w:pPr>
            <w:r>
              <w:rPr>
                <w:spacing w:val="6"/>
              </w:rPr>
              <w:t>地下水</w:t>
            </w:r>
          </w:p>
        </w:tc>
        <w:tc>
          <w:tcPr>
            <w:tcW w:w="1963" w:type="dxa"/>
            <w:gridSpan w:val="6"/>
            <w:vAlign w:val="top"/>
          </w:tcPr>
          <w:p w14:paraId="42A7BE7A">
            <w:pPr>
              <w:pStyle w:val="6"/>
              <w:spacing w:before="32" w:line="228" w:lineRule="auto"/>
              <w:ind w:left="146"/>
            </w:pPr>
            <w:r>
              <w:rPr>
                <w:spacing w:val="8"/>
              </w:rPr>
              <w:t>地下水功能敏感性</w:t>
            </w:r>
          </w:p>
        </w:tc>
        <w:tc>
          <w:tcPr>
            <w:tcW w:w="1442" w:type="dxa"/>
            <w:gridSpan w:val="3"/>
            <w:vAlign w:val="top"/>
          </w:tcPr>
          <w:p w14:paraId="52AA5B5A">
            <w:pPr>
              <w:spacing w:before="3"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G</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7"/>
                <w:position w:val="2"/>
                <w:sz w:val="20"/>
                <w:szCs w:val="20"/>
              </w:rPr>
              <w:t>1</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7"/>
                <w:position w:val="2"/>
                <w:sz w:val="20"/>
                <w:szCs w:val="20"/>
              </w:rPr>
              <w:t>□</w:t>
            </w:r>
          </w:p>
        </w:tc>
        <w:tc>
          <w:tcPr>
            <w:tcW w:w="1462" w:type="dxa"/>
            <w:gridSpan w:val="4"/>
            <w:vAlign w:val="top"/>
          </w:tcPr>
          <w:p w14:paraId="268C73A5">
            <w:pPr>
              <w:spacing w:before="3" w:line="274" w:lineRule="exact"/>
              <w:ind w:left="5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G2</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1"/>
                <w:position w:val="2"/>
                <w:sz w:val="20"/>
                <w:szCs w:val="20"/>
              </w:rPr>
              <w:t>□</w:t>
            </w:r>
          </w:p>
        </w:tc>
        <w:tc>
          <w:tcPr>
            <w:tcW w:w="1483" w:type="dxa"/>
            <w:gridSpan w:val="2"/>
            <w:vAlign w:val="top"/>
          </w:tcPr>
          <w:p w14:paraId="3A762650">
            <w:pPr>
              <w:spacing w:before="3" w:line="274" w:lineRule="exact"/>
              <w:ind w:left="5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G3</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1"/>
                <w:position w:val="2"/>
                <w:sz w:val="20"/>
                <w:szCs w:val="20"/>
              </w:rPr>
              <w:t>□</w:t>
            </w:r>
          </w:p>
        </w:tc>
      </w:tr>
      <w:tr w14:paraId="181F3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tcBorders>
            <w:vAlign w:val="top"/>
          </w:tcPr>
          <w:p w14:paraId="138D6992">
            <w:pPr>
              <w:rPr>
                <w:rFonts w:ascii="Arial"/>
                <w:sz w:val="21"/>
              </w:rPr>
            </w:pPr>
          </w:p>
        </w:tc>
        <w:tc>
          <w:tcPr>
            <w:tcW w:w="1269" w:type="dxa"/>
            <w:vMerge w:val="continue"/>
            <w:tcBorders>
              <w:top w:val="nil"/>
            </w:tcBorders>
            <w:vAlign w:val="top"/>
          </w:tcPr>
          <w:p w14:paraId="1306DDF9">
            <w:pPr>
              <w:rPr>
                <w:rFonts w:ascii="Arial"/>
                <w:sz w:val="21"/>
              </w:rPr>
            </w:pPr>
          </w:p>
        </w:tc>
        <w:tc>
          <w:tcPr>
            <w:tcW w:w="1012" w:type="dxa"/>
            <w:vMerge w:val="continue"/>
            <w:tcBorders>
              <w:top w:val="nil"/>
            </w:tcBorders>
            <w:vAlign w:val="top"/>
          </w:tcPr>
          <w:p w14:paraId="1AAC450B">
            <w:pPr>
              <w:rPr>
                <w:rFonts w:ascii="Arial"/>
                <w:sz w:val="21"/>
              </w:rPr>
            </w:pPr>
          </w:p>
        </w:tc>
        <w:tc>
          <w:tcPr>
            <w:tcW w:w="1963" w:type="dxa"/>
            <w:gridSpan w:val="6"/>
            <w:vAlign w:val="top"/>
          </w:tcPr>
          <w:p w14:paraId="38B6FC41">
            <w:pPr>
              <w:pStyle w:val="6"/>
              <w:spacing w:before="33" w:line="228" w:lineRule="auto"/>
              <w:ind w:left="251"/>
            </w:pPr>
            <w:r>
              <w:rPr>
                <w:spacing w:val="8"/>
              </w:rPr>
              <w:t>包气带防污性能</w:t>
            </w:r>
          </w:p>
        </w:tc>
        <w:tc>
          <w:tcPr>
            <w:tcW w:w="1442" w:type="dxa"/>
            <w:gridSpan w:val="3"/>
            <w:vAlign w:val="top"/>
          </w:tcPr>
          <w:p w14:paraId="3024AFA1">
            <w:pPr>
              <w:spacing w:before="4" w:line="274" w:lineRule="exact"/>
              <w:ind w:left="540"/>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D</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6"/>
                <w:position w:val="1"/>
                <w:sz w:val="20"/>
                <w:szCs w:val="20"/>
              </w:rPr>
              <w:t>□</w:t>
            </w:r>
          </w:p>
        </w:tc>
        <w:tc>
          <w:tcPr>
            <w:tcW w:w="1462" w:type="dxa"/>
            <w:gridSpan w:val="4"/>
            <w:vAlign w:val="top"/>
          </w:tcPr>
          <w:p w14:paraId="5696EF1B">
            <w:pPr>
              <w:spacing w:before="4" w:line="274"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D2</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2"/>
                <w:position w:val="1"/>
                <w:sz w:val="20"/>
                <w:szCs w:val="20"/>
              </w:rPr>
              <w:t>□</w:t>
            </w:r>
          </w:p>
        </w:tc>
        <w:tc>
          <w:tcPr>
            <w:tcW w:w="1483" w:type="dxa"/>
            <w:gridSpan w:val="2"/>
            <w:vAlign w:val="top"/>
          </w:tcPr>
          <w:p w14:paraId="140B10DB">
            <w:pPr>
              <w:spacing w:before="4" w:line="274"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D3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r>
      <w:tr w14:paraId="0532D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restart"/>
            <w:tcBorders>
              <w:bottom w:val="nil"/>
            </w:tcBorders>
            <w:vAlign w:val="top"/>
          </w:tcPr>
          <w:p w14:paraId="58F702D5">
            <w:pPr>
              <w:pStyle w:val="6"/>
              <w:spacing w:before="197" w:line="292" w:lineRule="auto"/>
              <w:ind w:left="541" w:right="114" w:hanging="422"/>
            </w:pPr>
            <w:r>
              <w:rPr>
                <w:spacing w:val="8"/>
              </w:rPr>
              <w:t>物质及工艺系统</w:t>
            </w:r>
            <w:r>
              <w:rPr>
                <w:spacing w:val="3"/>
              </w:rPr>
              <w:t xml:space="preserve"> </w:t>
            </w:r>
            <w:r>
              <w:rPr>
                <w:spacing w:val="6"/>
              </w:rPr>
              <w:t>危险性</w:t>
            </w:r>
          </w:p>
        </w:tc>
        <w:tc>
          <w:tcPr>
            <w:tcW w:w="1012" w:type="dxa"/>
            <w:vAlign w:val="top"/>
          </w:tcPr>
          <w:p w14:paraId="4A8B0B3B">
            <w:pPr>
              <w:pStyle w:val="6"/>
              <w:spacing w:before="31" w:line="221" w:lineRule="auto"/>
              <w:ind w:left="303"/>
            </w:pPr>
            <w:r>
              <w:rPr>
                <w:rFonts w:ascii="Times New Roman" w:hAnsi="Times New Roman" w:eastAsia="Times New Roman" w:cs="Times New Roman"/>
                <w:spacing w:val="-1"/>
              </w:rPr>
              <w:t>Q</w:t>
            </w:r>
            <w:r>
              <w:rPr>
                <w:rFonts w:ascii="Times New Roman" w:hAnsi="Times New Roman" w:eastAsia="Times New Roman" w:cs="Times New Roman"/>
                <w:spacing w:val="12"/>
              </w:rPr>
              <w:t xml:space="preserve"> </w:t>
            </w:r>
            <w:r>
              <w:rPr>
                <w:spacing w:val="-1"/>
              </w:rPr>
              <w:t>值</w:t>
            </w:r>
          </w:p>
        </w:tc>
        <w:tc>
          <w:tcPr>
            <w:tcW w:w="1587" w:type="dxa"/>
            <w:gridSpan w:val="4"/>
            <w:vAlign w:val="top"/>
          </w:tcPr>
          <w:p w14:paraId="7AFCF664">
            <w:pPr>
              <w:pStyle w:val="6"/>
              <w:spacing w:line="275" w:lineRule="exact"/>
              <w:ind w:left="471"/>
            </w:pPr>
            <w:r>
              <w:rPr>
                <w:rFonts w:ascii="Times New Roman" w:hAnsi="Times New Roman" w:eastAsia="Times New Roman" w:cs="Times New Roman"/>
                <w:spacing w:val="4"/>
                <w:position w:val="1"/>
              </w:rPr>
              <w:t>Q</w:t>
            </w:r>
            <w:r>
              <w:rPr>
                <w:spacing w:val="4"/>
                <w:position w:val="1"/>
              </w:rPr>
              <w:t>＜</w:t>
            </w:r>
            <w:r>
              <w:rPr>
                <w:rFonts w:ascii="Times New Roman" w:hAnsi="Times New Roman" w:eastAsia="Times New Roman" w:cs="Times New Roman"/>
                <w:spacing w:val="4"/>
                <w:position w:val="1"/>
              </w:rPr>
              <w:t>1</w:t>
            </w:r>
            <w:r>
              <w:rPr>
                <w:position w:val="-3"/>
              </w:rPr>
              <w:drawing>
                <wp:inline distT="0" distB="0" distL="0" distR="0">
                  <wp:extent cx="117475" cy="1466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41"/>
                          <a:stretch>
                            <a:fillRect/>
                          </a:stretch>
                        </pic:blipFill>
                        <pic:spPr>
                          <a:xfrm>
                            <a:off x="0" y="0"/>
                            <a:ext cx="117487" cy="147048"/>
                          </a:xfrm>
                          <a:prstGeom prst="rect">
                            <a:avLst/>
                          </a:prstGeom>
                        </pic:spPr>
                      </pic:pic>
                    </a:graphicData>
                  </a:graphic>
                </wp:inline>
              </w:drawing>
            </w:r>
          </w:p>
        </w:tc>
        <w:tc>
          <w:tcPr>
            <w:tcW w:w="1571" w:type="dxa"/>
            <w:gridSpan w:val="4"/>
            <w:vAlign w:val="top"/>
          </w:tcPr>
          <w:p w14:paraId="2ED73F12">
            <w:pPr>
              <w:pStyle w:val="6"/>
              <w:spacing w:line="275" w:lineRule="exact"/>
              <w:ind w:left="356"/>
              <w:rPr>
                <w:rFonts w:ascii="Times New Roman" w:hAnsi="Times New Roman" w:eastAsia="Times New Roman" w:cs="Times New Roman"/>
              </w:rPr>
            </w:pPr>
            <w:r>
              <w:rPr>
                <w:rFonts w:ascii="Times New Roman" w:hAnsi="Times New Roman" w:eastAsia="Times New Roman" w:cs="Times New Roman"/>
                <w:spacing w:val="2"/>
                <w:position w:val="3"/>
              </w:rPr>
              <w:t>1≤Q</w:t>
            </w:r>
            <w:r>
              <w:rPr>
                <w:spacing w:val="2"/>
                <w:position w:val="3"/>
              </w:rPr>
              <w:t>＜</w:t>
            </w:r>
            <w:r>
              <w:rPr>
                <w:rFonts w:ascii="Times New Roman" w:hAnsi="Times New Roman" w:eastAsia="Times New Roman" w:cs="Times New Roman"/>
                <w:spacing w:val="2"/>
                <w:position w:val="3"/>
              </w:rPr>
              <w:t>10□</w:t>
            </w:r>
          </w:p>
        </w:tc>
        <w:tc>
          <w:tcPr>
            <w:tcW w:w="1603" w:type="dxa"/>
            <w:gridSpan w:val="4"/>
            <w:vAlign w:val="top"/>
          </w:tcPr>
          <w:p w14:paraId="46813C68">
            <w:pPr>
              <w:pStyle w:val="6"/>
              <w:spacing w:line="275" w:lineRule="exact"/>
              <w:ind w:left="266"/>
              <w:rPr>
                <w:rFonts w:ascii="Times New Roman" w:hAnsi="Times New Roman" w:eastAsia="Times New Roman" w:cs="Times New Roman"/>
              </w:rPr>
            </w:pPr>
            <w:r>
              <w:rPr>
                <w:rFonts w:ascii="Times New Roman" w:hAnsi="Times New Roman" w:eastAsia="Times New Roman" w:cs="Times New Roman"/>
                <w:spacing w:val="3"/>
                <w:position w:val="3"/>
              </w:rPr>
              <w:t>10≤Q</w:t>
            </w:r>
            <w:r>
              <w:rPr>
                <w:spacing w:val="3"/>
                <w:position w:val="3"/>
              </w:rPr>
              <w:t>＜</w:t>
            </w:r>
            <w:r>
              <w:rPr>
                <w:rFonts w:ascii="Times New Roman" w:hAnsi="Times New Roman" w:eastAsia="Times New Roman" w:cs="Times New Roman"/>
                <w:spacing w:val="3"/>
                <w:position w:val="3"/>
              </w:rPr>
              <w:t>100□</w:t>
            </w:r>
          </w:p>
        </w:tc>
        <w:tc>
          <w:tcPr>
            <w:tcW w:w="1589" w:type="dxa"/>
            <w:gridSpan w:val="3"/>
            <w:vAlign w:val="top"/>
          </w:tcPr>
          <w:p w14:paraId="7C01C9E8">
            <w:pPr>
              <w:pStyle w:val="6"/>
              <w:spacing w:line="275" w:lineRule="exact"/>
              <w:ind w:left="398"/>
              <w:rPr>
                <w:rFonts w:ascii="Times New Roman" w:hAnsi="Times New Roman" w:eastAsia="Times New Roman" w:cs="Times New Roman"/>
              </w:rPr>
            </w:pPr>
            <w:r>
              <w:rPr>
                <w:rFonts w:ascii="Times New Roman" w:hAnsi="Times New Roman" w:eastAsia="Times New Roman" w:cs="Times New Roman"/>
                <w:spacing w:val="4"/>
                <w:position w:val="3"/>
              </w:rPr>
              <w:t>Q</w:t>
            </w:r>
            <w:r>
              <w:rPr>
                <w:spacing w:val="4"/>
                <w:position w:val="3"/>
              </w:rPr>
              <w:t>＞</w:t>
            </w:r>
            <w:r>
              <w:rPr>
                <w:rFonts w:ascii="Times New Roman" w:hAnsi="Times New Roman" w:eastAsia="Times New Roman" w:cs="Times New Roman"/>
                <w:spacing w:val="4"/>
                <w:position w:val="3"/>
              </w:rPr>
              <w:t>100□</w:t>
            </w:r>
          </w:p>
        </w:tc>
      </w:tr>
      <w:tr w14:paraId="3B66F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continue"/>
            <w:tcBorders>
              <w:top w:val="nil"/>
              <w:bottom w:val="nil"/>
            </w:tcBorders>
            <w:vAlign w:val="top"/>
          </w:tcPr>
          <w:p w14:paraId="0EAB071A">
            <w:pPr>
              <w:rPr>
                <w:rFonts w:ascii="Arial"/>
                <w:sz w:val="21"/>
              </w:rPr>
            </w:pPr>
          </w:p>
        </w:tc>
        <w:tc>
          <w:tcPr>
            <w:tcW w:w="1012" w:type="dxa"/>
            <w:vAlign w:val="top"/>
          </w:tcPr>
          <w:p w14:paraId="1AE3C854">
            <w:pPr>
              <w:pStyle w:val="6"/>
              <w:spacing w:before="33" w:line="228" w:lineRule="auto"/>
              <w:ind w:left="280"/>
            </w:pPr>
            <w:r>
              <w:rPr>
                <w:rFonts w:ascii="Times New Roman" w:hAnsi="Times New Roman" w:eastAsia="Times New Roman" w:cs="Times New Roman"/>
                <w:spacing w:val="2"/>
              </w:rPr>
              <w:t>M</w:t>
            </w:r>
            <w:r>
              <w:rPr>
                <w:rFonts w:ascii="Times New Roman" w:hAnsi="Times New Roman" w:eastAsia="Times New Roman" w:cs="Times New Roman"/>
                <w:spacing w:val="12"/>
                <w:w w:val="101"/>
              </w:rPr>
              <w:t xml:space="preserve"> </w:t>
            </w:r>
            <w:r>
              <w:rPr>
                <w:spacing w:val="2"/>
              </w:rPr>
              <w:t>值</w:t>
            </w:r>
          </w:p>
        </w:tc>
        <w:tc>
          <w:tcPr>
            <w:tcW w:w="1963" w:type="dxa"/>
            <w:gridSpan w:val="6"/>
            <w:vAlign w:val="top"/>
          </w:tcPr>
          <w:p w14:paraId="2A9781EF">
            <w:pPr>
              <w:spacing w:before="4" w:line="274" w:lineRule="exact"/>
              <w:ind w:left="772"/>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M</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6"/>
                <w:position w:val="1"/>
                <w:sz w:val="20"/>
                <w:szCs w:val="20"/>
              </w:rPr>
              <w:t>□</w:t>
            </w:r>
          </w:p>
        </w:tc>
        <w:tc>
          <w:tcPr>
            <w:tcW w:w="1442" w:type="dxa"/>
            <w:gridSpan w:val="3"/>
            <w:vAlign w:val="top"/>
          </w:tcPr>
          <w:p w14:paraId="5785F6BF">
            <w:pPr>
              <w:spacing w:before="4"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M2</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2"/>
                <w:position w:val="1"/>
                <w:sz w:val="20"/>
                <w:szCs w:val="20"/>
              </w:rPr>
              <w:t>□</w:t>
            </w:r>
          </w:p>
        </w:tc>
        <w:tc>
          <w:tcPr>
            <w:tcW w:w="1462" w:type="dxa"/>
            <w:gridSpan w:val="4"/>
            <w:vAlign w:val="top"/>
          </w:tcPr>
          <w:p w14:paraId="51C6092E">
            <w:pPr>
              <w:spacing w:before="4" w:line="274" w:lineRule="exact"/>
              <w:ind w:left="5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M3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c>
          <w:tcPr>
            <w:tcW w:w="1483" w:type="dxa"/>
            <w:gridSpan w:val="2"/>
            <w:vAlign w:val="top"/>
          </w:tcPr>
          <w:p w14:paraId="35A1895B">
            <w:pPr>
              <w:spacing w:before="4"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M4</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2"/>
                <w:position w:val="1"/>
                <w:sz w:val="20"/>
                <w:szCs w:val="20"/>
              </w:rPr>
              <w:t>□</w:t>
            </w:r>
          </w:p>
        </w:tc>
      </w:tr>
      <w:tr w14:paraId="4AED4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0" w:type="dxa"/>
            <w:gridSpan w:val="2"/>
            <w:vMerge w:val="continue"/>
            <w:tcBorders>
              <w:top w:val="nil"/>
            </w:tcBorders>
            <w:vAlign w:val="top"/>
          </w:tcPr>
          <w:p w14:paraId="5DAF4C58">
            <w:pPr>
              <w:rPr>
                <w:rFonts w:ascii="Arial"/>
                <w:sz w:val="21"/>
              </w:rPr>
            </w:pPr>
          </w:p>
        </w:tc>
        <w:tc>
          <w:tcPr>
            <w:tcW w:w="1012" w:type="dxa"/>
            <w:vAlign w:val="top"/>
          </w:tcPr>
          <w:p w14:paraId="28787785">
            <w:pPr>
              <w:pStyle w:val="6"/>
              <w:spacing w:before="34" w:line="228" w:lineRule="auto"/>
              <w:ind w:left="316"/>
            </w:pPr>
            <w:r>
              <w:rPr>
                <w:rFonts w:ascii="Times New Roman" w:hAnsi="Times New Roman" w:eastAsia="Times New Roman" w:cs="Times New Roman"/>
                <w:spacing w:val="1"/>
              </w:rPr>
              <w:t>P</w:t>
            </w:r>
            <w:r>
              <w:rPr>
                <w:rFonts w:ascii="Times New Roman" w:hAnsi="Times New Roman" w:eastAsia="Times New Roman" w:cs="Times New Roman"/>
                <w:spacing w:val="9"/>
              </w:rPr>
              <w:t xml:space="preserve"> </w:t>
            </w:r>
            <w:r>
              <w:rPr>
                <w:spacing w:val="1"/>
              </w:rPr>
              <w:t>值</w:t>
            </w:r>
          </w:p>
        </w:tc>
        <w:tc>
          <w:tcPr>
            <w:tcW w:w="1963" w:type="dxa"/>
            <w:gridSpan w:val="6"/>
            <w:vAlign w:val="top"/>
          </w:tcPr>
          <w:p w14:paraId="103ECABD">
            <w:pPr>
              <w:spacing w:before="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P</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442" w:type="dxa"/>
            <w:gridSpan w:val="3"/>
            <w:vAlign w:val="top"/>
          </w:tcPr>
          <w:p w14:paraId="5D57F748">
            <w:pPr>
              <w:spacing w:before="5" w:line="274" w:lineRule="exact"/>
              <w:ind w:left="55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P2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1462" w:type="dxa"/>
            <w:gridSpan w:val="4"/>
            <w:vAlign w:val="top"/>
          </w:tcPr>
          <w:p w14:paraId="2EFD0847">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P3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1"/>
                <w:position w:val="2"/>
                <w:sz w:val="20"/>
                <w:szCs w:val="20"/>
              </w:rPr>
              <w:t>□</w:t>
            </w:r>
          </w:p>
        </w:tc>
        <w:tc>
          <w:tcPr>
            <w:tcW w:w="1483" w:type="dxa"/>
            <w:gridSpan w:val="2"/>
            <w:vAlign w:val="top"/>
          </w:tcPr>
          <w:p w14:paraId="0E3824DF">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P4</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1"/>
                <w:position w:val="1"/>
                <w:sz w:val="20"/>
                <w:szCs w:val="20"/>
              </w:rPr>
              <w:t>□</w:t>
            </w:r>
          </w:p>
        </w:tc>
      </w:tr>
      <w:tr w14:paraId="206E6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restart"/>
            <w:tcBorders>
              <w:bottom w:val="nil"/>
            </w:tcBorders>
            <w:vAlign w:val="top"/>
          </w:tcPr>
          <w:p w14:paraId="55CCC31A">
            <w:pPr>
              <w:spacing w:line="288" w:lineRule="auto"/>
              <w:rPr>
                <w:rFonts w:ascii="Arial"/>
                <w:sz w:val="21"/>
              </w:rPr>
            </w:pPr>
          </w:p>
          <w:p w14:paraId="0E5F644C">
            <w:pPr>
              <w:pStyle w:val="6"/>
              <w:spacing w:before="65" w:line="228" w:lineRule="auto"/>
              <w:ind w:left="225"/>
            </w:pPr>
            <w:r>
              <w:rPr>
                <w:spacing w:val="8"/>
              </w:rPr>
              <w:t>环境敏感程度</w:t>
            </w:r>
          </w:p>
        </w:tc>
        <w:tc>
          <w:tcPr>
            <w:tcW w:w="1012" w:type="dxa"/>
            <w:vAlign w:val="top"/>
          </w:tcPr>
          <w:p w14:paraId="21A09B6F">
            <w:pPr>
              <w:pStyle w:val="6"/>
              <w:spacing w:before="31" w:line="229" w:lineRule="auto"/>
              <w:ind w:left="301"/>
            </w:pPr>
            <w:r>
              <w:rPr>
                <w:spacing w:val="3"/>
              </w:rPr>
              <w:t>大气</w:t>
            </w:r>
          </w:p>
        </w:tc>
        <w:tc>
          <w:tcPr>
            <w:tcW w:w="1963" w:type="dxa"/>
            <w:gridSpan w:val="6"/>
            <w:vAlign w:val="top"/>
          </w:tcPr>
          <w:p w14:paraId="784DE626">
            <w:pPr>
              <w:spacing w:before="2" w:line="275"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E</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981" w:type="dxa"/>
            <w:gridSpan w:val="4"/>
            <w:vAlign w:val="top"/>
          </w:tcPr>
          <w:p w14:paraId="4BB356EF">
            <w:pPr>
              <w:spacing w:before="2" w:line="275"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E2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2406" w:type="dxa"/>
            <w:gridSpan w:val="5"/>
            <w:vAlign w:val="top"/>
          </w:tcPr>
          <w:p w14:paraId="498E8456">
            <w:pPr>
              <w:spacing w:before="2" w:line="275" w:lineRule="exact"/>
              <w:ind w:left="10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E3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7F8A8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continue"/>
            <w:tcBorders>
              <w:top w:val="nil"/>
              <w:bottom w:val="nil"/>
            </w:tcBorders>
            <w:vAlign w:val="top"/>
          </w:tcPr>
          <w:p w14:paraId="4DB420E8">
            <w:pPr>
              <w:rPr>
                <w:rFonts w:ascii="Arial"/>
                <w:sz w:val="21"/>
              </w:rPr>
            </w:pPr>
          </w:p>
        </w:tc>
        <w:tc>
          <w:tcPr>
            <w:tcW w:w="1012" w:type="dxa"/>
            <w:vAlign w:val="top"/>
          </w:tcPr>
          <w:p w14:paraId="4B24B96F">
            <w:pPr>
              <w:pStyle w:val="6"/>
              <w:spacing w:before="32" w:line="228" w:lineRule="auto"/>
              <w:ind w:left="195"/>
            </w:pPr>
            <w:r>
              <w:rPr>
                <w:spacing w:val="6"/>
              </w:rPr>
              <w:t>地表水</w:t>
            </w:r>
          </w:p>
        </w:tc>
        <w:tc>
          <w:tcPr>
            <w:tcW w:w="1963" w:type="dxa"/>
            <w:gridSpan w:val="6"/>
            <w:vAlign w:val="top"/>
          </w:tcPr>
          <w:p w14:paraId="3346EE7D">
            <w:pPr>
              <w:spacing w:before="3" w:line="275"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E</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981" w:type="dxa"/>
            <w:gridSpan w:val="4"/>
            <w:vAlign w:val="top"/>
          </w:tcPr>
          <w:p w14:paraId="175CEC89">
            <w:pPr>
              <w:spacing w:before="3" w:line="275"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E2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2406" w:type="dxa"/>
            <w:gridSpan w:val="5"/>
            <w:vAlign w:val="top"/>
          </w:tcPr>
          <w:p w14:paraId="5E2D63BD">
            <w:pPr>
              <w:spacing w:before="3" w:line="275" w:lineRule="exact"/>
              <w:ind w:left="10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E3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0999A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continue"/>
            <w:tcBorders>
              <w:top w:val="nil"/>
            </w:tcBorders>
            <w:vAlign w:val="top"/>
          </w:tcPr>
          <w:p w14:paraId="4E21549C">
            <w:pPr>
              <w:rPr>
                <w:rFonts w:ascii="Arial"/>
                <w:sz w:val="21"/>
              </w:rPr>
            </w:pPr>
          </w:p>
        </w:tc>
        <w:tc>
          <w:tcPr>
            <w:tcW w:w="1012" w:type="dxa"/>
            <w:vAlign w:val="top"/>
          </w:tcPr>
          <w:p w14:paraId="110297DD">
            <w:pPr>
              <w:pStyle w:val="6"/>
              <w:spacing w:before="33" w:line="228" w:lineRule="auto"/>
              <w:ind w:left="195"/>
            </w:pPr>
            <w:r>
              <w:rPr>
                <w:spacing w:val="6"/>
              </w:rPr>
              <w:t>地下水</w:t>
            </w:r>
          </w:p>
        </w:tc>
        <w:tc>
          <w:tcPr>
            <w:tcW w:w="1963" w:type="dxa"/>
            <w:gridSpan w:val="6"/>
            <w:vAlign w:val="top"/>
          </w:tcPr>
          <w:p w14:paraId="615D65CC">
            <w:pPr>
              <w:spacing w:before="2" w:line="274"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E</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981" w:type="dxa"/>
            <w:gridSpan w:val="4"/>
            <w:vAlign w:val="top"/>
          </w:tcPr>
          <w:p w14:paraId="1B6C2DE9">
            <w:pPr>
              <w:spacing w:before="2"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E2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2406" w:type="dxa"/>
            <w:gridSpan w:val="5"/>
            <w:vAlign w:val="top"/>
          </w:tcPr>
          <w:p w14:paraId="45F78CC3">
            <w:pPr>
              <w:spacing w:before="2" w:line="274" w:lineRule="exact"/>
              <w:ind w:left="10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E3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4418C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Align w:val="top"/>
          </w:tcPr>
          <w:p w14:paraId="670D653E">
            <w:pPr>
              <w:pStyle w:val="6"/>
              <w:spacing w:before="34" w:line="228" w:lineRule="auto"/>
              <w:ind w:left="225"/>
            </w:pPr>
            <w:r>
              <w:rPr>
                <w:spacing w:val="8"/>
              </w:rPr>
              <w:t>环境风险潜势</w:t>
            </w:r>
          </w:p>
        </w:tc>
        <w:tc>
          <w:tcPr>
            <w:tcW w:w="1417" w:type="dxa"/>
            <w:gridSpan w:val="2"/>
            <w:vAlign w:val="top"/>
          </w:tcPr>
          <w:p w14:paraId="6AE56EED">
            <w:pPr>
              <w:pStyle w:val="6"/>
              <w:spacing w:before="34" w:line="264" w:lineRule="exact"/>
              <w:ind w:left="494"/>
              <w:rPr>
                <w:rFonts w:ascii="Times New Roman" w:hAnsi="Times New Roman" w:eastAsia="Times New Roman" w:cs="Times New Roman"/>
              </w:rPr>
            </w:pPr>
            <w:r>
              <w:rPr>
                <w:position w:val="1"/>
              </w:rPr>
              <w:t>Ⅳ</w:t>
            </w:r>
            <w:r>
              <w:rPr>
                <w:rFonts w:ascii="Times New Roman" w:hAnsi="Times New Roman" w:eastAsia="Times New Roman" w:cs="Times New Roman"/>
                <w:position w:val="1"/>
              </w:rPr>
              <w:t>+□</w:t>
            </w:r>
          </w:p>
        </w:tc>
        <w:tc>
          <w:tcPr>
            <w:tcW w:w="1558" w:type="dxa"/>
            <w:gridSpan w:val="5"/>
            <w:vAlign w:val="top"/>
          </w:tcPr>
          <w:p w14:paraId="16FF83E8">
            <w:pPr>
              <w:pStyle w:val="6"/>
              <w:spacing w:before="34" w:line="264" w:lineRule="exact"/>
              <w:ind w:left="623"/>
              <w:rPr>
                <w:rFonts w:ascii="Times New Roman" w:hAnsi="Times New Roman" w:eastAsia="Times New Roman" w:cs="Times New Roman"/>
              </w:rPr>
            </w:pPr>
            <w:r>
              <w:rPr>
                <w:spacing w:val="4"/>
                <w:position w:val="1"/>
              </w:rPr>
              <w:t>Ⅳ</w:t>
            </w:r>
            <w:r>
              <w:rPr>
                <w:rFonts w:ascii="Times New Roman" w:hAnsi="Times New Roman" w:eastAsia="Times New Roman" w:cs="Times New Roman"/>
                <w:spacing w:val="4"/>
                <w:position w:val="1"/>
              </w:rPr>
              <w:t>□</w:t>
            </w:r>
          </w:p>
        </w:tc>
        <w:tc>
          <w:tcPr>
            <w:tcW w:w="1442" w:type="dxa"/>
            <w:gridSpan w:val="3"/>
            <w:vAlign w:val="top"/>
          </w:tcPr>
          <w:p w14:paraId="7F38CF13">
            <w:pPr>
              <w:pStyle w:val="6"/>
              <w:spacing w:before="34" w:line="264" w:lineRule="exact"/>
              <w:ind w:left="532"/>
              <w:rPr>
                <w:rFonts w:ascii="Times New Roman" w:hAnsi="Times New Roman" w:eastAsia="Times New Roman" w:cs="Times New Roman"/>
              </w:rPr>
            </w:pPr>
            <w:r>
              <w:rPr>
                <w:spacing w:val="3"/>
                <w:position w:val="1"/>
              </w:rPr>
              <w:t>Ⅲ</w:t>
            </w:r>
            <w:r>
              <w:rPr>
                <w:rFonts w:ascii="Times New Roman" w:hAnsi="Times New Roman" w:eastAsia="Times New Roman" w:cs="Times New Roman"/>
                <w:spacing w:val="3"/>
                <w:position w:val="1"/>
              </w:rPr>
              <w:t>□</w:t>
            </w:r>
          </w:p>
        </w:tc>
        <w:tc>
          <w:tcPr>
            <w:tcW w:w="1356" w:type="dxa"/>
            <w:gridSpan w:val="3"/>
            <w:vAlign w:val="top"/>
          </w:tcPr>
          <w:p w14:paraId="3B24BA55">
            <w:pPr>
              <w:pStyle w:val="6"/>
              <w:spacing w:before="34" w:line="264" w:lineRule="exact"/>
              <w:ind w:left="518"/>
              <w:rPr>
                <w:rFonts w:ascii="Times New Roman" w:hAnsi="Times New Roman" w:eastAsia="Times New Roman" w:cs="Times New Roman"/>
              </w:rPr>
            </w:pPr>
            <w:r>
              <w:rPr>
                <w:spacing w:val="-15"/>
                <w:position w:val="1"/>
              </w:rPr>
              <w:t>Ⅱ</w:t>
            </w:r>
            <w:r>
              <w:rPr>
                <w:rFonts w:ascii="Times New Roman" w:hAnsi="Times New Roman" w:eastAsia="Times New Roman" w:cs="Times New Roman"/>
                <w:spacing w:val="-15"/>
                <w:position w:val="1"/>
              </w:rPr>
              <w:t>□</w:t>
            </w:r>
          </w:p>
        </w:tc>
        <w:tc>
          <w:tcPr>
            <w:tcW w:w="1589" w:type="dxa"/>
            <w:gridSpan w:val="3"/>
            <w:vAlign w:val="top"/>
          </w:tcPr>
          <w:p w14:paraId="4BDAA534">
            <w:pPr>
              <w:pStyle w:val="6"/>
              <w:spacing w:before="26" w:line="230" w:lineRule="auto"/>
              <w:ind w:left="663"/>
            </w:pPr>
            <w:r>
              <w:rPr>
                <w:spacing w:val="-67"/>
              </w:rPr>
              <w:t>Ⅰ</w:t>
            </w:r>
            <w:r>
              <w:rPr>
                <w:spacing w:val="-83"/>
              </w:rPr>
              <w:t xml:space="preserve"> </w:t>
            </w:r>
            <w:r>
              <w:rPr>
                <w:position w:val="-4"/>
              </w:rPr>
              <w:drawing>
                <wp:inline distT="0" distB="0" distL="0" distR="0">
                  <wp:extent cx="105410" cy="1466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42"/>
                          <a:stretch>
                            <a:fillRect/>
                          </a:stretch>
                        </pic:blipFill>
                        <pic:spPr>
                          <a:xfrm>
                            <a:off x="0" y="0"/>
                            <a:ext cx="105641" cy="147048"/>
                          </a:xfrm>
                          <a:prstGeom prst="rect">
                            <a:avLst/>
                          </a:prstGeom>
                        </pic:spPr>
                      </pic:pic>
                    </a:graphicData>
                  </a:graphic>
                </wp:inline>
              </w:drawing>
            </w:r>
          </w:p>
        </w:tc>
      </w:tr>
      <w:tr w14:paraId="55800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0" w:type="dxa"/>
            <w:gridSpan w:val="2"/>
            <w:vAlign w:val="top"/>
          </w:tcPr>
          <w:p w14:paraId="757BA3A5">
            <w:pPr>
              <w:pStyle w:val="6"/>
              <w:spacing w:before="32" w:line="227" w:lineRule="auto"/>
              <w:ind w:left="435"/>
            </w:pPr>
            <w:r>
              <w:rPr>
                <w:spacing w:val="7"/>
              </w:rPr>
              <w:t>评价等级</w:t>
            </w:r>
          </w:p>
        </w:tc>
        <w:tc>
          <w:tcPr>
            <w:tcW w:w="2975" w:type="dxa"/>
            <w:gridSpan w:val="7"/>
            <w:vAlign w:val="top"/>
          </w:tcPr>
          <w:p w14:paraId="19936858">
            <w:pPr>
              <w:pStyle w:val="6"/>
              <w:spacing w:before="32" w:line="231" w:lineRule="auto"/>
              <w:ind w:left="1221"/>
              <w:rPr>
                <w:rFonts w:ascii="Times New Roman" w:hAnsi="Times New Roman" w:eastAsia="Times New Roman" w:cs="Times New Roman"/>
              </w:rPr>
            </w:pPr>
            <w:r>
              <w:rPr>
                <w:spacing w:val="4"/>
              </w:rPr>
              <w:t>一级</w:t>
            </w:r>
            <w:r>
              <w:rPr>
                <w:rFonts w:ascii="Times New Roman" w:hAnsi="Times New Roman" w:eastAsia="Times New Roman" w:cs="Times New Roman"/>
                <w:spacing w:val="4"/>
              </w:rPr>
              <w:t>□</w:t>
            </w:r>
          </w:p>
        </w:tc>
        <w:tc>
          <w:tcPr>
            <w:tcW w:w="1442" w:type="dxa"/>
            <w:gridSpan w:val="3"/>
            <w:vAlign w:val="top"/>
          </w:tcPr>
          <w:p w14:paraId="18541493">
            <w:pPr>
              <w:pStyle w:val="6"/>
              <w:spacing w:before="32" w:line="231" w:lineRule="auto"/>
              <w:ind w:left="430"/>
              <w:rPr>
                <w:rFonts w:ascii="Times New Roman" w:hAnsi="Times New Roman" w:eastAsia="Times New Roman" w:cs="Times New Roman"/>
              </w:rPr>
            </w:pPr>
            <w:r>
              <w:rPr>
                <w:spacing w:val="4"/>
              </w:rPr>
              <w:t>二级</w:t>
            </w:r>
            <w:r>
              <w:rPr>
                <w:rFonts w:ascii="Times New Roman" w:hAnsi="Times New Roman" w:eastAsia="Times New Roman" w:cs="Times New Roman"/>
                <w:spacing w:val="4"/>
              </w:rPr>
              <w:t>□</w:t>
            </w:r>
          </w:p>
        </w:tc>
        <w:tc>
          <w:tcPr>
            <w:tcW w:w="1356" w:type="dxa"/>
            <w:gridSpan w:val="3"/>
            <w:vAlign w:val="top"/>
          </w:tcPr>
          <w:p w14:paraId="0B684A8F">
            <w:pPr>
              <w:pStyle w:val="6"/>
              <w:spacing w:before="32" w:line="231" w:lineRule="auto"/>
              <w:ind w:left="377"/>
              <w:rPr>
                <w:rFonts w:ascii="Times New Roman" w:hAnsi="Times New Roman" w:eastAsia="Times New Roman" w:cs="Times New Roman"/>
              </w:rPr>
            </w:pPr>
            <w:r>
              <w:rPr>
                <w:spacing w:val="5"/>
              </w:rPr>
              <w:t>三级</w:t>
            </w:r>
            <w:r>
              <w:rPr>
                <w:rFonts w:ascii="Times New Roman" w:hAnsi="Times New Roman" w:eastAsia="Times New Roman" w:cs="Times New Roman"/>
                <w:spacing w:val="5"/>
              </w:rPr>
              <w:t>□</w:t>
            </w:r>
          </w:p>
        </w:tc>
        <w:tc>
          <w:tcPr>
            <w:tcW w:w="1589" w:type="dxa"/>
            <w:gridSpan w:val="3"/>
            <w:vAlign w:val="top"/>
          </w:tcPr>
          <w:p w14:paraId="054B2977">
            <w:pPr>
              <w:pStyle w:val="6"/>
              <w:spacing w:before="25" w:line="230" w:lineRule="auto"/>
              <w:ind w:left="283"/>
            </w:pPr>
            <w:r>
              <w:rPr>
                <w:spacing w:val="6"/>
              </w:rPr>
              <w:t>简单分析</w:t>
            </w:r>
            <w:r>
              <w:rPr>
                <w:position w:val="-4"/>
              </w:rPr>
              <w:drawing>
                <wp:inline distT="0" distB="0" distL="0" distR="0">
                  <wp:extent cx="118110" cy="14668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43"/>
                          <a:stretch>
                            <a:fillRect/>
                          </a:stretch>
                        </pic:blipFill>
                        <pic:spPr>
                          <a:xfrm>
                            <a:off x="0" y="0"/>
                            <a:ext cx="118197" cy="147048"/>
                          </a:xfrm>
                          <a:prstGeom prst="rect">
                            <a:avLst/>
                          </a:prstGeom>
                        </pic:spPr>
                      </pic:pic>
                    </a:graphicData>
                  </a:graphic>
                </wp:inline>
              </w:drawing>
            </w:r>
          </w:p>
        </w:tc>
      </w:tr>
      <w:tr w14:paraId="311E7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restart"/>
            <w:tcBorders>
              <w:bottom w:val="nil"/>
            </w:tcBorders>
            <w:textDirection w:val="tbRlV"/>
            <w:vAlign w:val="top"/>
          </w:tcPr>
          <w:p w14:paraId="7C7D32E5">
            <w:pPr>
              <w:pStyle w:val="6"/>
              <w:spacing w:before="109" w:line="216" w:lineRule="auto"/>
              <w:ind w:left="42"/>
            </w:pPr>
            <w:r>
              <w:rPr>
                <w:spacing w:val="6"/>
              </w:rPr>
              <w:t>风 险 识 别</w:t>
            </w:r>
          </w:p>
        </w:tc>
        <w:tc>
          <w:tcPr>
            <w:tcW w:w="1269" w:type="dxa"/>
            <w:vAlign w:val="top"/>
          </w:tcPr>
          <w:p w14:paraId="31313B6E">
            <w:pPr>
              <w:pStyle w:val="6"/>
              <w:spacing w:before="33" w:line="229" w:lineRule="auto"/>
              <w:ind w:left="113"/>
            </w:pPr>
            <w:r>
              <w:rPr>
                <w:spacing w:val="8"/>
              </w:rPr>
              <w:t>物质危险性</w:t>
            </w:r>
          </w:p>
        </w:tc>
        <w:tc>
          <w:tcPr>
            <w:tcW w:w="2975" w:type="dxa"/>
            <w:gridSpan w:val="7"/>
            <w:vAlign w:val="top"/>
          </w:tcPr>
          <w:p w14:paraId="6C5FDCB7">
            <w:pPr>
              <w:pStyle w:val="6"/>
              <w:spacing w:before="33" w:line="228" w:lineRule="auto"/>
              <w:ind w:left="1010"/>
              <w:rPr>
                <w:rFonts w:ascii="Times New Roman" w:hAnsi="Times New Roman" w:eastAsia="Times New Roman" w:cs="Times New Roman"/>
              </w:rPr>
            </w:pPr>
            <w:r>
              <w:rPr>
                <w:spacing w:val="7"/>
              </w:rPr>
              <w:t>有毒有害</w:t>
            </w:r>
            <w:r>
              <w:rPr>
                <w:rFonts w:ascii="Times New Roman" w:hAnsi="Times New Roman" w:eastAsia="Times New Roman" w:cs="Times New Roman"/>
                <w:spacing w:val="7"/>
              </w:rPr>
              <w:t>□</w:t>
            </w:r>
          </w:p>
        </w:tc>
        <w:tc>
          <w:tcPr>
            <w:tcW w:w="4387" w:type="dxa"/>
            <w:gridSpan w:val="9"/>
            <w:vAlign w:val="top"/>
          </w:tcPr>
          <w:p w14:paraId="3DACFD88">
            <w:pPr>
              <w:pStyle w:val="6"/>
              <w:spacing w:before="32" w:line="227" w:lineRule="auto"/>
              <w:ind w:left="1727"/>
              <w:rPr>
                <w:rFonts w:ascii="Times New Roman" w:hAnsi="Times New Roman" w:eastAsia="Times New Roman" w:cs="Times New Roman"/>
              </w:rPr>
            </w:pPr>
            <w:r>
              <w:rPr>
                <w:spacing w:val="4"/>
              </w:rPr>
              <w:t>易燃易爆</w:t>
            </w:r>
            <w:r>
              <w:rPr>
                <w:rFonts w:ascii="Times New Roman" w:hAnsi="Times New Roman" w:eastAsia="Times New Roman" w:cs="Times New Roman"/>
                <w:spacing w:val="4"/>
              </w:rPr>
              <w:t>□</w:t>
            </w:r>
          </w:p>
        </w:tc>
      </w:tr>
      <w:tr w14:paraId="71820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31" w:type="dxa"/>
            <w:vMerge w:val="continue"/>
            <w:tcBorders>
              <w:top w:val="nil"/>
              <w:bottom w:val="nil"/>
            </w:tcBorders>
            <w:textDirection w:val="tbRlV"/>
            <w:vAlign w:val="top"/>
          </w:tcPr>
          <w:p w14:paraId="43150A03">
            <w:pPr>
              <w:rPr>
                <w:rFonts w:ascii="Arial"/>
                <w:sz w:val="21"/>
              </w:rPr>
            </w:pPr>
          </w:p>
        </w:tc>
        <w:tc>
          <w:tcPr>
            <w:tcW w:w="1269" w:type="dxa"/>
            <w:vAlign w:val="top"/>
          </w:tcPr>
          <w:p w14:paraId="6E42AEFC">
            <w:pPr>
              <w:pStyle w:val="6"/>
              <w:spacing w:before="31" w:line="228" w:lineRule="auto"/>
              <w:ind w:left="113"/>
            </w:pPr>
            <w:r>
              <w:rPr>
                <w:spacing w:val="8"/>
              </w:rPr>
              <w:t>环境风险类</w:t>
            </w:r>
          </w:p>
          <w:p w14:paraId="7B16EB48">
            <w:pPr>
              <w:pStyle w:val="6"/>
              <w:spacing w:before="67" w:line="236" w:lineRule="auto"/>
              <w:ind w:left="540"/>
            </w:pPr>
            <w:r>
              <w:t>型</w:t>
            </w:r>
          </w:p>
        </w:tc>
        <w:tc>
          <w:tcPr>
            <w:tcW w:w="2975" w:type="dxa"/>
            <w:gridSpan w:val="7"/>
            <w:vAlign w:val="top"/>
          </w:tcPr>
          <w:p w14:paraId="7D83FFD6">
            <w:pPr>
              <w:pStyle w:val="6"/>
              <w:spacing w:before="179" w:line="230" w:lineRule="auto"/>
              <w:ind w:left="1192"/>
            </w:pPr>
            <w:r>
              <w:rPr>
                <w:spacing w:val="3"/>
              </w:rPr>
              <w:t>泄漏</w:t>
            </w:r>
            <w:r>
              <w:rPr>
                <w:position w:val="-4"/>
              </w:rPr>
              <w:drawing>
                <wp:inline distT="0" distB="0" distL="0" distR="0">
                  <wp:extent cx="118110" cy="14668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42"/>
                          <a:stretch>
                            <a:fillRect/>
                          </a:stretch>
                        </pic:blipFill>
                        <pic:spPr>
                          <a:xfrm>
                            <a:off x="0" y="0"/>
                            <a:ext cx="118188" cy="147048"/>
                          </a:xfrm>
                          <a:prstGeom prst="rect">
                            <a:avLst/>
                          </a:prstGeom>
                        </pic:spPr>
                      </pic:pic>
                    </a:graphicData>
                  </a:graphic>
                </wp:inline>
              </w:drawing>
            </w:r>
          </w:p>
        </w:tc>
        <w:tc>
          <w:tcPr>
            <w:tcW w:w="4387" w:type="dxa"/>
            <w:gridSpan w:val="9"/>
            <w:vAlign w:val="top"/>
          </w:tcPr>
          <w:p w14:paraId="7D195C92">
            <w:pPr>
              <w:pStyle w:val="6"/>
              <w:spacing w:before="156" w:line="274" w:lineRule="exact"/>
              <w:ind w:left="426"/>
              <w:rPr>
                <w:rFonts w:ascii="Times New Roman" w:hAnsi="Times New Roman" w:eastAsia="Times New Roman" w:cs="Times New Roman"/>
              </w:rPr>
            </w:pPr>
            <w:r>
              <w:rPr>
                <w:spacing w:val="8"/>
                <w:position w:val="1"/>
              </w:rPr>
              <w:t>火灾、爆炸引发伴生</w:t>
            </w:r>
            <w:r>
              <w:rPr>
                <w:rFonts w:ascii="Times New Roman" w:hAnsi="Times New Roman" w:eastAsia="Times New Roman" w:cs="Times New Roman"/>
                <w:spacing w:val="8"/>
                <w:position w:val="1"/>
              </w:rPr>
              <w:t>/</w:t>
            </w:r>
            <w:r>
              <w:rPr>
                <w:spacing w:val="8"/>
                <w:position w:val="1"/>
              </w:rPr>
              <w:t>次生污染物排放</w:t>
            </w:r>
            <w:r>
              <w:rPr>
                <w:rFonts w:ascii="Times New Roman" w:hAnsi="Times New Roman" w:eastAsia="Times New Roman" w:cs="Times New Roman"/>
                <w:spacing w:val="8"/>
                <w:position w:val="1"/>
              </w:rPr>
              <w:t>□</w:t>
            </w:r>
          </w:p>
        </w:tc>
      </w:tr>
      <w:tr w14:paraId="52087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tcBorders>
            <w:textDirection w:val="tbRlV"/>
            <w:vAlign w:val="top"/>
          </w:tcPr>
          <w:p w14:paraId="035EA712">
            <w:pPr>
              <w:rPr>
                <w:rFonts w:ascii="Arial"/>
                <w:sz w:val="21"/>
              </w:rPr>
            </w:pPr>
          </w:p>
        </w:tc>
        <w:tc>
          <w:tcPr>
            <w:tcW w:w="1269" w:type="dxa"/>
            <w:vAlign w:val="top"/>
          </w:tcPr>
          <w:p w14:paraId="2B5433F9">
            <w:pPr>
              <w:pStyle w:val="6"/>
              <w:spacing w:before="35" w:line="228" w:lineRule="auto"/>
              <w:ind w:left="216"/>
            </w:pPr>
            <w:r>
              <w:rPr>
                <w:spacing w:val="7"/>
              </w:rPr>
              <w:t>影响途径</w:t>
            </w:r>
          </w:p>
        </w:tc>
        <w:tc>
          <w:tcPr>
            <w:tcW w:w="2975" w:type="dxa"/>
            <w:gridSpan w:val="7"/>
            <w:vAlign w:val="top"/>
          </w:tcPr>
          <w:p w14:paraId="46708B4D">
            <w:pPr>
              <w:pStyle w:val="6"/>
              <w:spacing w:before="35" w:line="229" w:lineRule="auto"/>
              <w:ind w:left="1220"/>
              <w:rPr>
                <w:rFonts w:ascii="Times New Roman" w:hAnsi="Times New Roman" w:eastAsia="Times New Roman" w:cs="Times New Roman"/>
              </w:rPr>
            </w:pPr>
            <w:r>
              <w:rPr>
                <w:spacing w:val="4"/>
              </w:rPr>
              <w:t>大气</w:t>
            </w:r>
            <w:r>
              <w:rPr>
                <w:rFonts w:ascii="Times New Roman" w:hAnsi="Times New Roman" w:eastAsia="Times New Roman" w:cs="Times New Roman"/>
                <w:spacing w:val="4"/>
              </w:rPr>
              <w:t>□</w:t>
            </w:r>
          </w:p>
        </w:tc>
        <w:tc>
          <w:tcPr>
            <w:tcW w:w="2079" w:type="dxa"/>
            <w:gridSpan w:val="5"/>
            <w:vAlign w:val="top"/>
          </w:tcPr>
          <w:p w14:paraId="7CD3CFD3">
            <w:pPr>
              <w:pStyle w:val="6"/>
              <w:spacing w:before="27" w:line="230" w:lineRule="auto"/>
              <w:ind w:left="638"/>
            </w:pPr>
            <w:r>
              <w:rPr>
                <w:spacing w:val="6"/>
              </w:rPr>
              <w:t>地表水</w:t>
            </w:r>
            <w:r>
              <w:rPr>
                <w:position w:val="-4"/>
              </w:rPr>
              <w:drawing>
                <wp:inline distT="0" distB="0" distL="0" distR="0">
                  <wp:extent cx="118110" cy="1466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44"/>
                          <a:stretch>
                            <a:fillRect/>
                          </a:stretch>
                        </pic:blipFill>
                        <pic:spPr>
                          <a:xfrm>
                            <a:off x="0" y="0"/>
                            <a:ext cx="118196" cy="147048"/>
                          </a:xfrm>
                          <a:prstGeom prst="rect">
                            <a:avLst/>
                          </a:prstGeom>
                        </pic:spPr>
                      </pic:pic>
                    </a:graphicData>
                  </a:graphic>
                </wp:inline>
              </w:drawing>
            </w:r>
          </w:p>
        </w:tc>
        <w:tc>
          <w:tcPr>
            <w:tcW w:w="2308" w:type="dxa"/>
            <w:gridSpan w:val="4"/>
            <w:vAlign w:val="top"/>
          </w:tcPr>
          <w:p w14:paraId="7904E6D5">
            <w:pPr>
              <w:pStyle w:val="6"/>
              <w:spacing w:before="35" w:line="228" w:lineRule="auto"/>
              <w:ind w:left="781"/>
              <w:rPr>
                <w:rFonts w:ascii="Times New Roman" w:hAnsi="Times New Roman" w:eastAsia="Times New Roman" w:cs="Times New Roman"/>
              </w:rPr>
            </w:pPr>
            <w:r>
              <w:rPr>
                <w:spacing w:val="6"/>
              </w:rPr>
              <w:t>地下水</w:t>
            </w:r>
            <w:r>
              <w:rPr>
                <w:rFonts w:ascii="Times New Roman" w:hAnsi="Times New Roman" w:eastAsia="Times New Roman" w:cs="Times New Roman"/>
                <w:spacing w:val="6"/>
              </w:rPr>
              <w:t>□</w:t>
            </w:r>
          </w:p>
        </w:tc>
      </w:tr>
      <w:tr w14:paraId="3D3F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Align w:val="top"/>
          </w:tcPr>
          <w:p w14:paraId="0F8627F2">
            <w:pPr>
              <w:pStyle w:val="6"/>
              <w:spacing w:before="33" w:line="229" w:lineRule="auto"/>
              <w:ind w:left="225"/>
            </w:pPr>
            <w:r>
              <w:rPr>
                <w:spacing w:val="8"/>
              </w:rPr>
              <w:t>事故情形分析</w:t>
            </w:r>
          </w:p>
        </w:tc>
        <w:tc>
          <w:tcPr>
            <w:tcW w:w="1487" w:type="dxa"/>
            <w:gridSpan w:val="3"/>
            <w:vAlign w:val="top"/>
          </w:tcPr>
          <w:p w14:paraId="3ED4D36A">
            <w:pPr>
              <w:pStyle w:val="6"/>
              <w:spacing w:before="33" w:line="229" w:lineRule="auto"/>
              <w:ind w:left="115"/>
            </w:pPr>
            <w:r>
              <w:rPr>
                <w:spacing w:val="8"/>
              </w:rPr>
              <w:t>源强设定方法</w:t>
            </w:r>
          </w:p>
        </w:tc>
        <w:tc>
          <w:tcPr>
            <w:tcW w:w="1488" w:type="dxa"/>
            <w:gridSpan w:val="4"/>
            <w:vAlign w:val="top"/>
          </w:tcPr>
          <w:p w14:paraId="4A467A1C">
            <w:pPr>
              <w:pStyle w:val="6"/>
              <w:spacing w:before="33" w:line="228" w:lineRule="auto"/>
              <w:ind w:left="369"/>
              <w:rPr>
                <w:rFonts w:ascii="Times New Roman" w:hAnsi="Times New Roman" w:eastAsia="Times New Roman" w:cs="Times New Roman"/>
              </w:rPr>
            </w:pPr>
            <w:r>
              <w:rPr>
                <w:spacing w:val="7"/>
              </w:rPr>
              <w:t>计算法</w:t>
            </w:r>
            <w:r>
              <w:rPr>
                <w:rFonts w:ascii="Times New Roman" w:hAnsi="Times New Roman" w:eastAsia="Times New Roman" w:cs="Times New Roman"/>
                <w:spacing w:val="7"/>
              </w:rPr>
              <w:t>□</w:t>
            </w:r>
          </w:p>
        </w:tc>
        <w:tc>
          <w:tcPr>
            <w:tcW w:w="2079" w:type="dxa"/>
            <w:gridSpan w:val="5"/>
            <w:vAlign w:val="top"/>
          </w:tcPr>
          <w:p w14:paraId="73E79CAA">
            <w:pPr>
              <w:pStyle w:val="6"/>
              <w:spacing w:before="33" w:line="227" w:lineRule="auto"/>
              <w:ind w:left="460"/>
              <w:rPr>
                <w:rFonts w:ascii="Times New Roman" w:hAnsi="Times New Roman" w:eastAsia="Times New Roman" w:cs="Times New Roman"/>
              </w:rPr>
            </w:pPr>
            <w:r>
              <w:rPr>
                <w:spacing w:val="7"/>
              </w:rPr>
              <w:t>经验估算法</w:t>
            </w:r>
            <w:r>
              <w:rPr>
                <w:rFonts w:ascii="Times New Roman" w:hAnsi="Times New Roman" w:eastAsia="Times New Roman" w:cs="Times New Roman"/>
                <w:spacing w:val="7"/>
              </w:rPr>
              <w:t>□</w:t>
            </w:r>
          </w:p>
        </w:tc>
        <w:tc>
          <w:tcPr>
            <w:tcW w:w="2308" w:type="dxa"/>
            <w:gridSpan w:val="4"/>
            <w:vAlign w:val="top"/>
          </w:tcPr>
          <w:p w14:paraId="62C51B69">
            <w:pPr>
              <w:pStyle w:val="6"/>
              <w:spacing w:before="33" w:line="227" w:lineRule="auto"/>
              <w:ind w:left="571"/>
              <w:rPr>
                <w:rFonts w:ascii="Times New Roman" w:hAnsi="Times New Roman" w:eastAsia="Times New Roman" w:cs="Times New Roman"/>
              </w:rPr>
            </w:pPr>
            <w:r>
              <w:rPr>
                <w:spacing w:val="7"/>
              </w:rPr>
              <w:t>其他估算法</w:t>
            </w:r>
            <w:r>
              <w:rPr>
                <w:rFonts w:ascii="Times New Roman" w:hAnsi="Times New Roman" w:eastAsia="Times New Roman" w:cs="Times New Roman"/>
                <w:spacing w:val="7"/>
              </w:rPr>
              <w:t>□</w:t>
            </w:r>
          </w:p>
        </w:tc>
      </w:tr>
      <w:tr w14:paraId="7CBEB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31" w:type="dxa"/>
            <w:vMerge w:val="restart"/>
            <w:tcBorders>
              <w:bottom w:val="nil"/>
            </w:tcBorders>
            <w:textDirection w:val="tbRlV"/>
            <w:vAlign w:val="top"/>
          </w:tcPr>
          <w:p w14:paraId="46F4F154">
            <w:pPr>
              <w:pStyle w:val="6"/>
              <w:spacing w:before="109" w:line="215" w:lineRule="auto"/>
              <w:ind w:left="34"/>
            </w:pPr>
            <w:r>
              <w:rPr>
                <w:spacing w:val="6"/>
              </w:rPr>
              <w:t>风 险 预 测 与 评 价</w:t>
            </w:r>
          </w:p>
        </w:tc>
        <w:tc>
          <w:tcPr>
            <w:tcW w:w="1269" w:type="dxa"/>
            <w:vMerge w:val="restart"/>
            <w:tcBorders>
              <w:bottom w:val="nil"/>
            </w:tcBorders>
            <w:vAlign w:val="top"/>
          </w:tcPr>
          <w:p w14:paraId="7A8D3D5C">
            <w:pPr>
              <w:spacing w:line="289" w:lineRule="auto"/>
              <w:rPr>
                <w:rFonts w:ascii="Arial"/>
                <w:sz w:val="21"/>
              </w:rPr>
            </w:pPr>
          </w:p>
          <w:p w14:paraId="32F40335">
            <w:pPr>
              <w:pStyle w:val="6"/>
              <w:spacing w:before="65" w:line="229" w:lineRule="auto"/>
              <w:ind w:left="430"/>
            </w:pPr>
            <w:r>
              <w:rPr>
                <w:spacing w:val="3"/>
              </w:rPr>
              <w:t>大气</w:t>
            </w:r>
          </w:p>
        </w:tc>
        <w:tc>
          <w:tcPr>
            <w:tcW w:w="1487" w:type="dxa"/>
            <w:gridSpan w:val="3"/>
            <w:vAlign w:val="top"/>
          </w:tcPr>
          <w:p w14:paraId="254E2555">
            <w:pPr>
              <w:pStyle w:val="6"/>
              <w:spacing w:before="34" w:line="228" w:lineRule="auto"/>
              <w:ind w:left="329"/>
            </w:pPr>
            <w:r>
              <w:rPr>
                <w:spacing w:val="6"/>
              </w:rPr>
              <w:t>预测模型</w:t>
            </w:r>
          </w:p>
        </w:tc>
        <w:tc>
          <w:tcPr>
            <w:tcW w:w="1488" w:type="dxa"/>
            <w:gridSpan w:val="4"/>
            <w:vAlign w:val="top"/>
          </w:tcPr>
          <w:p w14:paraId="0908B451">
            <w:pPr>
              <w:spacing w:before="72"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SLAB</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8"/>
                <w:sz w:val="20"/>
                <w:szCs w:val="20"/>
              </w:rPr>
              <w:t>□</w:t>
            </w:r>
          </w:p>
        </w:tc>
        <w:tc>
          <w:tcPr>
            <w:tcW w:w="2079" w:type="dxa"/>
            <w:gridSpan w:val="5"/>
            <w:vAlign w:val="top"/>
          </w:tcPr>
          <w:p w14:paraId="34A1788C">
            <w:pPr>
              <w:spacing w:before="72"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AFTOX</w:t>
            </w:r>
            <w:r>
              <w:rPr>
                <w:rFonts w:ascii="Times New Roman" w:hAnsi="Times New Roman" w:eastAsia="Times New Roman" w:cs="Times New Roman"/>
                <w:spacing w:val="17"/>
                <w:w w:val="101"/>
                <w:sz w:val="20"/>
                <w:szCs w:val="20"/>
              </w:rPr>
              <w:t xml:space="preserve"> </w:t>
            </w:r>
            <w:r>
              <w:rPr>
                <w:rFonts w:ascii="Times New Roman" w:hAnsi="Times New Roman" w:eastAsia="Times New Roman" w:cs="Times New Roman"/>
                <w:spacing w:val="27"/>
                <w:sz w:val="20"/>
                <w:szCs w:val="20"/>
              </w:rPr>
              <w:t>□</w:t>
            </w:r>
          </w:p>
        </w:tc>
        <w:tc>
          <w:tcPr>
            <w:tcW w:w="2308" w:type="dxa"/>
            <w:gridSpan w:val="4"/>
            <w:vAlign w:val="top"/>
          </w:tcPr>
          <w:p w14:paraId="4F350C12">
            <w:pPr>
              <w:pStyle w:val="6"/>
              <w:spacing w:before="34" w:line="229" w:lineRule="auto"/>
              <w:ind w:left="835"/>
              <w:rPr>
                <w:rFonts w:ascii="Times New Roman" w:hAnsi="Times New Roman" w:eastAsia="Times New Roman" w:cs="Times New Roman"/>
              </w:rPr>
            </w:pPr>
            <w:r>
              <w:rPr>
                <w:spacing w:val="2"/>
              </w:rPr>
              <w:t>其他</w:t>
            </w:r>
            <w:r>
              <w:rPr>
                <w:spacing w:val="22"/>
              </w:rPr>
              <w:t xml:space="preserve"> </w:t>
            </w:r>
            <w:r>
              <w:rPr>
                <w:rFonts w:ascii="Times New Roman" w:hAnsi="Times New Roman" w:eastAsia="Times New Roman" w:cs="Times New Roman"/>
                <w:spacing w:val="2"/>
              </w:rPr>
              <w:t>□</w:t>
            </w:r>
          </w:p>
        </w:tc>
      </w:tr>
      <w:tr w14:paraId="25B57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3DE9FD3F">
            <w:pPr>
              <w:rPr>
                <w:rFonts w:ascii="Arial"/>
                <w:sz w:val="21"/>
              </w:rPr>
            </w:pPr>
          </w:p>
        </w:tc>
        <w:tc>
          <w:tcPr>
            <w:tcW w:w="1269" w:type="dxa"/>
            <w:vMerge w:val="continue"/>
            <w:tcBorders>
              <w:top w:val="nil"/>
              <w:bottom w:val="nil"/>
            </w:tcBorders>
            <w:vAlign w:val="top"/>
          </w:tcPr>
          <w:p w14:paraId="04FF8DC2">
            <w:pPr>
              <w:rPr>
                <w:rFonts w:ascii="Arial"/>
                <w:sz w:val="21"/>
              </w:rPr>
            </w:pPr>
          </w:p>
        </w:tc>
        <w:tc>
          <w:tcPr>
            <w:tcW w:w="1487" w:type="dxa"/>
            <w:gridSpan w:val="3"/>
            <w:vMerge w:val="restart"/>
            <w:tcBorders>
              <w:bottom w:val="nil"/>
            </w:tcBorders>
            <w:vAlign w:val="top"/>
          </w:tcPr>
          <w:p w14:paraId="1D832E6E">
            <w:pPr>
              <w:pStyle w:val="6"/>
              <w:spacing w:before="195" w:line="229" w:lineRule="auto"/>
              <w:ind w:left="332"/>
            </w:pPr>
            <w:r>
              <w:rPr>
                <w:spacing w:val="6"/>
              </w:rPr>
              <w:t>预测结果</w:t>
            </w:r>
          </w:p>
        </w:tc>
        <w:tc>
          <w:tcPr>
            <w:tcW w:w="5875" w:type="dxa"/>
            <w:gridSpan w:val="13"/>
            <w:vAlign w:val="top"/>
          </w:tcPr>
          <w:p w14:paraId="55C8AE9C">
            <w:pPr>
              <w:pStyle w:val="6"/>
              <w:spacing w:before="3" w:line="274" w:lineRule="exact"/>
              <w:ind w:left="1099"/>
              <w:rPr>
                <w:rFonts w:ascii="Times New Roman" w:hAnsi="Times New Roman" w:eastAsia="Times New Roman" w:cs="Times New Roman"/>
              </w:rPr>
            </w:pPr>
            <w:r>
              <w:rPr>
                <w:spacing w:val="7"/>
                <w:position w:val="2"/>
              </w:rPr>
              <w:t>大气毒性终点浓度</w:t>
            </w:r>
            <w:r>
              <w:rPr>
                <w:rFonts w:ascii="Times New Roman" w:hAnsi="Times New Roman" w:eastAsia="Times New Roman" w:cs="Times New Roman"/>
                <w:spacing w:val="7"/>
                <w:position w:val="2"/>
              </w:rPr>
              <w:t xml:space="preserve">-1  </w:t>
            </w:r>
            <w:r>
              <w:rPr>
                <w:spacing w:val="7"/>
                <w:position w:val="2"/>
              </w:rPr>
              <w:t>最大影响范围</w:t>
            </w:r>
            <w:r>
              <w:rPr>
                <w:rFonts w:ascii="Times New Roman" w:hAnsi="Times New Roman" w:eastAsia="Times New Roman" w:cs="Times New Roman"/>
                <w:spacing w:val="7"/>
                <w:position w:val="2"/>
              </w:rPr>
              <w:t>___m</w:t>
            </w:r>
          </w:p>
        </w:tc>
      </w:tr>
      <w:tr w14:paraId="2C2FD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375A530F">
            <w:pPr>
              <w:rPr>
                <w:rFonts w:ascii="Arial"/>
                <w:sz w:val="21"/>
              </w:rPr>
            </w:pPr>
          </w:p>
        </w:tc>
        <w:tc>
          <w:tcPr>
            <w:tcW w:w="1269" w:type="dxa"/>
            <w:vMerge w:val="continue"/>
            <w:tcBorders>
              <w:top w:val="nil"/>
            </w:tcBorders>
            <w:vAlign w:val="top"/>
          </w:tcPr>
          <w:p w14:paraId="3CB36ADF">
            <w:pPr>
              <w:rPr>
                <w:rFonts w:ascii="Arial"/>
                <w:sz w:val="21"/>
              </w:rPr>
            </w:pPr>
          </w:p>
        </w:tc>
        <w:tc>
          <w:tcPr>
            <w:tcW w:w="1487" w:type="dxa"/>
            <w:gridSpan w:val="3"/>
            <w:vMerge w:val="continue"/>
            <w:tcBorders>
              <w:top w:val="nil"/>
            </w:tcBorders>
            <w:vAlign w:val="top"/>
          </w:tcPr>
          <w:p w14:paraId="277666A3">
            <w:pPr>
              <w:rPr>
                <w:rFonts w:ascii="Arial"/>
                <w:sz w:val="21"/>
              </w:rPr>
            </w:pPr>
          </w:p>
        </w:tc>
        <w:tc>
          <w:tcPr>
            <w:tcW w:w="5875" w:type="dxa"/>
            <w:gridSpan w:val="13"/>
            <w:vAlign w:val="top"/>
          </w:tcPr>
          <w:p w14:paraId="0D8448A2">
            <w:pPr>
              <w:pStyle w:val="6"/>
              <w:spacing w:before="2" w:line="274" w:lineRule="exact"/>
              <w:ind w:left="1125"/>
              <w:rPr>
                <w:rFonts w:ascii="Times New Roman" w:hAnsi="Times New Roman" w:eastAsia="Times New Roman" w:cs="Times New Roman"/>
              </w:rPr>
            </w:pPr>
            <w:r>
              <w:rPr>
                <w:spacing w:val="7"/>
                <w:position w:val="2"/>
              </w:rPr>
              <w:t>大气毒性终点浓度</w:t>
            </w:r>
            <w:r>
              <w:rPr>
                <w:rFonts w:ascii="Times New Roman" w:hAnsi="Times New Roman" w:eastAsia="Times New Roman" w:cs="Times New Roman"/>
                <w:spacing w:val="7"/>
                <w:position w:val="2"/>
              </w:rPr>
              <w:t xml:space="preserve">-2 </w:t>
            </w:r>
            <w:r>
              <w:rPr>
                <w:spacing w:val="7"/>
                <w:position w:val="2"/>
              </w:rPr>
              <w:t>最大影响范围</w:t>
            </w:r>
            <w:r>
              <w:rPr>
                <w:rFonts w:ascii="Times New Roman" w:hAnsi="Times New Roman" w:eastAsia="Times New Roman" w:cs="Times New Roman"/>
                <w:spacing w:val="7"/>
                <w:position w:val="2"/>
              </w:rPr>
              <w:t>___m</w:t>
            </w:r>
          </w:p>
        </w:tc>
      </w:tr>
      <w:tr w14:paraId="707D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364C1201">
            <w:pPr>
              <w:rPr>
                <w:rFonts w:ascii="Arial"/>
                <w:sz w:val="21"/>
              </w:rPr>
            </w:pPr>
          </w:p>
        </w:tc>
        <w:tc>
          <w:tcPr>
            <w:tcW w:w="1269" w:type="dxa"/>
            <w:vAlign w:val="top"/>
          </w:tcPr>
          <w:p w14:paraId="682F08CC">
            <w:pPr>
              <w:pStyle w:val="6"/>
              <w:spacing w:before="34" w:line="228" w:lineRule="auto"/>
              <w:ind w:left="322"/>
            </w:pPr>
            <w:r>
              <w:rPr>
                <w:spacing w:val="6"/>
              </w:rPr>
              <w:t>地表水</w:t>
            </w:r>
          </w:p>
        </w:tc>
        <w:tc>
          <w:tcPr>
            <w:tcW w:w="7362" w:type="dxa"/>
            <w:gridSpan w:val="16"/>
            <w:vAlign w:val="top"/>
          </w:tcPr>
          <w:p w14:paraId="0C84D92D">
            <w:pPr>
              <w:pStyle w:val="6"/>
              <w:spacing w:before="3" w:line="274" w:lineRule="exact"/>
              <w:ind w:left="1955"/>
              <w:rPr>
                <w:rFonts w:ascii="Times New Roman" w:hAnsi="Times New Roman" w:eastAsia="Times New Roman" w:cs="Times New Roman"/>
              </w:rPr>
            </w:pPr>
            <w:r>
              <w:rPr>
                <w:spacing w:val="7"/>
                <w:position w:val="2"/>
              </w:rPr>
              <w:t>最近环境敏感目标</w:t>
            </w:r>
            <w:r>
              <w:rPr>
                <w:rFonts w:ascii="Times New Roman" w:hAnsi="Times New Roman" w:eastAsia="Times New Roman" w:cs="Times New Roman"/>
                <w:spacing w:val="7"/>
                <w:position w:val="2"/>
              </w:rPr>
              <w:t>___</w:t>
            </w:r>
            <w:r>
              <w:rPr>
                <w:spacing w:val="7"/>
                <w:position w:val="2"/>
              </w:rPr>
              <w:t>，到达时间</w:t>
            </w:r>
            <w:r>
              <w:rPr>
                <w:rFonts w:ascii="Times New Roman" w:hAnsi="Times New Roman" w:eastAsia="Times New Roman" w:cs="Times New Roman"/>
                <w:spacing w:val="7"/>
                <w:position w:val="2"/>
              </w:rPr>
              <w:t>___h</w:t>
            </w:r>
          </w:p>
        </w:tc>
      </w:tr>
      <w:tr w14:paraId="65D3F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75A5059B">
            <w:pPr>
              <w:rPr>
                <w:rFonts w:ascii="Arial"/>
                <w:sz w:val="21"/>
              </w:rPr>
            </w:pPr>
          </w:p>
        </w:tc>
        <w:tc>
          <w:tcPr>
            <w:tcW w:w="1269" w:type="dxa"/>
            <w:vMerge w:val="restart"/>
            <w:tcBorders>
              <w:bottom w:val="nil"/>
            </w:tcBorders>
            <w:vAlign w:val="top"/>
          </w:tcPr>
          <w:p w14:paraId="6FF037A0">
            <w:pPr>
              <w:spacing w:line="259" w:lineRule="auto"/>
              <w:rPr>
                <w:rFonts w:ascii="Arial"/>
                <w:sz w:val="21"/>
              </w:rPr>
            </w:pPr>
          </w:p>
          <w:p w14:paraId="4F5DC8A7">
            <w:pPr>
              <w:pStyle w:val="6"/>
              <w:spacing w:before="65" w:line="228" w:lineRule="auto"/>
              <w:ind w:left="322"/>
            </w:pPr>
            <w:r>
              <w:rPr>
                <w:spacing w:val="6"/>
              </w:rPr>
              <w:t>地下水</w:t>
            </w:r>
          </w:p>
        </w:tc>
        <w:tc>
          <w:tcPr>
            <w:tcW w:w="7362" w:type="dxa"/>
            <w:gridSpan w:val="16"/>
            <w:vAlign w:val="top"/>
          </w:tcPr>
          <w:p w14:paraId="1F5388AA">
            <w:pPr>
              <w:pStyle w:val="6"/>
              <w:spacing w:before="4" w:line="274" w:lineRule="exact"/>
              <w:ind w:left="2432"/>
              <w:rPr>
                <w:rFonts w:ascii="Times New Roman" w:hAnsi="Times New Roman" w:eastAsia="Times New Roman" w:cs="Times New Roman"/>
              </w:rPr>
            </w:pPr>
            <w:r>
              <w:rPr>
                <w:spacing w:val="7"/>
                <w:position w:val="2"/>
              </w:rPr>
              <w:t>下游厂区边界到达时间</w:t>
            </w:r>
            <w:r>
              <w:rPr>
                <w:rFonts w:ascii="Times New Roman" w:hAnsi="Times New Roman" w:eastAsia="Times New Roman" w:cs="Times New Roman"/>
                <w:spacing w:val="7"/>
                <w:position w:val="2"/>
              </w:rPr>
              <w:t>___d</w:t>
            </w:r>
          </w:p>
        </w:tc>
      </w:tr>
      <w:tr w14:paraId="0B835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431" w:type="dxa"/>
            <w:vMerge w:val="continue"/>
            <w:tcBorders>
              <w:top w:val="nil"/>
            </w:tcBorders>
            <w:textDirection w:val="tbRlV"/>
            <w:vAlign w:val="top"/>
          </w:tcPr>
          <w:p w14:paraId="5667696B">
            <w:pPr>
              <w:rPr>
                <w:rFonts w:ascii="Arial"/>
                <w:sz w:val="21"/>
              </w:rPr>
            </w:pPr>
          </w:p>
        </w:tc>
        <w:tc>
          <w:tcPr>
            <w:tcW w:w="1269" w:type="dxa"/>
            <w:vMerge w:val="continue"/>
            <w:tcBorders>
              <w:top w:val="nil"/>
            </w:tcBorders>
            <w:vAlign w:val="top"/>
          </w:tcPr>
          <w:p w14:paraId="50E0859E">
            <w:pPr>
              <w:rPr>
                <w:rFonts w:ascii="Arial"/>
                <w:sz w:val="21"/>
              </w:rPr>
            </w:pPr>
          </w:p>
        </w:tc>
        <w:tc>
          <w:tcPr>
            <w:tcW w:w="7362" w:type="dxa"/>
            <w:gridSpan w:val="16"/>
            <w:vAlign w:val="top"/>
          </w:tcPr>
          <w:p w14:paraId="0C2E6B61">
            <w:pPr>
              <w:pStyle w:val="6"/>
              <w:spacing w:before="134" w:line="275" w:lineRule="exact"/>
              <w:ind w:left="1955"/>
              <w:rPr>
                <w:rFonts w:ascii="Times New Roman" w:hAnsi="Times New Roman" w:eastAsia="Times New Roman" w:cs="Times New Roman"/>
              </w:rPr>
            </w:pPr>
            <w:r>
              <w:rPr>
                <w:spacing w:val="7"/>
                <w:position w:val="2"/>
              </w:rPr>
              <w:t>最近环境敏感目标</w:t>
            </w:r>
            <w:r>
              <w:rPr>
                <w:rFonts w:ascii="Times New Roman" w:hAnsi="Times New Roman" w:eastAsia="Times New Roman" w:cs="Times New Roman"/>
                <w:spacing w:val="7"/>
                <w:position w:val="2"/>
              </w:rPr>
              <w:t>___</w:t>
            </w:r>
            <w:r>
              <w:rPr>
                <w:spacing w:val="7"/>
                <w:position w:val="2"/>
              </w:rPr>
              <w:t>，到达时间</w:t>
            </w:r>
            <w:r>
              <w:rPr>
                <w:rFonts w:ascii="Times New Roman" w:hAnsi="Times New Roman" w:eastAsia="Times New Roman" w:cs="Times New Roman"/>
                <w:spacing w:val="7"/>
                <w:position w:val="2"/>
              </w:rPr>
              <w:t>___d</w:t>
            </w:r>
          </w:p>
        </w:tc>
      </w:tr>
      <w:tr w14:paraId="65E75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8" w:hRule="atLeast"/>
        </w:trPr>
        <w:tc>
          <w:tcPr>
            <w:tcW w:w="1700" w:type="dxa"/>
            <w:gridSpan w:val="2"/>
            <w:vAlign w:val="top"/>
          </w:tcPr>
          <w:p w14:paraId="2F1432DD">
            <w:pPr>
              <w:spacing w:line="266" w:lineRule="auto"/>
              <w:rPr>
                <w:rFonts w:ascii="Arial"/>
                <w:sz w:val="21"/>
              </w:rPr>
            </w:pPr>
          </w:p>
          <w:p w14:paraId="798CCEC9">
            <w:pPr>
              <w:spacing w:line="266" w:lineRule="auto"/>
              <w:rPr>
                <w:rFonts w:ascii="Arial"/>
                <w:sz w:val="21"/>
              </w:rPr>
            </w:pPr>
          </w:p>
          <w:p w14:paraId="65C9B79A">
            <w:pPr>
              <w:spacing w:line="267" w:lineRule="auto"/>
              <w:rPr>
                <w:rFonts w:ascii="Arial"/>
                <w:sz w:val="21"/>
              </w:rPr>
            </w:pPr>
          </w:p>
          <w:p w14:paraId="60E03563">
            <w:pPr>
              <w:spacing w:line="267" w:lineRule="auto"/>
              <w:rPr>
                <w:rFonts w:ascii="Arial"/>
                <w:sz w:val="21"/>
              </w:rPr>
            </w:pPr>
          </w:p>
          <w:p w14:paraId="192BAE90">
            <w:pPr>
              <w:spacing w:line="267" w:lineRule="auto"/>
              <w:rPr>
                <w:rFonts w:ascii="Arial"/>
                <w:sz w:val="21"/>
              </w:rPr>
            </w:pPr>
          </w:p>
          <w:p w14:paraId="4A768D1D">
            <w:pPr>
              <w:pStyle w:val="6"/>
              <w:spacing w:before="65" w:line="291" w:lineRule="auto"/>
              <w:ind w:left="749" w:right="114" w:hanging="629"/>
            </w:pPr>
            <w:r>
              <w:rPr>
                <w:spacing w:val="8"/>
              </w:rPr>
              <w:t>重点风险防范措</w:t>
            </w:r>
            <w:r>
              <w:rPr>
                <w:spacing w:val="2"/>
              </w:rPr>
              <w:t xml:space="preserve"> </w:t>
            </w:r>
            <w:r>
              <w:rPr>
                <w:spacing w:val="1"/>
              </w:rPr>
              <w:t>施</w:t>
            </w:r>
          </w:p>
        </w:tc>
        <w:tc>
          <w:tcPr>
            <w:tcW w:w="7362" w:type="dxa"/>
            <w:gridSpan w:val="16"/>
            <w:vAlign w:val="top"/>
          </w:tcPr>
          <w:p w14:paraId="2B9F3FF9">
            <w:pPr>
              <w:pStyle w:val="6"/>
              <w:spacing w:before="30" w:line="274" w:lineRule="exact"/>
              <w:ind w:left="122"/>
            </w:pPr>
            <w:r>
              <w:rPr>
                <w:spacing w:val="8"/>
                <w:position w:val="1"/>
              </w:rPr>
              <w:t>（</w:t>
            </w:r>
            <w:r>
              <w:rPr>
                <w:rFonts w:ascii="Times New Roman" w:hAnsi="Times New Roman" w:eastAsia="Times New Roman" w:cs="Times New Roman"/>
                <w:spacing w:val="8"/>
                <w:position w:val="1"/>
              </w:rPr>
              <w:t>1</w:t>
            </w:r>
            <w:r>
              <w:rPr>
                <w:spacing w:val="8"/>
                <w:position w:val="1"/>
              </w:rPr>
              <w:t>）粪污事故排放风险防范措施</w:t>
            </w:r>
          </w:p>
          <w:p w14:paraId="702A65F5">
            <w:pPr>
              <w:pStyle w:val="6"/>
              <w:spacing w:before="83" w:line="301" w:lineRule="auto"/>
              <w:ind w:left="112" w:right="108" w:firstLine="2"/>
            </w:pPr>
            <w:r>
              <w:rPr>
                <w:spacing w:val="10"/>
              </w:rPr>
              <w:t>设置事故应急池；在生产区边界预先准备适量的沙包，在场</w:t>
            </w:r>
            <w:r>
              <w:rPr>
                <w:spacing w:val="9"/>
              </w:rPr>
              <w:t>界围墙有泄漏的地</w:t>
            </w:r>
            <w:r>
              <w:t xml:space="preserve"> </w:t>
            </w:r>
            <w:r>
              <w:rPr>
                <w:spacing w:val="10"/>
              </w:rPr>
              <w:t>方进行封堵，防止事故排放粪污向场外泄漏；在生产区和沼气池</w:t>
            </w:r>
            <w:r>
              <w:rPr>
                <w:spacing w:val="9"/>
              </w:rPr>
              <w:t>四周设置环形</w:t>
            </w:r>
            <w:r>
              <w:t xml:space="preserve"> </w:t>
            </w:r>
            <w:r>
              <w:rPr>
                <w:spacing w:val="10"/>
              </w:rPr>
              <w:t>的事故截流沟；对粪污处理系统应定期巡检、调节、保养、维修</w:t>
            </w:r>
            <w:r>
              <w:rPr>
                <w:spacing w:val="9"/>
              </w:rPr>
              <w:t>，及时发现可</w:t>
            </w:r>
            <w:r>
              <w:t xml:space="preserve"> </w:t>
            </w:r>
            <w:r>
              <w:rPr>
                <w:spacing w:val="8"/>
              </w:rPr>
              <w:t>能引起事故的异常运行苗头，消除事故隐患；</w:t>
            </w:r>
          </w:p>
          <w:p w14:paraId="0891A234">
            <w:pPr>
              <w:pStyle w:val="6"/>
              <w:spacing w:before="48" w:line="275" w:lineRule="exact"/>
              <w:ind w:left="122"/>
            </w:pPr>
            <w:r>
              <w:rPr>
                <w:spacing w:val="8"/>
                <w:position w:val="1"/>
              </w:rPr>
              <w:t>（</w:t>
            </w:r>
            <w:r>
              <w:rPr>
                <w:rFonts w:ascii="Times New Roman" w:hAnsi="Times New Roman" w:eastAsia="Times New Roman" w:cs="Times New Roman"/>
                <w:spacing w:val="8"/>
                <w:position w:val="1"/>
              </w:rPr>
              <w:t>2</w:t>
            </w:r>
            <w:r>
              <w:rPr>
                <w:spacing w:val="8"/>
                <w:position w:val="1"/>
              </w:rPr>
              <w:t>）动物疫情事故风险防范措施</w:t>
            </w:r>
          </w:p>
          <w:p w14:paraId="01DFC589">
            <w:pPr>
              <w:pStyle w:val="6"/>
              <w:spacing w:before="242" w:line="453" w:lineRule="auto"/>
              <w:ind w:left="128" w:right="115" w:hanging="16"/>
            </w:pPr>
            <w:r>
              <w:rPr>
                <w:spacing w:val="10"/>
              </w:rPr>
              <w:t>提高员工专业素质，增强防病观念；做好卫生管</w:t>
            </w:r>
            <w:r>
              <w:rPr>
                <w:spacing w:val="9"/>
              </w:rPr>
              <w:t>理和环境消毒；药物防疫；猪</w:t>
            </w:r>
            <w:r>
              <w:t xml:space="preserve"> </w:t>
            </w:r>
            <w:r>
              <w:rPr>
                <w:spacing w:val="8"/>
              </w:rPr>
              <w:t>的免疫接种；建立疫病报告制度；妥善处理病死猪尸体处置。</w:t>
            </w:r>
          </w:p>
        </w:tc>
      </w:tr>
      <w:tr w14:paraId="1199A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00" w:type="dxa"/>
            <w:gridSpan w:val="2"/>
            <w:vAlign w:val="top"/>
          </w:tcPr>
          <w:p w14:paraId="01F6CFD0">
            <w:pPr>
              <w:pStyle w:val="6"/>
              <w:spacing w:before="35" w:line="227" w:lineRule="auto"/>
              <w:ind w:left="119"/>
            </w:pPr>
            <w:r>
              <w:rPr>
                <w:spacing w:val="8"/>
              </w:rPr>
              <w:t>评价结论与建议</w:t>
            </w:r>
          </w:p>
        </w:tc>
        <w:tc>
          <w:tcPr>
            <w:tcW w:w="7362" w:type="dxa"/>
            <w:gridSpan w:val="16"/>
            <w:vAlign w:val="top"/>
          </w:tcPr>
          <w:p w14:paraId="22476E88">
            <w:pPr>
              <w:pStyle w:val="6"/>
              <w:spacing w:before="36" w:line="228" w:lineRule="auto"/>
              <w:ind w:left="117"/>
            </w:pPr>
            <w:r>
              <w:rPr>
                <w:spacing w:val="10"/>
              </w:rPr>
              <w:t>该项目建成后，存在发生风险事故的可能，</w:t>
            </w:r>
            <w:r>
              <w:rPr>
                <w:spacing w:val="9"/>
              </w:rPr>
              <w:t>加强风险管理后概率较低，且由于</w:t>
            </w:r>
          </w:p>
        </w:tc>
      </w:tr>
    </w:tbl>
    <w:p w14:paraId="1A2996B7">
      <w:pPr>
        <w:pStyle w:val="2"/>
        <w:spacing w:line="104" w:lineRule="exact"/>
        <w:rPr>
          <w:sz w:val="9"/>
        </w:rPr>
      </w:pPr>
    </w:p>
    <w:p w14:paraId="3BC2D5A5">
      <w:pPr>
        <w:spacing w:line="104" w:lineRule="exact"/>
        <w:rPr>
          <w:sz w:val="9"/>
          <w:szCs w:val="9"/>
        </w:rPr>
        <w:sectPr>
          <w:footerReference r:id="rId189" w:type="default"/>
          <w:pgSz w:w="11906" w:h="16839"/>
          <w:pgMar w:top="400" w:right="1419" w:bottom="1485" w:left="1419" w:header="0" w:footer="1249" w:gutter="0"/>
          <w:cols w:space="720" w:num="1"/>
        </w:sectPr>
      </w:pPr>
    </w:p>
    <w:p w14:paraId="7A85E1BA">
      <w:pPr>
        <w:spacing w:before="13"/>
      </w:pPr>
    </w:p>
    <w:p w14:paraId="749A241A">
      <w:pPr>
        <w:spacing w:before="13"/>
      </w:pPr>
    </w:p>
    <w:p w14:paraId="15F05299">
      <w:pPr>
        <w:spacing w:before="13"/>
      </w:pPr>
    </w:p>
    <w:p w14:paraId="185207FC">
      <w:pPr>
        <w:spacing w:before="13"/>
      </w:pPr>
    </w:p>
    <w:tbl>
      <w:tblPr>
        <w:tblStyle w:val="5"/>
        <w:tblW w:w="9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0"/>
        <w:gridCol w:w="7362"/>
      </w:tblGrid>
      <w:tr w14:paraId="217B9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700" w:type="dxa"/>
            <w:vAlign w:val="top"/>
          </w:tcPr>
          <w:p w14:paraId="6CEC29F7">
            <w:pPr>
              <w:rPr>
                <w:rFonts w:ascii="Arial"/>
                <w:sz w:val="21"/>
              </w:rPr>
            </w:pPr>
          </w:p>
        </w:tc>
        <w:tc>
          <w:tcPr>
            <w:tcW w:w="7362" w:type="dxa"/>
            <w:vAlign w:val="top"/>
          </w:tcPr>
          <w:p w14:paraId="4D8551A0">
            <w:pPr>
              <w:pStyle w:val="6"/>
              <w:spacing w:before="35" w:line="228" w:lineRule="auto"/>
              <w:ind w:left="115"/>
            </w:pPr>
            <w:r>
              <w:rPr>
                <w:spacing w:val="10"/>
              </w:rPr>
              <w:t>其不属于重大危险源，发生环境风险事故的后果</w:t>
            </w:r>
            <w:r>
              <w:rPr>
                <w:spacing w:val="9"/>
              </w:rPr>
              <w:t>在可以接受的范围内。通过加</w:t>
            </w:r>
          </w:p>
          <w:p w14:paraId="4E2D44A5">
            <w:pPr>
              <w:pStyle w:val="6"/>
              <w:spacing w:before="67" w:line="228" w:lineRule="auto"/>
              <w:ind w:left="119"/>
            </w:pPr>
            <w:r>
              <w:rPr>
                <w:spacing w:val="9"/>
              </w:rPr>
              <w:t>强防范措施及配备相应的应急预案，可以最大程度的减少风险事故的发生以及</w:t>
            </w:r>
          </w:p>
          <w:p w14:paraId="7EB2B498">
            <w:pPr>
              <w:pStyle w:val="6"/>
              <w:spacing w:before="64" w:line="228" w:lineRule="auto"/>
              <w:ind w:left="1375"/>
            </w:pPr>
            <w:r>
              <w:rPr>
                <w:spacing w:val="9"/>
              </w:rPr>
              <w:t>风险事故发生时造成的对环境和人身安全的伤害。</w:t>
            </w:r>
          </w:p>
        </w:tc>
      </w:tr>
      <w:tr w14:paraId="46FE9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062" w:type="dxa"/>
            <w:gridSpan w:val="2"/>
            <w:vAlign w:val="top"/>
          </w:tcPr>
          <w:p w14:paraId="013BAED5">
            <w:pPr>
              <w:pStyle w:val="6"/>
              <w:spacing w:before="61" w:line="221" w:lineRule="auto"/>
              <w:ind w:left="3057"/>
            </w:pPr>
            <w:r>
              <w:rPr>
                <w:spacing w:val="6"/>
              </w:rPr>
              <w:t>注：</w:t>
            </w:r>
            <w:r>
              <w:rPr>
                <w:rFonts w:ascii="Times New Roman" w:hAnsi="Times New Roman" w:eastAsia="Times New Roman" w:cs="Times New Roman"/>
                <w:spacing w:val="6"/>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w:t>
            </w:r>
            <w:r>
              <w:rPr>
                <w:spacing w:val="6"/>
              </w:rPr>
              <w:t>为勾选项，</w:t>
            </w:r>
            <w:r>
              <w:rPr>
                <w:rFonts w:ascii="Times New Roman" w:hAnsi="Times New Roman" w:eastAsia="Times New Roman" w:cs="Times New Roman"/>
                <w:spacing w:val="6"/>
              </w:rPr>
              <w:t>“____”</w:t>
            </w:r>
            <w:r>
              <w:rPr>
                <w:spacing w:val="6"/>
              </w:rPr>
              <w:t>为填写项。</w:t>
            </w:r>
          </w:p>
        </w:tc>
      </w:tr>
    </w:tbl>
    <w:p w14:paraId="59435EFE">
      <w:pPr>
        <w:pStyle w:val="2"/>
      </w:pPr>
    </w:p>
    <w:p w14:paraId="55F694FF">
      <w:pPr>
        <w:sectPr>
          <w:footerReference r:id="rId190" w:type="default"/>
          <w:pgSz w:w="11906" w:h="16839"/>
          <w:pgMar w:top="400" w:right="1419" w:bottom="1485" w:left="1419" w:header="0" w:footer="1249" w:gutter="0"/>
          <w:cols w:space="720" w:num="1"/>
        </w:sectPr>
      </w:pPr>
    </w:p>
    <w:p w14:paraId="0DA66894">
      <w:pPr>
        <w:pStyle w:val="2"/>
        <w:spacing w:line="264" w:lineRule="auto"/>
      </w:pPr>
    </w:p>
    <w:p w14:paraId="61A7E940">
      <w:pPr>
        <w:pStyle w:val="2"/>
        <w:spacing w:line="264" w:lineRule="auto"/>
      </w:pPr>
    </w:p>
    <w:p w14:paraId="7FA74046">
      <w:pPr>
        <w:pStyle w:val="2"/>
        <w:spacing w:line="264" w:lineRule="auto"/>
      </w:pPr>
    </w:p>
    <w:p w14:paraId="74A29DDF">
      <w:pPr>
        <w:pStyle w:val="2"/>
        <w:spacing w:line="265" w:lineRule="auto"/>
      </w:pPr>
    </w:p>
    <w:p w14:paraId="00B9FF6A">
      <w:pPr>
        <w:spacing w:before="78" w:line="219" w:lineRule="auto"/>
        <w:ind w:left="141"/>
        <w:outlineLvl w:val="0"/>
        <w:rPr>
          <w:rFonts w:ascii="宋体" w:hAnsi="宋体" w:eastAsia="宋体" w:cs="宋体"/>
          <w:sz w:val="24"/>
          <w:szCs w:val="24"/>
        </w:rPr>
      </w:pPr>
      <w:r>
        <w:rPr>
          <w:rFonts w:ascii="宋体" w:hAnsi="宋体" w:eastAsia="宋体" w:cs="宋体"/>
          <w:b/>
          <w:bCs/>
          <w:spacing w:val="-4"/>
          <w:sz w:val="24"/>
          <w:szCs w:val="24"/>
        </w:rPr>
        <w:t>附表</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 xml:space="preserve">4  </w:t>
      </w:r>
      <w:r>
        <w:rPr>
          <w:rFonts w:ascii="宋体" w:hAnsi="宋体" w:eastAsia="宋体" w:cs="宋体"/>
          <w:b/>
          <w:bCs/>
          <w:spacing w:val="-4"/>
          <w:sz w:val="24"/>
          <w:szCs w:val="24"/>
        </w:rPr>
        <w:t>建设项目土壤环境影响评价自查表</w:t>
      </w:r>
    </w:p>
    <w:p w14:paraId="1FD6CCB9">
      <w:pPr>
        <w:spacing w:line="80"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1755"/>
        <w:gridCol w:w="1896"/>
        <w:gridCol w:w="541"/>
        <w:gridCol w:w="675"/>
        <w:gridCol w:w="944"/>
        <w:gridCol w:w="543"/>
        <w:gridCol w:w="816"/>
        <w:gridCol w:w="1350"/>
      </w:tblGrid>
      <w:tr w14:paraId="6B96B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85" w:type="dxa"/>
            <w:gridSpan w:val="2"/>
            <w:vAlign w:val="top"/>
          </w:tcPr>
          <w:p w14:paraId="72D88F19">
            <w:pPr>
              <w:pStyle w:val="6"/>
              <w:spacing w:before="62" w:line="228" w:lineRule="auto"/>
              <w:ind w:left="680"/>
            </w:pPr>
            <w:r>
              <w:rPr>
                <w:spacing w:val="6"/>
              </w:rPr>
              <w:t>工作内容</w:t>
            </w:r>
          </w:p>
        </w:tc>
        <w:tc>
          <w:tcPr>
            <w:tcW w:w="5415" w:type="dxa"/>
            <w:gridSpan w:val="6"/>
            <w:vAlign w:val="top"/>
          </w:tcPr>
          <w:p w14:paraId="23B9B000">
            <w:pPr>
              <w:pStyle w:val="6"/>
              <w:spacing w:before="62" w:line="228" w:lineRule="auto"/>
              <w:ind w:left="2296"/>
            </w:pPr>
            <w:r>
              <w:rPr>
                <w:spacing w:val="6"/>
              </w:rPr>
              <w:t>完成情况</w:t>
            </w:r>
          </w:p>
        </w:tc>
        <w:tc>
          <w:tcPr>
            <w:tcW w:w="1350" w:type="dxa"/>
            <w:vAlign w:val="top"/>
          </w:tcPr>
          <w:p w14:paraId="4BD44F1A">
            <w:pPr>
              <w:pStyle w:val="6"/>
              <w:spacing w:before="62" w:line="230" w:lineRule="auto"/>
              <w:ind w:left="472"/>
            </w:pPr>
            <w:r>
              <w:rPr>
                <w:spacing w:val="3"/>
              </w:rPr>
              <w:t>备注</w:t>
            </w:r>
          </w:p>
        </w:tc>
      </w:tr>
      <w:tr w14:paraId="730C6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36568194">
            <w:pPr>
              <w:pStyle w:val="6"/>
              <w:spacing w:before="107" w:line="216" w:lineRule="auto"/>
              <w:ind w:left="1402"/>
            </w:pPr>
            <w:r>
              <w:rPr>
                <w:spacing w:val="9"/>
              </w:rPr>
              <w:t>影</w:t>
            </w:r>
            <w:r>
              <w:rPr>
                <w:spacing w:val="18"/>
              </w:rPr>
              <w:t xml:space="preserve"> </w:t>
            </w:r>
            <w:r>
              <w:rPr>
                <w:spacing w:val="9"/>
              </w:rPr>
              <w:t>响</w:t>
            </w:r>
            <w:r>
              <w:rPr>
                <w:spacing w:val="17"/>
              </w:rPr>
              <w:t xml:space="preserve"> </w:t>
            </w:r>
            <w:r>
              <w:rPr>
                <w:spacing w:val="9"/>
              </w:rPr>
              <w:t>识</w:t>
            </w:r>
            <w:r>
              <w:rPr>
                <w:spacing w:val="16"/>
              </w:rPr>
              <w:t xml:space="preserve"> </w:t>
            </w:r>
            <w:r>
              <w:rPr>
                <w:spacing w:val="9"/>
              </w:rPr>
              <w:t>别</w:t>
            </w:r>
          </w:p>
        </w:tc>
        <w:tc>
          <w:tcPr>
            <w:tcW w:w="1755" w:type="dxa"/>
            <w:vAlign w:val="top"/>
          </w:tcPr>
          <w:p w14:paraId="6CC81ADE">
            <w:pPr>
              <w:pStyle w:val="6"/>
              <w:spacing w:before="58" w:line="228" w:lineRule="auto"/>
              <w:ind w:left="461"/>
            </w:pPr>
            <w:r>
              <w:rPr>
                <w:spacing w:val="7"/>
              </w:rPr>
              <w:t>影响类型</w:t>
            </w:r>
          </w:p>
        </w:tc>
        <w:tc>
          <w:tcPr>
            <w:tcW w:w="5415" w:type="dxa"/>
            <w:gridSpan w:val="6"/>
            <w:vAlign w:val="top"/>
          </w:tcPr>
          <w:p w14:paraId="0A7FA2FA">
            <w:pPr>
              <w:pStyle w:val="6"/>
              <w:spacing w:before="50" w:line="230" w:lineRule="auto"/>
              <w:ind w:left="734"/>
            </w:pPr>
            <w:r>
              <w:rPr>
                <w:spacing w:val="9"/>
              </w:rPr>
              <w:t>污染影响型</w:t>
            </w:r>
            <w:r>
              <w:rPr>
                <w:position w:val="-4"/>
              </w:rPr>
              <w:drawing>
                <wp:inline distT="0" distB="0" distL="0" distR="0">
                  <wp:extent cx="116205" cy="1466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42"/>
                          <a:stretch>
                            <a:fillRect/>
                          </a:stretch>
                        </pic:blipFill>
                        <pic:spPr>
                          <a:xfrm>
                            <a:off x="0" y="0"/>
                            <a:ext cx="116681" cy="147048"/>
                          </a:xfrm>
                          <a:prstGeom prst="rect">
                            <a:avLst/>
                          </a:prstGeom>
                        </pic:spPr>
                      </pic:pic>
                    </a:graphicData>
                  </a:graphic>
                </wp:inline>
              </w:drawing>
            </w:r>
            <w:r>
              <w:rPr>
                <w:spacing w:val="9"/>
              </w:rPr>
              <w:t>；生态影响型□；两种兼有□</w:t>
            </w:r>
          </w:p>
        </w:tc>
        <w:tc>
          <w:tcPr>
            <w:tcW w:w="1350" w:type="dxa"/>
            <w:vAlign w:val="top"/>
          </w:tcPr>
          <w:p w14:paraId="262ED90A">
            <w:pPr>
              <w:rPr>
                <w:rFonts w:ascii="Arial"/>
                <w:sz w:val="21"/>
              </w:rPr>
            </w:pPr>
          </w:p>
        </w:tc>
      </w:tr>
      <w:tr w14:paraId="47A40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bottom w:val="nil"/>
            </w:tcBorders>
            <w:textDirection w:val="tbRlV"/>
            <w:vAlign w:val="top"/>
          </w:tcPr>
          <w:p w14:paraId="1E2D888E">
            <w:pPr>
              <w:rPr>
                <w:rFonts w:ascii="Arial"/>
                <w:sz w:val="21"/>
              </w:rPr>
            </w:pPr>
          </w:p>
        </w:tc>
        <w:tc>
          <w:tcPr>
            <w:tcW w:w="1755" w:type="dxa"/>
            <w:vAlign w:val="top"/>
          </w:tcPr>
          <w:p w14:paraId="077D1E1D">
            <w:pPr>
              <w:pStyle w:val="6"/>
              <w:spacing w:before="221" w:line="228" w:lineRule="auto"/>
              <w:ind w:left="251"/>
            </w:pPr>
            <w:r>
              <w:rPr>
                <w:spacing w:val="8"/>
              </w:rPr>
              <w:t>土地利用类型</w:t>
            </w:r>
          </w:p>
        </w:tc>
        <w:tc>
          <w:tcPr>
            <w:tcW w:w="5415" w:type="dxa"/>
            <w:gridSpan w:val="6"/>
            <w:vAlign w:val="top"/>
          </w:tcPr>
          <w:p w14:paraId="3A10BF22">
            <w:pPr>
              <w:pStyle w:val="6"/>
              <w:spacing w:before="213" w:line="230" w:lineRule="auto"/>
              <w:ind w:left="1049"/>
            </w:pPr>
            <w:r>
              <w:rPr>
                <w:spacing w:val="9"/>
              </w:rPr>
              <w:t>建设用地</w:t>
            </w:r>
            <w:r>
              <w:rPr>
                <w:position w:val="-4"/>
              </w:rPr>
              <w:drawing>
                <wp:inline distT="0" distB="0" distL="0" distR="0">
                  <wp:extent cx="118110" cy="1466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43"/>
                          <a:stretch>
                            <a:fillRect/>
                          </a:stretch>
                        </pic:blipFill>
                        <pic:spPr>
                          <a:xfrm>
                            <a:off x="0" y="0"/>
                            <a:ext cx="118188" cy="147048"/>
                          </a:xfrm>
                          <a:prstGeom prst="rect">
                            <a:avLst/>
                          </a:prstGeom>
                        </pic:spPr>
                      </pic:pic>
                    </a:graphicData>
                  </a:graphic>
                </wp:inline>
              </w:drawing>
            </w:r>
            <w:r>
              <w:rPr>
                <w:spacing w:val="9"/>
              </w:rPr>
              <w:t>；农用地□；未利用地□</w:t>
            </w:r>
          </w:p>
        </w:tc>
        <w:tc>
          <w:tcPr>
            <w:tcW w:w="1350" w:type="dxa"/>
            <w:vAlign w:val="top"/>
          </w:tcPr>
          <w:p w14:paraId="7D3B6FA3">
            <w:pPr>
              <w:pStyle w:val="6"/>
              <w:spacing w:before="58" w:line="228" w:lineRule="auto"/>
              <w:ind w:left="156"/>
            </w:pPr>
            <w:r>
              <w:rPr>
                <w:spacing w:val="7"/>
              </w:rPr>
              <w:t>土地利用类</w:t>
            </w:r>
          </w:p>
          <w:p w14:paraId="48725723">
            <w:pPr>
              <w:pStyle w:val="6"/>
              <w:spacing w:before="78" w:line="230" w:lineRule="auto"/>
              <w:ind w:left="476"/>
            </w:pPr>
            <w:r>
              <w:rPr>
                <w:spacing w:val="1"/>
              </w:rPr>
              <w:t>型图</w:t>
            </w:r>
          </w:p>
        </w:tc>
      </w:tr>
      <w:tr w14:paraId="319D6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7B8D9EB4">
            <w:pPr>
              <w:rPr>
                <w:rFonts w:ascii="Arial"/>
                <w:sz w:val="21"/>
              </w:rPr>
            </w:pPr>
          </w:p>
        </w:tc>
        <w:tc>
          <w:tcPr>
            <w:tcW w:w="1755" w:type="dxa"/>
            <w:vAlign w:val="top"/>
          </w:tcPr>
          <w:p w14:paraId="65660CB1">
            <w:pPr>
              <w:pStyle w:val="6"/>
              <w:spacing w:before="60" w:line="228" w:lineRule="auto"/>
              <w:ind w:left="496"/>
            </w:pPr>
            <w:r>
              <w:rPr>
                <w:spacing w:val="-2"/>
              </w:rPr>
              <w:t>占地规模</w:t>
            </w:r>
          </w:p>
        </w:tc>
        <w:tc>
          <w:tcPr>
            <w:tcW w:w="5415" w:type="dxa"/>
            <w:gridSpan w:val="6"/>
            <w:vAlign w:val="top"/>
          </w:tcPr>
          <w:p w14:paraId="70B4469D">
            <w:pPr>
              <w:pStyle w:val="6"/>
              <w:spacing w:before="28" w:line="275" w:lineRule="exact"/>
              <w:ind w:left="2005"/>
              <w:rPr>
                <w:rFonts w:ascii="Times New Roman" w:hAnsi="Times New Roman" w:eastAsia="Times New Roman" w:cs="Times New Roman"/>
                <w:sz w:val="13"/>
                <w:szCs w:val="13"/>
              </w:rPr>
            </w:pPr>
            <w:r>
              <w:rPr>
                <w:spacing w:val="1"/>
                <w:position w:val="1"/>
              </w:rPr>
              <w:t xml:space="preserve">（ </w:t>
            </w:r>
            <w:r>
              <w:rPr>
                <w:rFonts w:ascii="Times New Roman" w:hAnsi="Times New Roman" w:eastAsia="Times New Roman" w:cs="Times New Roman"/>
                <w:spacing w:val="1"/>
                <w:position w:val="1"/>
              </w:rPr>
              <w:t>25.79</w:t>
            </w:r>
            <w:r>
              <w:rPr>
                <w:rFonts w:ascii="Times New Roman" w:hAnsi="Times New Roman" w:eastAsia="Times New Roman" w:cs="Times New Roman"/>
                <w:spacing w:val="20"/>
                <w:position w:val="1"/>
              </w:rPr>
              <w:t xml:space="preserve">  </w:t>
            </w:r>
            <w:r>
              <w:rPr>
                <w:spacing w:val="1"/>
                <w:position w:val="1"/>
              </w:rPr>
              <w:t>）</w:t>
            </w:r>
            <w:r>
              <w:rPr>
                <w:rFonts w:ascii="Times New Roman" w:hAnsi="Times New Roman" w:eastAsia="Times New Roman" w:cs="Times New Roman"/>
                <w:position w:val="1"/>
              </w:rPr>
              <w:t>hm</w:t>
            </w:r>
            <w:r>
              <w:rPr>
                <w:rFonts w:ascii="Times New Roman" w:hAnsi="Times New Roman" w:eastAsia="Times New Roman" w:cs="Times New Roman"/>
                <w:spacing w:val="1"/>
                <w:position w:val="7"/>
                <w:sz w:val="13"/>
                <w:szCs w:val="13"/>
              </w:rPr>
              <w:t>2</w:t>
            </w:r>
          </w:p>
        </w:tc>
        <w:tc>
          <w:tcPr>
            <w:tcW w:w="1350" w:type="dxa"/>
            <w:vAlign w:val="top"/>
          </w:tcPr>
          <w:p w14:paraId="3B6B02A1">
            <w:pPr>
              <w:rPr>
                <w:rFonts w:ascii="Arial"/>
                <w:sz w:val="21"/>
              </w:rPr>
            </w:pPr>
          </w:p>
        </w:tc>
      </w:tr>
      <w:tr w14:paraId="6246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4203217">
            <w:pPr>
              <w:rPr>
                <w:rFonts w:ascii="Arial"/>
                <w:sz w:val="21"/>
              </w:rPr>
            </w:pPr>
          </w:p>
        </w:tc>
        <w:tc>
          <w:tcPr>
            <w:tcW w:w="1755" w:type="dxa"/>
            <w:vAlign w:val="top"/>
          </w:tcPr>
          <w:p w14:paraId="6343C4EE">
            <w:pPr>
              <w:pStyle w:val="6"/>
              <w:spacing w:before="60" w:line="228" w:lineRule="auto"/>
              <w:ind w:left="251"/>
            </w:pPr>
            <w:r>
              <w:rPr>
                <w:spacing w:val="8"/>
              </w:rPr>
              <w:t>敏感目标信息</w:t>
            </w:r>
          </w:p>
        </w:tc>
        <w:tc>
          <w:tcPr>
            <w:tcW w:w="5415" w:type="dxa"/>
            <w:gridSpan w:val="6"/>
            <w:vAlign w:val="top"/>
          </w:tcPr>
          <w:p w14:paraId="4F093D50">
            <w:pPr>
              <w:pStyle w:val="6"/>
              <w:spacing w:before="60" w:line="228" w:lineRule="auto"/>
              <w:ind w:left="1035"/>
            </w:pPr>
            <w:r>
              <w:rPr>
                <w:spacing w:val="3"/>
              </w:rPr>
              <w:t>敏感目标</w:t>
            </w:r>
            <w:r>
              <w:rPr>
                <w:spacing w:val="-10"/>
              </w:rPr>
              <w:t>（）</w:t>
            </w:r>
            <w:r>
              <w:rPr>
                <w:spacing w:val="-34"/>
              </w:rPr>
              <w:t xml:space="preserve"> </w:t>
            </w:r>
            <w:r>
              <w:rPr>
                <w:spacing w:val="3"/>
              </w:rPr>
              <w:t>、方位</w:t>
            </w:r>
            <w:r>
              <w:rPr>
                <w:spacing w:val="-10"/>
              </w:rPr>
              <w:t>（）</w:t>
            </w:r>
            <w:r>
              <w:rPr>
                <w:spacing w:val="-36"/>
              </w:rPr>
              <w:t xml:space="preserve"> </w:t>
            </w:r>
            <w:r>
              <w:rPr>
                <w:spacing w:val="3"/>
              </w:rPr>
              <w:t>、距离 ()</w:t>
            </w:r>
          </w:p>
        </w:tc>
        <w:tc>
          <w:tcPr>
            <w:tcW w:w="1350" w:type="dxa"/>
            <w:vAlign w:val="top"/>
          </w:tcPr>
          <w:p w14:paraId="1B51468D">
            <w:pPr>
              <w:rPr>
                <w:rFonts w:ascii="Arial"/>
                <w:sz w:val="21"/>
              </w:rPr>
            </w:pPr>
          </w:p>
        </w:tc>
      </w:tr>
      <w:tr w14:paraId="1CDE3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bottom w:val="nil"/>
            </w:tcBorders>
            <w:textDirection w:val="tbRlV"/>
            <w:vAlign w:val="top"/>
          </w:tcPr>
          <w:p w14:paraId="7E0A8A15">
            <w:pPr>
              <w:rPr>
                <w:rFonts w:ascii="Arial"/>
                <w:sz w:val="21"/>
              </w:rPr>
            </w:pPr>
          </w:p>
        </w:tc>
        <w:tc>
          <w:tcPr>
            <w:tcW w:w="1755" w:type="dxa"/>
            <w:vAlign w:val="top"/>
          </w:tcPr>
          <w:p w14:paraId="5E17D416">
            <w:pPr>
              <w:pStyle w:val="6"/>
              <w:spacing w:before="223" w:line="228" w:lineRule="auto"/>
              <w:ind w:left="461"/>
            </w:pPr>
            <w:r>
              <w:rPr>
                <w:spacing w:val="7"/>
              </w:rPr>
              <w:t>影响途径</w:t>
            </w:r>
          </w:p>
        </w:tc>
        <w:tc>
          <w:tcPr>
            <w:tcW w:w="5415" w:type="dxa"/>
            <w:gridSpan w:val="6"/>
            <w:vAlign w:val="top"/>
          </w:tcPr>
          <w:p w14:paraId="1552A5B5">
            <w:pPr>
              <w:pStyle w:val="6"/>
              <w:spacing w:before="52" w:line="230" w:lineRule="auto"/>
              <w:ind w:left="115"/>
            </w:pPr>
            <w:r>
              <w:rPr>
                <w:spacing w:val="8"/>
              </w:rPr>
              <w:t>大气沉降□；地面漫流□；垂直入渗</w:t>
            </w:r>
            <w:r>
              <w:rPr>
                <w:position w:val="-4"/>
              </w:rPr>
              <w:drawing>
                <wp:inline distT="0" distB="0" distL="0" distR="0">
                  <wp:extent cx="118110" cy="1466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45"/>
                          <a:stretch>
                            <a:fillRect/>
                          </a:stretch>
                        </pic:blipFill>
                        <pic:spPr>
                          <a:xfrm>
                            <a:off x="0" y="0"/>
                            <a:ext cx="118197" cy="147048"/>
                          </a:xfrm>
                          <a:prstGeom prst="rect">
                            <a:avLst/>
                          </a:prstGeom>
                        </pic:spPr>
                      </pic:pic>
                    </a:graphicData>
                  </a:graphic>
                </wp:inline>
              </w:drawing>
            </w:r>
            <w:r>
              <w:rPr>
                <w:spacing w:val="8"/>
              </w:rPr>
              <w:t>；地下水位□；其</w:t>
            </w:r>
          </w:p>
          <w:p w14:paraId="6C375FA9">
            <w:pPr>
              <w:pStyle w:val="6"/>
              <w:spacing w:before="85" w:line="229" w:lineRule="auto"/>
              <w:ind w:left="2503"/>
            </w:pPr>
            <w:r>
              <w:rPr>
                <w:spacing w:val="6"/>
              </w:rPr>
              <w:t>他□</w:t>
            </w:r>
          </w:p>
        </w:tc>
        <w:tc>
          <w:tcPr>
            <w:tcW w:w="1350" w:type="dxa"/>
            <w:vAlign w:val="top"/>
          </w:tcPr>
          <w:p w14:paraId="77AEF60E">
            <w:pPr>
              <w:rPr>
                <w:rFonts w:ascii="Arial"/>
                <w:sz w:val="21"/>
              </w:rPr>
            </w:pPr>
          </w:p>
        </w:tc>
      </w:tr>
      <w:tr w14:paraId="2FAE5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2421ABE">
            <w:pPr>
              <w:rPr>
                <w:rFonts w:ascii="Arial"/>
                <w:sz w:val="21"/>
              </w:rPr>
            </w:pPr>
          </w:p>
        </w:tc>
        <w:tc>
          <w:tcPr>
            <w:tcW w:w="1755" w:type="dxa"/>
            <w:vAlign w:val="top"/>
          </w:tcPr>
          <w:p w14:paraId="28DA1926">
            <w:pPr>
              <w:pStyle w:val="6"/>
              <w:spacing w:before="61" w:line="228" w:lineRule="auto"/>
              <w:ind w:left="356"/>
            </w:pPr>
            <w:r>
              <w:rPr>
                <w:spacing w:val="8"/>
              </w:rPr>
              <w:t>全部污染物</w:t>
            </w:r>
          </w:p>
        </w:tc>
        <w:tc>
          <w:tcPr>
            <w:tcW w:w="5415" w:type="dxa"/>
            <w:gridSpan w:val="6"/>
            <w:vAlign w:val="top"/>
          </w:tcPr>
          <w:p w14:paraId="217CD709">
            <w:pPr>
              <w:pStyle w:val="6"/>
              <w:spacing w:before="61" w:line="228" w:lineRule="auto"/>
              <w:ind w:left="2295"/>
            </w:pPr>
            <w:r>
              <w:rPr>
                <w:spacing w:val="7"/>
              </w:rPr>
              <w:t>养殖废水</w:t>
            </w:r>
          </w:p>
        </w:tc>
        <w:tc>
          <w:tcPr>
            <w:tcW w:w="1350" w:type="dxa"/>
            <w:vAlign w:val="top"/>
          </w:tcPr>
          <w:p w14:paraId="24F4E554">
            <w:pPr>
              <w:rPr>
                <w:rFonts w:ascii="Arial"/>
                <w:sz w:val="21"/>
              </w:rPr>
            </w:pPr>
          </w:p>
        </w:tc>
      </w:tr>
      <w:tr w14:paraId="06490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0A7CD23A">
            <w:pPr>
              <w:rPr>
                <w:rFonts w:ascii="Arial"/>
                <w:sz w:val="21"/>
              </w:rPr>
            </w:pPr>
          </w:p>
        </w:tc>
        <w:tc>
          <w:tcPr>
            <w:tcW w:w="1755" w:type="dxa"/>
            <w:vAlign w:val="top"/>
          </w:tcPr>
          <w:p w14:paraId="2DFB511F">
            <w:pPr>
              <w:pStyle w:val="6"/>
              <w:spacing w:before="61" w:line="228" w:lineRule="auto"/>
              <w:ind w:left="461"/>
            </w:pPr>
            <w:r>
              <w:rPr>
                <w:spacing w:val="7"/>
              </w:rPr>
              <w:t>特征因子</w:t>
            </w:r>
          </w:p>
        </w:tc>
        <w:tc>
          <w:tcPr>
            <w:tcW w:w="5415" w:type="dxa"/>
            <w:gridSpan w:val="6"/>
            <w:vAlign w:val="top"/>
          </w:tcPr>
          <w:p w14:paraId="408E680F">
            <w:pPr>
              <w:spacing w:before="30" w:line="274" w:lineRule="exact"/>
              <w:ind w:left="26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0" w:type="dxa"/>
            <w:vAlign w:val="top"/>
          </w:tcPr>
          <w:p w14:paraId="16CD6B26">
            <w:pPr>
              <w:rPr>
                <w:rFonts w:ascii="Arial"/>
                <w:sz w:val="21"/>
              </w:rPr>
            </w:pPr>
          </w:p>
        </w:tc>
      </w:tr>
      <w:tr w14:paraId="02136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30" w:type="dxa"/>
            <w:vMerge w:val="continue"/>
            <w:tcBorders>
              <w:top w:val="nil"/>
              <w:bottom w:val="nil"/>
            </w:tcBorders>
            <w:textDirection w:val="tbRlV"/>
            <w:vAlign w:val="top"/>
          </w:tcPr>
          <w:p w14:paraId="0E1E3281">
            <w:pPr>
              <w:rPr>
                <w:rFonts w:ascii="Arial"/>
                <w:sz w:val="21"/>
              </w:rPr>
            </w:pPr>
          </w:p>
        </w:tc>
        <w:tc>
          <w:tcPr>
            <w:tcW w:w="1755" w:type="dxa"/>
            <w:vAlign w:val="top"/>
          </w:tcPr>
          <w:p w14:paraId="188433E6">
            <w:pPr>
              <w:pStyle w:val="6"/>
              <w:spacing w:before="61" w:line="270" w:lineRule="auto"/>
              <w:ind w:left="157" w:right="141" w:hanging="10"/>
            </w:pPr>
            <w:r>
              <w:rPr>
                <w:spacing w:val="8"/>
              </w:rPr>
              <w:t>所属土壤环境影</w:t>
            </w:r>
            <w:r>
              <w:rPr>
                <w:spacing w:val="3"/>
              </w:rPr>
              <w:t xml:space="preserve"> </w:t>
            </w:r>
            <w:r>
              <w:rPr>
                <w:spacing w:val="7"/>
              </w:rPr>
              <w:t>响评价项目类别</w:t>
            </w:r>
          </w:p>
        </w:tc>
        <w:tc>
          <w:tcPr>
            <w:tcW w:w="5415" w:type="dxa"/>
            <w:gridSpan w:val="6"/>
            <w:vAlign w:val="top"/>
          </w:tcPr>
          <w:p w14:paraId="0AEF6A6F">
            <w:pPr>
              <w:pStyle w:val="6"/>
              <w:spacing w:before="216" w:line="230" w:lineRule="auto"/>
              <w:ind w:left="1220"/>
            </w:pPr>
            <w:r>
              <w:rPr>
                <w:spacing w:val="-7"/>
              </w:rPr>
              <w:t>Ⅰ类□;  Ⅱ类□;</w:t>
            </w:r>
            <w:r>
              <w:rPr>
                <w:spacing w:val="71"/>
              </w:rPr>
              <w:t xml:space="preserve"> </w:t>
            </w:r>
            <w:r>
              <w:rPr>
                <w:spacing w:val="-7"/>
              </w:rPr>
              <w:t>Ⅲ类</w:t>
            </w:r>
            <w:r>
              <w:rPr>
                <w:position w:val="-4"/>
              </w:rPr>
              <w:drawing>
                <wp:inline distT="0" distB="0" distL="0" distR="0">
                  <wp:extent cx="118110" cy="1466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43"/>
                          <a:stretch>
                            <a:fillRect/>
                          </a:stretch>
                        </pic:blipFill>
                        <pic:spPr>
                          <a:xfrm>
                            <a:off x="0" y="0"/>
                            <a:ext cx="118186" cy="147048"/>
                          </a:xfrm>
                          <a:prstGeom prst="rect">
                            <a:avLst/>
                          </a:prstGeom>
                        </pic:spPr>
                      </pic:pic>
                    </a:graphicData>
                  </a:graphic>
                </wp:inline>
              </w:drawing>
            </w:r>
            <w:r>
              <w:rPr>
                <w:spacing w:val="-7"/>
              </w:rPr>
              <w:t>；Ⅲ类□</w:t>
            </w:r>
          </w:p>
        </w:tc>
        <w:tc>
          <w:tcPr>
            <w:tcW w:w="1350" w:type="dxa"/>
            <w:vAlign w:val="top"/>
          </w:tcPr>
          <w:p w14:paraId="0B14FEA4">
            <w:pPr>
              <w:rPr>
                <w:rFonts w:ascii="Arial"/>
                <w:sz w:val="21"/>
              </w:rPr>
            </w:pPr>
          </w:p>
        </w:tc>
      </w:tr>
      <w:tr w14:paraId="0E28D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tcBorders>
            <w:textDirection w:val="tbRlV"/>
            <w:vAlign w:val="top"/>
          </w:tcPr>
          <w:p w14:paraId="0193AC6E">
            <w:pPr>
              <w:rPr>
                <w:rFonts w:ascii="Arial"/>
                <w:sz w:val="21"/>
              </w:rPr>
            </w:pPr>
          </w:p>
        </w:tc>
        <w:tc>
          <w:tcPr>
            <w:tcW w:w="1755" w:type="dxa"/>
            <w:vAlign w:val="top"/>
          </w:tcPr>
          <w:p w14:paraId="16B65286">
            <w:pPr>
              <w:pStyle w:val="6"/>
              <w:spacing w:before="61" w:line="228" w:lineRule="auto"/>
              <w:ind w:left="462"/>
            </w:pPr>
            <w:r>
              <w:rPr>
                <w:spacing w:val="7"/>
              </w:rPr>
              <w:t>敏感程度</w:t>
            </w:r>
          </w:p>
        </w:tc>
        <w:tc>
          <w:tcPr>
            <w:tcW w:w="5415" w:type="dxa"/>
            <w:gridSpan w:val="6"/>
            <w:vAlign w:val="top"/>
          </w:tcPr>
          <w:p w14:paraId="67D3B4AC">
            <w:pPr>
              <w:pStyle w:val="6"/>
              <w:spacing w:before="53" w:line="230" w:lineRule="auto"/>
              <w:ind w:left="1362"/>
            </w:pPr>
            <w:r>
              <w:rPr>
                <w:spacing w:val="9"/>
              </w:rPr>
              <w:t>敏感□；较敏感□；不敏感</w:t>
            </w:r>
            <w:r>
              <w:rPr>
                <w:position w:val="-4"/>
              </w:rPr>
              <w:drawing>
                <wp:inline distT="0" distB="0" distL="0" distR="0">
                  <wp:extent cx="116205" cy="14668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43"/>
                          <a:stretch>
                            <a:fillRect/>
                          </a:stretch>
                        </pic:blipFill>
                        <pic:spPr>
                          <a:xfrm>
                            <a:off x="0" y="0"/>
                            <a:ext cx="116659" cy="147048"/>
                          </a:xfrm>
                          <a:prstGeom prst="rect">
                            <a:avLst/>
                          </a:prstGeom>
                        </pic:spPr>
                      </pic:pic>
                    </a:graphicData>
                  </a:graphic>
                </wp:inline>
              </w:drawing>
            </w:r>
          </w:p>
        </w:tc>
        <w:tc>
          <w:tcPr>
            <w:tcW w:w="1350" w:type="dxa"/>
            <w:vAlign w:val="top"/>
          </w:tcPr>
          <w:p w14:paraId="4FFF0293">
            <w:pPr>
              <w:rPr>
                <w:rFonts w:ascii="Arial"/>
                <w:sz w:val="21"/>
              </w:rPr>
            </w:pPr>
          </w:p>
        </w:tc>
      </w:tr>
      <w:tr w14:paraId="0FB2C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85" w:type="dxa"/>
            <w:gridSpan w:val="2"/>
            <w:vAlign w:val="top"/>
          </w:tcPr>
          <w:p w14:paraId="4826A38B">
            <w:pPr>
              <w:pStyle w:val="6"/>
              <w:spacing w:before="61" w:line="227" w:lineRule="auto"/>
              <w:ind w:left="468"/>
            </w:pPr>
            <w:r>
              <w:rPr>
                <w:spacing w:val="8"/>
              </w:rPr>
              <w:t>评价工作等级</w:t>
            </w:r>
          </w:p>
        </w:tc>
        <w:tc>
          <w:tcPr>
            <w:tcW w:w="5415" w:type="dxa"/>
            <w:gridSpan w:val="6"/>
            <w:vAlign w:val="top"/>
          </w:tcPr>
          <w:p w14:paraId="23ACF766">
            <w:pPr>
              <w:pStyle w:val="6"/>
              <w:spacing w:before="53" w:line="230" w:lineRule="auto"/>
              <w:ind w:left="1585"/>
            </w:pPr>
            <w:r>
              <w:rPr>
                <w:spacing w:val="8"/>
              </w:rPr>
              <w:t>一级□；二级</w:t>
            </w:r>
            <w:r>
              <w:rPr>
                <w:position w:val="-4"/>
              </w:rPr>
              <w:drawing>
                <wp:inline distT="0" distB="0" distL="0" distR="0">
                  <wp:extent cx="119380" cy="1466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46"/>
                          <a:stretch>
                            <a:fillRect/>
                          </a:stretch>
                        </pic:blipFill>
                        <pic:spPr>
                          <a:xfrm>
                            <a:off x="0" y="0"/>
                            <a:ext cx="119647" cy="147048"/>
                          </a:xfrm>
                          <a:prstGeom prst="rect">
                            <a:avLst/>
                          </a:prstGeom>
                        </pic:spPr>
                      </pic:pic>
                    </a:graphicData>
                  </a:graphic>
                </wp:inline>
              </w:drawing>
            </w:r>
            <w:r>
              <w:rPr>
                <w:spacing w:val="8"/>
              </w:rPr>
              <w:t>；三级</w:t>
            </w:r>
            <w:r>
              <w:rPr>
                <w:position w:val="-4"/>
              </w:rPr>
              <w:drawing>
                <wp:inline distT="0" distB="0" distL="0" distR="0">
                  <wp:extent cx="119380" cy="1466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47"/>
                          <a:stretch>
                            <a:fillRect/>
                          </a:stretch>
                        </pic:blipFill>
                        <pic:spPr>
                          <a:xfrm>
                            <a:off x="0" y="0"/>
                            <a:ext cx="119647" cy="147048"/>
                          </a:xfrm>
                          <a:prstGeom prst="rect">
                            <a:avLst/>
                          </a:prstGeom>
                        </pic:spPr>
                      </pic:pic>
                    </a:graphicData>
                  </a:graphic>
                </wp:inline>
              </w:drawing>
            </w:r>
          </w:p>
        </w:tc>
        <w:tc>
          <w:tcPr>
            <w:tcW w:w="1350" w:type="dxa"/>
            <w:vAlign w:val="top"/>
          </w:tcPr>
          <w:p w14:paraId="18460597">
            <w:pPr>
              <w:rPr>
                <w:rFonts w:ascii="Arial"/>
                <w:sz w:val="21"/>
              </w:rPr>
            </w:pPr>
          </w:p>
        </w:tc>
      </w:tr>
      <w:tr w14:paraId="509B0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3E9B2FC5">
            <w:pPr>
              <w:pStyle w:val="6"/>
              <w:spacing w:before="106" w:line="207" w:lineRule="auto"/>
              <w:ind w:left="248"/>
            </w:pPr>
            <w:r>
              <w:rPr>
                <w:spacing w:val="10"/>
              </w:rPr>
              <w:t>现</w:t>
            </w:r>
            <w:r>
              <w:rPr>
                <w:spacing w:val="17"/>
              </w:rPr>
              <w:t xml:space="preserve"> </w:t>
            </w:r>
            <w:r>
              <w:rPr>
                <w:spacing w:val="10"/>
              </w:rPr>
              <w:t>状</w:t>
            </w:r>
            <w:r>
              <w:rPr>
                <w:spacing w:val="17"/>
              </w:rPr>
              <w:t xml:space="preserve"> </w:t>
            </w:r>
            <w:r>
              <w:rPr>
                <w:spacing w:val="10"/>
              </w:rPr>
              <w:t>调</w:t>
            </w:r>
            <w:r>
              <w:rPr>
                <w:spacing w:val="17"/>
              </w:rPr>
              <w:t xml:space="preserve"> </w:t>
            </w:r>
            <w:r>
              <w:rPr>
                <w:spacing w:val="10"/>
              </w:rPr>
              <w:t>查</w:t>
            </w:r>
            <w:r>
              <w:rPr>
                <w:spacing w:val="17"/>
              </w:rPr>
              <w:t xml:space="preserve"> </w:t>
            </w:r>
            <w:r>
              <w:rPr>
                <w:spacing w:val="10"/>
                <w:position w:val="1"/>
              </w:rPr>
              <w:t xml:space="preserve">内 </w:t>
            </w:r>
            <w:r>
              <w:rPr>
                <w:spacing w:val="10"/>
              </w:rPr>
              <w:t>容</w:t>
            </w:r>
          </w:p>
        </w:tc>
        <w:tc>
          <w:tcPr>
            <w:tcW w:w="1755" w:type="dxa"/>
            <w:vAlign w:val="top"/>
          </w:tcPr>
          <w:p w14:paraId="7DFEFBD5">
            <w:pPr>
              <w:pStyle w:val="6"/>
              <w:spacing w:before="61" w:line="228" w:lineRule="auto"/>
              <w:ind w:left="470"/>
            </w:pPr>
            <w:r>
              <w:rPr>
                <w:spacing w:val="5"/>
              </w:rPr>
              <w:t>资料收集</w:t>
            </w:r>
          </w:p>
        </w:tc>
        <w:tc>
          <w:tcPr>
            <w:tcW w:w="5415" w:type="dxa"/>
            <w:gridSpan w:val="6"/>
            <w:vAlign w:val="top"/>
          </w:tcPr>
          <w:p w14:paraId="045AE259">
            <w:pPr>
              <w:pStyle w:val="6"/>
              <w:spacing w:before="30" w:line="274" w:lineRule="exact"/>
              <w:ind w:left="1751"/>
            </w:pPr>
            <w:r>
              <w:rPr>
                <w:rFonts w:ascii="Times New Roman" w:hAnsi="Times New Roman" w:eastAsia="Times New Roman" w:cs="Times New Roman"/>
                <w:position w:val="1"/>
              </w:rPr>
              <w:t>a)</w:t>
            </w:r>
            <w:r>
              <w:rPr>
                <w:rFonts w:ascii="Times New Roman" w:hAnsi="Times New Roman" w:eastAsia="Times New Roman" w:cs="Times New Roman"/>
                <w:spacing w:val="17"/>
                <w:w w:val="101"/>
                <w:position w:val="1"/>
              </w:rPr>
              <w:t xml:space="preserve">  </w:t>
            </w:r>
            <w:r>
              <w:rPr>
                <w:position w:val="1"/>
              </w:rPr>
              <w:t>□</w:t>
            </w:r>
            <w:r>
              <w:rPr>
                <w:rFonts w:ascii="Times New Roman" w:hAnsi="Times New Roman" w:eastAsia="Times New Roman" w:cs="Times New Roman"/>
                <w:position w:val="1"/>
              </w:rPr>
              <w:t>;b)</w:t>
            </w:r>
            <w:r>
              <w:rPr>
                <w:position w:val="1"/>
              </w:rPr>
              <w:t>□</w:t>
            </w:r>
            <w:r>
              <w:rPr>
                <w:rFonts w:ascii="Times New Roman" w:hAnsi="Times New Roman" w:eastAsia="Times New Roman" w:cs="Times New Roman"/>
                <w:position w:val="1"/>
              </w:rPr>
              <w:t>;c)</w:t>
            </w:r>
            <w:r>
              <w:rPr>
                <w:rFonts w:ascii="Times New Roman" w:hAnsi="Times New Roman" w:eastAsia="Times New Roman" w:cs="Times New Roman"/>
                <w:spacing w:val="17"/>
                <w:w w:val="101"/>
                <w:position w:val="1"/>
              </w:rPr>
              <w:t xml:space="preserve">  </w:t>
            </w:r>
            <w:r>
              <w:rPr>
                <w:position w:val="1"/>
              </w:rPr>
              <w:t>□</w:t>
            </w:r>
            <w:r>
              <w:rPr>
                <w:rFonts w:ascii="Times New Roman" w:hAnsi="Times New Roman" w:eastAsia="Times New Roman" w:cs="Times New Roman"/>
                <w:position w:val="1"/>
              </w:rPr>
              <w:t>;d)</w:t>
            </w:r>
            <w:r>
              <w:rPr>
                <w:rFonts w:ascii="Times New Roman" w:hAnsi="Times New Roman" w:eastAsia="Times New Roman" w:cs="Times New Roman"/>
                <w:spacing w:val="20"/>
                <w:w w:val="101"/>
                <w:position w:val="1"/>
              </w:rPr>
              <w:t xml:space="preserve"> </w:t>
            </w:r>
            <w:r>
              <w:rPr>
                <w:position w:val="-3"/>
              </w:rPr>
              <w:drawing>
                <wp:inline distT="0" distB="0" distL="0" distR="0">
                  <wp:extent cx="105410" cy="1466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41"/>
                          <a:stretch>
                            <a:fillRect/>
                          </a:stretch>
                        </pic:blipFill>
                        <pic:spPr>
                          <a:xfrm>
                            <a:off x="0" y="0"/>
                            <a:ext cx="105641" cy="147048"/>
                          </a:xfrm>
                          <a:prstGeom prst="rect">
                            <a:avLst/>
                          </a:prstGeom>
                        </pic:spPr>
                      </pic:pic>
                    </a:graphicData>
                  </a:graphic>
                </wp:inline>
              </w:drawing>
            </w:r>
          </w:p>
        </w:tc>
        <w:tc>
          <w:tcPr>
            <w:tcW w:w="1350" w:type="dxa"/>
            <w:vAlign w:val="top"/>
          </w:tcPr>
          <w:p w14:paraId="0B753FE4">
            <w:pPr>
              <w:rPr>
                <w:rFonts w:ascii="Arial"/>
                <w:sz w:val="21"/>
              </w:rPr>
            </w:pPr>
          </w:p>
        </w:tc>
      </w:tr>
      <w:tr w14:paraId="5E0A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155DFAA9">
            <w:pPr>
              <w:rPr>
                <w:rFonts w:ascii="Arial"/>
                <w:sz w:val="21"/>
              </w:rPr>
            </w:pPr>
          </w:p>
        </w:tc>
        <w:tc>
          <w:tcPr>
            <w:tcW w:w="1755" w:type="dxa"/>
            <w:vAlign w:val="top"/>
          </w:tcPr>
          <w:p w14:paraId="684C4553">
            <w:pPr>
              <w:pStyle w:val="6"/>
              <w:spacing w:before="61" w:line="228" w:lineRule="auto"/>
              <w:ind w:left="464"/>
            </w:pPr>
            <w:r>
              <w:rPr>
                <w:spacing w:val="6"/>
              </w:rPr>
              <w:t>理化特性</w:t>
            </w:r>
          </w:p>
        </w:tc>
        <w:tc>
          <w:tcPr>
            <w:tcW w:w="5415" w:type="dxa"/>
            <w:gridSpan w:val="6"/>
            <w:vAlign w:val="top"/>
          </w:tcPr>
          <w:p w14:paraId="301EDE8E">
            <w:pPr>
              <w:rPr>
                <w:rFonts w:ascii="Arial"/>
                <w:sz w:val="21"/>
              </w:rPr>
            </w:pPr>
          </w:p>
        </w:tc>
        <w:tc>
          <w:tcPr>
            <w:tcW w:w="1350" w:type="dxa"/>
            <w:vAlign w:val="top"/>
          </w:tcPr>
          <w:p w14:paraId="3243325C">
            <w:pPr>
              <w:pStyle w:val="6"/>
              <w:spacing w:before="61" w:line="228" w:lineRule="auto"/>
              <w:ind w:left="289"/>
              <w:rPr>
                <w:rFonts w:ascii="Times New Roman" w:hAnsi="Times New Roman" w:eastAsia="Times New Roman" w:cs="Times New Roman"/>
              </w:rPr>
            </w:pPr>
            <w:r>
              <w:t>同附录</w:t>
            </w:r>
            <w:r>
              <w:rPr>
                <w:spacing w:val="-38"/>
              </w:rPr>
              <w:t xml:space="preserve"> </w:t>
            </w:r>
            <w:r>
              <w:rPr>
                <w:rFonts w:ascii="Times New Roman" w:hAnsi="Times New Roman" w:eastAsia="Times New Roman" w:cs="Times New Roman"/>
              </w:rPr>
              <w:t>C</w:t>
            </w:r>
          </w:p>
        </w:tc>
      </w:tr>
      <w:tr w14:paraId="7B0FD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bottom w:val="nil"/>
            </w:tcBorders>
            <w:textDirection w:val="tbRlV"/>
            <w:vAlign w:val="top"/>
          </w:tcPr>
          <w:p w14:paraId="39ADFAD6">
            <w:pPr>
              <w:rPr>
                <w:rFonts w:ascii="Arial"/>
                <w:sz w:val="21"/>
              </w:rPr>
            </w:pPr>
          </w:p>
        </w:tc>
        <w:tc>
          <w:tcPr>
            <w:tcW w:w="1755" w:type="dxa"/>
            <w:vMerge w:val="restart"/>
            <w:tcBorders>
              <w:bottom w:val="nil"/>
            </w:tcBorders>
            <w:vAlign w:val="top"/>
          </w:tcPr>
          <w:p w14:paraId="61B13ECA">
            <w:pPr>
              <w:spacing w:line="246" w:lineRule="auto"/>
              <w:rPr>
                <w:rFonts w:ascii="Arial"/>
                <w:sz w:val="21"/>
              </w:rPr>
            </w:pPr>
          </w:p>
          <w:p w14:paraId="6C7BAC4D">
            <w:pPr>
              <w:spacing w:line="247" w:lineRule="auto"/>
              <w:rPr>
                <w:rFonts w:ascii="Arial"/>
                <w:sz w:val="21"/>
              </w:rPr>
            </w:pPr>
          </w:p>
          <w:p w14:paraId="0C88D224">
            <w:pPr>
              <w:pStyle w:val="6"/>
              <w:spacing w:before="65" w:line="228" w:lineRule="auto"/>
              <w:ind w:left="252"/>
            </w:pPr>
            <w:r>
              <w:rPr>
                <w:spacing w:val="7"/>
              </w:rPr>
              <w:t>现状监测点位</w:t>
            </w:r>
          </w:p>
        </w:tc>
        <w:tc>
          <w:tcPr>
            <w:tcW w:w="1896" w:type="dxa"/>
            <w:vAlign w:val="top"/>
          </w:tcPr>
          <w:p w14:paraId="28BAB8A5">
            <w:pPr>
              <w:rPr>
                <w:rFonts w:ascii="Arial"/>
                <w:sz w:val="21"/>
              </w:rPr>
            </w:pPr>
          </w:p>
        </w:tc>
        <w:tc>
          <w:tcPr>
            <w:tcW w:w="1216" w:type="dxa"/>
            <w:gridSpan w:val="2"/>
            <w:vAlign w:val="top"/>
          </w:tcPr>
          <w:p w14:paraId="609DDD2E">
            <w:pPr>
              <w:pStyle w:val="6"/>
              <w:spacing w:before="61" w:line="229" w:lineRule="auto"/>
              <w:ind w:left="229"/>
            </w:pPr>
            <w:r>
              <w:rPr>
                <w:spacing w:val="-2"/>
              </w:rPr>
              <w:t>占地范围</w:t>
            </w:r>
          </w:p>
          <w:p w14:paraId="769A14B5">
            <w:pPr>
              <w:pStyle w:val="6"/>
              <w:spacing w:before="78" w:line="228" w:lineRule="auto"/>
              <w:ind w:left="534"/>
            </w:pPr>
            <w:r>
              <w:t>内</w:t>
            </w:r>
          </w:p>
        </w:tc>
        <w:tc>
          <w:tcPr>
            <w:tcW w:w="1487" w:type="dxa"/>
            <w:gridSpan w:val="2"/>
            <w:vAlign w:val="top"/>
          </w:tcPr>
          <w:p w14:paraId="0ADABA53">
            <w:pPr>
              <w:pStyle w:val="6"/>
              <w:spacing w:before="224" w:line="229" w:lineRule="auto"/>
              <w:ind w:left="258"/>
            </w:pPr>
            <w:r>
              <w:rPr>
                <w:spacing w:val="1"/>
              </w:rPr>
              <w:t>占地范围外</w:t>
            </w:r>
          </w:p>
        </w:tc>
        <w:tc>
          <w:tcPr>
            <w:tcW w:w="816" w:type="dxa"/>
            <w:vAlign w:val="top"/>
          </w:tcPr>
          <w:p w14:paraId="4523B0AA">
            <w:pPr>
              <w:pStyle w:val="6"/>
              <w:spacing w:before="224" w:line="229" w:lineRule="auto"/>
              <w:ind w:left="203"/>
            </w:pPr>
            <w:r>
              <w:rPr>
                <w:spacing w:val="4"/>
              </w:rPr>
              <w:t>深度</w:t>
            </w:r>
          </w:p>
        </w:tc>
        <w:tc>
          <w:tcPr>
            <w:tcW w:w="1350" w:type="dxa"/>
            <w:vAlign w:val="top"/>
          </w:tcPr>
          <w:p w14:paraId="2907D10D">
            <w:pPr>
              <w:pStyle w:val="6"/>
              <w:spacing w:before="224" w:line="228" w:lineRule="auto"/>
              <w:ind w:left="163"/>
            </w:pPr>
            <w:r>
              <w:rPr>
                <w:spacing w:val="6"/>
              </w:rPr>
              <w:t>点位布置图</w:t>
            </w:r>
          </w:p>
        </w:tc>
      </w:tr>
      <w:tr w14:paraId="24717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FA9FF4B">
            <w:pPr>
              <w:rPr>
                <w:rFonts w:ascii="Arial"/>
                <w:sz w:val="21"/>
              </w:rPr>
            </w:pPr>
          </w:p>
        </w:tc>
        <w:tc>
          <w:tcPr>
            <w:tcW w:w="1755" w:type="dxa"/>
            <w:vMerge w:val="continue"/>
            <w:tcBorders>
              <w:top w:val="nil"/>
              <w:bottom w:val="nil"/>
            </w:tcBorders>
            <w:vAlign w:val="top"/>
          </w:tcPr>
          <w:p w14:paraId="2D008C59">
            <w:pPr>
              <w:rPr>
                <w:rFonts w:ascii="Arial"/>
                <w:sz w:val="21"/>
              </w:rPr>
            </w:pPr>
          </w:p>
        </w:tc>
        <w:tc>
          <w:tcPr>
            <w:tcW w:w="1896" w:type="dxa"/>
            <w:vAlign w:val="top"/>
          </w:tcPr>
          <w:p w14:paraId="7C2EFD63">
            <w:pPr>
              <w:pStyle w:val="6"/>
              <w:spacing w:before="63" w:line="228" w:lineRule="auto"/>
              <w:ind w:left="426"/>
            </w:pPr>
            <w:r>
              <w:rPr>
                <w:spacing w:val="8"/>
              </w:rPr>
              <w:t>表层样点数</w:t>
            </w:r>
          </w:p>
        </w:tc>
        <w:tc>
          <w:tcPr>
            <w:tcW w:w="1216" w:type="dxa"/>
            <w:gridSpan w:val="2"/>
            <w:vAlign w:val="top"/>
          </w:tcPr>
          <w:p w14:paraId="690C12C9">
            <w:pPr>
              <w:spacing w:before="32" w:line="274" w:lineRule="exact"/>
              <w:ind w:left="5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487" w:type="dxa"/>
            <w:gridSpan w:val="2"/>
            <w:vAlign w:val="top"/>
          </w:tcPr>
          <w:p w14:paraId="4229B2D4">
            <w:pPr>
              <w:spacing w:before="32" w:line="274" w:lineRule="exact"/>
              <w:ind w:left="69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816" w:type="dxa"/>
            <w:vAlign w:val="top"/>
          </w:tcPr>
          <w:p w14:paraId="5C728DC6">
            <w:pPr>
              <w:spacing w:before="32"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c>
          <w:tcPr>
            <w:tcW w:w="1350" w:type="dxa"/>
            <w:vAlign w:val="top"/>
          </w:tcPr>
          <w:p w14:paraId="4F9353FC">
            <w:pPr>
              <w:rPr>
                <w:rFonts w:ascii="Arial"/>
                <w:sz w:val="21"/>
              </w:rPr>
            </w:pPr>
          </w:p>
        </w:tc>
      </w:tr>
      <w:tr w14:paraId="67FFB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2235D97">
            <w:pPr>
              <w:rPr>
                <w:rFonts w:ascii="Arial"/>
                <w:sz w:val="21"/>
              </w:rPr>
            </w:pPr>
          </w:p>
        </w:tc>
        <w:tc>
          <w:tcPr>
            <w:tcW w:w="1755" w:type="dxa"/>
            <w:vMerge w:val="continue"/>
            <w:tcBorders>
              <w:top w:val="nil"/>
            </w:tcBorders>
            <w:vAlign w:val="top"/>
          </w:tcPr>
          <w:p w14:paraId="0D1A3684">
            <w:pPr>
              <w:rPr>
                <w:rFonts w:ascii="Arial"/>
                <w:sz w:val="21"/>
              </w:rPr>
            </w:pPr>
          </w:p>
        </w:tc>
        <w:tc>
          <w:tcPr>
            <w:tcW w:w="1896" w:type="dxa"/>
            <w:vAlign w:val="top"/>
          </w:tcPr>
          <w:p w14:paraId="504E7E72">
            <w:pPr>
              <w:pStyle w:val="6"/>
              <w:spacing w:before="63" w:line="228" w:lineRule="auto"/>
              <w:ind w:left="427"/>
            </w:pPr>
            <w:r>
              <w:rPr>
                <w:spacing w:val="8"/>
              </w:rPr>
              <w:t>柱状样点数</w:t>
            </w:r>
          </w:p>
        </w:tc>
        <w:tc>
          <w:tcPr>
            <w:tcW w:w="1216" w:type="dxa"/>
            <w:gridSpan w:val="2"/>
            <w:vAlign w:val="top"/>
          </w:tcPr>
          <w:p w14:paraId="20F0381F">
            <w:pPr>
              <w:spacing w:before="32" w:line="274" w:lineRule="exact"/>
              <w:ind w:left="5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487" w:type="dxa"/>
            <w:gridSpan w:val="2"/>
            <w:vAlign w:val="top"/>
          </w:tcPr>
          <w:p w14:paraId="186BAAD7">
            <w:pPr>
              <w:spacing w:before="32" w:line="274" w:lineRule="exact"/>
              <w:ind w:left="6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16" w:type="dxa"/>
            <w:vAlign w:val="top"/>
          </w:tcPr>
          <w:p w14:paraId="56C53BB4">
            <w:pPr>
              <w:rPr>
                <w:rFonts w:ascii="Arial"/>
                <w:sz w:val="21"/>
              </w:rPr>
            </w:pPr>
          </w:p>
        </w:tc>
        <w:tc>
          <w:tcPr>
            <w:tcW w:w="1350" w:type="dxa"/>
            <w:vAlign w:val="top"/>
          </w:tcPr>
          <w:p w14:paraId="780E9702">
            <w:pPr>
              <w:rPr>
                <w:rFonts w:ascii="Arial"/>
                <w:sz w:val="21"/>
              </w:rPr>
            </w:pPr>
          </w:p>
        </w:tc>
      </w:tr>
      <w:tr w14:paraId="5DC72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tcBorders>
            <w:textDirection w:val="tbRlV"/>
            <w:vAlign w:val="top"/>
          </w:tcPr>
          <w:p w14:paraId="6C4B7A00">
            <w:pPr>
              <w:rPr>
                <w:rFonts w:ascii="Arial"/>
                <w:sz w:val="21"/>
              </w:rPr>
            </w:pPr>
          </w:p>
        </w:tc>
        <w:tc>
          <w:tcPr>
            <w:tcW w:w="1755" w:type="dxa"/>
            <w:vAlign w:val="top"/>
          </w:tcPr>
          <w:p w14:paraId="543E9EF0">
            <w:pPr>
              <w:pStyle w:val="6"/>
              <w:spacing w:before="63" w:line="228" w:lineRule="auto"/>
              <w:ind w:left="252"/>
            </w:pPr>
            <w:r>
              <w:rPr>
                <w:spacing w:val="7"/>
              </w:rPr>
              <w:t>现状监测因子</w:t>
            </w:r>
          </w:p>
        </w:tc>
        <w:tc>
          <w:tcPr>
            <w:tcW w:w="5415" w:type="dxa"/>
            <w:gridSpan w:val="6"/>
            <w:vAlign w:val="top"/>
          </w:tcPr>
          <w:p w14:paraId="29179698">
            <w:pPr>
              <w:pStyle w:val="6"/>
              <w:spacing w:before="32" w:line="274" w:lineRule="exact"/>
              <w:ind w:left="2052"/>
            </w:pPr>
            <w:r>
              <w:rPr>
                <w:rFonts w:ascii="Times New Roman" w:hAnsi="Times New Roman" w:eastAsia="Times New Roman" w:cs="Times New Roman"/>
                <w:spacing w:val="7"/>
                <w:position w:val="1"/>
              </w:rPr>
              <w:t xml:space="preserve">45 </w:t>
            </w:r>
            <w:r>
              <w:rPr>
                <w:spacing w:val="7"/>
                <w:position w:val="1"/>
              </w:rPr>
              <w:t>项基本因子</w:t>
            </w:r>
          </w:p>
        </w:tc>
        <w:tc>
          <w:tcPr>
            <w:tcW w:w="1350" w:type="dxa"/>
            <w:vAlign w:val="top"/>
          </w:tcPr>
          <w:p w14:paraId="2885662A">
            <w:pPr>
              <w:rPr>
                <w:rFonts w:ascii="Arial"/>
                <w:sz w:val="21"/>
              </w:rPr>
            </w:pPr>
          </w:p>
        </w:tc>
      </w:tr>
      <w:tr w14:paraId="0B5A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47A454C5">
            <w:pPr>
              <w:pStyle w:val="6"/>
              <w:spacing w:before="107" w:line="215" w:lineRule="auto"/>
              <w:ind w:left="62"/>
            </w:pPr>
            <w:r>
              <w:rPr>
                <w:spacing w:val="9"/>
              </w:rPr>
              <w:t>现</w:t>
            </w:r>
            <w:r>
              <w:rPr>
                <w:spacing w:val="18"/>
              </w:rPr>
              <w:t xml:space="preserve"> </w:t>
            </w:r>
            <w:r>
              <w:rPr>
                <w:spacing w:val="9"/>
              </w:rPr>
              <w:t>状</w:t>
            </w:r>
            <w:r>
              <w:rPr>
                <w:spacing w:val="14"/>
              </w:rPr>
              <w:t xml:space="preserve"> </w:t>
            </w:r>
            <w:r>
              <w:rPr>
                <w:spacing w:val="9"/>
              </w:rPr>
              <w:t>评</w:t>
            </w:r>
            <w:r>
              <w:rPr>
                <w:spacing w:val="17"/>
              </w:rPr>
              <w:t xml:space="preserve"> </w:t>
            </w:r>
            <w:r>
              <w:rPr>
                <w:spacing w:val="9"/>
              </w:rPr>
              <w:t>价</w:t>
            </w:r>
          </w:p>
        </w:tc>
        <w:tc>
          <w:tcPr>
            <w:tcW w:w="1755" w:type="dxa"/>
            <w:vAlign w:val="top"/>
          </w:tcPr>
          <w:p w14:paraId="1DBF6EEE">
            <w:pPr>
              <w:pStyle w:val="6"/>
              <w:spacing w:before="62" w:line="227" w:lineRule="auto"/>
              <w:ind w:left="461"/>
            </w:pPr>
            <w:r>
              <w:rPr>
                <w:spacing w:val="7"/>
              </w:rPr>
              <w:t>评价因子</w:t>
            </w:r>
          </w:p>
        </w:tc>
        <w:tc>
          <w:tcPr>
            <w:tcW w:w="5415" w:type="dxa"/>
            <w:gridSpan w:val="6"/>
            <w:vAlign w:val="top"/>
          </w:tcPr>
          <w:p w14:paraId="1AB82850">
            <w:pPr>
              <w:pStyle w:val="6"/>
              <w:spacing w:before="32" w:line="274" w:lineRule="exact"/>
              <w:ind w:left="2052"/>
            </w:pPr>
            <w:r>
              <w:rPr>
                <w:rFonts w:ascii="Times New Roman" w:hAnsi="Times New Roman" w:eastAsia="Times New Roman" w:cs="Times New Roman"/>
                <w:spacing w:val="7"/>
                <w:position w:val="1"/>
              </w:rPr>
              <w:t xml:space="preserve">45 </w:t>
            </w:r>
            <w:r>
              <w:rPr>
                <w:spacing w:val="7"/>
                <w:position w:val="1"/>
              </w:rPr>
              <w:t>项基本因子</w:t>
            </w:r>
          </w:p>
        </w:tc>
        <w:tc>
          <w:tcPr>
            <w:tcW w:w="1350" w:type="dxa"/>
            <w:vAlign w:val="top"/>
          </w:tcPr>
          <w:p w14:paraId="67D86B7D">
            <w:pPr>
              <w:rPr>
                <w:rFonts w:ascii="Arial"/>
                <w:sz w:val="21"/>
              </w:rPr>
            </w:pPr>
          </w:p>
        </w:tc>
      </w:tr>
      <w:tr w14:paraId="62A19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7424004B">
            <w:pPr>
              <w:rPr>
                <w:rFonts w:ascii="Arial"/>
                <w:sz w:val="21"/>
              </w:rPr>
            </w:pPr>
          </w:p>
        </w:tc>
        <w:tc>
          <w:tcPr>
            <w:tcW w:w="1755" w:type="dxa"/>
            <w:vAlign w:val="top"/>
          </w:tcPr>
          <w:p w14:paraId="1F608DF3">
            <w:pPr>
              <w:pStyle w:val="6"/>
              <w:spacing w:before="62" w:line="227" w:lineRule="auto"/>
              <w:ind w:left="461"/>
            </w:pPr>
            <w:r>
              <w:rPr>
                <w:spacing w:val="7"/>
              </w:rPr>
              <w:t>评价标准</w:t>
            </w:r>
          </w:p>
        </w:tc>
        <w:tc>
          <w:tcPr>
            <w:tcW w:w="5415" w:type="dxa"/>
            <w:gridSpan w:val="6"/>
            <w:vAlign w:val="top"/>
          </w:tcPr>
          <w:p w14:paraId="45B4EEC4">
            <w:pPr>
              <w:pStyle w:val="6"/>
              <w:spacing w:before="32" w:line="274" w:lineRule="exact"/>
              <w:ind w:left="114"/>
            </w:pPr>
            <w:r>
              <w:rPr>
                <w:rFonts w:ascii="Times New Roman" w:hAnsi="Times New Roman" w:eastAsia="Times New Roman" w:cs="Times New Roman"/>
                <w:position w:val="1"/>
              </w:rPr>
              <w:t>GB</w:t>
            </w:r>
            <w:r>
              <w:rPr>
                <w:rFonts w:ascii="Times New Roman" w:hAnsi="Times New Roman" w:eastAsia="Times New Roman" w:cs="Times New Roman"/>
                <w:spacing w:val="6"/>
                <w:position w:val="1"/>
              </w:rPr>
              <w:t>15618</w:t>
            </w:r>
            <w:r>
              <w:rPr>
                <w:spacing w:val="6"/>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36600</w:t>
            </w:r>
            <w:r>
              <w:rPr>
                <w:position w:val="-3"/>
              </w:rPr>
              <w:drawing>
                <wp:inline distT="0" distB="0" distL="0" distR="0">
                  <wp:extent cx="115570" cy="1466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42"/>
                          <a:stretch>
                            <a:fillRect/>
                          </a:stretch>
                        </pic:blipFill>
                        <pic:spPr>
                          <a:xfrm>
                            <a:off x="0" y="0"/>
                            <a:ext cx="115994" cy="147048"/>
                          </a:xfrm>
                          <a:prstGeom prst="rect">
                            <a:avLst/>
                          </a:prstGeom>
                        </pic:spPr>
                      </pic:pic>
                    </a:graphicData>
                  </a:graphic>
                </wp:inline>
              </w:drawing>
            </w:r>
            <w:r>
              <w:rPr>
                <w:spacing w:val="6"/>
                <w:position w:val="1"/>
              </w:rPr>
              <w:t>；表</w:t>
            </w:r>
            <w:r>
              <w:rPr>
                <w:spacing w:val="-44"/>
                <w:position w:val="1"/>
              </w:rPr>
              <w:t xml:space="preserve"> </w:t>
            </w:r>
            <w:r>
              <w:rPr>
                <w:rFonts w:ascii="Times New Roman" w:hAnsi="Times New Roman" w:eastAsia="Times New Roman" w:cs="Times New Roman"/>
                <w:spacing w:val="6"/>
                <w:position w:val="1"/>
              </w:rPr>
              <w:t>D.</w:t>
            </w:r>
            <w:r>
              <w:rPr>
                <w:rFonts w:ascii="Times New Roman" w:hAnsi="Times New Roman" w:eastAsia="Times New Roman" w:cs="Times New Roman"/>
                <w:spacing w:val="-25"/>
                <w:position w:val="1"/>
              </w:rPr>
              <w:t xml:space="preserve"> </w:t>
            </w:r>
            <w:r>
              <w:rPr>
                <w:rFonts w:ascii="Times New Roman" w:hAnsi="Times New Roman" w:eastAsia="Times New Roman" w:cs="Times New Roman"/>
                <w:spacing w:val="6"/>
                <w:position w:val="1"/>
              </w:rPr>
              <w:t>1</w:t>
            </w:r>
            <w:r>
              <w:rPr>
                <w:spacing w:val="6"/>
                <w:position w:val="1"/>
              </w:rPr>
              <w:t>□；表</w:t>
            </w:r>
            <w:r>
              <w:rPr>
                <w:spacing w:val="-41"/>
                <w:position w:val="1"/>
              </w:rPr>
              <w:t xml:space="preserve"> </w:t>
            </w:r>
            <w:r>
              <w:rPr>
                <w:rFonts w:ascii="Times New Roman" w:hAnsi="Times New Roman" w:eastAsia="Times New Roman" w:cs="Times New Roman"/>
                <w:spacing w:val="6"/>
                <w:position w:val="1"/>
              </w:rPr>
              <w:t>D.2</w:t>
            </w:r>
            <w:r>
              <w:rPr>
                <w:spacing w:val="6"/>
                <w:position w:val="1"/>
              </w:rPr>
              <w:t>□</w:t>
            </w:r>
            <w:r>
              <w:rPr>
                <w:spacing w:val="5"/>
                <w:position w:val="1"/>
              </w:rPr>
              <w:t>；其他 ()</w:t>
            </w:r>
          </w:p>
        </w:tc>
        <w:tc>
          <w:tcPr>
            <w:tcW w:w="1350" w:type="dxa"/>
            <w:vAlign w:val="top"/>
          </w:tcPr>
          <w:p w14:paraId="70E7C766">
            <w:pPr>
              <w:rPr>
                <w:rFonts w:ascii="Arial"/>
                <w:sz w:val="21"/>
              </w:rPr>
            </w:pPr>
          </w:p>
        </w:tc>
      </w:tr>
      <w:tr w14:paraId="170A8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30" w:type="dxa"/>
            <w:vMerge w:val="continue"/>
            <w:tcBorders>
              <w:top w:val="nil"/>
            </w:tcBorders>
            <w:textDirection w:val="tbRlV"/>
            <w:vAlign w:val="top"/>
          </w:tcPr>
          <w:p w14:paraId="06629437">
            <w:pPr>
              <w:rPr>
                <w:rFonts w:ascii="Arial"/>
                <w:sz w:val="21"/>
              </w:rPr>
            </w:pPr>
          </w:p>
        </w:tc>
        <w:tc>
          <w:tcPr>
            <w:tcW w:w="1755" w:type="dxa"/>
            <w:vAlign w:val="top"/>
          </w:tcPr>
          <w:p w14:paraId="5970A02E">
            <w:pPr>
              <w:pStyle w:val="6"/>
              <w:spacing w:before="216" w:line="227" w:lineRule="auto"/>
              <w:ind w:left="252"/>
            </w:pPr>
            <w:r>
              <w:rPr>
                <w:spacing w:val="7"/>
              </w:rPr>
              <w:t>现状评价结论</w:t>
            </w:r>
          </w:p>
        </w:tc>
        <w:tc>
          <w:tcPr>
            <w:tcW w:w="5415" w:type="dxa"/>
            <w:gridSpan w:val="6"/>
            <w:vAlign w:val="top"/>
          </w:tcPr>
          <w:p w14:paraId="0CCEF40A">
            <w:pPr>
              <w:pStyle w:val="6"/>
              <w:spacing w:before="216" w:line="228" w:lineRule="auto"/>
              <w:ind w:left="1352"/>
            </w:pPr>
            <w:r>
              <w:rPr>
                <w:spacing w:val="9"/>
              </w:rPr>
              <w:t>项目所在地土壤现状环境良好</w:t>
            </w:r>
          </w:p>
        </w:tc>
        <w:tc>
          <w:tcPr>
            <w:tcW w:w="1350" w:type="dxa"/>
            <w:vAlign w:val="top"/>
          </w:tcPr>
          <w:p w14:paraId="39001975">
            <w:pPr>
              <w:rPr>
                <w:rFonts w:ascii="Arial"/>
                <w:sz w:val="21"/>
              </w:rPr>
            </w:pPr>
          </w:p>
        </w:tc>
      </w:tr>
      <w:tr w14:paraId="4586D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2785531A">
            <w:pPr>
              <w:pStyle w:val="6"/>
              <w:spacing w:before="107" w:line="216" w:lineRule="auto"/>
              <w:ind w:left="402"/>
            </w:pPr>
            <w:r>
              <w:rPr>
                <w:spacing w:val="9"/>
              </w:rPr>
              <w:t>影</w:t>
            </w:r>
            <w:r>
              <w:rPr>
                <w:spacing w:val="18"/>
              </w:rPr>
              <w:t xml:space="preserve"> </w:t>
            </w:r>
            <w:r>
              <w:rPr>
                <w:spacing w:val="9"/>
              </w:rPr>
              <w:t>响</w:t>
            </w:r>
            <w:r>
              <w:rPr>
                <w:spacing w:val="17"/>
              </w:rPr>
              <w:t xml:space="preserve"> </w:t>
            </w:r>
            <w:r>
              <w:rPr>
                <w:spacing w:val="9"/>
              </w:rPr>
              <w:t>预</w:t>
            </w:r>
            <w:r>
              <w:rPr>
                <w:spacing w:val="16"/>
              </w:rPr>
              <w:t xml:space="preserve"> </w:t>
            </w:r>
            <w:r>
              <w:rPr>
                <w:spacing w:val="9"/>
              </w:rPr>
              <w:t>测</w:t>
            </w:r>
          </w:p>
        </w:tc>
        <w:tc>
          <w:tcPr>
            <w:tcW w:w="1755" w:type="dxa"/>
            <w:vAlign w:val="top"/>
          </w:tcPr>
          <w:p w14:paraId="03AE5CB1">
            <w:pPr>
              <w:pStyle w:val="6"/>
              <w:spacing w:before="61" w:line="229" w:lineRule="auto"/>
              <w:ind w:left="463"/>
            </w:pPr>
            <w:r>
              <w:rPr>
                <w:spacing w:val="6"/>
              </w:rPr>
              <w:t>预测因子</w:t>
            </w:r>
          </w:p>
        </w:tc>
        <w:tc>
          <w:tcPr>
            <w:tcW w:w="5415" w:type="dxa"/>
            <w:gridSpan w:val="6"/>
            <w:vAlign w:val="top"/>
          </w:tcPr>
          <w:p w14:paraId="2A3A1DB7">
            <w:pPr>
              <w:spacing w:before="30" w:line="275" w:lineRule="exact"/>
              <w:ind w:left="26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0" w:type="dxa"/>
            <w:vAlign w:val="top"/>
          </w:tcPr>
          <w:p w14:paraId="7F337897">
            <w:pPr>
              <w:rPr>
                <w:rFonts w:ascii="Arial"/>
                <w:sz w:val="21"/>
              </w:rPr>
            </w:pPr>
          </w:p>
        </w:tc>
      </w:tr>
      <w:tr w14:paraId="7FC2D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63D1FC49">
            <w:pPr>
              <w:rPr>
                <w:rFonts w:ascii="Arial"/>
                <w:sz w:val="21"/>
              </w:rPr>
            </w:pPr>
          </w:p>
        </w:tc>
        <w:tc>
          <w:tcPr>
            <w:tcW w:w="1755" w:type="dxa"/>
            <w:vAlign w:val="top"/>
          </w:tcPr>
          <w:p w14:paraId="080E5C80">
            <w:pPr>
              <w:pStyle w:val="6"/>
              <w:spacing w:before="61" w:line="229" w:lineRule="auto"/>
              <w:ind w:left="463"/>
            </w:pPr>
            <w:r>
              <w:rPr>
                <w:spacing w:val="6"/>
              </w:rPr>
              <w:t>预测方法</w:t>
            </w:r>
          </w:p>
        </w:tc>
        <w:tc>
          <w:tcPr>
            <w:tcW w:w="5415" w:type="dxa"/>
            <w:gridSpan w:val="6"/>
            <w:vAlign w:val="top"/>
          </w:tcPr>
          <w:p w14:paraId="1F562C1C">
            <w:pPr>
              <w:pStyle w:val="6"/>
              <w:spacing w:before="54" w:line="230" w:lineRule="auto"/>
              <w:ind w:left="1308"/>
            </w:pPr>
            <w:r>
              <w:rPr>
                <w:spacing w:val="2"/>
              </w:rPr>
              <w:t>附录</w:t>
            </w:r>
            <w:r>
              <w:rPr>
                <w:spacing w:val="-33"/>
              </w:rPr>
              <w:t xml:space="preserve"> </w:t>
            </w:r>
            <w:r>
              <w:rPr>
                <w:rFonts w:ascii="Times New Roman" w:hAnsi="Times New Roman" w:eastAsia="Times New Roman" w:cs="Times New Roman"/>
                <w:spacing w:val="2"/>
              </w:rPr>
              <w:t>E</w:t>
            </w:r>
            <w:r>
              <w:rPr>
                <w:rFonts w:ascii="Times New Roman" w:hAnsi="Times New Roman" w:eastAsia="Times New Roman" w:cs="Times New Roman"/>
                <w:spacing w:val="-33"/>
              </w:rPr>
              <w:t xml:space="preserve"> </w:t>
            </w:r>
            <w:r>
              <w:rPr>
                <w:position w:val="-4"/>
              </w:rPr>
              <w:drawing>
                <wp:inline distT="0" distB="0" distL="0" distR="0">
                  <wp:extent cx="105410" cy="14668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48"/>
                          <a:stretch>
                            <a:fillRect/>
                          </a:stretch>
                        </pic:blipFill>
                        <pic:spPr>
                          <a:xfrm>
                            <a:off x="0" y="0"/>
                            <a:ext cx="105641" cy="147048"/>
                          </a:xfrm>
                          <a:prstGeom prst="rect">
                            <a:avLst/>
                          </a:prstGeom>
                        </pic:spPr>
                      </pic:pic>
                    </a:graphicData>
                  </a:graphic>
                </wp:inline>
              </w:drawing>
            </w:r>
            <w:r>
              <w:rPr>
                <w:rFonts w:ascii="Times New Roman" w:hAnsi="Times New Roman" w:eastAsia="Times New Roman" w:cs="Times New Roman"/>
                <w:spacing w:val="-23"/>
              </w:rPr>
              <w:t xml:space="preserve"> </w:t>
            </w:r>
            <w:r>
              <w:rPr>
                <w:spacing w:val="2"/>
              </w:rPr>
              <w:t>；附录</w:t>
            </w:r>
            <w:r>
              <w:rPr>
                <w:spacing w:val="-41"/>
              </w:rPr>
              <w:t xml:space="preserve"> </w:t>
            </w:r>
            <w:r>
              <w:rPr>
                <w:rFonts w:ascii="Times New Roman" w:hAnsi="Times New Roman" w:eastAsia="Times New Roman" w:cs="Times New Roman"/>
                <w:spacing w:val="2"/>
              </w:rPr>
              <w:t>F</w:t>
            </w:r>
            <w:r>
              <w:rPr>
                <w:spacing w:val="2"/>
              </w:rPr>
              <w:t>□；其他 ()</w:t>
            </w:r>
          </w:p>
        </w:tc>
        <w:tc>
          <w:tcPr>
            <w:tcW w:w="1350" w:type="dxa"/>
            <w:vAlign w:val="top"/>
          </w:tcPr>
          <w:p w14:paraId="440B8668">
            <w:pPr>
              <w:rPr>
                <w:rFonts w:ascii="Arial"/>
                <w:sz w:val="21"/>
              </w:rPr>
            </w:pPr>
          </w:p>
        </w:tc>
      </w:tr>
      <w:tr w14:paraId="07242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30" w:type="dxa"/>
            <w:vMerge w:val="continue"/>
            <w:tcBorders>
              <w:top w:val="nil"/>
              <w:bottom w:val="nil"/>
            </w:tcBorders>
            <w:textDirection w:val="tbRlV"/>
            <w:vAlign w:val="top"/>
          </w:tcPr>
          <w:p w14:paraId="5ECE8B55">
            <w:pPr>
              <w:rPr>
                <w:rFonts w:ascii="Arial"/>
                <w:sz w:val="21"/>
              </w:rPr>
            </w:pPr>
          </w:p>
        </w:tc>
        <w:tc>
          <w:tcPr>
            <w:tcW w:w="1755" w:type="dxa"/>
            <w:vAlign w:val="top"/>
          </w:tcPr>
          <w:p w14:paraId="2D9F896F">
            <w:pPr>
              <w:pStyle w:val="6"/>
              <w:spacing w:before="225" w:line="228" w:lineRule="auto"/>
              <w:ind w:left="252"/>
            </w:pPr>
            <w:r>
              <w:rPr>
                <w:spacing w:val="7"/>
              </w:rPr>
              <w:t>预测分析内容</w:t>
            </w:r>
          </w:p>
        </w:tc>
        <w:tc>
          <w:tcPr>
            <w:tcW w:w="5415" w:type="dxa"/>
            <w:gridSpan w:val="6"/>
            <w:vAlign w:val="top"/>
          </w:tcPr>
          <w:p w14:paraId="53CF840B">
            <w:pPr>
              <w:pStyle w:val="6"/>
              <w:spacing w:before="61" w:line="229" w:lineRule="auto"/>
              <w:ind w:left="2083"/>
            </w:pPr>
            <w:r>
              <w:rPr>
                <w:spacing w:val="1"/>
              </w:rPr>
              <w:t>影响范围</w:t>
            </w:r>
            <w:r>
              <w:rPr>
                <w:spacing w:val="24"/>
              </w:rPr>
              <w:t xml:space="preserve"> </w:t>
            </w:r>
            <w:r>
              <w:rPr>
                <w:spacing w:val="1"/>
              </w:rPr>
              <w:t>()</w:t>
            </w:r>
          </w:p>
          <w:p w14:paraId="146BF8CF">
            <w:pPr>
              <w:pStyle w:val="6"/>
              <w:spacing w:before="78" w:line="229" w:lineRule="auto"/>
              <w:ind w:left="2083"/>
            </w:pPr>
            <w:r>
              <w:rPr>
                <w:spacing w:val="1"/>
              </w:rPr>
              <w:t>影响程度</w:t>
            </w:r>
            <w:r>
              <w:rPr>
                <w:spacing w:val="24"/>
              </w:rPr>
              <w:t xml:space="preserve"> </w:t>
            </w:r>
            <w:r>
              <w:rPr>
                <w:spacing w:val="1"/>
              </w:rPr>
              <w:t>()</w:t>
            </w:r>
          </w:p>
        </w:tc>
        <w:tc>
          <w:tcPr>
            <w:tcW w:w="1350" w:type="dxa"/>
            <w:vAlign w:val="top"/>
          </w:tcPr>
          <w:p w14:paraId="2DBFACA3">
            <w:pPr>
              <w:rPr>
                <w:rFonts w:ascii="Arial"/>
                <w:sz w:val="21"/>
              </w:rPr>
            </w:pPr>
          </w:p>
        </w:tc>
      </w:tr>
      <w:tr w14:paraId="4D65A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tcBorders>
            <w:textDirection w:val="tbRlV"/>
            <w:vAlign w:val="top"/>
          </w:tcPr>
          <w:p w14:paraId="4BDC6665">
            <w:pPr>
              <w:rPr>
                <w:rFonts w:ascii="Arial"/>
                <w:sz w:val="21"/>
              </w:rPr>
            </w:pPr>
          </w:p>
        </w:tc>
        <w:tc>
          <w:tcPr>
            <w:tcW w:w="1755" w:type="dxa"/>
            <w:vAlign w:val="top"/>
          </w:tcPr>
          <w:p w14:paraId="3079DC01">
            <w:pPr>
              <w:pStyle w:val="6"/>
              <w:spacing w:before="225" w:line="229" w:lineRule="auto"/>
              <w:ind w:left="463"/>
            </w:pPr>
            <w:r>
              <w:rPr>
                <w:spacing w:val="6"/>
              </w:rPr>
              <w:t>预测结论</w:t>
            </w:r>
          </w:p>
        </w:tc>
        <w:tc>
          <w:tcPr>
            <w:tcW w:w="5415" w:type="dxa"/>
            <w:gridSpan w:val="6"/>
            <w:vAlign w:val="top"/>
          </w:tcPr>
          <w:p w14:paraId="72981DAC">
            <w:pPr>
              <w:pStyle w:val="6"/>
              <w:spacing w:before="31" w:line="274" w:lineRule="exact"/>
              <w:ind w:left="1499"/>
            </w:pPr>
            <w:r>
              <w:rPr>
                <w:spacing w:val="4"/>
                <w:position w:val="1"/>
              </w:rPr>
              <w:t>达标结论：</w:t>
            </w:r>
            <w:r>
              <w:rPr>
                <w:rFonts w:ascii="Times New Roman" w:hAnsi="Times New Roman" w:eastAsia="Times New Roman" w:cs="Times New Roman"/>
                <w:spacing w:val="4"/>
                <w:position w:val="1"/>
              </w:rPr>
              <w:t>a)</w:t>
            </w:r>
            <w:r>
              <w:rPr>
                <w:rFonts w:ascii="Times New Roman" w:hAnsi="Times New Roman" w:eastAsia="Times New Roman" w:cs="Times New Roman"/>
                <w:spacing w:val="23"/>
                <w:w w:val="101"/>
                <w:position w:val="1"/>
              </w:rPr>
              <w:t xml:space="preserve"> </w:t>
            </w:r>
            <w:r>
              <w:rPr>
                <w:position w:val="-3"/>
              </w:rPr>
              <w:drawing>
                <wp:inline distT="0" distB="0" distL="0" distR="0">
                  <wp:extent cx="105410" cy="1466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42"/>
                          <a:stretch>
                            <a:fillRect/>
                          </a:stretch>
                        </pic:blipFill>
                        <pic:spPr>
                          <a:xfrm>
                            <a:off x="0" y="0"/>
                            <a:ext cx="105641" cy="147048"/>
                          </a:xfrm>
                          <a:prstGeom prst="rect">
                            <a:avLst/>
                          </a:prstGeom>
                        </pic:spPr>
                      </pic:pic>
                    </a:graphicData>
                  </a:graphic>
                </wp:inline>
              </w:drawing>
            </w:r>
            <w:r>
              <w:rPr>
                <w:rFonts w:ascii="Times New Roman" w:hAnsi="Times New Roman" w:eastAsia="Times New Roman" w:cs="Times New Roman"/>
                <w:spacing w:val="-35"/>
                <w:position w:val="1"/>
              </w:rPr>
              <w:t xml:space="preserve"> </w:t>
            </w:r>
            <w:r>
              <w:rPr>
                <w:rFonts w:ascii="Times New Roman" w:hAnsi="Times New Roman" w:eastAsia="Times New Roman" w:cs="Times New Roman"/>
                <w:spacing w:val="4"/>
                <w:position w:val="1"/>
              </w:rPr>
              <w:t>;b)</w:t>
            </w:r>
            <w:r>
              <w:rPr>
                <w:spacing w:val="4"/>
                <w:position w:val="1"/>
              </w:rPr>
              <w:t>□</w:t>
            </w:r>
            <w:r>
              <w:rPr>
                <w:rFonts w:ascii="Times New Roman" w:hAnsi="Times New Roman" w:eastAsia="Times New Roman" w:cs="Times New Roman"/>
                <w:spacing w:val="4"/>
                <w:position w:val="1"/>
              </w:rPr>
              <w:t>;c)</w:t>
            </w:r>
            <w:r>
              <w:rPr>
                <w:rFonts w:ascii="Times New Roman" w:hAnsi="Times New Roman" w:eastAsia="Times New Roman" w:cs="Times New Roman"/>
                <w:spacing w:val="18"/>
                <w:w w:val="101"/>
                <w:position w:val="1"/>
              </w:rPr>
              <w:t xml:space="preserve">  </w:t>
            </w:r>
            <w:r>
              <w:rPr>
                <w:spacing w:val="4"/>
                <w:position w:val="1"/>
              </w:rPr>
              <w:t>□</w:t>
            </w:r>
          </w:p>
          <w:p w14:paraId="79F0C22E">
            <w:pPr>
              <w:pStyle w:val="6"/>
              <w:spacing w:before="52" w:line="274" w:lineRule="exact"/>
              <w:ind w:left="1626"/>
            </w:pPr>
            <w:r>
              <w:rPr>
                <w:spacing w:val="4"/>
                <w:position w:val="2"/>
              </w:rPr>
              <w:t>不达标结论：</w:t>
            </w:r>
            <w:r>
              <w:rPr>
                <w:rFonts w:ascii="Times New Roman" w:hAnsi="Times New Roman" w:eastAsia="Times New Roman" w:cs="Times New Roman"/>
                <w:spacing w:val="4"/>
                <w:position w:val="2"/>
              </w:rPr>
              <w:t>a)</w:t>
            </w:r>
            <w:r>
              <w:rPr>
                <w:rFonts w:ascii="Times New Roman" w:hAnsi="Times New Roman" w:eastAsia="Times New Roman" w:cs="Times New Roman"/>
                <w:spacing w:val="19"/>
                <w:w w:val="101"/>
                <w:position w:val="2"/>
              </w:rPr>
              <w:t xml:space="preserve">  </w:t>
            </w:r>
            <w:r>
              <w:rPr>
                <w:spacing w:val="4"/>
                <w:position w:val="2"/>
              </w:rPr>
              <w:t>□</w:t>
            </w:r>
            <w:r>
              <w:rPr>
                <w:rFonts w:ascii="Times New Roman" w:hAnsi="Times New Roman" w:eastAsia="Times New Roman" w:cs="Times New Roman"/>
                <w:spacing w:val="4"/>
                <w:position w:val="2"/>
              </w:rPr>
              <w:t>;b)</w:t>
            </w:r>
            <w:r>
              <w:rPr>
                <w:spacing w:val="4"/>
                <w:position w:val="2"/>
              </w:rPr>
              <w:t>□</w:t>
            </w:r>
          </w:p>
        </w:tc>
        <w:tc>
          <w:tcPr>
            <w:tcW w:w="1350" w:type="dxa"/>
            <w:vAlign w:val="top"/>
          </w:tcPr>
          <w:p w14:paraId="240ED9AB">
            <w:pPr>
              <w:rPr>
                <w:rFonts w:ascii="Arial"/>
                <w:sz w:val="21"/>
              </w:rPr>
            </w:pPr>
          </w:p>
        </w:tc>
      </w:tr>
      <w:tr w14:paraId="5DA83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30" w:type="dxa"/>
            <w:vMerge w:val="restart"/>
            <w:tcBorders>
              <w:bottom w:val="nil"/>
            </w:tcBorders>
            <w:textDirection w:val="tbRlV"/>
            <w:vAlign w:val="top"/>
          </w:tcPr>
          <w:p w14:paraId="168CCB82">
            <w:pPr>
              <w:pStyle w:val="6"/>
              <w:spacing w:before="107" w:line="217" w:lineRule="auto"/>
              <w:ind w:left="241"/>
            </w:pPr>
            <w:r>
              <w:rPr>
                <w:spacing w:val="9"/>
              </w:rPr>
              <w:t>防</w:t>
            </w:r>
            <w:r>
              <w:rPr>
                <w:spacing w:val="18"/>
              </w:rPr>
              <w:t xml:space="preserve"> </w:t>
            </w:r>
            <w:r>
              <w:rPr>
                <w:spacing w:val="9"/>
              </w:rPr>
              <w:t>治</w:t>
            </w:r>
            <w:r>
              <w:rPr>
                <w:spacing w:val="17"/>
              </w:rPr>
              <w:t xml:space="preserve"> </w:t>
            </w:r>
            <w:r>
              <w:rPr>
                <w:spacing w:val="9"/>
              </w:rPr>
              <w:t>措</w:t>
            </w:r>
            <w:r>
              <w:rPr>
                <w:spacing w:val="16"/>
              </w:rPr>
              <w:t xml:space="preserve"> </w:t>
            </w:r>
            <w:r>
              <w:rPr>
                <w:spacing w:val="9"/>
              </w:rPr>
              <w:t>施</w:t>
            </w:r>
          </w:p>
        </w:tc>
        <w:tc>
          <w:tcPr>
            <w:tcW w:w="1755" w:type="dxa"/>
            <w:vAlign w:val="top"/>
          </w:tcPr>
          <w:p w14:paraId="7EEEF75F">
            <w:pPr>
              <w:pStyle w:val="6"/>
              <w:spacing w:before="226" w:line="229" w:lineRule="auto"/>
              <w:ind w:left="475"/>
            </w:pPr>
            <w:r>
              <w:rPr>
                <w:spacing w:val="4"/>
              </w:rPr>
              <w:t>防控措施</w:t>
            </w:r>
          </w:p>
        </w:tc>
        <w:tc>
          <w:tcPr>
            <w:tcW w:w="5415" w:type="dxa"/>
            <w:gridSpan w:val="6"/>
            <w:vAlign w:val="top"/>
          </w:tcPr>
          <w:p w14:paraId="27B9C25D">
            <w:pPr>
              <w:pStyle w:val="6"/>
              <w:spacing w:before="55" w:line="230" w:lineRule="auto"/>
              <w:ind w:left="114"/>
            </w:pPr>
            <w:r>
              <w:rPr>
                <w:spacing w:val="8"/>
              </w:rPr>
              <w:t>土壤环境质量现状保障□；源头控制</w:t>
            </w:r>
            <w:r>
              <w:rPr>
                <w:position w:val="-4"/>
              </w:rPr>
              <w:drawing>
                <wp:inline distT="0" distB="0" distL="0" distR="0">
                  <wp:extent cx="118110" cy="14668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48"/>
                          <a:stretch>
                            <a:fillRect/>
                          </a:stretch>
                        </pic:blipFill>
                        <pic:spPr>
                          <a:xfrm>
                            <a:off x="0" y="0"/>
                            <a:ext cx="118197" cy="147048"/>
                          </a:xfrm>
                          <a:prstGeom prst="rect">
                            <a:avLst/>
                          </a:prstGeom>
                        </pic:spPr>
                      </pic:pic>
                    </a:graphicData>
                  </a:graphic>
                </wp:inline>
              </w:drawing>
            </w:r>
            <w:r>
              <w:rPr>
                <w:spacing w:val="8"/>
              </w:rPr>
              <w:t>；过程防控□；其</w:t>
            </w:r>
          </w:p>
          <w:p w14:paraId="0CCEF1EC">
            <w:pPr>
              <w:pStyle w:val="6"/>
              <w:spacing w:before="84" w:line="229" w:lineRule="auto"/>
              <w:ind w:left="2398"/>
            </w:pPr>
            <w:r>
              <w:rPr>
                <w:spacing w:val="-6"/>
              </w:rPr>
              <w:t>他</w:t>
            </w:r>
            <w:r>
              <w:rPr>
                <w:spacing w:val="19"/>
              </w:rPr>
              <w:t xml:space="preserve"> </w:t>
            </w:r>
            <w:r>
              <w:rPr>
                <w:spacing w:val="-6"/>
              </w:rPr>
              <w:t>()</w:t>
            </w:r>
          </w:p>
        </w:tc>
        <w:tc>
          <w:tcPr>
            <w:tcW w:w="1350" w:type="dxa"/>
            <w:vAlign w:val="top"/>
          </w:tcPr>
          <w:p w14:paraId="7BA5DD2C">
            <w:pPr>
              <w:rPr>
                <w:rFonts w:ascii="Arial"/>
                <w:sz w:val="21"/>
              </w:rPr>
            </w:pPr>
          </w:p>
        </w:tc>
      </w:tr>
      <w:tr w14:paraId="3C49B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5B9CCD2F">
            <w:pPr>
              <w:rPr>
                <w:rFonts w:ascii="Arial"/>
                <w:sz w:val="21"/>
              </w:rPr>
            </w:pPr>
          </w:p>
        </w:tc>
        <w:tc>
          <w:tcPr>
            <w:tcW w:w="1755" w:type="dxa"/>
            <w:vMerge w:val="restart"/>
            <w:tcBorders>
              <w:bottom w:val="nil"/>
            </w:tcBorders>
            <w:vAlign w:val="top"/>
          </w:tcPr>
          <w:p w14:paraId="6027FAA6">
            <w:pPr>
              <w:pStyle w:val="6"/>
              <w:spacing w:before="231" w:line="229" w:lineRule="auto"/>
              <w:ind w:left="460"/>
            </w:pPr>
            <w:r>
              <w:rPr>
                <w:spacing w:val="7"/>
              </w:rPr>
              <w:t>跟踪监测</w:t>
            </w:r>
          </w:p>
        </w:tc>
        <w:tc>
          <w:tcPr>
            <w:tcW w:w="2437" w:type="dxa"/>
            <w:gridSpan w:val="2"/>
            <w:vAlign w:val="top"/>
          </w:tcPr>
          <w:p w14:paraId="4E0BB0A1">
            <w:pPr>
              <w:pStyle w:val="6"/>
              <w:spacing w:before="64" w:line="228" w:lineRule="auto"/>
              <w:ind w:left="805"/>
            </w:pPr>
            <w:r>
              <w:rPr>
                <w:spacing w:val="7"/>
              </w:rPr>
              <w:t>监测点数</w:t>
            </w:r>
          </w:p>
        </w:tc>
        <w:tc>
          <w:tcPr>
            <w:tcW w:w="1619" w:type="dxa"/>
            <w:gridSpan w:val="2"/>
            <w:vAlign w:val="top"/>
          </w:tcPr>
          <w:p w14:paraId="0982D423">
            <w:pPr>
              <w:pStyle w:val="6"/>
              <w:spacing w:before="63" w:line="229" w:lineRule="auto"/>
              <w:ind w:left="396"/>
            </w:pPr>
            <w:r>
              <w:rPr>
                <w:spacing w:val="7"/>
              </w:rPr>
              <w:t>监测指标</w:t>
            </w:r>
          </w:p>
        </w:tc>
        <w:tc>
          <w:tcPr>
            <w:tcW w:w="1359" w:type="dxa"/>
            <w:gridSpan w:val="2"/>
            <w:vAlign w:val="top"/>
          </w:tcPr>
          <w:p w14:paraId="5F3B84D4">
            <w:pPr>
              <w:pStyle w:val="6"/>
              <w:spacing w:before="64" w:line="228" w:lineRule="auto"/>
              <w:ind w:left="267"/>
            </w:pPr>
            <w:r>
              <w:rPr>
                <w:spacing w:val="7"/>
              </w:rPr>
              <w:t>监测频次</w:t>
            </w:r>
          </w:p>
        </w:tc>
        <w:tc>
          <w:tcPr>
            <w:tcW w:w="1350" w:type="dxa"/>
            <w:vAlign w:val="top"/>
          </w:tcPr>
          <w:p w14:paraId="16BD76F4">
            <w:pPr>
              <w:rPr>
                <w:rFonts w:ascii="Arial"/>
                <w:sz w:val="21"/>
              </w:rPr>
            </w:pPr>
          </w:p>
        </w:tc>
      </w:tr>
      <w:tr w14:paraId="28FC1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0031F37C">
            <w:pPr>
              <w:rPr>
                <w:rFonts w:ascii="Arial"/>
                <w:sz w:val="21"/>
              </w:rPr>
            </w:pPr>
          </w:p>
        </w:tc>
        <w:tc>
          <w:tcPr>
            <w:tcW w:w="1755" w:type="dxa"/>
            <w:vMerge w:val="continue"/>
            <w:tcBorders>
              <w:top w:val="nil"/>
            </w:tcBorders>
            <w:vAlign w:val="top"/>
          </w:tcPr>
          <w:p w14:paraId="227FD749">
            <w:pPr>
              <w:rPr>
                <w:rFonts w:ascii="Arial"/>
                <w:sz w:val="21"/>
              </w:rPr>
            </w:pPr>
          </w:p>
        </w:tc>
        <w:tc>
          <w:tcPr>
            <w:tcW w:w="2437" w:type="dxa"/>
            <w:gridSpan w:val="2"/>
            <w:vAlign w:val="top"/>
          </w:tcPr>
          <w:p w14:paraId="2C92C750">
            <w:pPr>
              <w:rPr>
                <w:rFonts w:ascii="Arial"/>
                <w:sz w:val="21"/>
              </w:rPr>
            </w:pPr>
          </w:p>
        </w:tc>
        <w:tc>
          <w:tcPr>
            <w:tcW w:w="1619" w:type="dxa"/>
            <w:gridSpan w:val="2"/>
            <w:vAlign w:val="top"/>
          </w:tcPr>
          <w:p w14:paraId="4FF911FC">
            <w:pPr>
              <w:rPr>
                <w:rFonts w:ascii="Arial"/>
                <w:sz w:val="21"/>
              </w:rPr>
            </w:pPr>
          </w:p>
        </w:tc>
        <w:tc>
          <w:tcPr>
            <w:tcW w:w="1359" w:type="dxa"/>
            <w:gridSpan w:val="2"/>
            <w:vAlign w:val="top"/>
          </w:tcPr>
          <w:p w14:paraId="3786D421">
            <w:pPr>
              <w:rPr>
                <w:rFonts w:ascii="Arial"/>
                <w:sz w:val="21"/>
              </w:rPr>
            </w:pPr>
          </w:p>
        </w:tc>
        <w:tc>
          <w:tcPr>
            <w:tcW w:w="1350" w:type="dxa"/>
            <w:vAlign w:val="top"/>
          </w:tcPr>
          <w:p w14:paraId="750B49DB">
            <w:pPr>
              <w:rPr>
                <w:rFonts w:ascii="Arial"/>
                <w:sz w:val="21"/>
              </w:rPr>
            </w:pPr>
          </w:p>
        </w:tc>
      </w:tr>
      <w:tr w14:paraId="4B534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tcBorders>
            <w:textDirection w:val="tbRlV"/>
            <w:vAlign w:val="top"/>
          </w:tcPr>
          <w:p w14:paraId="02ABAA90">
            <w:pPr>
              <w:rPr>
                <w:rFonts w:ascii="Arial"/>
                <w:sz w:val="21"/>
              </w:rPr>
            </w:pPr>
          </w:p>
        </w:tc>
        <w:tc>
          <w:tcPr>
            <w:tcW w:w="1755" w:type="dxa"/>
            <w:vAlign w:val="top"/>
          </w:tcPr>
          <w:p w14:paraId="23C24062">
            <w:pPr>
              <w:pStyle w:val="6"/>
              <w:spacing w:before="64" w:line="228" w:lineRule="auto"/>
              <w:ind w:left="250"/>
            </w:pPr>
            <w:r>
              <w:rPr>
                <w:spacing w:val="8"/>
              </w:rPr>
              <w:t>信息公开指标</w:t>
            </w:r>
          </w:p>
        </w:tc>
        <w:tc>
          <w:tcPr>
            <w:tcW w:w="5415" w:type="dxa"/>
            <w:gridSpan w:val="6"/>
            <w:vAlign w:val="top"/>
          </w:tcPr>
          <w:p w14:paraId="28847533">
            <w:pPr>
              <w:rPr>
                <w:rFonts w:ascii="Arial"/>
                <w:sz w:val="21"/>
              </w:rPr>
            </w:pPr>
          </w:p>
        </w:tc>
        <w:tc>
          <w:tcPr>
            <w:tcW w:w="1350" w:type="dxa"/>
            <w:vAlign w:val="top"/>
          </w:tcPr>
          <w:p w14:paraId="1F0FE1FD">
            <w:pPr>
              <w:rPr>
                <w:rFonts w:ascii="Arial"/>
                <w:sz w:val="21"/>
              </w:rPr>
            </w:pPr>
          </w:p>
        </w:tc>
      </w:tr>
      <w:tr w14:paraId="09D0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85" w:type="dxa"/>
            <w:gridSpan w:val="2"/>
            <w:vAlign w:val="top"/>
          </w:tcPr>
          <w:p w14:paraId="0714C43D">
            <w:pPr>
              <w:pStyle w:val="6"/>
              <w:spacing w:before="63" w:line="227" w:lineRule="auto"/>
              <w:ind w:left="677"/>
            </w:pPr>
            <w:r>
              <w:rPr>
                <w:spacing w:val="7"/>
              </w:rPr>
              <w:t>评价结论</w:t>
            </w:r>
          </w:p>
        </w:tc>
        <w:tc>
          <w:tcPr>
            <w:tcW w:w="5415" w:type="dxa"/>
            <w:gridSpan w:val="6"/>
            <w:vAlign w:val="top"/>
          </w:tcPr>
          <w:p w14:paraId="6DC3ED33">
            <w:pPr>
              <w:pStyle w:val="6"/>
              <w:spacing w:before="63" w:line="228" w:lineRule="auto"/>
              <w:ind w:left="1455"/>
            </w:pPr>
            <w:r>
              <w:rPr>
                <w:spacing w:val="9"/>
              </w:rPr>
              <w:t>本项目对土壤环境影响较小</w:t>
            </w:r>
          </w:p>
        </w:tc>
        <w:tc>
          <w:tcPr>
            <w:tcW w:w="1350" w:type="dxa"/>
            <w:vAlign w:val="top"/>
          </w:tcPr>
          <w:p w14:paraId="70848662">
            <w:pPr>
              <w:rPr>
                <w:rFonts w:ascii="Arial"/>
                <w:sz w:val="21"/>
              </w:rPr>
            </w:pPr>
          </w:p>
        </w:tc>
      </w:tr>
      <w:tr w14:paraId="7D981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950" w:type="dxa"/>
            <w:gridSpan w:val="9"/>
            <w:vAlign w:val="top"/>
          </w:tcPr>
          <w:p w14:paraId="742FE3DB">
            <w:pPr>
              <w:pStyle w:val="6"/>
              <w:spacing w:before="33" w:line="274" w:lineRule="exact"/>
              <w:ind w:left="963"/>
            </w:pPr>
            <w:r>
              <w:rPr>
                <w:spacing w:val="6"/>
                <w:position w:val="1"/>
              </w:rPr>
              <w:t>注</w:t>
            </w:r>
            <w:r>
              <w:rPr>
                <w:spacing w:val="-10"/>
                <w:position w:val="1"/>
              </w:rPr>
              <w:t xml:space="preserve"> </w:t>
            </w:r>
            <w:r>
              <w:rPr>
                <w:rFonts w:ascii="Times New Roman" w:hAnsi="Times New Roman" w:eastAsia="Times New Roman" w:cs="Times New Roman"/>
                <w:spacing w:val="6"/>
                <w:position w:val="1"/>
              </w:rPr>
              <w:t>1</w:t>
            </w:r>
            <w:r>
              <w:rPr>
                <w:rFonts w:ascii="Times New Roman" w:hAnsi="Times New Roman" w:eastAsia="Times New Roman" w:cs="Times New Roman"/>
                <w:spacing w:val="-23"/>
                <w:position w:val="1"/>
              </w:rPr>
              <w:t xml:space="preserve"> </w:t>
            </w:r>
            <w:r>
              <w:rPr>
                <w:spacing w:val="6"/>
                <w:position w:val="1"/>
              </w:rPr>
              <w:t>：</w:t>
            </w:r>
            <w:r>
              <w:rPr>
                <w:rFonts w:ascii="Times New Roman" w:hAnsi="Times New Roman" w:eastAsia="Times New Roman" w:cs="Times New Roman"/>
                <w:spacing w:val="6"/>
                <w:position w:val="1"/>
              </w:rPr>
              <w:t>“</w:t>
            </w:r>
            <w:r>
              <w:rPr>
                <w:spacing w:val="6"/>
                <w:position w:val="1"/>
              </w:rPr>
              <w:t>□</w:t>
            </w:r>
            <w:r>
              <w:rPr>
                <w:rFonts w:ascii="Times New Roman" w:hAnsi="Times New Roman" w:eastAsia="Times New Roman" w:cs="Times New Roman"/>
                <w:spacing w:val="6"/>
                <w:position w:val="1"/>
              </w:rPr>
              <w:t>”</w:t>
            </w:r>
            <w:r>
              <w:rPr>
                <w:spacing w:val="6"/>
                <w:position w:val="1"/>
              </w:rPr>
              <w:t>为勾选项，可</w:t>
            </w:r>
            <w:r>
              <w:rPr>
                <w:position w:val="1"/>
              </w:rPr>
              <w:drawing>
                <wp:inline distT="0" distB="0" distL="0" distR="0">
                  <wp:extent cx="144145" cy="10922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49"/>
                          <a:stretch>
                            <a:fillRect/>
                          </a:stretch>
                        </pic:blipFill>
                        <pic:spPr>
                          <a:xfrm>
                            <a:off x="0" y="0"/>
                            <a:ext cx="144279" cy="109489"/>
                          </a:xfrm>
                          <a:prstGeom prst="rect">
                            <a:avLst/>
                          </a:prstGeom>
                        </pic:spPr>
                      </pic:pic>
                    </a:graphicData>
                  </a:graphic>
                </wp:inline>
              </w:drawing>
            </w:r>
            <w:r>
              <w:rPr>
                <w:spacing w:val="6"/>
                <w:position w:val="1"/>
              </w:rPr>
              <w:t>；</w:t>
            </w:r>
            <w:r>
              <w:rPr>
                <w:rFonts w:ascii="Times New Roman" w:hAnsi="Times New Roman" w:eastAsia="Times New Roman" w:cs="Times New Roman"/>
                <w:spacing w:val="6"/>
                <w:position w:val="1"/>
              </w:rPr>
              <w:t xml:space="preserve">“  </w:t>
            </w:r>
            <w:r>
              <w:rPr>
                <w:spacing w:val="6"/>
                <w:position w:val="1"/>
              </w:rPr>
              <w:t xml:space="preserve">() </w:t>
            </w:r>
            <w:r>
              <w:rPr>
                <w:rFonts w:ascii="Times New Roman" w:hAnsi="Times New Roman" w:eastAsia="Times New Roman" w:cs="Times New Roman"/>
                <w:spacing w:val="6"/>
                <w:position w:val="1"/>
              </w:rPr>
              <w:t>”</w:t>
            </w:r>
            <w:r>
              <w:rPr>
                <w:spacing w:val="6"/>
                <w:position w:val="1"/>
              </w:rPr>
              <w:t>为内容填写项；</w:t>
            </w:r>
            <w:r>
              <w:rPr>
                <w:rFonts w:ascii="Times New Roman" w:hAnsi="Times New Roman" w:eastAsia="Times New Roman" w:cs="Times New Roman"/>
                <w:spacing w:val="6"/>
                <w:position w:val="1"/>
              </w:rPr>
              <w:t>“</w:t>
            </w:r>
            <w:r>
              <w:rPr>
                <w:spacing w:val="6"/>
                <w:position w:val="1"/>
              </w:rPr>
              <w:t>备注</w:t>
            </w:r>
            <w:r>
              <w:rPr>
                <w:rFonts w:ascii="Times New Roman" w:hAnsi="Times New Roman" w:eastAsia="Times New Roman" w:cs="Times New Roman"/>
                <w:spacing w:val="6"/>
                <w:position w:val="1"/>
              </w:rPr>
              <w:t>”</w:t>
            </w:r>
            <w:r>
              <w:rPr>
                <w:spacing w:val="6"/>
                <w:position w:val="1"/>
              </w:rPr>
              <w:t>为其他补充内容。</w:t>
            </w:r>
          </w:p>
          <w:p w14:paraId="000CE467">
            <w:pPr>
              <w:pStyle w:val="6"/>
              <w:spacing w:before="52" w:line="274" w:lineRule="exact"/>
              <w:ind w:left="1460"/>
            </w:pPr>
            <w:r>
              <w:rPr>
                <w:spacing w:val="8"/>
                <w:position w:val="1"/>
              </w:rPr>
              <w:t>注</w:t>
            </w:r>
            <w:r>
              <w:rPr>
                <w:spacing w:val="-39"/>
                <w:position w:val="1"/>
              </w:rPr>
              <w:t xml:space="preserve"> </w:t>
            </w:r>
            <w:r>
              <w:rPr>
                <w:rFonts w:ascii="Times New Roman" w:hAnsi="Times New Roman" w:eastAsia="Times New Roman" w:cs="Times New Roman"/>
                <w:spacing w:val="8"/>
                <w:position w:val="1"/>
              </w:rPr>
              <w:t>2</w:t>
            </w:r>
            <w:r>
              <w:rPr>
                <w:rFonts w:ascii="Times New Roman" w:hAnsi="Times New Roman" w:eastAsia="Times New Roman" w:cs="Times New Roman"/>
                <w:spacing w:val="-25"/>
                <w:position w:val="1"/>
              </w:rPr>
              <w:t xml:space="preserve"> </w:t>
            </w:r>
            <w:r>
              <w:rPr>
                <w:spacing w:val="8"/>
                <w:position w:val="1"/>
              </w:rPr>
              <w:t>：需要分别开展土壤环境影响评级工作的，分别填写自查表。</w:t>
            </w:r>
          </w:p>
        </w:tc>
      </w:tr>
    </w:tbl>
    <w:p w14:paraId="65A2A9E1">
      <w:pPr>
        <w:pStyle w:val="2"/>
      </w:pPr>
    </w:p>
    <w:p w14:paraId="42FE077F">
      <w:pPr>
        <w:sectPr>
          <w:footerReference r:id="rId191" w:type="default"/>
          <w:pgSz w:w="11906" w:h="16839"/>
          <w:pgMar w:top="400" w:right="1475" w:bottom="1485" w:left="1475" w:header="0" w:footer="1249" w:gutter="0"/>
          <w:cols w:space="720" w:num="1"/>
        </w:sectPr>
      </w:pPr>
    </w:p>
    <w:p w14:paraId="58C749CC">
      <w:pPr>
        <w:pStyle w:val="2"/>
      </w:pPr>
    </w:p>
    <w:sectPr>
      <w:footerReference r:id="rId192" w:type="default"/>
      <w:pgSz w:w="11906" w:h="16839"/>
      <w:pgMar w:top="1" w:right="1785" w:bottom="1485" w:left="1785" w:header="0" w:footer="124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8AC23">
    <w:pPr>
      <w:spacing w:line="173" w:lineRule="auto"/>
      <w:ind w:left="4321"/>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BF86D">
    <w:pPr>
      <w:spacing w:line="173" w:lineRule="auto"/>
      <w:ind w:left="454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CBEF">
    <w:pPr>
      <w:spacing w:line="226" w:lineRule="exact"/>
      <w:ind w:left="446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97</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94DA6">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98</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1DA14">
    <w:pPr>
      <w:spacing w:line="226" w:lineRule="exact"/>
      <w:ind w:left="452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99</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3D402">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100</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AA770">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E88F">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102</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FAA50">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103</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C73C">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104</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0C89A">
    <w:pPr>
      <w:spacing w:line="226" w:lineRule="exact"/>
      <w:ind w:left="442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105</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2A56B">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1059E">
    <w:pPr>
      <w:spacing w:line="226" w:lineRule="exact"/>
      <w:ind w:left="454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8B0B2">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107</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FBDFE">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064F3">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109</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2E9EC">
    <w:pPr>
      <w:spacing w:line="226" w:lineRule="exact"/>
      <w:ind w:left="4423"/>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110</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A849C">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C6B68">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112</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7FF02">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113</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837CD">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114</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A0CDD">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115</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2E58">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7DAA">
    <w:pPr>
      <w:spacing w:line="226" w:lineRule="exact"/>
      <w:ind w:left="45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DAFB1">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117</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94067">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118</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22E0F">
    <w:pPr>
      <w:spacing w:line="226" w:lineRule="exact"/>
      <w:ind w:left="442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119</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57BE5">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120</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2A870">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121</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8BDBC">
    <w:pPr>
      <w:spacing w:line="226" w:lineRule="exact"/>
      <w:ind w:left="42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122</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64A7A">
    <w:pPr>
      <w:spacing w:line="226" w:lineRule="exact"/>
      <w:ind w:left="42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123</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D2E5B">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124</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7321F">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125</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20ADA">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D0D89">
    <w:pPr>
      <w:spacing w:line="226" w:lineRule="exact"/>
      <w:ind w:left="446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C8B37">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127</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F8EE">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128</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CB020">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129</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71B26">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130</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5B3EE">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131</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08D6B">
    <w:pPr>
      <w:spacing w:line="226" w:lineRule="exact"/>
      <w:ind w:left="442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132</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836C2">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133</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3F1A6">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134</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0D507">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135</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BE12">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3F807">
    <w:pPr>
      <w:spacing w:line="226" w:lineRule="exact"/>
      <w:ind w:left="4989"/>
      <w:rPr>
        <w:rFonts w:ascii="Times New Roman" w:hAnsi="Times New Roman" w:eastAsia="Times New Roman" w:cs="Times New Roman"/>
        <w:sz w:val="18"/>
        <w:szCs w:val="18"/>
      </w:rPr>
    </w:pPr>
    <w:r>
      <w:rPr>
        <w:rFonts w:ascii="Times New Roman" w:hAnsi="Times New Roman" w:eastAsia="Times New Roman" w:cs="Times New Roman"/>
        <w:spacing w:val="-11"/>
        <w:position w:val="1"/>
        <w:sz w:val="18"/>
        <w:szCs w:val="18"/>
      </w:rPr>
      <w:t>11</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73B31">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137</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A3A1A">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138</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CD39">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139</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E3999">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140</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0E142">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141</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1B997">
    <w:pPr>
      <w:spacing w:line="226" w:lineRule="exact"/>
      <w:ind w:left="442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142</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01A96">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143</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96E67">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144</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1380C">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145</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69A40">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67CD0">
    <w:pPr>
      <w:spacing w:line="226" w:lineRule="exact"/>
      <w:ind w:left="446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128B7">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147</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123B4">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148</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5B6BE">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149</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2FAE0">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150</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6A89">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C7D5D">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152</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8FBF">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153</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FD1A5">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154</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8CACA">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40B1">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0BD5">
    <w:pPr>
      <w:spacing w:line="226" w:lineRule="exact"/>
      <w:ind w:left="458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CD9CD">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157</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12958">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158</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5DABA">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159</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FDD9">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160</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8EF30">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161</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1E871">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162</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B109">
    <w:pPr>
      <w:spacing w:line="226" w:lineRule="exact"/>
      <w:ind w:left="441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163</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A4B2C">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164</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50000">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165</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3DF2">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B43B5">
    <w:pPr>
      <w:spacing w:line="226" w:lineRule="exact"/>
      <w:ind w:left="446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D2A9">
    <w:pPr>
      <w:spacing w:line="226" w:lineRule="exact"/>
      <w:ind w:left="701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167</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8A28">
    <w:pPr>
      <w:spacing w:line="226" w:lineRule="exact"/>
      <w:ind w:left="701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168</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222E">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169</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206A8">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170</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5ECF8">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171</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50848">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172</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DB909">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173</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7A29">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174</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86366">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175</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20B7A">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858CE">
    <w:pPr>
      <w:spacing w:line="226" w:lineRule="exact"/>
      <w:ind w:left="458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957FD">
    <w:pPr>
      <w:spacing w:line="226" w:lineRule="exact"/>
      <w:ind w:left="457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177</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6293B">
    <w:pPr>
      <w:spacing w:line="226" w:lineRule="exact"/>
      <w:ind w:left="459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178</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637B3">
    <w:pPr>
      <w:spacing w:line="226" w:lineRule="exact"/>
      <w:ind w:left="459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179</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45CDD">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180</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C25BF">
    <w:pPr>
      <w:spacing w:line="226" w:lineRule="exact"/>
      <w:ind w:left="42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84784">
    <w:pPr>
      <w:spacing w:line="226" w:lineRule="exact"/>
      <w:ind w:left="447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C095">
    <w:pPr>
      <w:spacing w:line="173" w:lineRule="auto"/>
      <w:ind w:left="42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15181">
    <w:pPr>
      <w:spacing w:line="226" w:lineRule="exact"/>
      <w:ind w:left="447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8468">
    <w:pPr>
      <w:spacing w:line="226" w:lineRule="exact"/>
      <w:ind w:left="447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B538">
    <w:pPr>
      <w:spacing w:line="226" w:lineRule="exact"/>
      <w:ind w:left="446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E5F5">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5D338">
    <w:pPr>
      <w:spacing w:line="226" w:lineRule="exact"/>
      <w:ind w:left="445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39831">
    <w:pPr>
      <w:spacing w:line="226" w:lineRule="exact"/>
      <w:ind w:left="44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29890">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6C820">
    <w:pPr>
      <w:spacing w:line="226" w:lineRule="exact"/>
      <w:ind w:left="445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4B0AA">
    <w:pPr>
      <w:spacing w:line="226" w:lineRule="exact"/>
      <w:ind w:left="445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4ECF2">
    <w:pPr>
      <w:spacing w:line="226" w:lineRule="exact"/>
      <w:ind w:left="445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3E16E">
    <w:pPr>
      <w:spacing w:line="173"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375FD">
    <w:pPr>
      <w:spacing w:line="226" w:lineRule="exact"/>
      <w:ind w:left="445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65708">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A8D42">
    <w:pPr>
      <w:spacing w:line="226" w:lineRule="exact"/>
      <w:ind w:left="457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E03EB">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1AE09">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D3F74">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71059">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E53F5">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D0672">
    <w:pPr>
      <w:spacing w:line="226" w:lineRule="exact"/>
      <w:ind w:left="457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73127">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9A0C1">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33B70">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72DF7">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C1069">
    <w:pPr>
      <w:spacing w:line="226" w:lineRule="exact"/>
      <w:ind w:left="46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529D1">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7549C">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09FDA">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8A7A">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07D31">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B6DC7">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AE627">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B78CC">
    <w:pPr>
      <w:spacing w:line="226" w:lineRule="exact"/>
      <w:ind w:left="44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53336">
    <w:pPr>
      <w:spacing w:line="226" w:lineRule="exact"/>
      <w:ind w:left="4570"/>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5C762">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4430">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5DC54">
    <w:pPr>
      <w:spacing w:line="226" w:lineRule="exact"/>
      <w:ind w:left="59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123C">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259E8">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1841A">
    <w:pPr>
      <w:spacing w:line="226" w:lineRule="exact"/>
      <w:ind w:left="446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02EBA">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02341">
    <w:pPr>
      <w:spacing w:line="173" w:lineRule="auto"/>
      <w:ind w:left="45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214A1">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FDDB2">
    <w:pPr>
      <w:spacing w:line="226" w:lineRule="exact"/>
      <w:ind w:left="629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E1168">
    <w:pPr>
      <w:spacing w:line="173" w:lineRule="auto"/>
      <w:ind w:left="45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2821">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BC53D">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A9E77">
    <w:pPr>
      <w:spacing w:line="226" w:lineRule="exact"/>
      <w:ind w:left="44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06829">
    <w:pPr>
      <w:spacing w:line="226" w:lineRule="exact"/>
      <w:ind w:left="44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2BB21">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D332D">
    <w:pPr>
      <w:spacing w:line="226" w:lineRule="exact"/>
      <w:ind w:left="44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A088">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3E277">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9978B">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ADF71">
    <w:pPr>
      <w:spacing w:line="226" w:lineRule="exact"/>
      <w:ind w:left="449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7E2AB">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DE658">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53931">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62C91">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D1883">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9B56">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2795">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7891F">
    <w:pPr>
      <w:spacing w:line="226" w:lineRule="exact"/>
      <w:ind w:left="720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64DAB">
    <w:pPr>
      <w:spacing w:line="173"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B3171">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45EEB">
    <w:pPr>
      <w:spacing w:line="173" w:lineRule="auto"/>
      <w:ind w:left="448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3E1E7">
    <w:pPr>
      <w:spacing w:line="173"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FD91">
    <w:pPr>
      <w:spacing w:line="226" w:lineRule="exact"/>
      <w:ind w:left="720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10F8">
    <w:pPr>
      <w:spacing w:line="226" w:lineRule="exact"/>
      <w:ind w:left="45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736D6">
    <w:pPr>
      <w:pStyle w:val="2"/>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284F">
    <w:pPr>
      <w:spacing w:line="226" w:lineRule="exact"/>
      <w:ind w:left="44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A28A5">
    <w:pPr>
      <w:spacing w:line="226" w:lineRule="exact"/>
      <w:ind w:left="4456"/>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862E2">
    <w:pPr>
      <w:spacing w:line="226" w:lineRule="exact"/>
      <w:ind w:left="448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DB78">
    <w:pPr>
      <w:spacing w:line="226" w:lineRule="exact"/>
      <w:ind w:left="44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A0CCD">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B8688">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D233F">
    <w:pPr>
      <w:pStyle w:val="2"/>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93942">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87</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7C165">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24F7C">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F89AB">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90</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4C815">
    <w:pPr>
      <w:pStyle w:val="2"/>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A9932">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92</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5E571">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93</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BD9B4">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94</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7D4BD">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95</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0232">
    <w:pPr>
      <w:spacing w:line="226" w:lineRule="exact"/>
      <w:ind w:left="446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7E8E">
    <w:pPr>
      <w:pStyle w:val="2"/>
      <w:spacing w:line="14" w:lineRule="auto"/>
      <w:rPr>
        <w:sz w:val="2"/>
      </w:rPr>
    </w:pPr>
    <w:r>
      <w:pict>
        <v:shape id="WordPictureWatermark18" o:spid="_x0000_s2049" o:spt="75" type="#_x0000_t75" style="position:absolute;left:0pt;margin-left:80.85pt;margin-top:76.8pt;height:379.35pt;width:436.6pt;mso-position-horizontal-relative:page;mso-position-vertical-relative:page;z-index:-251656192;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3CA06">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939"/>
      <w:gridCol w:w="2085"/>
      <w:gridCol w:w="1416"/>
      <w:gridCol w:w="1417"/>
      <w:gridCol w:w="1022"/>
      <w:gridCol w:w="1269"/>
    </w:tblGrid>
    <w:tr w14:paraId="29EFC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02" w:type="dxa"/>
          <w:tcBorders>
            <w:top w:val="nil"/>
          </w:tcBorders>
          <w:vAlign w:val="top"/>
        </w:tcPr>
        <w:p w14:paraId="40FD1FC6">
          <w:pPr>
            <w:rPr>
              <w:rFonts w:ascii="Arial"/>
              <w:sz w:val="21"/>
            </w:rPr>
          </w:pPr>
        </w:p>
      </w:tc>
      <w:tc>
        <w:tcPr>
          <w:tcW w:w="939" w:type="dxa"/>
          <w:vAlign w:val="top"/>
        </w:tcPr>
        <w:p w14:paraId="3425BCB6">
          <w:pPr>
            <w:rPr>
              <w:rFonts w:ascii="Arial"/>
              <w:sz w:val="21"/>
            </w:rPr>
          </w:pPr>
        </w:p>
      </w:tc>
      <w:tc>
        <w:tcPr>
          <w:tcW w:w="2085" w:type="dxa"/>
          <w:vAlign w:val="top"/>
        </w:tcPr>
        <w:p w14:paraId="572E999C">
          <w:pPr>
            <w:pStyle w:val="6"/>
            <w:spacing w:before="61" w:line="223" w:lineRule="auto"/>
            <w:ind w:left="133"/>
          </w:pPr>
          <w:r>
            <w:rPr>
              <w:spacing w:val="25"/>
            </w:rPr>
            <w:t>小时平均质量浓度</w:t>
          </w:r>
        </w:p>
      </w:tc>
      <w:tc>
        <w:tcPr>
          <w:tcW w:w="1416" w:type="dxa"/>
          <w:vAlign w:val="top"/>
        </w:tcPr>
        <w:p w14:paraId="20F4A005">
          <w:pPr>
            <w:rPr>
              <w:rFonts w:ascii="Arial"/>
              <w:sz w:val="21"/>
            </w:rPr>
          </w:pPr>
        </w:p>
      </w:tc>
      <w:tc>
        <w:tcPr>
          <w:tcW w:w="1417" w:type="dxa"/>
          <w:vAlign w:val="top"/>
        </w:tcPr>
        <w:p w14:paraId="7C42763E">
          <w:pPr>
            <w:rPr>
              <w:rFonts w:ascii="Arial"/>
              <w:sz w:val="21"/>
            </w:rPr>
          </w:pPr>
        </w:p>
      </w:tc>
      <w:tc>
        <w:tcPr>
          <w:tcW w:w="1022" w:type="dxa"/>
          <w:vAlign w:val="top"/>
        </w:tcPr>
        <w:p w14:paraId="135D27AF">
          <w:pPr>
            <w:rPr>
              <w:rFonts w:ascii="Arial"/>
              <w:sz w:val="21"/>
            </w:rPr>
          </w:pPr>
        </w:p>
      </w:tc>
      <w:tc>
        <w:tcPr>
          <w:tcW w:w="1269" w:type="dxa"/>
          <w:vAlign w:val="top"/>
        </w:tcPr>
        <w:p w14:paraId="3594ED1E">
          <w:pPr>
            <w:rPr>
              <w:rFonts w:ascii="Arial"/>
              <w:sz w:val="21"/>
            </w:rPr>
          </w:pPr>
        </w:p>
      </w:tc>
    </w:tr>
  </w:tbl>
  <w:p w14:paraId="13DDB434">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0B227">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1C50D0A"/>
    <w:rsid w:val="71EC50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xml"/><Relationship Id="rId98" Type="http://schemas.openxmlformats.org/officeDocument/2006/relationships/footer" Target="footer91.xml"/><Relationship Id="rId97" Type="http://schemas.openxmlformats.org/officeDocument/2006/relationships/header" Target="header3.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5.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4.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3.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header" Target="header2.xml"/><Relationship Id="rId61" Type="http://schemas.openxmlformats.org/officeDocument/2006/relationships/footer" Target="footer56.xml"/><Relationship Id="rId60" Type="http://schemas.openxmlformats.org/officeDocument/2006/relationships/header" Target="header1.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1" Type="http://schemas.openxmlformats.org/officeDocument/2006/relationships/fontTable" Target="fontTable.xml"/><Relationship Id="rId250" Type="http://schemas.openxmlformats.org/officeDocument/2006/relationships/customXml" Target="../customXml/item1.xml"/><Relationship Id="rId25" Type="http://schemas.openxmlformats.org/officeDocument/2006/relationships/footer" Target="footer21.xml"/><Relationship Id="rId249" Type="http://schemas.openxmlformats.org/officeDocument/2006/relationships/image" Target="media/image57.png"/><Relationship Id="rId248" Type="http://schemas.openxmlformats.org/officeDocument/2006/relationships/image" Target="media/image56.png"/><Relationship Id="rId247" Type="http://schemas.openxmlformats.org/officeDocument/2006/relationships/image" Target="media/image55.png"/><Relationship Id="rId246" Type="http://schemas.openxmlformats.org/officeDocument/2006/relationships/image" Target="media/image54.png"/><Relationship Id="rId245" Type="http://schemas.openxmlformats.org/officeDocument/2006/relationships/image" Target="media/image53.png"/><Relationship Id="rId244" Type="http://schemas.openxmlformats.org/officeDocument/2006/relationships/image" Target="media/image52.png"/><Relationship Id="rId243" Type="http://schemas.openxmlformats.org/officeDocument/2006/relationships/image" Target="media/image51.png"/><Relationship Id="rId242" Type="http://schemas.openxmlformats.org/officeDocument/2006/relationships/image" Target="media/image50.png"/><Relationship Id="rId241" Type="http://schemas.openxmlformats.org/officeDocument/2006/relationships/image" Target="media/image49.png"/><Relationship Id="rId240" Type="http://schemas.openxmlformats.org/officeDocument/2006/relationships/image" Target="media/image48.png"/><Relationship Id="rId24" Type="http://schemas.openxmlformats.org/officeDocument/2006/relationships/footer" Target="footer20.xml"/><Relationship Id="rId239" Type="http://schemas.openxmlformats.org/officeDocument/2006/relationships/image" Target="media/image47.png"/><Relationship Id="rId238" Type="http://schemas.openxmlformats.org/officeDocument/2006/relationships/image" Target="media/image46.png"/><Relationship Id="rId237" Type="http://schemas.openxmlformats.org/officeDocument/2006/relationships/image" Target="media/image45.png"/><Relationship Id="rId236" Type="http://schemas.openxmlformats.org/officeDocument/2006/relationships/image" Target="media/image44.jpeg"/><Relationship Id="rId235" Type="http://schemas.openxmlformats.org/officeDocument/2006/relationships/image" Target="media/image43.jpeg"/><Relationship Id="rId234" Type="http://schemas.openxmlformats.org/officeDocument/2006/relationships/image" Target="media/image42.jpeg"/><Relationship Id="rId233" Type="http://schemas.openxmlformats.org/officeDocument/2006/relationships/image" Target="media/image41.jpeg"/><Relationship Id="rId232" Type="http://schemas.openxmlformats.org/officeDocument/2006/relationships/image" Target="media/image40.jpeg"/><Relationship Id="rId231" Type="http://schemas.openxmlformats.org/officeDocument/2006/relationships/image" Target="media/image39.jpeg"/><Relationship Id="rId230" Type="http://schemas.openxmlformats.org/officeDocument/2006/relationships/image" Target="media/image38.jpeg"/><Relationship Id="rId23" Type="http://schemas.openxmlformats.org/officeDocument/2006/relationships/footer" Target="footer19.xml"/><Relationship Id="rId229" Type="http://schemas.openxmlformats.org/officeDocument/2006/relationships/image" Target="media/image37.jpeg"/><Relationship Id="rId228" Type="http://schemas.openxmlformats.org/officeDocument/2006/relationships/image" Target="media/image36.jpeg"/><Relationship Id="rId227" Type="http://schemas.openxmlformats.org/officeDocument/2006/relationships/image" Target="media/image35.jpeg"/><Relationship Id="rId226" Type="http://schemas.openxmlformats.org/officeDocument/2006/relationships/image" Target="media/image34.png"/><Relationship Id="rId225" Type="http://schemas.openxmlformats.org/officeDocument/2006/relationships/image" Target="media/image33.png"/><Relationship Id="rId224" Type="http://schemas.openxmlformats.org/officeDocument/2006/relationships/image" Target="media/image32.png"/><Relationship Id="rId223" Type="http://schemas.openxmlformats.org/officeDocument/2006/relationships/image" Target="media/image31.png"/><Relationship Id="rId222" Type="http://schemas.openxmlformats.org/officeDocument/2006/relationships/image" Target="media/image30.png"/><Relationship Id="rId221" Type="http://schemas.openxmlformats.org/officeDocument/2006/relationships/image" Target="media/image29.png"/><Relationship Id="rId220" Type="http://schemas.openxmlformats.org/officeDocument/2006/relationships/image" Target="media/image28.jpeg"/><Relationship Id="rId22" Type="http://schemas.openxmlformats.org/officeDocument/2006/relationships/footer" Target="footer18.xml"/><Relationship Id="rId219" Type="http://schemas.openxmlformats.org/officeDocument/2006/relationships/image" Target="media/image27.jpeg"/><Relationship Id="rId218" Type="http://schemas.openxmlformats.org/officeDocument/2006/relationships/image" Target="media/image26.png"/><Relationship Id="rId217" Type="http://schemas.openxmlformats.org/officeDocument/2006/relationships/image" Target="media/image25.jpeg"/><Relationship Id="rId216" Type="http://schemas.openxmlformats.org/officeDocument/2006/relationships/image" Target="media/image24.jpeg"/><Relationship Id="rId215" Type="http://schemas.openxmlformats.org/officeDocument/2006/relationships/image" Target="media/image23.png"/><Relationship Id="rId214" Type="http://schemas.openxmlformats.org/officeDocument/2006/relationships/image" Target="media/image22.jpeg"/><Relationship Id="rId213" Type="http://schemas.openxmlformats.org/officeDocument/2006/relationships/image" Target="media/image21.png"/><Relationship Id="rId212" Type="http://schemas.openxmlformats.org/officeDocument/2006/relationships/image" Target="media/image20.png"/><Relationship Id="rId211" Type="http://schemas.openxmlformats.org/officeDocument/2006/relationships/image" Target="media/image19.jpeg"/><Relationship Id="rId210" Type="http://schemas.openxmlformats.org/officeDocument/2006/relationships/image" Target="media/image18.jpeg"/><Relationship Id="rId21" Type="http://schemas.openxmlformats.org/officeDocument/2006/relationships/footer" Target="footer17.xml"/><Relationship Id="rId209" Type="http://schemas.openxmlformats.org/officeDocument/2006/relationships/image" Target="media/image17.png"/><Relationship Id="rId208" Type="http://schemas.openxmlformats.org/officeDocument/2006/relationships/image" Target="media/image16.jpeg"/><Relationship Id="rId207" Type="http://schemas.openxmlformats.org/officeDocument/2006/relationships/image" Target="media/image15.jpeg"/><Relationship Id="rId206" Type="http://schemas.openxmlformats.org/officeDocument/2006/relationships/image" Target="media/image14.png"/><Relationship Id="rId205" Type="http://schemas.openxmlformats.org/officeDocument/2006/relationships/image" Target="media/image13.png"/><Relationship Id="rId204" Type="http://schemas.openxmlformats.org/officeDocument/2006/relationships/image" Target="media/image12.jpeg"/><Relationship Id="rId203" Type="http://schemas.openxmlformats.org/officeDocument/2006/relationships/image" Target="media/image11.png"/><Relationship Id="rId202" Type="http://schemas.openxmlformats.org/officeDocument/2006/relationships/image" Target="media/image10.jpeg"/><Relationship Id="rId201" Type="http://schemas.openxmlformats.org/officeDocument/2006/relationships/image" Target="media/image9.jpeg"/><Relationship Id="rId200" Type="http://schemas.openxmlformats.org/officeDocument/2006/relationships/image" Target="media/image8.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7.png"/><Relationship Id="rId198" Type="http://schemas.openxmlformats.org/officeDocument/2006/relationships/image" Target="media/image6.png"/><Relationship Id="rId197" Type="http://schemas.openxmlformats.org/officeDocument/2006/relationships/image" Target="media/image5.jpeg"/><Relationship Id="rId196" Type="http://schemas.openxmlformats.org/officeDocument/2006/relationships/image" Target="media/image4.jpeg"/><Relationship Id="rId195" Type="http://schemas.openxmlformats.org/officeDocument/2006/relationships/image" Target="media/image3.png"/><Relationship Id="rId194" Type="http://schemas.openxmlformats.org/officeDocument/2006/relationships/image" Target="media/image2.png"/><Relationship Id="rId193" Type="http://schemas.openxmlformats.org/officeDocument/2006/relationships/theme" Target="theme/theme1.xml"/><Relationship Id="rId192" Type="http://schemas.openxmlformats.org/officeDocument/2006/relationships/footer" Target="footer184.xml"/><Relationship Id="rId191" Type="http://schemas.openxmlformats.org/officeDocument/2006/relationships/footer" Target="footer183.xml"/><Relationship Id="rId190" Type="http://schemas.openxmlformats.org/officeDocument/2006/relationships/footer" Target="footer182.xml"/><Relationship Id="rId19" Type="http://schemas.openxmlformats.org/officeDocument/2006/relationships/footer" Target="footer15.xml"/><Relationship Id="rId189" Type="http://schemas.openxmlformats.org/officeDocument/2006/relationships/footer" Target="footer181.xml"/><Relationship Id="rId188" Type="http://schemas.openxmlformats.org/officeDocument/2006/relationships/footer" Target="footer180.xml"/><Relationship Id="rId187" Type="http://schemas.openxmlformats.org/officeDocument/2006/relationships/footer" Target="footer179.xml"/><Relationship Id="rId186" Type="http://schemas.openxmlformats.org/officeDocument/2006/relationships/footer" Target="footer178.xml"/><Relationship Id="rId185" Type="http://schemas.openxmlformats.org/officeDocument/2006/relationships/footer" Target="footer177.xml"/><Relationship Id="rId184" Type="http://schemas.openxmlformats.org/officeDocument/2006/relationships/footer" Target="footer176.xml"/><Relationship Id="rId183" Type="http://schemas.openxmlformats.org/officeDocument/2006/relationships/footer" Target="footer175.xml"/><Relationship Id="rId182" Type="http://schemas.openxmlformats.org/officeDocument/2006/relationships/footer" Target="footer174.xml"/><Relationship Id="rId181" Type="http://schemas.openxmlformats.org/officeDocument/2006/relationships/footer" Target="footer173.xml"/><Relationship Id="rId180" Type="http://schemas.openxmlformats.org/officeDocument/2006/relationships/footer" Target="footer172.xml"/><Relationship Id="rId18" Type="http://schemas.openxmlformats.org/officeDocument/2006/relationships/footer" Target="footer14.xml"/><Relationship Id="rId179" Type="http://schemas.openxmlformats.org/officeDocument/2006/relationships/footer" Target="footer171.xml"/><Relationship Id="rId178" Type="http://schemas.openxmlformats.org/officeDocument/2006/relationships/footer" Target="footer170.xml"/><Relationship Id="rId177" Type="http://schemas.openxmlformats.org/officeDocument/2006/relationships/footer" Target="footer169.xml"/><Relationship Id="rId176" Type="http://schemas.openxmlformats.org/officeDocument/2006/relationships/footer" Target="footer168.xml"/><Relationship Id="rId175" Type="http://schemas.openxmlformats.org/officeDocument/2006/relationships/footer" Target="footer167.xml"/><Relationship Id="rId174" Type="http://schemas.openxmlformats.org/officeDocument/2006/relationships/footer" Target="footer166.xml"/><Relationship Id="rId173" Type="http://schemas.openxmlformats.org/officeDocument/2006/relationships/footer" Target="footer165.xml"/><Relationship Id="rId172" Type="http://schemas.openxmlformats.org/officeDocument/2006/relationships/footer" Target="footer164.xml"/><Relationship Id="rId171" Type="http://schemas.openxmlformats.org/officeDocument/2006/relationships/footer" Target="footer163.xml"/><Relationship Id="rId170" Type="http://schemas.openxmlformats.org/officeDocument/2006/relationships/footer" Target="footer162.xml"/><Relationship Id="rId17" Type="http://schemas.openxmlformats.org/officeDocument/2006/relationships/footer" Target="footer13.xml"/><Relationship Id="rId169" Type="http://schemas.openxmlformats.org/officeDocument/2006/relationships/footer" Target="footer161.xml"/><Relationship Id="rId168" Type="http://schemas.openxmlformats.org/officeDocument/2006/relationships/footer" Target="footer160.xml"/><Relationship Id="rId167" Type="http://schemas.openxmlformats.org/officeDocument/2006/relationships/footer" Target="footer159.xml"/><Relationship Id="rId166" Type="http://schemas.openxmlformats.org/officeDocument/2006/relationships/footer" Target="footer158.xml"/><Relationship Id="rId165" Type="http://schemas.openxmlformats.org/officeDocument/2006/relationships/footer" Target="footer157.xml"/><Relationship Id="rId164" Type="http://schemas.openxmlformats.org/officeDocument/2006/relationships/footer" Target="footer156.xml"/><Relationship Id="rId163" Type="http://schemas.openxmlformats.org/officeDocument/2006/relationships/footer" Target="footer155.xml"/><Relationship Id="rId162" Type="http://schemas.openxmlformats.org/officeDocument/2006/relationships/footer" Target="footer154.xml"/><Relationship Id="rId161" Type="http://schemas.openxmlformats.org/officeDocument/2006/relationships/footer" Target="footer153.xml"/><Relationship Id="rId160" Type="http://schemas.openxmlformats.org/officeDocument/2006/relationships/footer" Target="footer152.xml"/><Relationship Id="rId16" Type="http://schemas.openxmlformats.org/officeDocument/2006/relationships/footer" Target="footer12.xml"/><Relationship Id="rId159" Type="http://schemas.openxmlformats.org/officeDocument/2006/relationships/footer" Target="footer151.xml"/><Relationship Id="rId158" Type="http://schemas.openxmlformats.org/officeDocument/2006/relationships/footer" Target="footer150.xml"/><Relationship Id="rId157" Type="http://schemas.openxmlformats.org/officeDocument/2006/relationships/footer" Target="footer149.xml"/><Relationship Id="rId156" Type="http://schemas.openxmlformats.org/officeDocument/2006/relationships/footer" Target="footer148.xml"/><Relationship Id="rId155" Type="http://schemas.openxmlformats.org/officeDocument/2006/relationships/footer" Target="footer147.xml"/><Relationship Id="rId154" Type="http://schemas.openxmlformats.org/officeDocument/2006/relationships/footer" Target="footer146.xml"/><Relationship Id="rId153" Type="http://schemas.openxmlformats.org/officeDocument/2006/relationships/footer" Target="footer145.xml"/><Relationship Id="rId152" Type="http://schemas.openxmlformats.org/officeDocument/2006/relationships/footer" Target="footer144.xml"/><Relationship Id="rId151" Type="http://schemas.openxmlformats.org/officeDocument/2006/relationships/footer" Target="footer143.xml"/><Relationship Id="rId150" Type="http://schemas.openxmlformats.org/officeDocument/2006/relationships/footer" Target="footer142.xml"/><Relationship Id="rId15" Type="http://schemas.openxmlformats.org/officeDocument/2006/relationships/footer" Target="footer11.xml"/><Relationship Id="rId149" Type="http://schemas.openxmlformats.org/officeDocument/2006/relationships/footer" Target="footer141.xml"/><Relationship Id="rId148" Type="http://schemas.openxmlformats.org/officeDocument/2006/relationships/footer" Target="footer140.xml"/><Relationship Id="rId147" Type="http://schemas.openxmlformats.org/officeDocument/2006/relationships/footer" Target="footer139.xml"/><Relationship Id="rId146" Type="http://schemas.openxmlformats.org/officeDocument/2006/relationships/footer" Target="footer138.xml"/><Relationship Id="rId145" Type="http://schemas.openxmlformats.org/officeDocument/2006/relationships/footer" Target="footer137.xml"/><Relationship Id="rId144" Type="http://schemas.openxmlformats.org/officeDocument/2006/relationships/footer" Target="footer136.xml"/><Relationship Id="rId143" Type="http://schemas.openxmlformats.org/officeDocument/2006/relationships/footer" Target="footer135.xml"/><Relationship Id="rId142" Type="http://schemas.openxmlformats.org/officeDocument/2006/relationships/footer" Target="footer134.xml"/><Relationship Id="rId141" Type="http://schemas.openxmlformats.org/officeDocument/2006/relationships/footer" Target="footer133.xml"/><Relationship Id="rId140" Type="http://schemas.openxmlformats.org/officeDocument/2006/relationships/footer" Target="footer132.xml"/><Relationship Id="rId14" Type="http://schemas.openxmlformats.org/officeDocument/2006/relationships/footer" Target="footer10.xml"/><Relationship Id="rId139" Type="http://schemas.openxmlformats.org/officeDocument/2006/relationships/footer" Target="footer131.xml"/><Relationship Id="rId138" Type="http://schemas.openxmlformats.org/officeDocument/2006/relationships/footer" Target="footer130.xml"/><Relationship Id="rId137" Type="http://schemas.openxmlformats.org/officeDocument/2006/relationships/footer" Target="footer129.xml"/><Relationship Id="rId136" Type="http://schemas.openxmlformats.org/officeDocument/2006/relationships/footer" Target="footer128.xml"/><Relationship Id="rId135" Type="http://schemas.openxmlformats.org/officeDocument/2006/relationships/footer" Target="footer127.xml"/><Relationship Id="rId134" Type="http://schemas.openxmlformats.org/officeDocument/2006/relationships/footer" Target="footer126.xml"/><Relationship Id="rId133" Type="http://schemas.openxmlformats.org/officeDocument/2006/relationships/footer" Target="footer125.xml"/><Relationship Id="rId132" Type="http://schemas.openxmlformats.org/officeDocument/2006/relationships/footer" Target="footer124.xml"/><Relationship Id="rId131" Type="http://schemas.openxmlformats.org/officeDocument/2006/relationships/footer" Target="footer123.xml"/><Relationship Id="rId130" Type="http://schemas.openxmlformats.org/officeDocument/2006/relationships/footer" Target="footer122.xml"/><Relationship Id="rId13" Type="http://schemas.openxmlformats.org/officeDocument/2006/relationships/footer" Target="footer9.xml"/><Relationship Id="rId129" Type="http://schemas.openxmlformats.org/officeDocument/2006/relationships/footer" Target="footer121.xml"/><Relationship Id="rId128" Type="http://schemas.openxmlformats.org/officeDocument/2006/relationships/footer" Target="footer120.xml"/><Relationship Id="rId127" Type="http://schemas.openxmlformats.org/officeDocument/2006/relationships/footer" Target="footer119.xml"/><Relationship Id="rId126" Type="http://schemas.openxmlformats.org/officeDocument/2006/relationships/footer" Target="footer118.xml"/><Relationship Id="rId125" Type="http://schemas.openxmlformats.org/officeDocument/2006/relationships/footer" Target="footer117.xml"/><Relationship Id="rId124" Type="http://schemas.openxmlformats.org/officeDocument/2006/relationships/footer" Target="footer116.xml"/><Relationship Id="rId123" Type="http://schemas.openxmlformats.org/officeDocument/2006/relationships/footer" Target="footer115.xml"/><Relationship Id="rId122" Type="http://schemas.openxmlformats.org/officeDocument/2006/relationships/footer" Target="footer114.xml"/><Relationship Id="rId121" Type="http://schemas.openxmlformats.org/officeDocument/2006/relationships/footer" Target="footer113.xml"/><Relationship Id="rId120" Type="http://schemas.openxmlformats.org/officeDocument/2006/relationships/footer" Target="footer112.xml"/><Relationship Id="rId12" Type="http://schemas.openxmlformats.org/officeDocument/2006/relationships/footer" Target="footer8.xml"/><Relationship Id="rId119" Type="http://schemas.openxmlformats.org/officeDocument/2006/relationships/footer" Target="footer111.xml"/><Relationship Id="rId118" Type="http://schemas.openxmlformats.org/officeDocument/2006/relationships/footer" Target="footer110.xml"/><Relationship Id="rId117" Type="http://schemas.openxmlformats.org/officeDocument/2006/relationships/footer" Target="footer109.xml"/><Relationship Id="rId116" Type="http://schemas.openxmlformats.org/officeDocument/2006/relationships/footer" Target="footer108.xml"/><Relationship Id="rId115" Type="http://schemas.openxmlformats.org/officeDocument/2006/relationships/footer" Target="footer107.xml"/><Relationship Id="rId114" Type="http://schemas.openxmlformats.org/officeDocument/2006/relationships/footer" Target="footer106.xml"/><Relationship Id="rId113" Type="http://schemas.openxmlformats.org/officeDocument/2006/relationships/footer" Target="footer105.xml"/><Relationship Id="rId112" Type="http://schemas.openxmlformats.org/officeDocument/2006/relationships/footer" Target="footer104.xml"/><Relationship Id="rId111" Type="http://schemas.openxmlformats.org/officeDocument/2006/relationships/footer" Target="footer103.xml"/><Relationship Id="rId110" Type="http://schemas.openxmlformats.org/officeDocument/2006/relationships/footer" Target="footer102.xml"/><Relationship Id="rId11" Type="http://schemas.openxmlformats.org/officeDocument/2006/relationships/footer" Target="footer7.xml"/><Relationship Id="rId109" Type="http://schemas.openxmlformats.org/officeDocument/2006/relationships/footer" Target="footer101.xml"/><Relationship Id="rId108" Type="http://schemas.openxmlformats.org/officeDocument/2006/relationships/footer" Target="footer100.xml"/><Relationship Id="rId107" Type="http://schemas.openxmlformats.org/officeDocument/2006/relationships/footer" Target="footer99.xml"/><Relationship Id="rId106" Type="http://schemas.openxmlformats.org/officeDocument/2006/relationships/footer" Target="footer98.xml"/><Relationship Id="rId105" Type="http://schemas.openxmlformats.org/officeDocument/2006/relationships/footer" Target="footer97.xml"/><Relationship Id="rId104" Type="http://schemas.openxmlformats.org/officeDocument/2006/relationships/footer" Target="footer96.xml"/><Relationship Id="rId103" Type="http://schemas.openxmlformats.org/officeDocument/2006/relationships/footer" Target="footer95.xml"/><Relationship Id="rId102" Type="http://schemas.openxmlformats.org/officeDocument/2006/relationships/footer" Target="footer94.xml"/><Relationship Id="rId101" Type="http://schemas.openxmlformats.org/officeDocument/2006/relationships/footer" Target="footer93.xml"/><Relationship Id="rId100" Type="http://schemas.openxmlformats.org/officeDocument/2006/relationships/footer" Target="footer92.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8"/>
    <customShpInfo spid="_x0000_s1029"/>
    <customShpInfo spid="_x0000_s1027"/>
    <customShpInfo spid="_x0000_s1031"/>
    <customShpInfo spid="_x0000_s1032"/>
    <customShpInfo spid="_x0000_s1030"/>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185</Pages>
  <Words>14388</Words>
  <Characters>15931</Characters>
  <TotalTime>1</TotalTime>
  <ScaleCrop>false</ScaleCrop>
  <LinksUpToDate>false</LinksUpToDate>
  <CharactersWithSpaces>16946</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2022-05-30T10:25:00Z</dcterms:created>
  <dc:creator>PC</dc:creator>
  <cp:lastModifiedBy>蔡城锦</cp:lastModifiedBy>
  <dcterms:modified xsi:type="dcterms:W3CDTF">2025-08-22T09:10:44Z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2025-07-17T14:47:22Z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ACA01544ED7343F0B28595384125237F_12</vt:lpwstr>
  </property>
</Properties>
</file>