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88674">
      <w:pPr>
        <w:pStyle w:val="4"/>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海丰县2022年</w:t>
      </w:r>
      <w:r>
        <w:rPr>
          <w:rFonts w:hint="eastAsia" w:ascii="方正小标宋简体" w:hAnsi="方正小标宋简体" w:eastAsia="方正小标宋简体" w:cs="方正小标宋简体"/>
          <w:sz w:val="44"/>
          <w:szCs w:val="44"/>
        </w:rPr>
        <w:t>全面优化营商环境攻坚</w:t>
      </w:r>
    </w:p>
    <w:p w14:paraId="02EC9BE3">
      <w:pPr>
        <w:pStyle w:val="4"/>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44"/>
          <w:szCs w:val="44"/>
        </w:rPr>
        <w:t>行动方案</w:t>
      </w:r>
    </w:p>
    <w:p w14:paraId="5C7C96E2">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40"/>
          <w:szCs w:val="40"/>
          <w:highlight w:val="none"/>
          <w:lang w:val="en-US" w:eastAsia="zh-CN" w:bidi="ar-SA"/>
        </w:rPr>
      </w:pPr>
      <w:r>
        <w:rPr>
          <w:rFonts w:hint="eastAsia" w:ascii="仿宋_GB2312" w:hAnsi="仿宋_GB2312" w:eastAsia="仿宋_GB2312" w:cs="仿宋_GB2312"/>
          <w:color w:val="auto"/>
          <w:kern w:val="2"/>
          <w:sz w:val="40"/>
          <w:szCs w:val="40"/>
          <w:highlight w:val="none"/>
          <w:lang w:val="en-US" w:eastAsia="zh-CN" w:bidi="ar-SA"/>
        </w:rPr>
        <w:t>（送审稿）</w:t>
      </w:r>
    </w:p>
    <w:p w14:paraId="036C8FA8">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14:paraId="05F0525A">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为全面贯彻落实</w:t>
      </w:r>
      <w:r>
        <w:rPr>
          <w:rFonts w:hint="eastAsia" w:ascii="仿宋_GB2312" w:hAnsi="仿宋_GB2312" w:eastAsia="仿宋_GB2312" w:cs="仿宋_GB2312"/>
          <w:sz w:val="32"/>
          <w:szCs w:val="32"/>
          <w:highlight w:val="none"/>
          <w:lang w:val="en-US" w:eastAsia="zh-CN"/>
        </w:rPr>
        <w:t>县</w:t>
      </w:r>
      <w:r>
        <w:rPr>
          <w:rFonts w:hint="eastAsia" w:ascii="仿宋_GB2312" w:hAnsi="仿宋_GB2312" w:eastAsia="仿宋_GB2312" w:cs="仿宋_GB2312"/>
          <w:b w:val="0"/>
          <w:bCs w:val="0"/>
          <w:color w:val="auto"/>
          <w:sz w:val="32"/>
          <w:szCs w:val="32"/>
          <w:highlight w:val="none"/>
          <w:u w:val="none"/>
        </w:rPr>
        <w:t>第</w:t>
      </w:r>
      <w:r>
        <w:rPr>
          <w:rFonts w:hint="eastAsia" w:ascii="仿宋_GB2312" w:hAnsi="仿宋_GB2312" w:eastAsia="仿宋_GB2312" w:cs="仿宋_GB2312"/>
          <w:b w:val="0"/>
          <w:bCs w:val="0"/>
          <w:color w:val="auto"/>
          <w:sz w:val="32"/>
          <w:szCs w:val="32"/>
          <w:highlight w:val="none"/>
          <w:u w:val="none"/>
          <w:lang w:val="en-US" w:eastAsia="zh-CN"/>
        </w:rPr>
        <w:t>十二次</w:t>
      </w:r>
      <w:r>
        <w:rPr>
          <w:rFonts w:hint="eastAsia" w:ascii="仿宋_GB2312" w:hAnsi="仿宋_GB2312" w:eastAsia="仿宋_GB2312" w:cs="仿宋_GB2312"/>
          <w:b w:val="0"/>
          <w:bCs w:val="0"/>
          <w:color w:val="auto"/>
          <w:sz w:val="32"/>
          <w:szCs w:val="32"/>
          <w:highlight w:val="none"/>
          <w:u w:val="none"/>
        </w:rPr>
        <w:t>党代会和</w:t>
      </w:r>
      <w:r>
        <w:rPr>
          <w:rFonts w:hint="eastAsia" w:ascii="仿宋_GB2312" w:hAnsi="仿宋_GB2312" w:eastAsia="仿宋_GB2312" w:cs="仿宋_GB2312"/>
          <w:b w:val="0"/>
          <w:bCs w:val="0"/>
          <w:color w:val="auto"/>
          <w:sz w:val="32"/>
          <w:szCs w:val="32"/>
          <w:highlight w:val="none"/>
          <w:u w:val="none"/>
          <w:lang w:eastAsia="zh-CN"/>
        </w:rPr>
        <w:t>县</w:t>
      </w:r>
      <w:r>
        <w:rPr>
          <w:rFonts w:hint="eastAsia" w:ascii="仿宋_GB2312" w:hAnsi="仿宋_GB2312" w:eastAsia="仿宋_GB2312" w:cs="仿宋_GB2312"/>
          <w:b w:val="0"/>
          <w:bCs w:val="0"/>
          <w:color w:val="auto"/>
          <w:sz w:val="32"/>
          <w:szCs w:val="32"/>
          <w:highlight w:val="none"/>
          <w:u w:val="none"/>
        </w:rPr>
        <w:t>两会部署要求</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持续推进我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营商环境迭代升级、提质增效，对标国内先进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打造</w:t>
      </w:r>
      <w:r>
        <w:rPr>
          <w:rFonts w:hint="eastAsia" w:ascii="仿宋_GB2312" w:hAnsi="仿宋_GB2312" w:eastAsia="仿宋_GB2312" w:cs="仿宋_GB2312"/>
          <w:sz w:val="32"/>
          <w:szCs w:val="32"/>
          <w:lang w:eastAsia="zh-CN"/>
        </w:rPr>
        <w:t>市场</w:t>
      </w:r>
      <w:r>
        <w:rPr>
          <w:rFonts w:hint="eastAsia" w:ascii="仿宋_GB2312" w:hAnsi="仿宋_GB2312" w:eastAsia="仿宋_GB2312" w:cs="仿宋_GB2312"/>
          <w:sz w:val="32"/>
          <w:szCs w:val="32"/>
        </w:rPr>
        <w:t>化、法治化、国际化的</w:t>
      </w:r>
      <w:r>
        <w:rPr>
          <w:rFonts w:hint="eastAsia" w:ascii="仿宋_GB2312" w:hAnsi="仿宋_GB2312" w:eastAsia="仿宋_GB2312" w:cs="仿宋_GB2312"/>
          <w:sz w:val="32"/>
          <w:szCs w:val="32"/>
          <w:lang w:eastAsia="zh-CN"/>
        </w:rPr>
        <w:t>一流营商环境</w:t>
      </w: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eastAsia="zh-CN"/>
        </w:rPr>
        <w:t>面</w:t>
      </w:r>
      <w:r>
        <w:rPr>
          <w:rFonts w:hint="eastAsia" w:ascii="仿宋_GB2312" w:hAnsi="仿宋_GB2312" w:eastAsia="仿宋_GB2312" w:cs="仿宋_GB2312"/>
          <w:sz w:val="32"/>
          <w:szCs w:val="32"/>
        </w:rPr>
        <w:t>激发</w:t>
      </w:r>
      <w:r>
        <w:rPr>
          <w:rFonts w:hint="eastAsia" w:ascii="仿宋_GB2312" w:hAnsi="仿宋_GB2312" w:eastAsia="仿宋_GB2312" w:cs="仿宋_GB2312"/>
          <w:sz w:val="32"/>
          <w:szCs w:val="32"/>
          <w:lang w:eastAsia="zh-CN"/>
        </w:rPr>
        <w:t>市场</w:t>
      </w:r>
      <w:r>
        <w:rPr>
          <w:rFonts w:hint="eastAsia" w:ascii="仿宋_GB2312" w:hAnsi="仿宋_GB2312" w:eastAsia="仿宋_GB2312" w:cs="仿宋_GB2312"/>
          <w:sz w:val="32"/>
          <w:szCs w:val="32"/>
        </w:rPr>
        <w:t>活力，为</w:t>
      </w:r>
      <w:r>
        <w:rPr>
          <w:rFonts w:hint="eastAsia" w:ascii="Times New Roman" w:hAnsi="Times New Roman" w:eastAsia="仿宋_GB2312" w:cs="仿宋_GB2312"/>
          <w:sz w:val="32"/>
          <w:szCs w:val="32"/>
        </w:rPr>
        <w:t>新时代</w:t>
      </w:r>
      <w:r>
        <w:rPr>
          <w:rFonts w:hint="eastAsia" w:ascii="Times New Roman" w:hAnsi="Times New Roman" w:eastAsia="仿宋_GB2312" w:cs="仿宋_GB2312"/>
          <w:sz w:val="32"/>
          <w:szCs w:val="32"/>
          <w:lang w:val="en-US" w:eastAsia="zh-CN"/>
        </w:rPr>
        <w:t>海丰</w:t>
      </w:r>
      <w:r>
        <w:rPr>
          <w:rFonts w:hint="eastAsia" w:ascii="Times New Roman" w:hAnsi="Times New Roman" w:eastAsia="仿宋_GB2312" w:cs="仿宋_GB2312"/>
          <w:sz w:val="32"/>
          <w:szCs w:val="32"/>
        </w:rPr>
        <w:t>现代化建设、</w:t>
      </w:r>
      <w:r>
        <w:rPr>
          <w:rFonts w:hint="eastAsia" w:ascii="仿宋_GB2312" w:hAnsi="仿宋_GB2312" w:eastAsia="仿宋_GB2312" w:cs="仿宋_GB2312"/>
          <w:sz w:val="32"/>
          <w:szCs w:val="32"/>
        </w:rPr>
        <w:t>高质量发展，提供强有力支撑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特制定本工作方案。</w:t>
      </w:r>
    </w:p>
    <w:p w14:paraId="33DA7F7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一、工作目标</w:t>
      </w:r>
    </w:p>
    <w:p w14:paraId="16720F29">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w:t>
      </w:r>
      <w:r>
        <w:rPr>
          <w:rFonts w:hint="eastAsia" w:ascii="仿宋_GB2312" w:hAnsi="仿宋_GB2312" w:eastAsia="仿宋_GB2312" w:cs="仿宋_GB2312"/>
          <w:sz w:val="32"/>
          <w:szCs w:val="32"/>
          <w:lang w:val="en-US" w:eastAsia="zh-CN"/>
        </w:rPr>
        <w:t>“全市领先</w:t>
      </w:r>
      <w:r>
        <w:rPr>
          <w:rFonts w:hint="eastAsia" w:ascii="仿宋_GB2312" w:hAnsi="仿宋_GB2312" w:eastAsia="仿宋_GB2312" w:cs="仿宋_GB2312"/>
          <w:sz w:val="32"/>
          <w:szCs w:val="32"/>
        </w:rPr>
        <w:t>”目标，对标世行评价标准体系，对照广州、深圳营商环境标准，</w:t>
      </w:r>
      <w:r>
        <w:rPr>
          <w:rFonts w:hint="eastAsia" w:ascii="仿宋_GB2312" w:hAnsi="仿宋_GB2312" w:eastAsia="仿宋_GB2312" w:cs="仿宋_GB2312"/>
          <w:sz w:val="32"/>
          <w:szCs w:val="32"/>
          <w:lang w:val="en-US" w:eastAsia="zh-CN"/>
        </w:rPr>
        <w:t>聚焦企业综合感受，</w:t>
      </w:r>
      <w:r>
        <w:rPr>
          <w:rFonts w:hint="eastAsia" w:ascii="仿宋_GB2312" w:hAnsi="仿宋_GB2312" w:eastAsia="仿宋_GB2312" w:cs="仿宋_GB2312"/>
          <w:sz w:val="32"/>
          <w:szCs w:val="32"/>
        </w:rPr>
        <w:t>做实“前标准、中承诺、后监管、一网通、全代办”模式，纵深推进营商环境综合改革，在政务环境率先破局的基础上，突出打造一流</w:t>
      </w:r>
      <w:r>
        <w:rPr>
          <w:rFonts w:hint="eastAsia" w:ascii="仿宋_GB2312" w:hAnsi="仿宋_GB2312" w:eastAsia="仿宋_GB2312" w:cs="仿宋_GB2312"/>
          <w:sz w:val="32"/>
          <w:szCs w:val="32"/>
          <w:lang w:eastAsia="zh-CN"/>
        </w:rPr>
        <w:t>市场</w:t>
      </w:r>
      <w:r>
        <w:rPr>
          <w:rFonts w:hint="eastAsia" w:ascii="仿宋_GB2312" w:hAnsi="仿宋_GB2312" w:eastAsia="仿宋_GB2312" w:cs="仿宋_GB2312"/>
          <w:sz w:val="32"/>
          <w:szCs w:val="32"/>
        </w:rPr>
        <w:t>环境、法治环境，深化“放管服”改革，</w:t>
      </w:r>
      <w:r>
        <w:rPr>
          <w:rFonts w:hint="eastAsia" w:ascii="仿宋_GB2312" w:hAnsi="仿宋_GB2312" w:eastAsia="仿宋_GB2312" w:cs="仿宋_GB2312"/>
          <w:sz w:val="32"/>
          <w:szCs w:val="32"/>
          <w:lang w:val="en-US" w:eastAsia="zh-CN"/>
        </w:rPr>
        <w:t>深化</w:t>
      </w:r>
      <w:r>
        <w:rPr>
          <w:rFonts w:hint="eastAsia" w:ascii="仿宋_GB2312" w:hAnsi="仿宋_GB2312" w:eastAsia="仿宋_GB2312" w:cs="仿宋_GB2312"/>
          <w:sz w:val="32"/>
          <w:szCs w:val="32"/>
        </w:rPr>
        <w:t>“八个便利化”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“六个通办”，</w:t>
      </w:r>
      <w:r>
        <w:rPr>
          <w:rFonts w:hint="eastAsia" w:ascii="仿宋_GB2312" w:hAnsi="仿宋_GB2312" w:eastAsia="仿宋_GB2312" w:cs="仿宋_GB2312"/>
          <w:sz w:val="32"/>
          <w:szCs w:val="32"/>
          <w:lang w:val="en-US" w:eastAsia="zh-CN"/>
        </w:rPr>
        <w:t>全力构建</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val="en-US" w:eastAsia="zh-CN"/>
        </w:rPr>
        <w:t>投资全代办服务体系，健全社会信用评价体系，持续为我县各类市场主体降本减负、纾难解困，让“我比人家办的快、我比人家办得好”的“店小二”式服务深入人心，</w:t>
      </w:r>
      <w:r>
        <w:rPr>
          <w:rFonts w:hint="eastAsia" w:ascii="仿宋_GB2312" w:hAnsi="仿宋_GB2312" w:eastAsia="仿宋_GB2312" w:cs="仿宋_GB2312"/>
          <w:sz w:val="32"/>
          <w:szCs w:val="32"/>
        </w:rPr>
        <w:t>进一步激活</w:t>
      </w:r>
      <w:r>
        <w:rPr>
          <w:rFonts w:hint="eastAsia" w:ascii="仿宋_GB2312" w:hAnsi="仿宋_GB2312" w:eastAsia="仿宋_GB2312" w:cs="仿宋_GB2312"/>
          <w:sz w:val="32"/>
          <w:szCs w:val="32"/>
          <w:lang w:eastAsia="zh-CN"/>
        </w:rPr>
        <w:t>市场</w:t>
      </w:r>
      <w:r>
        <w:rPr>
          <w:rFonts w:hint="eastAsia" w:ascii="仿宋_GB2312" w:hAnsi="仿宋_GB2312" w:eastAsia="仿宋_GB2312" w:cs="仿宋_GB2312"/>
          <w:sz w:val="32"/>
          <w:szCs w:val="32"/>
        </w:rPr>
        <w:t>主体活力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打造革命老区示范样板。</w:t>
      </w:r>
    </w:p>
    <w:p w14:paraId="1A1B60E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市场</w:t>
      </w:r>
      <w:r>
        <w:rPr>
          <w:rFonts w:hint="eastAsia" w:ascii="楷体_GB2312" w:hAnsi="楷体_GB2312" w:eastAsia="楷体_GB2312" w:cs="楷体_GB2312"/>
          <w:b/>
          <w:bCs/>
          <w:sz w:val="32"/>
          <w:szCs w:val="32"/>
        </w:rPr>
        <w:t>环境更加公平开放</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深化“证照分离”改革，开办企业</w:t>
      </w:r>
      <w:r>
        <w:rPr>
          <w:rFonts w:hint="eastAsia" w:ascii="仿宋_GB2312" w:hAnsi="仿宋_GB2312" w:eastAsia="仿宋_GB2312" w:cs="仿宋_GB2312"/>
          <w:sz w:val="32"/>
          <w:szCs w:val="32"/>
          <w:lang w:val="en-US" w:eastAsia="zh-CN"/>
        </w:rPr>
        <w:t>力争</w:t>
      </w:r>
      <w:r>
        <w:rPr>
          <w:rFonts w:hint="eastAsia" w:ascii="仿宋_GB2312" w:hAnsi="仿宋_GB2312" w:eastAsia="仿宋_GB2312" w:cs="仿宋_GB2312"/>
          <w:sz w:val="32"/>
          <w:szCs w:val="32"/>
        </w:rPr>
        <w:t>实现1个环节</w:t>
      </w:r>
      <w:r>
        <w:rPr>
          <w:rFonts w:hint="eastAsia" w:ascii="仿宋_GB2312" w:hAnsi="仿宋_GB2312" w:eastAsia="仿宋_GB2312" w:cs="仿宋_GB2312"/>
          <w:sz w:val="32"/>
          <w:szCs w:val="32"/>
          <w:lang w:val="en-US" w:eastAsia="zh-CN"/>
        </w:rPr>
        <w:t>0.4个工作日</w:t>
      </w:r>
      <w:r>
        <w:rPr>
          <w:rFonts w:hint="eastAsia" w:ascii="仿宋_GB2312" w:hAnsi="仿宋_GB2312" w:eastAsia="仿宋_GB2312" w:cs="仿宋_GB2312"/>
          <w:sz w:val="32"/>
          <w:szCs w:val="32"/>
        </w:rPr>
        <w:t>办结，一般工业项目审批总时间控制在</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个工作日内，简易低风险项目审批总时间控制在15个工作日以内，年纳税缴费时间压减至90小时以内，高压单电源客户办电平均用时不超38个工作日，水气外线工程接入审批时限压缩至5个工作日，</w:t>
      </w:r>
      <w:r>
        <w:rPr>
          <w:rFonts w:hint="eastAsia" w:ascii="仿宋_GB2312" w:hAnsi="仿宋_GB2312" w:eastAsia="仿宋_GB2312" w:cs="仿宋_GB2312"/>
          <w:sz w:val="32"/>
          <w:szCs w:val="32"/>
          <w:lang w:val="en-US" w:eastAsia="zh-CN"/>
        </w:rPr>
        <w:t>协助1家企业成功上市，</w:t>
      </w:r>
      <w:r>
        <w:rPr>
          <w:rFonts w:hint="eastAsia" w:ascii="仿宋_GB2312" w:hAnsi="仿宋_GB2312" w:eastAsia="仿宋_GB2312" w:cs="仿宋_GB2312"/>
          <w:sz w:val="32"/>
          <w:szCs w:val="32"/>
        </w:rPr>
        <w:t>推动‘中小融’汕尾专区在海丰县注册用户达到5500户，“提前申报”应用率达到9</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%以上，“两步申报”应用率达到9</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%以上，环节最少、用时最短、流程最优的审批制度率先建成。</w:t>
      </w:r>
    </w:p>
    <w:p w14:paraId="58DAE35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政务服务更加高效便捷。</w:t>
      </w:r>
      <w:r>
        <w:rPr>
          <w:rFonts w:hint="eastAsia" w:ascii="仿宋_GB2312" w:hAnsi="仿宋_GB2312" w:eastAsia="仿宋_GB2312" w:cs="仿宋_GB2312"/>
          <w:sz w:val="32"/>
          <w:szCs w:val="32"/>
          <w:lang w:val="en-US" w:eastAsia="zh-CN"/>
        </w:rPr>
        <w:t>全力构建企业投资全代办</w:t>
      </w:r>
      <w:r>
        <w:rPr>
          <w:rFonts w:hint="eastAsia" w:ascii="仿宋_GB2312" w:hAnsi="仿宋_GB2312" w:eastAsia="仿宋_GB2312" w:cs="仿宋_GB2312"/>
          <w:sz w:val="32"/>
          <w:szCs w:val="32"/>
        </w:rPr>
        <w:t>服务</w:t>
      </w:r>
      <w:r>
        <w:rPr>
          <w:rFonts w:hint="eastAsia" w:ascii="仿宋_GB2312" w:hAnsi="仿宋_GB2312" w:eastAsia="仿宋_GB2312" w:cs="仿宋_GB2312"/>
          <w:sz w:val="32"/>
          <w:szCs w:val="32"/>
          <w:lang w:val="en-US" w:eastAsia="zh-CN"/>
        </w:rPr>
        <w:t>体系，提供企业开办、项目立项、建设许可、施工许可、竣工验收等全程免费代办服务</w:t>
      </w:r>
      <w:r>
        <w:rPr>
          <w:rFonts w:hint="eastAsia" w:ascii="仿宋_GB2312" w:hAnsi="仿宋_GB2312" w:eastAsia="仿宋_GB2312" w:cs="仿宋_GB2312"/>
          <w:sz w:val="32"/>
          <w:szCs w:val="32"/>
        </w:rPr>
        <w:t>。</w:t>
      </w:r>
      <w:r>
        <w:rPr>
          <w:rFonts w:hint="eastAsia" w:ascii="仿宋_GB2312" w:hAnsi="仿宋_GB2312" w:eastAsia="仿宋_GB2312" w:cs="仿宋_GB2312"/>
          <w:spacing w:val="0"/>
          <w:kern w:val="2"/>
          <w:sz w:val="32"/>
          <w:szCs w:val="32"/>
          <w:lang w:val="en-US" w:eastAsia="zh-CN" w:bidi="ar-SA"/>
        </w:rPr>
        <w:t>推动面向自然人的“一证通办”事项达到500项，面向企业的“一码通办”事项达到300项，</w:t>
      </w:r>
      <w:r>
        <w:rPr>
          <w:rFonts w:hint="eastAsia" w:ascii="仿宋_GB2312" w:hAnsi="仿宋_GB2312" w:eastAsia="仿宋_GB2312" w:cs="仿宋_GB2312"/>
          <w:sz w:val="32"/>
          <w:szCs w:val="32"/>
          <w:lang w:val="en-US" w:eastAsia="zh-CN"/>
        </w:rPr>
        <w:t>“免证办”事项突破800项</w:t>
      </w:r>
      <w:r>
        <w:rPr>
          <w:rFonts w:hint="eastAsia" w:ascii="仿宋_GB2312" w:hAnsi="仿宋_GB2312" w:eastAsia="仿宋_GB2312" w:cs="仿宋_GB2312"/>
          <w:sz w:val="32"/>
          <w:szCs w:val="32"/>
        </w:rPr>
        <w:t>。丰富“一件事”服务主题，推动</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个“一件事”</w:t>
      </w:r>
      <w:r>
        <w:rPr>
          <w:rFonts w:hint="eastAsia" w:ascii="仿宋_GB2312" w:hAnsi="仿宋_GB2312" w:eastAsia="仿宋_GB2312" w:cs="仿宋_GB2312"/>
          <w:sz w:val="32"/>
          <w:szCs w:val="32"/>
          <w:lang w:val="en-US" w:eastAsia="zh-CN"/>
        </w:rPr>
        <w:t>落地实施，</w:t>
      </w:r>
      <w:r>
        <w:rPr>
          <w:rFonts w:hint="eastAsia" w:ascii="仿宋_GB2312" w:hAnsi="仿宋_GB2312" w:eastAsia="仿宋_GB2312" w:cs="仿宋_GB2312"/>
          <w:sz w:val="32"/>
          <w:szCs w:val="32"/>
        </w:rPr>
        <w:t>标准化、智能化、便捷化的政务服务显著提升。</w:t>
      </w:r>
    </w:p>
    <w:p w14:paraId="652CF88A">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法治环境更加公正透明。</w:t>
      </w:r>
      <w:r>
        <w:rPr>
          <w:rFonts w:hint="eastAsia" w:ascii="仿宋_GB2312" w:hAnsi="仿宋_GB2312" w:eastAsia="仿宋_GB2312" w:cs="仿宋_GB2312"/>
          <w:sz w:val="32"/>
          <w:szCs w:val="32"/>
        </w:rPr>
        <w:t>知识产权保护等</w:t>
      </w:r>
      <w:r>
        <w:rPr>
          <w:rFonts w:hint="eastAsia" w:ascii="仿宋_GB2312" w:hAnsi="仿宋_GB2312" w:eastAsia="仿宋_GB2312" w:cs="仿宋_GB2312"/>
          <w:sz w:val="32"/>
          <w:szCs w:val="32"/>
          <w:lang w:val="en-US" w:eastAsia="zh-CN"/>
        </w:rPr>
        <w:t>法规</w:t>
      </w:r>
      <w:r>
        <w:rPr>
          <w:rFonts w:hint="eastAsia" w:ascii="仿宋_GB2312" w:hAnsi="仿宋_GB2312" w:eastAsia="仿宋_GB2312" w:cs="仿宋_GB2312"/>
          <w:sz w:val="32"/>
          <w:szCs w:val="32"/>
        </w:rPr>
        <w:t>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企业破产审判等工作机制</w:t>
      </w:r>
      <w:r>
        <w:rPr>
          <w:rFonts w:hint="eastAsia" w:ascii="仿宋_GB2312" w:hAnsi="仿宋_GB2312" w:eastAsia="仿宋_GB2312" w:cs="仿宋_GB2312"/>
          <w:sz w:val="32"/>
          <w:szCs w:val="32"/>
        </w:rPr>
        <w:t>更加健全，深化“无证明城</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”改革，</w:t>
      </w:r>
      <w:r>
        <w:rPr>
          <w:rFonts w:hint="eastAsia" w:ascii="仿宋_GB2312" w:hAnsi="仿宋_GB2312" w:eastAsia="仿宋_GB2312" w:cs="仿宋_GB2312"/>
          <w:sz w:val="32"/>
          <w:szCs w:val="32"/>
          <w:lang w:val="en-US" w:eastAsia="zh-CN"/>
        </w:rPr>
        <w:t>取消证明材料不少于2400项，并</w:t>
      </w:r>
      <w:r>
        <w:rPr>
          <w:rFonts w:hint="eastAsia" w:ascii="仿宋_GB2312" w:hAnsi="仿宋_GB2312" w:eastAsia="仿宋_GB2312" w:cs="仿宋_GB2312"/>
          <w:sz w:val="32"/>
          <w:szCs w:val="32"/>
        </w:rPr>
        <w:t>在公布的</w:t>
      </w:r>
      <w:r>
        <w:rPr>
          <w:rFonts w:hint="eastAsia" w:ascii="仿宋_GB2312" w:hAnsi="仿宋_GB2312" w:eastAsia="仿宋_GB2312" w:cs="仿宋_GB2312"/>
          <w:sz w:val="32"/>
          <w:szCs w:val="32"/>
          <w:lang w:val="en-US" w:eastAsia="zh-CN"/>
        </w:rPr>
        <w:t>162</w:t>
      </w:r>
      <w:r>
        <w:rPr>
          <w:rFonts w:hint="eastAsia" w:ascii="仿宋_GB2312" w:hAnsi="仿宋_GB2312" w:eastAsia="仿宋_GB2312" w:cs="仿宋_GB2312"/>
          <w:sz w:val="32"/>
          <w:szCs w:val="32"/>
        </w:rPr>
        <w:t>个采用告知承诺制办理证明材料基础上，进一步扩大告知承诺范围。推进社会信用体系建设，</w:t>
      </w:r>
      <w:r>
        <w:rPr>
          <w:rFonts w:hint="eastAsia" w:ascii="仿宋_GB2312" w:hAnsi="仿宋_GB2312" w:eastAsia="仿宋_GB2312" w:cs="仿宋_GB2312"/>
          <w:sz w:val="32"/>
          <w:szCs w:val="32"/>
          <w:lang w:val="en-US" w:eastAsia="zh-CN"/>
        </w:rPr>
        <w:t>配合市</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市场</w:t>
      </w:r>
      <w:r>
        <w:rPr>
          <w:rFonts w:hint="eastAsia" w:ascii="仿宋_GB2312" w:hAnsi="仿宋_GB2312" w:eastAsia="仿宋_GB2312" w:cs="仿宋_GB2312"/>
          <w:sz w:val="32"/>
          <w:szCs w:val="32"/>
        </w:rPr>
        <w:t>主体实行差异化管理，在不少于28个重点领域深入推进信用监管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强化民商事案件司法保障，深化网上立案，</w:t>
      </w:r>
      <w:r>
        <w:rPr>
          <w:rFonts w:hint="eastAsia" w:ascii="仿宋_GB2312" w:hAnsi="仿宋_GB2312" w:eastAsia="仿宋_GB2312" w:cs="仿宋_GB2312"/>
          <w:sz w:val="32"/>
          <w:szCs w:val="32"/>
          <w:lang w:val="en-US" w:eastAsia="zh-CN"/>
        </w:rPr>
        <w:t>网上办事，完善劳动力市场监管和服务，</w:t>
      </w:r>
      <w:r>
        <w:rPr>
          <w:rFonts w:hint="eastAsia" w:ascii="仿宋_GB2312" w:hAnsi="仿宋_GB2312" w:eastAsia="仿宋_GB2312" w:cs="仿宋_GB2312"/>
          <w:sz w:val="32"/>
          <w:szCs w:val="32"/>
        </w:rPr>
        <w:t>公平公正、规范有序、公开透明的法治环境逐步形成。</w:t>
      </w:r>
    </w:p>
    <w:p w14:paraId="3E7C2D58">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二、工作措施</w:t>
      </w:r>
    </w:p>
    <w:p w14:paraId="66EF3385">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（一）营造公平开放的一流</w:t>
      </w:r>
      <w:r>
        <w:rPr>
          <w:rFonts w:hint="eastAsia" w:ascii="楷体_GB2312" w:hAnsi="楷体_GB2312" w:eastAsia="楷体_GB2312" w:cs="楷体_GB2312"/>
          <w:b/>
          <w:bCs/>
          <w:sz w:val="32"/>
          <w:szCs w:val="32"/>
          <w:lang w:val="en-US" w:eastAsia="zh-CN"/>
        </w:rPr>
        <w:t>市</w:t>
      </w:r>
      <w:r>
        <w:rPr>
          <w:rFonts w:hint="eastAsia" w:ascii="楷体_GB2312" w:hAnsi="楷体_GB2312" w:eastAsia="楷体_GB2312" w:cs="楷体_GB2312"/>
          <w:b/>
          <w:bCs/>
          <w:sz w:val="32"/>
          <w:szCs w:val="32"/>
          <w:lang w:eastAsia="zh-CN"/>
        </w:rPr>
        <w:t>场环境</w:t>
      </w:r>
    </w:p>
    <w:p w14:paraId="5C1DF378">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1.推进企业登记全生命周期便利化。</w:t>
      </w:r>
      <w:r>
        <w:rPr>
          <w:rFonts w:hint="eastAsia" w:ascii="仿宋_GB2312" w:hAnsi="仿宋_GB2312" w:eastAsia="仿宋_GB2312" w:cs="仿宋_GB2312"/>
          <w:sz w:val="32"/>
          <w:szCs w:val="32"/>
        </w:rPr>
        <w:t>坚持落实“非禁即入”原则，实施统一的</w:t>
      </w:r>
      <w:r>
        <w:rPr>
          <w:rFonts w:hint="eastAsia" w:ascii="仿宋_GB2312" w:hAnsi="仿宋_GB2312" w:eastAsia="仿宋_GB2312" w:cs="仿宋_GB2312"/>
          <w:sz w:val="32"/>
          <w:szCs w:val="32"/>
          <w:lang w:eastAsia="zh-CN"/>
        </w:rPr>
        <w:t>市场</w:t>
      </w:r>
      <w:r>
        <w:rPr>
          <w:rFonts w:hint="eastAsia" w:ascii="仿宋_GB2312" w:hAnsi="仿宋_GB2312" w:eastAsia="仿宋_GB2312" w:cs="仿宋_GB2312"/>
          <w:sz w:val="32"/>
          <w:szCs w:val="32"/>
        </w:rPr>
        <w:t>准入负面清单制度。</w:t>
      </w:r>
      <w:r>
        <w:rPr>
          <w:rFonts w:hint="eastAsia" w:ascii="仿宋_GB2312" w:hAnsi="仿宋_GB2312" w:eastAsia="仿宋_GB2312" w:cs="仿宋_GB2312"/>
          <w:sz w:val="32"/>
          <w:szCs w:val="32"/>
          <w:lang w:val="en-US" w:eastAsia="zh-CN"/>
        </w:rPr>
        <w:t>推行开办企业1个环节0.4个工作日办结，允许商事主体“一照多址”，推广银行账户简易开户服务，为新开办企业免费刻章。试行</w:t>
      </w:r>
      <w:r>
        <w:rPr>
          <w:rFonts w:hint="eastAsia" w:ascii="仿宋_GB2312" w:hAnsi="仿宋_GB2312" w:eastAsia="仿宋_GB2312" w:cs="仿宋_GB2312"/>
          <w:sz w:val="32"/>
          <w:szCs w:val="32"/>
        </w:rPr>
        <w:t>标准化智能审批，探索建立全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统一“标准地址库”</w:t>
      </w:r>
      <w:r>
        <w:rPr>
          <w:rFonts w:hint="eastAsia" w:ascii="仿宋_GB2312" w:hAnsi="仿宋_GB2312" w:eastAsia="仿宋_GB2312" w:cs="仿宋_GB2312"/>
          <w:sz w:val="32"/>
          <w:szCs w:val="32"/>
          <w:lang w:eastAsia="zh-CN"/>
        </w:rPr>
        <w:t>。</w:t>
      </w:r>
    </w:p>
    <w:p w14:paraId="499DC032">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sz w:val="32"/>
          <w:szCs w:val="32"/>
        </w:rPr>
      </w:pPr>
      <w:r>
        <w:rPr>
          <w:rFonts w:hint="eastAsia" w:ascii="仿宋_GB2312" w:hAnsi="仿宋_GB2312" w:eastAsia="仿宋_GB2312" w:cs="仿宋_GB2312"/>
          <w:b/>
          <w:bCs/>
          <w:sz w:val="32"/>
          <w:szCs w:val="32"/>
          <w:lang w:eastAsia="zh-CN"/>
        </w:rPr>
        <w:t>2.深化“证照分离”改革。</w:t>
      </w:r>
      <w:r>
        <w:rPr>
          <w:rFonts w:hint="eastAsia" w:ascii="Times New Roman" w:hAnsi="Times New Roman" w:eastAsia="仿宋_GB2312"/>
          <w:sz w:val="32"/>
          <w:szCs w:val="32"/>
        </w:rPr>
        <w:t>按照直接取消审批、审批改为备案、实行告知承诺、优化审批服务等四种方式分类推进改革，实施改革事项清单动态管理。</w:t>
      </w:r>
      <w:r>
        <w:rPr>
          <w:rFonts w:hint="eastAsia" w:ascii="Times New Roman" w:hAnsi="Times New Roman" w:eastAsia="仿宋_GB2312"/>
          <w:sz w:val="32"/>
          <w:szCs w:val="32"/>
          <w:lang w:val="en-US" w:eastAsia="zh-CN"/>
        </w:rPr>
        <w:t>推行“证照联办”改革，扩大对群众办理“小超市经营变更、小超市经营延续、小超市注销、开餐馆、餐馆经营变更、餐馆经营延续、餐馆注销、开网店、开美容美发店”的试点改革，</w:t>
      </w:r>
      <w:r>
        <w:rPr>
          <w:rFonts w:hint="eastAsia" w:ascii="Times New Roman" w:hAnsi="Times New Roman" w:eastAsia="仿宋_GB2312"/>
          <w:sz w:val="32"/>
          <w:szCs w:val="32"/>
        </w:rPr>
        <w:t>促进“准入准营”同步提速。</w:t>
      </w:r>
    </w:p>
    <w:p w14:paraId="3E27F0E3">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深化工程建设项目审批</w:t>
      </w:r>
      <w:r>
        <w:rPr>
          <w:rFonts w:hint="eastAsia" w:ascii="仿宋_GB2312" w:hAnsi="仿宋_GB2312" w:eastAsia="仿宋_GB2312" w:cs="仿宋_GB2312"/>
          <w:b/>
          <w:bCs/>
          <w:sz w:val="32"/>
          <w:szCs w:val="32"/>
          <w:lang w:val="en-US" w:eastAsia="zh-CN"/>
        </w:rPr>
        <w:t>便利化</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val="en-US" w:eastAsia="zh-CN"/>
        </w:rPr>
        <w:t>全面推行区域评估、工业用地“标准化”、联合测绘、联合验收等改革，全县应用区域评估成果的项目数超2个、省级开发区及各级工业园区新增工业用地“标准化”出让实现</w:t>
      </w:r>
      <w:r>
        <w:rPr>
          <w:rFonts w:hint="eastAsia" w:ascii="仿宋_GB2312" w:hAnsi="仿宋_GB2312" w:eastAsia="仿宋_GB2312" w:cs="仿宋_GB2312"/>
          <w:b w:val="0"/>
          <w:bCs w:val="0"/>
          <w:sz w:val="32"/>
          <w:szCs w:val="32"/>
          <w:shd w:val="clear" w:fill="auto"/>
          <w:lang w:val="en-US" w:eastAsia="zh-CN"/>
        </w:rPr>
        <w:t>100</w:t>
      </w:r>
      <w:r>
        <w:rPr>
          <w:rFonts w:hint="eastAsia" w:ascii="仿宋_GB2312" w:hAnsi="仿宋_GB2312" w:eastAsia="仿宋_GB2312" w:cs="仿宋_GB2312"/>
          <w:b w:val="0"/>
          <w:bCs w:val="0"/>
          <w:sz w:val="32"/>
          <w:szCs w:val="32"/>
          <w:lang w:val="en-US" w:eastAsia="zh-CN"/>
        </w:rPr>
        <w:t>%覆盖。</w:t>
      </w:r>
    </w:p>
    <w:p w14:paraId="0F35B49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4.深化“企业投资项目落地”便利化。</w:t>
      </w:r>
      <w:r>
        <w:rPr>
          <w:rFonts w:hint="eastAsia" w:ascii="仿宋_GB2312" w:hAnsi="仿宋_GB2312" w:eastAsia="仿宋_GB2312" w:cs="仿宋_GB2312"/>
          <w:sz w:val="32"/>
          <w:szCs w:val="32"/>
        </w:rPr>
        <w:t>简化审批程序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推进信用审批、实施容缺承诺制，确保一般企业投资项目落地审批时间控制在</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个工作日内，使企业切实享受改革红利。</w:t>
      </w:r>
    </w:p>
    <w:p w14:paraId="105841AB">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5.深化不动产登记便利化。</w:t>
      </w:r>
      <w:r>
        <w:rPr>
          <w:rFonts w:hint="eastAsia" w:ascii="仿宋_GB2312" w:hAnsi="仿宋_GB2312" w:eastAsia="仿宋_GB2312" w:cs="仿宋_GB2312"/>
          <w:sz w:val="32"/>
          <w:szCs w:val="32"/>
        </w:rPr>
        <w:t>全面推进不动产交易、缴税、登记“一窗受理”，对企业之间存量非住宅转移登记实行“即来即办”，</w:t>
      </w:r>
      <w:r>
        <w:rPr>
          <w:rFonts w:hint="eastAsia" w:ascii="仿宋_GB2312" w:hAnsi="仿宋_GB2312" w:eastAsia="仿宋_GB2312" w:cs="仿宋_GB2312"/>
          <w:sz w:val="32"/>
          <w:szCs w:val="32"/>
          <w:lang w:val="en-US" w:eastAsia="zh-CN"/>
        </w:rPr>
        <w:t>建立全县不动产登记业务信息化监测渠道，深化“不动产登记+民生服务”。</w:t>
      </w:r>
      <w:r>
        <w:rPr>
          <w:rFonts w:hint="eastAsia" w:ascii="仿宋_GB2312" w:hAnsi="仿宋_GB2312" w:eastAsia="仿宋_GB2312" w:cs="仿宋_GB2312"/>
          <w:sz w:val="32"/>
          <w:szCs w:val="32"/>
        </w:rPr>
        <w:t>全面实行“交房即</w:t>
      </w:r>
      <w:r>
        <w:rPr>
          <w:rFonts w:hint="eastAsia" w:ascii="仿宋_GB2312" w:hAnsi="仿宋_GB2312" w:eastAsia="仿宋_GB2312" w:cs="仿宋_GB2312"/>
          <w:sz w:val="32"/>
          <w:szCs w:val="32"/>
          <w:lang w:val="en-US" w:eastAsia="zh-CN"/>
        </w:rPr>
        <w:t>交</w:t>
      </w:r>
      <w:r>
        <w:rPr>
          <w:rFonts w:hint="eastAsia" w:ascii="仿宋_GB2312" w:hAnsi="仿宋_GB2312" w:eastAsia="仿宋_GB2312" w:cs="仿宋_GB2312"/>
          <w:sz w:val="32"/>
          <w:szCs w:val="32"/>
        </w:rPr>
        <w:t>证”，</w:t>
      </w:r>
      <w:r>
        <w:rPr>
          <w:rFonts w:hint="eastAsia" w:ascii="仿宋_GB2312" w:hAnsi="仿宋_GB2312" w:eastAsia="仿宋_GB2312" w:cs="仿宋_GB2312"/>
          <w:sz w:val="32"/>
          <w:szCs w:val="32"/>
          <w:lang w:val="en-US" w:eastAsia="zh-CN"/>
        </w:rPr>
        <w:t>推动全县一手房交易覆盖80%以上。研究推行带押过户、不动产登记错误赔偿机制。</w:t>
      </w:r>
    </w:p>
    <w:p w14:paraId="52EB0E5D">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6.深化纳税便利化。</w:t>
      </w:r>
      <w:r>
        <w:rPr>
          <w:rFonts w:hint="eastAsia" w:ascii="仿宋_GB2312" w:hAnsi="仿宋_GB2312" w:eastAsia="仿宋_GB2312" w:cs="仿宋_GB2312"/>
          <w:sz w:val="32"/>
          <w:szCs w:val="32"/>
        </w:rPr>
        <w:t>深化大数据分析和应用，精准推送税费优惠政策，推广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非接触式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税费服务</w:t>
      </w:r>
      <w:r>
        <w:rPr>
          <w:rFonts w:hint="eastAsia" w:ascii="仿宋_GB2312" w:hAnsi="仿宋_GB2312" w:eastAsia="仿宋_GB2312" w:cs="仿宋_GB2312"/>
          <w:sz w:val="32"/>
          <w:szCs w:val="32"/>
        </w:rPr>
        <w:t>，拓展税费综合申报范围，全面推行税务证明事项告知承诺制，拓展容缺办理事项，年纳税缴费时间压减至90小时以内；完善纳税人缴费人权利救济渠道和税费争议解决、跨区域事项协调处置等机制；简化企业涉税涉费事项跨省、</w:t>
      </w:r>
      <w:r>
        <w:rPr>
          <w:rFonts w:hint="eastAsia" w:ascii="仿宋_GB2312" w:hAnsi="仿宋_GB2312" w:eastAsia="仿宋_GB2312" w:cs="仿宋_GB2312"/>
          <w:sz w:val="32"/>
          <w:szCs w:val="32"/>
          <w:lang w:eastAsia="zh-CN"/>
        </w:rPr>
        <w:t>跨市、</w:t>
      </w:r>
      <w:r>
        <w:rPr>
          <w:rFonts w:hint="eastAsia" w:ascii="仿宋_GB2312" w:hAnsi="仿宋_GB2312" w:eastAsia="仿宋_GB2312" w:cs="仿宋_GB2312"/>
          <w:sz w:val="32"/>
          <w:szCs w:val="32"/>
        </w:rPr>
        <w:t>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迁移办理程序，优化税务注销程序。</w:t>
      </w:r>
    </w:p>
    <w:p w14:paraId="4C8F2BF8">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7.深化获得电力便利化。</w:t>
      </w:r>
      <w:r>
        <w:rPr>
          <w:rFonts w:hint="eastAsia" w:ascii="仿宋_GB2312" w:hAnsi="仿宋_GB2312" w:eastAsia="仿宋_GB2312" w:cs="仿宋_GB2312"/>
          <w:sz w:val="32"/>
          <w:szCs w:val="32"/>
        </w:rPr>
        <w:t>实现全年低压居民客户办电平均不超3个工作日，低压非居民客户办电平均不超5个工作日，高压单电源客户办电平均不超38个工作日。建立业扩工单逐单管控机制，实行超时预警和通报管理。加强配网管理，提升供电可靠性。</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中心区域用户平均停电时间压缩到</w:t>
      </w:r>
      <w:r>
        <w:rPr>
          <w:rFonts w:hint="eastAsia" w:ascii="仿宋_GB2312" w:hAnsi="仿宋_GB2312" w:eastAsia="仿宋_GB2312" w:cs="仿宋_GB2312"/>
          <w:sz w:val="32"/>
          <w:szCs w:val="32"/>
          <w:lang w:val="en-US" w:eastAsia="zh-CN"/>
        </w:rPr>
        <w:t>3.96</w:t>
      </w:r>
      <w:r>
        <w:rPr>
          <w:rFonts w:hint="eastAsia" w:ascii="仿宋_GB2312" w:hAnsi="仿宋_GB2312" w:eastAsia="仿宋_GB2312" w:cs="仿宋_GB2312"/>
          <w:sz w:val="32"/>
          <w:szCs w:val="32"/>
        </w:rPr>
        <w:t>小时以内。加强政企协同办电信息共享，供电部门提前获取用电需求，推动配套电网工程规划建设和用户接入全过程各环节有效衔接。开展转供电环节加价专项整治工作</w:t>
      </w:r>
      <w:r>
        <w:rPr>
          <w:rFonts w:hint="eastAsia" w:ascii="仿宋_GB2312" w:hAnsi="仿宋_GB2312" w:eastAsia="仿宋_GB2312" w:cs="仿宋_GB2312"/>
          <w:sz w:val="32"/>
          <w:szCs w:val="32"/>
          <w:lang w:eastAsia="zh-CN"/>
        </w:rPr>
        <w:t>。</w:t>
      </w:r>
    </w:p>
    <w:p w14:paraId="5BE2DD8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8.深化获得用水用气便利化。</w:t>
      </w:r>
      <w:r>
        <w:rPr>
          <w:rFonts w:hint="eastAsia" w:ascii="仿宋_GB2312" w:hAnsi="仿宋_GB2312" w:eastAsia="仿宋_GB2312" w:cs="仿宋_GB2312"/>
          <w:color w:val="auto"/>
          <w:sz w:val="32"/>
          <w:szCs w:val="32"/>
          <w:highlight w:val="none"/>
        </w:rPr>
        <w:t>探索建立电水气“一次办”机制</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sz w:val="32"/>
          <w:szCs w:val="32"/>
        </w:rPr>
        <w:t>统一精简和规范全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各供气、供水企业报装流程</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申请材料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完善线上服务渠道功能，推行外线工程审批代办服务，审批时限压缩至5个工作日。延伸供水企业投资界面，研究建立供水接入工程投资分担机制。逐年降低</w:t>
      </w:r>
      <w:r>
        <w:rPr>
          <w:rFonts w:hint="eastAsia" w:ascii="仿宋_GB2312" w:hAnsi="仿宋_GB2312" w:eastAsia="仿宋_GB2312" w:cs="仿宋_GB2312"/>
          <w:sz w:val="32"/>
          <w:szCs w:val="32"/>
          <w:lang w:eastAsia="zh-CN"/>
        </w:rPr>
        <w:t>县城</w:t>
      </w:r>
      <w:r>
        <w:rPr>
          <w:rFonts w:hint="eastAsia" w:ascii="仿宋_GB2312" w:hAnsi="仿宋_GB2312" w:eastAsia="仿宋_GB2312" w:cs="仿宋_GB2312"/>
          <w:sz w:val="32"/>
          <w:szCs w:val="32"/>
        </w:rPr>
        <w:t>公共供水管网漏损率，2</w:t>
      </w:r>
      <w:r>
        <w:rPr>
          <w:rFonts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年漏损率控制在10%以内。加快推进</w:t>
      </w:r>
      <w:r>
        <w:rPr>
          <w:rFonts w:hint="eastAsia" w:ascii="仿宋_GB2312" w:hAnsi="仿宋_GB2312" w:eastAsia="仿宋_GB2312" w:cs="仿宋_GB2312"/>
          <w:sz w:val="32"/>
          <w:szCs w:val="32"/>
          <w:lang w:val="en-US" w:eastAsia="zh-CN"/>
        </w:rPr>
        <w:t>海丰县</w:t>
      </w:r>
      <w:r>
        <w:rPr>
          <w:rFonts w:hint="eastAsia" w:ascii="仿宋_GB2312" w:hAnsi="仿宋_GB2312" w:eastAsia="仿宋_GB2312" w:cs="仿宋_GB2312"/>
          <w:sz w:val="32"/>
          <w:szCs w:val="32"/>
        </w:rPr>
        <w:t>天然气</w:t>
      </w:r>
      <w:r>
        <w:rPr>
          <w:rFonts w:hint="eastAsia" w:ascii="仿宋_GB2312" w:hAnsi="仿宋_GB2312" w:eastAsia="仿宋_GB2312" w:cs="仿宋_GB2312"/>
          <w:sz w:val="32"/>
          <w:szCs w:val="32"/>
          <w:lang w:val="en-US" w:eastAsia="zh-CN"/>
        </w:rPr>
        <w:t>输配系统工程--陶河门站项目建设，铺设20km配套出站管线，为海丰县天然气用户供气提供保障。</w:t>
      </w:r>
    </w:p>
    <w:p w14:paraId="34BE569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b/>
          <w:bCs/>
          <w:sz w:val="32"/>
          <w:szCs w:val="32"/>
          <w:lang w:val="en-US" w:eastAsia="zh-CN"/>
        </w:rPr>
        <w:t>9.深化获得信贷便利化。</w:t>
      </w:r>
      <w:r>
        <w:rPr>
          <w:rFonts w:hint="eastAsia" w:ascii="仿宋_GB2312" w:hAnsi="仿宋_GB2312" w:eastAsia="仿宋_GB2312" w:cs="仿宋_GB2312"/>
          <w:sz w:val="32"/>
          <w:szCs w:val="32"/>
        </w:rPr>
        <w:t>积极争取市新引进金融机构到海丰设立分支、网点。全面推广“中小融”“粤信融”等信息平台，提升知晓度和使用率，扩大企业直接融资比例。大力推广信保基金，完善普惠贷款风险补偿机制，支持市级加大中小微企业融资专项资金规模，整合政策性小额贷款保证保险资金，探索设立县级资金，通过“保险+银行+政府”模式为小微企业提供增信。深化“银税互动”合作，构建绿色金融体系，构建小微企业“首贷户”培育长效机制，鼓励银行机构深化普惠金融体制机制改革，提升企业融资可获得性。</w:t>
      </w:r>
    </w:p>
    <w:p w14:paraId="7AA06CC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10.提升贸易通关便利度。</w:t>
      </w:r>
      <w:r>
        <w:rPr>
          <w:rFonts w:hint="eastAsia" w:ascii="仿宋_GB2312" w:hAnsi="仿宋_GB2312" w:eastAsia="仿宋_GB2312" w:cs="仿宋_GB2312"/>
          <w:sz w:val="32"/>
          <w:szCs w:val="32"/>
        </w:rPr>
        <w:t>持续推动“提前申报”“两步申报”“两段准入”等通关改革，加快进出口货物通关速度。优化商品货品查验机制，扩大高级认证企业覆盖面，加快出口退税办理进度，加大对外贸出口企业的支持力度。</w:t>
      </w:r>
      <w:r>
        <w:rPr>
          <w:rFonts w:hint="eastAsia" w:ascii="仿宋_GB2312" w:hAnsi="仿宋_GB2312" w:eastAsia="仿宋_GB2312" w:cs="仿宋_GB2312"/>
          <w:sz w:val="32"/>
          <w:szCs w:val="32"/>
          <w:lang w:val="en-US" w:eastAsia="zh-CN"/>
        </w:rPr>
        <w:t>推进跨境电商综合试验区建设工作。</w:t>
      </w:r>
    </w:p>
    <w:p w14:paraId="0B970AC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11.营造更加开放的投资环境。</w:t>
      </w:r>
      <w:r>
        <w:rPr>
          <w:rFonts w:hint="eastAsia" w:ascii="仿宋_GB2312" w:hAnsi="仿宋_GB2312" w:eastAsia="仿宋_GB2312" w:cs="仿宋_GB2312"/>
          <w:sz w:val="32"/>
          <w:szCs w:val="32"/>
        </w:rPr>
        <w:t>实施外商投资准入前国民待遇加负面清单管理，进一步扩大开放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积极利用外资。</w:t>
      </w:r>
      <w:r>
        <w:rPr>
          <w:rFonts w:hint="eastAsia" w:ascii="仿宋_GB2312" w:hAnsi="仿宋_GB2312" w:eastAsia="仿宋_GB2312" w:cs="仿宋_GB2312"/>
          <w:sz w:val="32"/>
          <w:szCs w:val="32"/>
          <w:lang w:val="en-US" w:eastAsia="zh-CN"/>
        </w:rPr>
        <w:t>加快</w:t>
      </w:r>
      <w:r>
        <w:rPr>
          <w:rFonts w:hint="eastAsia" w:ascii="仿宋_GB2312" w:hAnsi="仿宋_GB2312" w:eastAsia="仿宋_GB2312" w:cs="仿宋_GB2312"/>
          <w:sz w:val="32"/>
          <w:szCs w:val="32"/>
        </w:rPr>
        <w:t>申报创建综合保税区，分类施策创建自贸区联动发展区，</w:t>
      </w:r>
      <w:r>
        <w:rPr>
          <w:rFonts w:hint="eastAsia" w:ascii="仿宋_GB2312" w:hAnsi="仿宋_GB2312" w:eastAsia="仿宋_GB2312" w:cs="仿宋_GB2312"/>
          <w:sz w:val="32"/>
          <w:szCs w:val="32"/>
          <w:lang w:val="en-US" w:eastAsia="zh-CN"/>
        </w:rPr>
        <w:t>提高</w:t>
      </w:r>
      <w:r>
        <w:rPr>
          <w:rFonts w:hint="eastAsia" w:ascii="仿宋_GB2312" w:hAnsi="仿宋_GB2312" w:eastAsia="仿宋_GB2312" w:cs="仿宋_GB2312"/>
          <w:sz w:val="32"/>
          <w:szCs w:val="32"/>
        </w:rPr>
        <w:t>境外投资备案</w:t>
      </w:r>
      <w:r>
        <w:rPr>
          <w:rFonts w:hint="eastAsia" w:ascii="仿宋_GB2312" w:hAnsi="仿宋_GB2312" w:eastAsia="仿宋_GB2312" w:cs="仿宋_GB2312"/>
          <w:sz w:val="32"/>
          <w:szCs w:val="32"/>
          <w:lang w:val="en-US" w:eastAsia="zh-CN"/>
        </w:rPr>
        <w:t>办理效率，</w:t>
      </w:r>
      <w:r>
        <w:rPr>
          <w:rFonts w:hint="eastAsia" w:ascii="仿宋_GB2312" w:hAnsi="仿宋_GB2312" w:eastAsia="仿宋_GB2312" w:cs="仿宋_GB2312"/>
          <w:sz w:val="32"/>
          <w:szCs w:val="32"/>
        </w:rPr>
        <w:t>创新境外投资事中事后监管。</w:t>
      </w:r>
      <w:r>
        <w:rPr>
          <w:rFonts w:hint="eastAsia" w:ascii="仿宋_GB2312" w:hAnsi="仿宋_GB2312" w:eastAsia="仿宋_GB2312" w:cs="仿宋_GB2312"/>
          <w:sz w:val="32"/>
          <w:szCs w:val="32"/>
          <w:lang w:val="en-US" w:eastAsia="zh-CN"/>
        </w:rPr>
        <w:t>配合市</w:t>
      </w:r>
      <w:r>
        <w:rPr>
          <w:rFonts w:hint="eastAsia" w:ascii="仿宋_GB2312" w:hAnsi="仿宋_GB2312" w:eastAsia="仿宋_GB2312" w:cs="仿宋_GB2312"/>
          <w:sz w:val="32"/>
          <w:szCs w:val="32"/>
        </w:rPr>
        <w:t>探索专业服务领域国际人才过往资历认可机制，</w:t>
      </w:r>
      <w:r>
        <w:rPr>
          <w:rFonts w:hint="eastAsia" w:ascii="仿宋_GB2312" w:hAnsi="仿宋_GB2312" w:eastAsia="仿宋_GB2312" w:cs="仿宋_GB2312"/>
          <w:sz w:val="32"/>
          <w:szCs w:val="32"/>
          <w:lang w:val="en-US" w:eastAsia="zh-CN"/>
        </w:rPr>
        <w:t>支持市场主体引进海外高层次人才。</w:t>
      </w:r>
    </w:p>
    <w:p w14:paraId="7B0B4CF2">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3" w:firstLineChars="200"/>
        <w:jc w:val="both"/>
        <w:textAlignment w:val="auto"/>
        <w:rPr>
          <w:rFonts w:hint="eastAsia"/>
          <w:lang w:val="en-US" w:eastAsia="zh-CN"/>
        </w:rPr>
      </w:pPr>
      <w:r>
        <w:rPr>
          <w:rFonts w:hint="eastAsia" w:ascii="仿宋_GB2312" w:hAnsi="仿宋_GB2312" w:eastAsia="仿宋_GB2312" w:cs="仿宋_GB2312"/>
          <w:b/>
          <w:bCs/>
          <w:sz w:val="32"/>
          <w:szCs w:val="32"/>
          <w:lang w:val="en-US" w:eastAsia="zh-CN"/>
        </w:rPr>
        <w:t>12.积极落实助企暖企服务。</w:t>
      </w:r>
      <w:r>
        <w:rPr>
          <w:rFonts w:hint="eastAsia" w:ascii="仿宋_GB2312" w:hAnsi="仿宋_GB2312" w:eastAsia="仿宋_GB2312" w:cs="仿宋_GB2312"/>
          <w:sz w:val="32"/>
          <w:szCs w:val="32"/>
          <w:lang w:val="en-US" w:eastAsia="zh-CN"/>
        </w:rPr>
        <w:t>聚焦企业关键需求和综合感受，按照《海丰县助企暖企服务清单》，推动各类惠企政策落实，提升政府服务企业的质量和水平，从减税降费、激励补贴、拓宽销路等角度，全方位为企业降本减负、纾困解难，帮助企业提质增效，夯实产业基础，全面激发市场活力。</w:t>
      </w:r>
    </w:p>
    <w:p w14:paraId="135B03CA">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（二）营造便捷高效的一流政务环境</w:t>
      </w:r>
    </w:p>
    <w:p w14:paraId="2BB6F7E1">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lang w:val="en-US" w:eastAsia="zh-CN"/>
        </w:rPr>
        <w:t>1.深化“六个通办”。</w:t>
      </w:r>
      <w:r>
        <w:rPr>
          <w:rFonts w:hint="eastAsia" w:ascii="仿宋_GB2312" w:hAnsi="仿宋_GB2312" w:eastAsia="仿宋_GB2312" w:cs="仿宋_GB2312"/>
          <w:sz w:val="32"/>
          <w:szCs w:val="32"/>
        </w:rPr>
        <w:t>完善</w:t>
      </w:r>
      <w:r>
        <w:rPr>
          <w:rFonts w:hint="eastAsia" w:ascii="仿宋_GB2312" w:hAnsi="仿宋_GB2312" w:eastAsia="仿宋_GB2312" w:cs="仿宋_GB2312"/>
          <w:sz w:val="32"/>
          <w:szCs w:val="32"/>
          <w:lang w:val="en-US" w:eastAsia="zh-CN"/>
        </w:rPr>
        <w:t>政务服务</w:t>
      </w:r>
      <w:r>
        <w:rPr>
          <w:rFonts w:hint="eastAsia" w:ascii="仿宋_GB2312" w:hAnsi="仿宋_GB2312" w:eastAsia="仿宋_GB2312" w:cs="仿宋_GB2312"/>
          <w:sz w:val="32"/>
          <w:szCs w:val="32"/>
        </w:rPr>
        <w:t>大厅</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rPr>
        <w:t>，推进“四统一”进一步延伸，规范审批进驻管理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持续优化政务服务能力</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rPr>
        <w:t>推动自助</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实现全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镇村100%全覆盖，50项高频政务服务事项进驻自助机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深化政务服务事项标准化，</w:t>
      </w:r>
      <w:r>
        <w:rPr>
          <w:rFonts w:hint="eastAsia" w:ascii="仿宋_GB2312" w:hAnsi="仿宋_GB2312" w:eastAsia="仿宋_GB2312" w:cs="仿宋_GB2312"/>
          <w:color w:val="auto"/>
          <w:sz w:val="32"/>
          <w:szCs w:val="32"/>
          <w:highlight w:val="none"/>
        </w:rPr>
        <w:t>建立网上办事指南动态管理制度，</w:t>
      </w:r>
      <w:r>
        <w:rPr>
          <w:rFonts w:hint="eastAsia" w:ascii="仿宋_GB2312" w:hAnsi="仿宋_GB2312" w:eastAsia="仿宋_GB2312" w:cs="仿宋_GB2312"/>
          <w:sz w:val="32"/>
          <w:szCs w:val="32"/>
        </w:rPr>
        <w:t>实现政务事项100%标准统一、网上可办，</w:t>
      </w:r>
      <w:r>
        <w:rPr>
          <w:rFonts w:hint="eastAsia" w:ascii="仿宋_GB2312" w:hAnsi="仿宋_GB2312" w:eastAsia="仿宋_GB2312" w:cs="仿宋_GB2312"/>
          <w:color w:val="auto"/>
          <w:sz w:val="32"/>
          <w:szCs w:val="32"/>
          <w:highlight w:val="none"/>
        </w:rPr>
        <w:t>深入推进政务服务全市通办</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lang w:val="en-US" w:eastAsia="zh-CN"/>
        </w:rPr>
        <w:t>完成</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项高频“一件事”主题服务</w:t>
      </w:r>
      <w:r>
        <w:rPr>
          <w:rFonts w:hint="eastAsia" w:ascii="仿宋_GB2312" w:hAnsi="仿宋_GB2312" w:eastAsia="仿宋_GB2312" w:cs="仿宋_GB2312"/>
          <w:sz w:val="32"/>
          <w:szCs w:val="32"/>
          <w:lang w:val="en-US" w:eastAsia="zh-CN"/>
        </w:rPr>
        <w:t>落地</w:t>
      </w:r>
      <w:r>
        <w:rPr>
          <w:rFonts w:hint="eastAsia" w:ascii="仿宋_GB2312" w:hAnsi="仿宋_GB2312" w:eastAsia="仿宋_GB2312" w:cs="仿宋_GB2312"/>
          <w:sz w:val="32"/>
          <w:szCs w:val="32"/>
        </w:rPr>
        <w:t>推广。</w:t>
      </w:r>
      <w:r>
        <w:rPr>
          <w:rFonts w:hint="eastAsia" w:ascii="仿宋_GB2312" w:hAnsi="仿宋_GB2312" w:eastAsia="仿宋_GB2312" w:cs="仿宋_GB2312"/>
          <w:sz w:val="32"/>
          <w:szCs w:val="32"/>
          <w:lang w:val="en-US" w:eastAsia="zh-CN"/>
        </w:rPr>
        <w:t>着力</w:t>
      </w:r>
      <w:r>
        <w:rPr>
          <w:rFonts w:hint="eastAsia" w:ascii="仿宋_GB2312" w:hAnsi="仿宋_GB2312" w:eastAsia="仿宋_GB2312" w:cs="仿宋_GB2312"/>
          <w:sz w:val="32"/>
          <w:szCs w:val="32"/>
        </w:rPr>
        <w:t>推进“一证通办”“一码通办”，群众企业办事“免证办”不少</w:t>
      </w:r>
      <w:r>
        <w:rPr>
          <w:rFonts w:hint="eastAsia" w:ascii="仿宋_GB2312" w:hAnsi="仿宋_GB2312" w:eastAsia="仿宋_GB2312" w:cs="仿宋_GB2312"/>
          <w:color w:val="auto"/>
          <w:sz w:val="32"/>
          <w:szCs w:val="32"/>
          <w:highlight w:val="none"/>
        </w:rPr>
        <w:t>于</w:t>
      </w:r>
      <w:r>
        <w:rPr>
          <w:rFonts w:hint="eastAsia" w:ascii="仿宋_GB2312" w:hAnsi="仿宋_GB2312" w:eastAsia="仿宋_GB2312" w:cs="仿宋_GB2312"/>
          <w:color w:val="FF0000"/>
          <w:sz w:val="32"/>
          <w:szCs w:val="32"/>
          <w:highlight w:val="none"/>
          <w:lang w:val="en-US" w:eastAsia="zh-CN"/>
        </w:rPr>
        <w:t>8</w:t>
      </w:r>
      <w:r>
        <w:rPr>
          <w:rFonts w:hint="eastAsia" w:ascii="仿宋_GB2312" w:hAnsi="仿宋_GB2312" w:eastAsia="仿宋_GB2312" w:cs="仿宋_GB2312"/>
          <w:color w:val="FF0000"/>
          <w:sz w:val="32"/>
          <w:szCs w:val="32"/>
          <w:highlight w:val="none"/>
        </w:rPr>
        <w:t>00项</w:t>
      </w:r>
      <w:r>
        <w:rPr>
          <w:rFonts w:hint="eastAsia" w:ascii="仿宋_GB2312" w:hAnsi="仿宋_GB2312" w:eastAsia="仿宋_GB2312" w:cs="仿宋_GB2312"/>
          <w:color w:val="auto"/>
          <w:sz w:val="32"/>
          <w:szCs w:val="32"/>
          <w:highlight w:val="none"/>
          <w:lang w:eastAsia="zh-CN"/>
        </w:rPr>
        <w:t>。</w:t>
      </w:r>
    </w:p>
    <w:p w14:paraId="593636A2">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2.创新投资项目全代办服务体系。</w:t>
      </w:r>
      <w:r>
        <w:rPr>
          <w:rFonts w:hint="eastAsia" w:ascii="仿宋_GB2312" w:hAnsi="仿宋_GB2312" w:eastAsia="仿宋_GB2312" w:cs="仿宋_GB2312"/>
          <w:sz w:val="32"/>
          <w:szCs w:val="32"/>
        </w:rPr>
        <w:t>建立健全企业投资项目</w:t>
      </w:r>
      <w:r>
        <w:rPr>
          <w:rFonts w:hint="eastAsia" w:ascii="仿宋_GB2312" w:hAnsi="仿宋_GB2312" w:eastAsia="仿宋_GB2312" w:cs="仿宋_GB2312"/>
          <w:sz w:val="32"/>
          <w:szCs w:val="32"/>
          <w:lang w:val="en-US" w:eastAsia="zh-CN"/>
        </w:rPr>
        <w:t>全</w:t>
      </w:r>
      <w:r>
        <w:rPr>
          <w:rFonts w:hint="eastAsia" w:ascii="仿宋_GB2312" w:hAnsi="仿宋_GB2312" w:eastAsia="仿宋_GB2312" w:cs="仿宋_GB2312"/>
          <w:sz w:val="32"/>
          <w:szCs w:val="32"/>
        </w:rPr>
        <w:t>代办服务工作机制，通过购买服务形式建设专业化代办队伍，规范接受委托、开展代办、服务中止与续办、服务交付等流程。提供企业开办、项目立项、建设许可、施工许可、竣工验收等全程免费帮办代办服务，提升“点对点”“面对面”专属服务体验。</w:t>
      </w:r>
    </w:p>
    <w:p w14:paraId="5508255E">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3.持续推广应用“善美店小二”。</w:t>
      </w:r>
      <w:r>
        <w:rPr>
          <w:rFonts w:hint="eastAsia" w:ascii="仿宋_GB2312" w:hAnsi="仿宋_GB2312" w:eastAsia="仿宋_GB2312" w:cs="仿宋_GB2312"/>
          <w:b w:val="0"/>
          <w:bCs w:val="0"/>
          <w:sz w:val="32"/>
          <w:szCs w:val="32"/>
          <w:lang w:val="en-US" w:eastAsia="zh-CN"/>
        </w:rPr>
        <w:t>围绕市部署要求，持续推进</w:t>
      </w:r>
      <w:r>
        <w:rPr>
          <w:rFonts w:hint="eastAsia" w:ascii="仿宋_GB2312" w:hAnsi="仿宋_GB2312" w:eastAsia="仿宋_GB2312" w:cs="仿宋_GB2312"/>
          <w:color w:val="auto"/>
          <w:sz w:val="32"/>
          <w:szCs w:val="32"/>
          <w:highlight w:val="none"/>
        </w:rPr>
        <w:t>企业消防设备安全检查、惠企政策兑现、中介服务主动“触发”等更多数字赋能新场景</w:t>
      </w:r>
      <w:r>
        <w:rPr>
          <w:rFonts w:hint="eastAsia" w:ascii="仿宋_GB2312" w:hAnsi="仿宋_GB2312" w:eastAsia="仿宋_GB2312" w:cs="仿宋_GB2312"/>
          <w:b w:val="0"/>
          <w:bCs w:val="0"/>
          <w:sz w:val="32"/>
          <w:szCs w:val="32"/>
          <w:lang w:val="en-US" w:eastAsia="zh-CN"/>
        </w:rPr>
        <w:t>应用实施，</w:t>
      </w:r>
      <w:r>
        <w:rPr>
          <w:rFonts w:hint="eastAsia" w:ascii="仿宋_GB2312" w:hAnsi="仿宋_GB2312" w:eastAsia="仿宋_GB2312" w:cs="仿宋_GB2312"/>
          <w:sz w:val="32"/>
          <w:szCs w:val="32"/>
        </w:rPr>
        <w:t>推动工建项目审批靠前服务，重点推进工建项目电子化监测，</w:t>
      </w:r>
      <w:r>
        <w:rPr>
          <w:rFonts w:hint="eastAsia" w:ascii="仿宋_GB2312" w:hAnsi="仿宋_GB2312" w:eastAsia="仿宋_GB2312" w:cs="仿宋_GB2312"/>
          <w:sz w:val="32"/>
          <w:szCs w:val="32"/>
          <w:lang w:val="en-US" w:eastAsia="zh-CN"/>
        </w:rPr>
        <w:t>大力推广</w:t>
      </w:r>
      <w:r>
        <w:rPr>
          <w:rFonts w:hint="eastAsia" w:ascii="仿宋_GB2312" w:hAnsi="仿宋_GB2312" w:eastAsia="仿宋_GB2312" w:cs="仿宋_GB2312"/>
          <w:sz w:val="32"/>
          <w:szCs w:val="32"/>
        </w:rPr>
        <w:t>“善美店小二”，推动</w:t>
      </w:r>
      <w:r>
        <w:rPr>
          <w:rFonts w:hint="eastAsia" w:ascii="仿宋_GB2312" w:hAnsi="仿宋_GB2312" w:eastAsia="仿宋_GB2312" w:cs="仿宋_GB2312"/>
          <w:sz w:val="32"/>
          <w:szCs w:val="32"/>
          <w:lang w:eastAsia="zh-CN"/>
        </w:rPr>
        <w:t>市场</w:t>
      </w:r>
      <w:r>
        <w:rPr>
          <w:rFonts w:hint="eastAsia" w:ascii="仿宋_GB2312" w:hAnsi="仿宋_GB2312" w:eastAsia="仿宋_GB2312" w:cs="仿宋_GB2312"/>
          <w:sz w:val="32"/>
          <w:szCs w:val="32"/>
        </w:rPr>
        <w:t>主体认证用户数突破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w:t>
      </w:r>
    </w:p>
    <w:p w14:paraId="75584B1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4.推广应用市公共资源交易平台。</w:t>
      </w:r>
      <w:r>
        <w:rPr>
          <w:rFonts w:hint="eastAsia" w:ascii="仿宋_GB2312" w:hAnsi="仿宋_GB2312" w:eastAsia="仿宋_GB2312" w:cs="仿宋_GB2312"/>
          <w:sz w:val="32"/>
          <w:szCs w:val="32"/>
          <w:lang w:val="en-US" w:eastAsia="zh-CN"/>
        </w:rPr>
        <w:t>加快承接</w:t>
      </w:r>
      <w:r>
        <w:rPr>
          <w:rFonts w:hint="eastAsia" w:ascii="仿宋_GB2312" w:hAnsi="仿宋_GB2312" w:eastAsia="仿宋_GB2312" w:cs="仿宋_GB2312"/>
          <w:color w:val="auto"/>
          <w:sz w:val="32"/>
          <w:szCs w:val="32"/>
          <w:highlight w:val="none"/>
          <w:lang w:val="en-US" w:eastAsia="zh-CN"/>
        </w:rPr>
        <w:t>市</w:t>
      </w:r>
      <w:r>
        <w:rPr>
          <w:rFonts w:hint="eastAsia" w:ascii="仿宋_GB2312" w:hAnsi="仿宋_GB2312" w:eastAsia="仿宋_GB2312" w:cs="仿宋_GB2312"/>
          <w:color w:val="auto"/>
          <w:sz w:val="32"/>
          <w:szCs w:val="32"/>
          <w:highlight w:val="none"/>
        </w:rPr>
        <w:t>公共资源交易平台</w:t>
      </w:r>
      <w:r>
        <w:rPr>
          <w:rFonts w:hint="eastAsia" w:ascii="仿宋_GB2312" w:hAnsi="仿宋_GB2312" w:eastAsia="仿宋_GB2312" w:cs="仿宋_GB2312"/>
          <w:color w:val="auto"/>
          <w:sz w:val="32"/>
          <w:szCs w:val="32"/>
          <w:highlight w:val="none"/>
          <w:lang w:val="en-US" w:eastAsia="zh-CN"/>
        </w:rPr>
        <w:t>系统延伸</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rPr>
        <w:t>鼓励政府采购领域</w:t>
      </w:r>
      <w:r>
        <w:rPr>
          <w:rFonts w:hint="eastAsia" w:ascii="仿宋_GB2312" w:hAnsi="仿宋_GB2312" w:eastAsia="仿宋_GB2312" w:cs="仿宋_GB2312"/>
          <w:sz w:val="32"/>
          <w:szCs w:val="32"/>
          <w:lang w:val="en-US" w:eastAsia="zh-CN"/>
        </w:rPr>
        <w:t>逐步</w:t>
      </w:r>
      <w:r>
        <w:rPr>
          <w:rFonts w:hint="eastAsia" w:ascii="仿宋_GB2312" w:hAnsi="仿宋_GB2312" w:eastAsia="仿宋_GB2312" w:cs="仿宋_GB2312"/>
          <w:sz w:val="32"/>
          <w:szCs w:val="32"/>
        </w:rPr>
        <w:t>取消投标保证金，招投标领域鼓励采用电子保函等非现金形式提交投标和履约保证金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rPr>
        <w:t>实现全流程电子化和智慧监管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推行</w:t>
      </w:r>
      <w:r>
        <w:rPr>
          <w:rFonts w:hint="eastAsia" w:ascii="仿宋_GB2312" w:hAnsi="仿宋_GB2312" w:eastAsia="仿宋_GB2312" w:cs="仿宋_GB2312"/>
          <w:sz w:val="32"/>
          <w:szCs w:val="32"/>
        </w:rPr>
        <w:t>政府采购合同融资服务，开展招投标和政府采购专项治理</w:t>
      </w:r>
      <w:r>
        <w:rPr>
          <w:rFonts w:hint="eastAsia" w:ascii="仿宋_GB2312" w:hAnsi="仿宋_GB2312" w:eastAsia="仿宋_GB2312" w:cs="仿宋_GB2312"/>
          <w:sz w:val="32"/>
          <w:szCs w:val="32"/>
          <w:lang w:eastAsia="zh-CN"/>
        </w:rPr>
        <w:t>。</w:t>
      </w:r>
    </w:p>
    <w:p w14:paraId="5890853F">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5.推动投诉闭环管理。</w:t>
      </w:r>
      <w:r>
        <w:rPr>
          <w:rFonts w:hint="eastAsia" w:ascii="仿宋_GB2312" w:hAnsi="仿宋_GB2312" w:eastAsia="仿宋_GB2312" w:cs="仿宋_GB2312"/>
          <w:sz w:val="32"/>
          <w:szCs w:val="32"/>
        </w:rPr>
        <w:t>建立健全沟通反馈机制，推动整改成效与“好差评”评价相结合，实现全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好评率达90%以上。依托12345政</w:t>
      </w:r>
      <w:r>
        <w:rPr>
          <w:rFonts w:hint="eastAsia" w:ascii="仿宋_GB2312" w:hAnsi="仿宋_GB2312" w:eastAsia="仿宋_GB2312" w:cs="仿宋_GB2312"/>
          <w:sz w:val="32"/>
          <w:szCs w:val="32"/>
          <w:lang w:val="en-US" w:eastAsia="zh-CN"/>
        </w:rPr>
        <w:t>务</w:t>
      </w:r>
      <w:r>
        <w:rPr>
          <w:rFonts w:hint="eastAsia" w:ascii="仿宋_GB2312" w:hAnsi="仿宋_GB2312" w:eastAsia="仿宋_GB2312" w:cs="仿宋_GB2312"/>
          <w:sz w:val="32"/>
          <w:szCs w:val="32"/>
        </w:rPr>
        <w:t>服务热线平台，</w:t>
      </w:r>
      <w:r>
        <w:rPr>
          <w:rFonts w:hint="eastAsia" w:ascii="仿宋_GB2312" w:hAnsi="仿宋_GB2312" w:eastAsia="仿宋_GB2312" w:cs="仿宋_GB2312"/>
          <w:color w:val="auto"/>
          <w:sz w:val="32"/>
          <w:szCs w:val="32"/>
          <w:highlight w:val="none"/>
          <w:lang w:val="en-US" w:eastAsia="zh-CN"/>
        </w:rPr>
        <w:t>利用市</w:t>
      </w:r>
      <w:r>
        <w:rPr>
          <w:rFonts w:hint="eastAsia" w:ascii="仿宋_GB2312" w:hAnsi="仿宋_GB2312" w:eastAsia="仿宋_GB2312" w:cs="仿宋_GB2312"/>
          <w:color w:val="auto"/>
          <w:sz w:val="32"/>
          <w:szCs w:val="32"/>
          <w:highlight w:val="none"/>
        </w:rPr>
        <w:t>企业服务专线，</w:t>
      </w:r>
      <w:r>
        <w:rPr>
          <w:rFonts w:hint="eastAsia" w:ascii="仿宋_GB2312" w:hAnsi="仿宋_GB2312" w:eastAsia="仿宋_GB2312" w:cs="仿宋_GB2312"/>
          <w:sz w:val="32"/>
          <w:szCs w:val="32"/>
        </w:rPr>
        <w:t>为企业提供更快更精准的办事咨询、政策解读、诉求联动办理“绿色通道”。提升12345政务服务热线能力，修改完善《海丰县“12345”工单办理效能的工作意见》，</w:t>
      </w:r>
      <w:r>
        <w:rPr>
          <w:rFonts w:hint="eastAsia" w:ascii="仿宋_GB2312" w:hAnsi="仿宋_GB2312" w:eastAsia="仿宋_GB2312" w:cs="仿宋_GB2312"/>
          <w:sz w:val="32"/>
          <w:szCs w:val="32"/>
          <w:lang w:val="en-US" w:eastAsia="zh-CN"/>
        </w:rPr>
        <w:t>提高工单办理效率，</w:t>
      </w:r>
      <w:r>
        <w:rPr>
          <w:rFonts w:hint="eastAsia" w:ascii="仿宋_GB2312" w:hAnsi="仿宋_GB2312" w:eastAsia="仿宋_GB2312" w:cs="仿宋_GB2312"/>
          <w:sz w:val="32"/>
          <w:szCs w:val="32"/>
        </w:rPr>
        <w:t>切实解决和维护群众</w:t>
      </w:r>
      <w:r>
        <w:rPr>
          <w:rFonts w:hint="eastAsia" w:ascii="仿宋_GB2312" w:hAnsi="仿宋_GB2312" w:eastAsia="仿宋_GB2312" w:cs="仿宋_GB2312"/>
          <w:sz w:val="32"/>
          <w:szCs w:val="32"/>
          <w:lang w:val="en-US" w:eastAsia="zh-CN"/>
        </w:rPr>
        <w:t>合法</w:t>
      </w:r>
      <w:r>
        <w:rPr>
          <w:rFonts w:hint="eastAsia" w:ascii="仿宋_GB2312" w:hAnsi="仿宋_GB2312" w:eastAsia="仿宋_GB2312" w:cs="仿宋_GB2312"/>
          <w:sz w:val="32"/>
          <w:szCs w:val="32"/>
        </w:rPr>
        <w:t>权益。</w:t>
      </w:r>
    </w:p>
    <w:p w14:paraId="715894D3">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6.健全政企互动沟通机制。</w:t>
      </w:r>
      <w:r>
        <w:rPr>
          <w:rFonts w:hint="eastAsia" w:ascii="仿宋_GB2312" w:hAnsi="仿宋_GB2312" w:eastAsia="仿宋_GB2312" w:cs="仿宋_GB2312"/>
          <w:sz w:val="32"/>
          <w:szCs w:val="32"/>
        </w:rPr>
        <w:t>完善政企常态化沟通协商机制，建立健全企业服务专员机制，加强与企业、行业协会的联系，</w:t>
      </w:r>
      <w:r>
        <w:rPr>
          <w:rFonts w:hint="eastAsia" w:ascii="仿宋_GB2312" w:hAnsi="仿宋_GB2312" w:eastAsia="仿宋_GB2312" w:cs="仿宋_GB2312"/>
          <w:sz w:val="32"/>
          <w:szCs w:val="32"/>
          <w:lang w:val="en-US" w:eastAsia="zh-CN"/>
        </w:rPr>
        <w:t>加快</w:t>
      </w:r>
      <w:r>
        <w:rPr>
          <w:rFonts w:hint="eastAsia" w:ascii="仿宋_GB2312" w:hAnsi="仿宋_GB2312" w:eastAsia="仿宋_GB2312" w:cs="仿宋_GB2312"/>
          <w:sz w:val="32"/>
          <w:szCs w:val="32"/>
        </w:rPr>
        <w:t>建立营商环境诉求受理和分级办理“一张网”，及时听取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回应和解决企业痛</w:t>
      </w:r>
      <w:r>
        <w:rPr>
          <w:rFonts w:hint="eastAsia" w:ascii="仿宋_GB2312" w:hAnsi="仿宋_GB2312" w:eastAsia="仿宋_GB2312" w:cs="仿宋_GB2312"/>
          <w:sz w:val="32"/>
          <w:szCs w:val="32"/>
          <w:lang w:val="en-US" w:eastAsia="zh-CN"/>
        </w:rPr>
        <w:t>点、堵点</w:t>
      </w:r>
      <w:r>
        <w:rPr>
          <w:rFonts w:hint="eastAsia" w:ascii="仿宋_GB2312" w:hAnsi="仿宋_GB2312" w:eastAsia="仿宋_GB2312" w:cs="仿宋_GB2312"/>
          <w:sz w:val="32"/>
          <w:szCs w:val="32"/>
        </w:rPr>
        <w:t>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不断推动“个转企”“小升规”工作，增强培育“四上”企业能力。完善涉及</w:t>
      </w:r>
      <w:r>
        <w:rPr>
          <w:rFonts w:hint="eastAsia" w:ascii="仿宋_GB2312" w:hAnsi="仿宋_GB2312" w:eastAsia="仿宋_GB2312" w:cs="仿宋_GB2312"/>
          <w:sz w:val="32"/>
          <w:szCs w:val="32"/>
          <w:lang w:eastAsia="zh-CN"/>
        </w:rPr>
        <w:t>市场</w:t>
      </w:r>
      <w:r>
        <w:rPr>
          <w:rFonts w:hint="eastAsia" w:ascii="仿宋_GB2312" w:hAnsi="仿宋_GB2312" w:eastAsia="仿宋_GB2312" w:cs="仿宋_GB2312"/>
          <w:sz w:val="32"/>
          <w:szCs w:val="32"/>
        </w:rPr>
        <w:t>主体的政策信息公开发布制度，通过全</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统一的汕尾</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企业诉求响应平台、粤商通、广东政务服务网等渠道予以公开，全力构建亲清新型政商关系。</w:t>
      </w:r>
    </w:p>
    <w:p w14:paraId="6E6FDE1B">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（三）营造公平正义的一流法治环境</w:t>
      </w:r>
    </w:p>
    <w:p w14:paraId="528D0809">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1.深化“无证明城市”改革。</w:t>
      </w:r>
      <w:r>
        <w:rPr>
          <w:rFonts w:hint="eastAsia" w:ascii="仿宋_GB2312" w:hAnsi="仿宋_GB2312" w:eastAsia="仿宋_GB2312" w:cs="仿宋_GB2312"/>
          <w:sz w:val="32"/>
          <w:szCs w:val="32"/>
        </w:rPr>
        <w:t>推动“无证明城</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智能化管理，扩大电子证照应用，加快电子证照存量转换，提高电子证照开通率，推动办事高频使用的证照实现电子证照核验，群众办事免携带免提交，逐步实现“证明免交、证照免带”，持续推进“减证便民”。扩大“无证明城</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”惠利面，根据省直部门公布的第二批采用告知承诺制办理的证明事项清单，在原有已公布的</w:t>
      </w:r>
      <w:r>
        <w:rPr>
          <w:rFonts w:hint="eastAsia" w:ascii="仿宋_GB2312" w:hAnsi="仿宋_GB2312" w:eastAsia="仿宋_GB2312" w:cs="仿宋_GB2312"/>
          <w:sz w:val="32"/>
          <w:szCs w:val="32"/>
          <w:lang w:val="en-US" w:eastAsia="zh-CN"/>
        </w:rPr>
        <w:t>162</w:t>
      </w:r>
      <w:r>
        <w:rPr>
          <w:rFonts w:hint="eastAsia" w:ascii="仿宋_GB2312" w:hAnsi="仿宋_GB2312" w:eastAsia="仿宋_GB2312" w:cs="仿宋_GB2312"/>
          <w:sz w:val="32"/>
          <w:szCs w:val="32"/>
        </w:rPr>
        <w:t>个已采用告知承诺制办理的证明材料基础上，扩大告知承诺范围，全面实现“证明免交”，全面激活各类</w:t>
      </w:r>
      <w:r>
        <w:rPr>
          <w:rFonts w:hint="eastAsia" w:ascii="仿宋_GB2312" w:hAnsi="仿宋_GB2312" w:eastAsia="仿宋_GB2312" w:cs="仿宋_GB2312"/>
          <w:sz w:val="32"/>
          <w:szCs w:val="32"/>
          <w:lang w:eastAsia="zh-CN"/>
        </w:rPr>
        <w:t>市场</w:t>
      </w:r>
      <w:r>
        <w:rPr>
          <w:rFonts w:hint="eastAsia" w:ascii="仿宋_GB2312" w:hAnsi="仿宋_GB2312" w:eastAsia="仿宋_GB2312" w:cs="仿宋_GB2312"/>
          <w:sz w:val="32"/>
          <w:szCs w:val="32"/>
        </w:rPr>
        <w:t>主体活力。</w:t>
      </w:r>
    </w:p>
    <w:p w14:paraId="046B62A3">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szCs w:val="32"/>
        </w:rPr>
      </w:pPr>
      <w:r>
        <w:rPr>
          <w:rFonts w:hint="eastAsia" w:ascii="仿宋_GB2312" w:hAnsi="仿宋_GB2312" w:eastAsia="仿宋_GB2312" w:cs="仿宋_GB2312"/>
          <w:b/>
          <w:bCs/>
          <w:kern w:val="2"/>
          <w:sz w:val="32"/>
          <w:szCs w:val="32"/>
          <w:lang w:val="en-US" w:eastAsia="zh-CN" w:bidi="ar-SA"/>
        </w:rPr>
        <w:t>2.强化民商事案件司法保障。</w:t>
      </w:r>
      <w:r>
        <w:rPr>
          <w:rFonts w:hint="eastAsia" w:ascii="仿宋_GB2312" w:hAnsi="仿宋_GB2312" w:eastAsia="仿宋_GB2312" w:cs="仿宋_GB2312"/>
          <w:szCs w:val="32"/>
        </w:rPr>
        <w:t>深化网上立案</w:t>
      </w:r>
      <w:r>
        <w:rPr>
          <w:rFonts w:hint="eastAsia" w:ascii="仿宋_GB2312" w:hAnsi="仿宋_GB2312" w:eastAsia="仿宋_GB2312" w:cs="仿宋_GB2312"/>
          <w:szCs w:val="32"/>
          <w:lang w:val="en-US" w:eastAsia="zh-CN"/>
        </w:rPr>
        <w:t>和案件繁简分流机制改革</w:t>
      </w:r>
      <w:r>
        <w:rPr>
          <w:rFonts w:hint="eastAsia" w:ascii="仿宋_GB2312" w:hAnsi="仿宋_GB2312" w:eastAsia="仿宋_GB2312" w:cs="仿宋_GB2312"/>
          <w:szCs w:val="32"/>
        </w:rPr>
        <w:t>，</w:t>
      </w:r>
      <w:r>
        <w:rPr>
          <w:rFonts w:hint="eastAsia" w:ascii="仿宋_GB2312" w:hAnsi="仿宋_GB2312" w:eastAsia="仿宋_GB2312" w:cs="仿宋_GB2312"/>
          <w:color w:val="FF0000"/>
          <w:szCs w:val="32"/>
          <w:highlight w:val="none"/>
        </w:rPr>
        <w:t>民商事一审</w:t>
      </w:r>
      <w:r>
        <w:rPr>
          <w:rFonts w:hint="eastAsia" w:ascii="仿宋_GB2312" w:hAnsi="仿宋_GB2312" w:eastAsia="仿宋_GB2312" w:cs="仿宋_GB2312"/>
          <w:color w:val="FF0000"/>
          <w:szCs w:val="32"/>
          <w:highlight w:val="none"/>
          <w:lang w:val="en-US" w:eastAsia="zh-CN"/>
        </w:rPr>
        <w:t>案件平均审理周期不超过100天，</w:t>
      </w:r>
      <w:r>
        <w:rPr>
          <w:rFonts w:hint="eastAsia" w:ascii="仿宋_GB2312" w:hAnsi="仿宋_GB2312" w:eastAsia="仿宋_GB2312" w:cs="仿宋_GB2312"/>
          <w:color w:val="auto"/>
          <w:szCs w:val="32"/>
          <w:highlight w:val="none"/>
          <w:lang w:val="en-US" w:eastAsia="zh-CN"/>
        </w:rPr>
        <w:t>速裁快审一审结案数占案件总结案数的53%。</w:t>
      </w:r>
      <w:r>
        <w:rPr>
          <w:rFonts w:hint="eastAsia" w:ascii="仿宋_GB2312" w:hAnsi="仿宋_GB2312" w:eastAsia="仿宋_GB2312" w:cs="仿宋_GB2312"/>
          <w:szCs w:val="32"/>
        </w:rPr>
        <w:t>完善网上立案容缺受理机制、网上立案一次性告知机制</w:t>
      </w:r>
      <w:r>
        <w:rPr>
          <w:rFonts w:hint="eastAsia" w:ascii="仿宋_GB2312" w:hAnsi="仿宋_GB2312" w:eastAsia="仿宋_GB2312" w:cs="仿宋_GB2312"/>
          <w:szCs w:val="32"/>
          <w:lang w:eastAsia="zh-CN"/>
        </w:rPr>
        <w:t>，</w:t>
      </w:r>
      <w:r>
        <w:rPr>
          <w:rFonts w:hint="eastAsia" w:ascii="仿宋_GB2312" w:hAnsi="仿宋_GB2312" w:eastAsia="仿宋_GB2312" w:cs="仿宋_GB2312"/>
          <w:color w:val="auto"/>
          <w:szCs w:val="32"/>
          <w:highlight w:val="none"/>
        </w:rPr>
        <w:t>民商事案件网上立案率达到55%。</w:t>
      </w:r>
      <w:r>
        <w:rPr>
          <w:rFonts w:hint="eastAsia" w:ascii="仿宋_GB2312" w:hAnsi="仿宋_GB2312" w:eastAsia="仿宋_GB2312" w:cs="仿宋_GB2312"/>
          <w:szCs w:val="32"/>
        </w:rPr>
        <w:t>建立有效庭审直播管理机制，</w:t>
      </w:r>
      <w:r>
        <w:rPr>
          <w:rFonts w:hint="eastAsia" w:ascii="仿宋_GB2312" w:hAnsi="仿宋_GB2312" w:eastAsia="仿宋_GB2312" w:cs="仿宋_GB2312"/>
          <w:color w:val="auto"/>
          <w:szCs w:val="32"/>
          <w:highlight w:val="none"/>
        </w:rPr>
        <w:t>庭审直播率30%。</w:t>
      </w:r>
      <w:r>
        <w:rPr>
          <w:rFonts w:hint="eastAsia" w:ascii="仿宋_GB2312" w:hAnsi="仿宋_GB2312" w:eastAsia="仿宋_GB2312" w:cs="仿宋_GB2312"/>
          <w:szCs w:val="32"/>
        </w:rPr>
        <w:t>研究建立发回重审、改判案件“预瑕疵”评定处理机制，</w:t>
      </w:r>
      <w:r>
        <w:rPr>
          <w:rFonts w:hint="eastAsia" w:ascii="仿宋_GB2312" w:hAnsi="仿宋_GB2312" w:eastAsia="仿宋_GB2312" w:cs="仿宋_GB2312"/>
          <w:color w:val="auto"/>
          <w:szCs w:val="32"/>
          <w:highlight w:val="none"/>
          <w:lang w:val="en-US" w:eastAsia="zh-CN"/>
        </w:rPr>
        <w:t>民商事案件一审服判息诉率同比上升2%。</w:t>
      </w:r>
      <w:r>
        <w:rPr>
          <w:rFonts w:hint="eastAsia" w:ascii="仿宋_GB2312" w:hAnsi="仿宋_GB2312" w:eastAsia="仿宋_GB2312" w:cs="仿宋_GB2312"/>
          <w:szCs w:val="32"/>
        </w:rPr>
        <w:t>建立企业送达地址（含电子送达地址）登记承诺制度，提高法律文书送达效率。</w:t>
      </w:r>
    </w:p>
    <w:p w14:paraId="290B4CE5">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3.持续加强知识产权创造、运用和保护。</w:t>
      </w:r>
      <w:r>
        <w:rPr>
          <w:rFonts w:hint="eastAsia" w:ascii="仿宋_GB2312" w:hAnsi="仿宋_GB2312" w:eastAsia="仿宋_GB2312" w:cs="仿宋_GB2312"/>
          <w:b w:val="0"/>
          <w:bCs w:val="0"/>
          <w:sz w:val="32"/>
          <w:szCs w:val="32"/>
          <w:lang w:val="en-US" w:eastAsia="zh-CN"/>
        </w:rPr>
        <w:t>进一步做好</w:t>
      </w:r>
      <w:r>
        <w:rPr>
          <w:rFonts w:hint="eastAsia" w:ascii="仿宋_GB2312" w:hAnsi="仿宋_GB2312" w:eastAsia="仿宋_GB2312" w:cs="仿宋_GB2312"/>
          <w:sz w:val="32"/>
          <w:szCs w:val="32"/>
        </w:rPr>
        <w:t>高价值专利培育</w:t>
      </w:r>
      <w:r>
        <w:rPr>
          <w:rFonts w:hint="eastAsia" w:ascii="仿宋_GB2312" w:hAnsi="仿宋_GB2312" w:eastAsia="仿宋_GB2312" w:cs="仿宋_GB2312"/>
          <w:sz w:val="32"/>
          <w:szCs w:val="32"/>
          <w:lang w:val="en-US" w:eastAsia="zh-CN"/>
        </w:rPr>
        <w:t>中心布局</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rPr>
        <w:t>围绕双十产业至少建</w:t>
      </w:r>
      <w:r>
        <w:rPr>
          <w:rFonts w:hint="default" w:ascii="仿宋_GB2312" w:hAnsi="仿宋_GB2312" w:eastAsia="仿宋_GB2312" w:cs="仿宋_GB2312"/>
          <w:color w:val="auto"/>
          <w:sz w:val="32"/>
          <w:szCs w:val="32"/>
          <w:highlight w:val="none"/>
        </w:rPr>
        <w:t>设</w:t>
      </w:r>
      <w:r>
        <w:rPr>
          <w:rFonts w:hint="default" w:ascii="仿宋_GB2312" w:hAnsi="仿宋_GB2312" w:eastAsia="仿宋_GB2312" w:cs="仿宋_GB2312"/>
          <w:color w:val="auto"/>
          <w:sz w:val="32"/>
          <w:szCs w:val="32"/>
          <w:highlight w:val="none"/>
          <w:shd w:val="clear" w:fill="auto"/>
          <w:lang w:val="en-US" w:eastAsia="zh-CN"/>
        </w:rPr>
        <w:t>1</w:t>
      </w:r>
      <w:r>
        <w:rPr>
          <w:rFonts w:hint="default" w:ascii="仿宋_GB2312" w:hAnsi="仿宋_GB2312" w:eastAsia="仿宋_GB2312" w:cs="仿宋_GB2312"/>
          <w:color w:val="auto"/>
          <w:sz w:val="32"/>
          <w:szCs w:val="32"/>
          <w:highlight w:val="none"/>
        </w:rPr>
        <w:t>家</w:t>
      </w:r>
      <w:r>
        <w:rPr>
          <w:rFonts w:hint="eastAsia" w:ascii="仿宋_GB2312" w:hAnsi="仿宋_GB2312" w:eastAsia="仿宋_GB2312" w:cs="仿宋_GB2312"/>
          <w:color w:val="auto"/>
          <w:sz w:val="32"/>
          <w:szCs w:val="32"/>
          <w:highlight w:val="none"/>
        </w:rPr>
        <w:t>高价值专利培育布局中心。</w:t>
      </w:r>
      <w:r>
        <w:rPr>
          <w:rFonts w:hint="eastAsia" w:ascii="仿宋_GB2312" w:hAnsi="仿宋_GB2312" w:eastAsia="仿宋_GB2312" w:cs="仿宋_GB2312"/>
          <w:sz w:val="32"/>
          <w:szCs w:val="32"/>
        </w:rPr>
        <w:t>优化知识产权金融服务，鼓励和支持金融机构开展知识产权质押融资业务</w:t>
      </w:r>
      <w:r>
        <w:rPr>
          <w:rFonts w:hint="eastAsia" w:ascii="仿宋_GB2312" w:hAnsi="仿宋_GB2312" w:eastAsia="仿宋_GB2312" w:cs="仿宋_GB2312"/>
          <w:sz w:val="32"/>
          <w:szCs w:val="32"/>
          <w:lang w:eastAsia="zh-CN"/>
        </w:rPr>
        <w:t>。</w:t>
      </w:r>
    </w:p>
    <w:p w14:paraId="6F41DC1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4.深入推进社会信用体系建设。</w:t>
      </w:r>
      <w:r>
        <w:rPr>
          <w:rFonts w:hint="eastAsia" w:ascii="仿宋_GB2312" w:hAnsi="仿宋_GB2312" w:eastAsia="仿宋_GB2312" w:cs="仿宋_GB2312"/>
          <w:sz w:val="32"/>
          <w:szCs w:val="32"/>
        </w:rPr>
        <w:t>深化公共信用信息归集共享和数据治理机制。</w:t>
      </w:r>
      <w:r>
        <w:rPr>
          <w:rFonts w:hint="eastAsia" w:ascii="仿宋_GB2312" w:hAnsi="仿宋_GB2312" w:eastAsia="仿宋_GB2312" w:cs="仿宋_GB2312"/>
          <w:sz w:val="32"/>
          <w:szCs w:val="32"/>
          <w:lang w:val="en-US" w:eastAsia="zh-CN"/>
        </w:rPr>
        <w:t>健全中小微企业</w:t>
      </w:r>
      <w:r>
        <w:rPr>
          <w:rFonts w:hint="eastAsia" w:ascii="仿宋_GB2312" w:hAnsi="仿宋_GB2312" w:eastAsia="仿宋_GB2312" w:cs="仿宋_GB2312"/>
          <w:sz w:val="32"/>
          <w:szCs w:val="32"/>
        </w:rPr>
        <w:t>信用评价机制，</w:t>
      </w:r>
      <w:r>
        <w:rPr>
          <w:rFonts w:hint="eastAsia" w:ascii="仿宋_GB2312" w:hAnsi="仿宋_GB2312" w:eastAsia="仿宋_GB2312" w:cs="仿宋_GB2312"/>
          <w:sz w:val="32"/>
          <w:szCs w:val="32"/>
          <w:lang w:val="en-US" w:eastAsia="zh-CN"/>
        </w:rPr>
        <w:t>至少</w:t>
      </w:r>
      <w:r>
        <w:rPr>
          <w:rFonts w:hint="eastAsia" w:ascii="仿宋_GB2312" w:hAnsi="仿宋_GB2312" w:eastAsia="仿宋_GB2312" w:cs="仿宋_GB2312"/>
          <w:sz w:val="32"/>
          <w:szCs w:val="32"/>
        </w:rPr>
        <w:t>推动</w:t>
      </w:r>
      <w:r>
        <w:rPr>
          <w:rFonts w:hint="default" w:ascii="仿宋_GB2312" w:hAnsi="仿宋_GB2312" w:eastAsia="仿宋_GB2312" w:cs="仿宋_GB2312"/>
          <w:color w:val="auto"/>
          <w:sz w:val="32"/>
          <w:szCs w:val="32"/>
          <w:highlight w:val="none"/>
          <w:shd w:val="clear" w:fill="auto"/>
          <w:lang w:val="en-US" w:eastAsia="zh-CN"/>
        </w:rPr>
        <w:t>1</w:t>
      </w:r>
      <w:r>
        <w:rPr>
          <w:rFonts w:hint="default" w:ascii="仿宋_GB2312" w:hAnsi="仿宋_GB2312" w:eastAsia="仿宋_GB2312" w:cs="仿宋_GB2312"/>
          <w:color w:val="auto"/>
          <w:sz w:val="32"/>
          <w:szCs w:val="32"/>
          <w:highlight w:val="none"/>
          <w:lang w:val="en-US" w:eastAsia="zh-CN"/>
        </w:rPr>
        <w:t>个</w:t>
      </w:r>
      <w:r>
        <w:rPr>
          <w:rFonts w:hint="default" w:ascii="仿宋_GB2312" w:hAnsi="仿宋_GB2312" w:eastAsia="仿宋_GB2312" w:cs="仿宋_GB2312"/>
          <w:color w:val="auto"/>
          <w:sz w:val="32"/>
          <w:szCs w:val="32"/>
          <w:highlight w:val="none"/>
        </w:rPr>
        <w:t>“信易+”场景</w:t>
      </w:r>
      <w:r>
        <w:rPr>
          <w:rFonts w:hint="default" w:ascii="仿宋_GB2312" w:hAnsi="仿宋_GB2312" w:eastAsia="仿宋_GB2312" w:cs="仿宋_GB2312"/>
          <w:color w:val="auto"/>
          <w:sz w:val="32"/>
          <w:szCs w:val="32"/>
          <w:highlight w:val="none"/>
          <w:lang w:val="en-US" w:eastAsia="zh-CN"/>
        </w:rPr>
        <w:t>上线</w:t>
      </w:r>
      <w:r>
        <w:rPr>
          <w:rFonts w:hint="default" w:ascii="仿宋_GB2312" w:hAnsi="仿宋_GB2312" w:eastAsia="仿宋_GB2312" w:cs="仿宋_GB2312"/>
          <w:color w:val="auto"/>
          <w:sz w:val="32"/>
          <w:szCs w:val="32"/>
          <w:highlight w:val="none"/>
        </w:rPr>
        <w:t>应用</w:t>
      </w:r>
      <w:r>
        <w:rPr>
          <w:rFonts w:hint="default"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配合市推动</w:t>
      </w:r>
      <w:r>
        <w:rPr>
          <w:rFonts w:hint="default" w:ascii="仿宋_GB2312" w:hAnsi="仿宋_GB2312" w:eastAsia="仿宋_GB2312" w:cs="仿宋_GB2312"/>
          <w:color w:val="auto"/>
          <w:sz w:val="32"/>
          <w:szCs w:val="32"/>
          <w:highlight w:val="none"/>
        </w:rPr>
        <w:t>“信易+信贷”“</w:t>
      </w:r>
      <w:r>
        <w:rPr>
          <w:rFonts w:hint="eastAsia" w:ascii="仿宋_GB2312" w:hAnsi="仿宋_GB2312" w:eastAsia="仿宋_GB2312" w:cs="仿宋_GB2312"/>
          <w:color w:val="auto"/>
          <w:sz w:val="32"/>
          <w:szCs w:val="32"/>
          <w:highlight w:val="none"/>
        </w:rPr>
        <w:t>信易+市场监管”</w:t>
      </w:r>
      <w:r>
        <w:rPr>
          <w:rFonts w:hint="eastAsia" w:ascii="仿宋_GB2312" w:hAnsi="仿宋_GB2312" w:eastAsia="仿宋_GB2312" w:cs="仿宋_GB2312"/>
          <w:color w:val="auto"/>
          <w:sz w:val="32"/>
          <w:szCs w:val="32"/>
          <w:highlight w:val="none"/>
          <w:lang w:val="en-US" w:eastAsia="zh-CN"/>
        </w:rPr>
        <w:t>场景工作，根据企业信用风险分类结果，为信用优、记录好的企业获得信贷增信护航，对信用好、风险低的企业试行免检、少检。</w:t>
      </w:r>
      <w:r>
        <w:rPr>
          <w:rFonts w:hint="eastAsia" w:ascii="仿宋_GB2312" w:hAnsi="仿宋_GB2312" w:eastAsia="仿宋_GB2312" w:cs="仿宋_GB2312"/>
          <w:color w:val="auto"/>
          <w:sz w:val="32"/>
          <w:szCs w:val="32"/>
          <w:highlight w:val="none"/>
        </w:rPr>
        <w:t>全面推进信用分级分类监管，推动相关行业主管部门充分应用公共信用评价结果，</w:t>
      </w:r>
      <w:r>
        <w:rPr>
          <w:rFonts w:hint="eastAsia" w:ascii="仿宋_GB2312" w:hAnsi="仿宋_GB2312" w:eastAsia="仿宋_GB2312" w:cs="仿宋_GB2312"/>
          <w:color w:val="auto"/>
          <w:sz w:val="32"/>
          <w:szCs w:val="32"/>
          <w:highlight w:val="none"/>
          <w:lang w:val="en-US" w:eastAsia="zh-CN"/>
        </w:rPr>
        <w:t>配合市</w:t>
      </w:r>
      <w:r>
        <w:rPr>
          <w:rFonts w:hint="eastAsia" w:ascii="仿宋_GB2312" w:hAnsi="仿宋_GB2312" w:eastAsia="仿宋_GB2312" w:cs="仿宋_GB2312"/>
          <w:color w:val="auto"/>
          <w:sz w:val="32"/>
          <w:szCs w:val="32"/>
          <w:highlight w:val="none"/>
        </w:rPr>
        <w:t>在不少于2</w:t>
      </w:r>
      <w:r>
        <w:rPr>
          <w:rFonts w:hint="eastAsia" w:ascii="仿宋_GB2312" w:hAnsi="仿宋_GB2312" w:eastAsia="仿宋_GB2312" w:cs="仿宋_GB2312"/>
          <w:sz w:val="32"/>
          <w:szCs w:val="32"/>
        </w:rPr>
        <w:t>8个重点领域深入推进信用监管，构建以信用为基础的新型监管机制。</w:t>
      </w:r>
    </w:p>
    <w:p w14:paraId="54BBC15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b/>
          <w:bCs/>
          <w:kern w:val="2"/>
          <w:sz w:val="32"/>
          <w:szCs w:val="32"/>
          <w:lang w:val="en-US" w:eastAsia="zh-CN" w:bidi="ar-SA"/>
        </w:rPr>
        <w:t>5.推进“双随机、一公开”监管。</w:t>
      </w:r>
      <w:r>
        <w:rPr>
          <w:rFonts w:hint="eastAsia" w:ascii="仿宋_GB2312" w:hAnsi="仿宋_GB2312" w:eastAsia="仿宋_GB2312" w:cs="仿宋_GB2312"/>
          <w:sz w:val="32"/>
          <w:szCs w:val="32"/>
        </w:rPr>
        <w:t>依托广东省“双随机、一公开”综合监管平台，制定年度计划，组织开展跨部门联合抽查工作。探索实现“双随机”监管与企业信用风险分类管理相结合，根据企业信用风险分类结果，实行差异化的监管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rPr>
        <w:t>对信用风险低（A类）企业，原则上一年不超过1次的抽查频次；信用风险一般（B类）企业，原则上一年不超过2次的抽查频次；信用风险较高、信用风险高的企业依法依规增加抽查频次;每季度抽查1次。</w:t>
      </w:r>
    </w:p>
    <w:p w14:paraId="74BEFBA0">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ascii="Times New Roman" w:hAnsi="Times New Roman" w:eastAsia="仿宋_GB2312"/>
          <w:sz w:val="32"/>
          <w:szCs w:val="32"/>
        </w:rPr>
      </w:pPr>
      <w:r>
        <w:rPr>
          <w:rFonts w:hint="eastAsia" w:ascii="仿宋_GB2312" w:hAnsi="仿宋_GB2312" w:eastAsia="仿宋_GB2312" w:cs="仿宋_GB2312"/>
          <w:b/>
          <w:bCs/>
          <w:kern w:val="2"/>
          <w:sz w:val="32"/>
          <w:szCs w:val="32"/>
          <w:lang w:val="en-US" w:eastAsia="zh-CN" w:bidi="ar-SA"/>
        </w:rPr>
        <w:t>6.推进严格规范公正文明执法。</w:t>
      </w:r>
      <w:r>
        <w:rPr>
          <w:rFonts w:hint="eastAsia" w:ascii="仿宋_GB2312" w:hAnsi="仿宋_GB2312" w:eastAsia="仿宋_GB2312" w:cs="仿宋_GB2312"/>
          <w:sz w:val="32"/>
          <w:szCs w:val="32"/>
        </w:rPr>
        <w:t>制定包容审慎监管企业清单并开展实质性运作，将</w:t>
      </w:r>
      <w:r>
        <w:rPr>
          <w:rFonts w:hint="eastAsia" w:ascii="仿宋_GB2312" w:hAnsi="仿宋_GB2312" w:eastAsia="仿宋_GB2312" w:cs="仿宋_GB2312"/>
          <w:sz w:val="32"/>
          <w:szCs w:val="32"/>
          <w:lang w:eastAsia="zh-CN"/>
        </w:rPr>
        <w:t>市场</w:t>
      </w:r>
      <w:r>
        <w:rPr>
          <w:rFonts w:hint="eastAsia" w:ascii="仿宋_GB2312" w:hAnsi="仿宋_GB2312" w:eastAsia="仿宋_GB2312" w:cs="仿宋_GB2312"/>
          <w:sz w:val="32"/>
          <w:szCs w:val="32"/>
        </w:rPr>
        <w:t>轻微违法经营行为免处罚免强制清单范围扩展至各执法领域。强化职权下放部门</w:t>
      </w:r>
      <w:r>
        <w:rPr>
          <w:rFonts w:hint="eastAsia" w:ascii="仿宋_GB2312" w:hAnsi="仿宋_GB2312" w:eastAsia="仿宋_GB2312" w:cs="仿宋_GB2312"/>
          <w:sz w:val="32"/>
          <w:szCs w:val="32"/>
          <w:lang w:val="en-US" w:eastAsia="zh-CN"/>
        </w:rPr>
        <w:t>对下放镇街实施的三批664项县级行政执法事项进行再优化、再培训，</w:t>
      </w:r>
      <w:r>
        <w:rPr>
          <w:rFonts w:hint="eastAsia" w:ascii="仿宋_GB2312" w:hAnsi="仿宋_GB2312" w:eastAsia="仿宋_GB2312" w:cs="仿宋_GB2312"/>
          <w:sz w:val="32"/>
          <w:szCs w:val="32"/>
        </w:rPr>
        <w:t>提升乡镇规范执法水平。</w:t>
      </w:r>
      <w:r>
        <w:rPr>
          <w:rFonts w:hint="eastAsia" w:ascii="仿宋_GB2312" w:hAnsi="仿宋_GB2312" w:eastAsia="仿宋_GB2312" w:cs="仿宋_GB2312"/>
          <w:color w:val="auto"/>
          <w:sz w:val="32"/>
          <w:szCs w:val="32"/>
        </w:rPr>
        <w:t>指导督促全</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各级行政执法主体运用汕尾市行政执法“两平台”进行行政执法，实现“应上尽上”，推进严格规范公正文明执法。</w:t>
      </w:r>
    </w:p>
    <w:p w14:paraId="6EA99353">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7.完善劳动力市场监管和服务。</w:t>
      </w:r>
      <w:r>
        <w:rPr>
          <w:rFonts w:hint="eastAsia" w:ascii="仿宋_GB2312" w:eastAsia="仿宋_GB2312"/>
          <w:sz w:val="32"/>
          <w:szCs w:val="32"/>
        </w:rPr>
        <w:t>推动公共就业服务事项全流程网上</w:t>
      </w:r>
      <w:r>
        <w:rPr>
          <w:rFonts w:hint="eastAsia" w:ascii="仿宋_GB2312" w:hAnsi="仿宋_GB2312" w:eastAsia="仿宋_GB2312" w:cs="仿宋_GB2312"/>
          <w:color w:val="auto"/>
          <w:sz w:val="32"/>
          <w:szCs w:val="40"/>
        </w:rPr>
        <w:t>办理</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创新服务模式，组织开展“抖音直播带岗”、“善美村居+云招聘”等线上线下招聘活动</w:t>
      </w:r>
      <w:r>
        <w:rPr>
          <w:rFonts w:hint="eastAsia" w:ascii="仿宋_GB2312" w:hAnsi="仿宋_GB2312" w:eastAsia="仿宋_GB2312" w:cs="仿宋_GB2312"/>
          <w:color w:val="auto"/>
          <w:sz w:val="32"/>
          <w:szCs w:val="40"/>
          <w:lang w:val="en-US" w:eastAsia="zh-CN"/>
        </w:rPr>
        <w:t>30</w:t>
      </w:r>
      <w:r>
        <w:rPr>
          <w:rFonts w:hint="eastAsia" w:ascii="仿宋_GB2312" w:hAnsi="仿宋_GB2312" w:eastAsia="仿宋_GB2312" w:cs="仿宋_GB2312"/>
          <w:color w:val="auto"/>
          <w:sz w:val="32"/>
          <w:szCs w:val="40"/>
        </w:rPr>
        <w:t>场次，解决企业用工</w:t>
      </w:r>
      <w:r>
        <w:rPr>
          <w:rFonts w:hint="eastAsia" w:ascii="仿宋_GB2312" w:hAnsi="仿宋_GB2312" w:eastAsia="仿宋_GB2312" w:cs="仿宋_GB2312"/>
          <w:color w:val="auto"/>
          <w:sz w:val="32"/>
          <w:szCs w:val="40"/>
          <w:lang w:val="en-US" w:eastAsia="zh-CN"/>
        </w:rPr>
        <w:t>1300</w:t>
      </w:r>
      <w:r>
        <w:rPr>
          <w:rFonts w:hint="eastAsia" w:ascii="仿宋_GB2312" w:hAnsi="仿宋_GB2312" w:eastAsia="仿宋_GB2312" w:cs="仿宋_GB2312"/>
          <w:color w:val="auto"/>
          <w:sz w:val="32"/>
          <w:szCs w:val="40"/>
        </w:rPr>
        <w:t>人。</w:t>
      </w:r>
      <w:r>
        <w:rPr>
          <w:rFonts w:hint="eastAsia" w:ascii="仿宋_GB2312" w:hAnsi="仿宋_GB2312" w:eastAsia="仿宋_GB2312" w:cs="仿宋_GB2312"/>
          <w:color w:val="auto"/>
          <w:sz w:val="32"/>
          <w:szCs w:val="40"/>
          <w:lang w:val="en-US" w:eastAsia="zh-CN"/>
        </w:rPr>
        <w:t>劳动保障守法诚信A级企业占比达95%以上。2022年争取中央、省和市就业创业政策性补贴资金约</w:t>
      </w:r>
      <w:r>
        <w:rPr>
          <w:rFonts w:hint="eastAsia" w:ascii="仿宋_GB2312" w:hAnsi="仿宋_GB2312" w:eastAsia="仿宋_GB2312" w:cs="仿宋_GB2312"/>
          <w:color w:val="auto"/>
          <w:sz w:val="32"/>
          <w:szCs w:val="40"/>
          <w:shd w:val="clear" w:fill="auto"/>
          <w:lang w:val="en-US" w:eastAsia="zh-CN"/>
        </w:rPr>
        <w:t>850</w:t>
      </w:r>
      <w:r>
        <w:rPr>
          <w:rFonts w:hint="eastAsia" w:ascii="仿宋_GB2312" w:hAnsi="仿宋_GB2312" w:eastAsia="仿宋_GB2312" w:cs="仿宋_GB2312"/>
          <w:color w:val="auto"/>
          <w:sz w:val="32"/>
          <w:szCs w:val="40"/>
          <w:lang w:val="en-US" w:eastAsia="zh-CN"/>
        </w:rPr>
        <w:t>万元，支出率达</w:t>
      </w:r>
      <w:r>
        <w:rPr>
          <w:rFonts w:hint="eastAsia" w:ascii="仿宋_GB2312" w:eastAsia="仿宋_GB2312"/>
          <w:sz w:val="32"/>
          <w:szCs w:val="32"/>
          <w:lang w:val="en-US" w:eastAsia="zh-CN"/>
        </w:rPr>
        <w:t>90%。</w:t>
      </w:r>
    </w:p>
    <w:p w14:paraId="4844B05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8.筑牢公平公正司法防线。</w:t>
      </w:r>
      <w:r>
        <w:rPr>
          <w:rFonts w:hint="eastAsia" w:ascii="仿宋_GB2312" w:hAnsi="仿宋_GB2312" w:eastAsia="仿宋_GB2312" w:cs="仿宋_GB2312"/>
          <w:sz w:val="32"/>
          <w:szCs w:val="32"/>
        </w:rPr>
        <w:t>充分发挥民事检察职能，通过检察建议、抗诉等方式，敦促人民法院纠正违法案件，提高司法公正。发挥好行政检察“一手托两家”的作用，通过检察建议等方式敦促行政机关依法行政。</w:t>
      </w:r>
      <w:r>
        <w:rPr>
          <w:rFonts w:hint="eastAsia" w:ascii="仿宋_GB2312" w:hAnsi="仿宋_GB2312" w:eastAsia="仿宋_GB2312" w:cs="仿宋_GB2312"/>
          <w:b w:val="0"/>
          <w:bCs w:val="0"/>
          <w:color w:val="auto"/>
          <w:sz w:val="32"/>
          <w:szCs w:val="32"/>
          <w:highlight w:val="none"/>
        </w:rPr>
        <w:t>确保检察建议回复率80%以上。</w:t>
      </w:r>
      <w:r>
        <w:rPr>
          <w:rFonts w:hint="eastAsia" w:ascii="仿宋_GB2312" w:hAnsi="仿宋_GB2312" w:eastAsia="仿宋_GB2312" w:cs="仿宋_GB2312"/>
          <w:sz w:val="32"/>
          <w:szCs w:val="32"/>
        </w:rPr>
        <w:t>压实公益诉讼检察责任，依法</w:t>
      </w:r>
      <w:r>
        <w:rPr>
          <w:rFonts w:hint="eastAsia" w:ascii="仿宋_GB2312" w:hAnsi="仿宋_GB2312" w:eastAsia="仿宋_GB2312" w:cs="仿宋_GB2312"/>
          <w:sz w:val="32"/>
          <w:szCs w:val="32"/>
          <w:lang w:val="en-US" w:eastAsia="zh-CN"/>
        </w:rPr>
        <w:t>保障</w:t>
      </w:r>
      <w:r>
        <w:rPr>
          <w:rFonts w:hint="eastAsia" w:ascii="仿宋_GB2312" w:hAnsi="仿宋_GB2312" w:eastAsia="仿宋_GB2312" w:cs="仿宋_GB2312"/>
          <w:sz w:val="32"/>
          <w:szCs w:val="32"/>
        </w:rPr>
        <w:t>食品药品领域</w:t>
      </w:r>
      <w:r>
        <w:rPr>
          <w:rFonts w:hint="eastAsia" w:ascii="仿宋_GB2312" w:hAnsi="仿宋_GB2312" w:eastAsia="仿宋_GB2312" w:cs="仿宋_GB2312"/>
          <w:sz w:val="32"/>
          <w:szCs w:val="32"/>
          <w:lang w:val="en-US" w:eastAsia="zh-CN"/>
        </w:rPr>
        <w:t>安全，</w:t>
      </w:r>
      <w:r>
        <w:rPr>
          <w:rFonts w:hint="eastAsia" w:ascii="仿宋_GB2312" w:hAnsi="仿宋_GB2312" w:eastAsia="仿宋_GB2312" w:cs="仿宋_GB2312"/>
          <w:b w:val="0"/>
          <w:bCs w:val="0"/>
          <w:color w:val="auto"/>
          <w:sz w:val="32"/>
          <w:szCs w:val="32"/>
          <w:highlight w:val="none"/>
          <w:lang w:val="en-US" w:eastAsia="zh-CN"/>
        </w:rPr>
        <w:t>加强食品药品安全领域公益诉讼工作</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sz w:val="32"/>
          <w:szCs w:val="32"/>
        </w:rPr>
        <w:t>推进</w:t>
      </w:r>
      <w:r>
        <w:rPr>
          <w:rFonts w:hint="eastAsia" w:ascii="仿宋_GB2312" w:hAnsi="仿宋_GB2312" w:eastAsia="仿宋_GB2312" w:cs="仿宋_GB2312"/>
          <w:sz w:val="32"/>
          <w:szCs w:val="32"/>
          <w:lang w:val="en-US" w:eastAsia="zh-CN"/>
        </w:rPr>
        <w:t>检察</w:t>
      </w:r>
      <w:r>
        <w:rPr>
          <w:rFonts w:hint="eastAsia" w:ascii="仿宋_GB2312" w:hAnsi="仿宋_GB2312" w:eastAsia="仿宋_GB2312" w:cs="仿宋_GB2312"/>
          <w:sz w:val="32"/>
          <w:szCs w:val="32"/>
        </w:rPr>
        <w:t>公开听证机制落实，广泛邀请第三方人员参与刑事、民事、行政和公益诉讼检察案件的听证。</w:t>
      </w:r>
      <w:r>
        <w:rPr>
          <w:rFonts w:hint="eastAsia" w:ascii="仿宋_GB2312" w:hAnsi="仿宋_GB2312" w:eastAsia="仿宋_GB2312" w:cs="仿宋_GB2312"/>
          <w:b w:val="0"/>
          <w:bCs w:val="0"/>
          <w:color w:val="auto"/>
          <w:sz w:val="32"/>
          <w:szCs w:val="32"/>
          <w:highlight w:val="none"/>
        </w:rPr>
        <w:t>确保</w:t>
      </w:r>
      <w:r>
        <w:rPr>
          <w:rFonts w:hint="eastAsia" w:ascii="仿宋_GB2312" w:hAnsi="仿宋_GB2312" w:eastAsia="仿宋_GB2312" w:cs="仿宋_GB2312"/>
          <w:b w:val="0"/>
          <w:bCs w:val="0"/>
          <w:color w:val="auto"/>
          <w:sz w:val="32"/>
          <w:szCs w:val="32"/>
          <w:highlight w:val="none"/>
          <w:lang w:val="en-US" w:eastAsia="zh-CN"/>
        </w:rPr>
        <w:t>做到“应听尽听”</w:t>
      </w:r>
      <w:r>
        <w:rPr>
          <w:rFonts w:hint="eastAsia" w:ascii="仿宋_GB2312" w:hAnsi="仿宋_GB2312" w:eastAsia="仿宋_GB2312" w:cs="仿宋_GB2312"/>
          <w:b w:val="0"/>
          <w:bCs w:val="0"/>
          <w:color w:val="auto"/>
          <w:sz w:val="32"/>
          <w:szCs w:val="32"/>
          <w:highlight w:val="none"/>
        </w:rPr>
        <w:t>。</w:t>
      </w:r>
    </w:p>
    <w:p w14:paraId="2E4834AF">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三、工作机制</w:t>
      </w:r>
    </w:p>
    <w:p w14:paraId="0800A12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kern w:val="2"/>
          <w:sz w:val="32"/>
          <w:szCs w:val="32"/>
          <w:lang w:val="en-US" w:eastAsia="zh-CN" w:bidi="ar-SA"/>
        </w:rPr>
        <w:t>（一）建立信息报送工作机制。</w:t>
      </w:r>
      <w:r>
        <w:rPr>
          <w:rFonts w:hint="eastAsia" w:ascii="仿宋_GB2312" w:hAnsi="仿宋_GB2312" w:eastAsia="仿宋_GB2312" w:cs="仿宋_GB2312"/>
          <w:sz w:val="32"/>
          <w:szCs w:val="32"/>
          <w:lang w:val="en-US" w:eastAsia="zh-CN"/>
        </w:rPr>
        <w:t>建立常态化信息报送制度，对照2022年任务清单，各镇（场、开发区）、县有关单位于每月23日前将任务进度、成效、存在问题等情况报县营商环境指挥部办公室。对于关乎全面优化营商环境攻坚行动核心的重点工作，</w:t>
      </w:r>
      <w:r>
        <w:rPr>
          <w:rFonts w:hint="eastAsia" w:ascii="仿宋_GB2312" w:hAnsi="仿宋_GB2312" w:eastAsia="仿宋_GB2312" w:cs="仿宋_GB2312"/>
          <w:color w:val="auto"/>
          <w:sz w:val="32"/>
          <w:szCs w:val="32"/>
          <w:highlight w:val="none"/>
        </w:rPr>
        <w:t>形成阶段性周报制度，</w:t>
      </w:r>
      <w:r>
        <w:rPr>
          <w:rFonts w:hint="eastAsia" w:ascii="仿宋_GB2312" w:hAnsi="仿宋_GB2312" w:eastAsia="仿宋_GB2312" w:cs="仿宋_GB2312"/>
          <w:sz w:val="32"/>
          <w:szCs w:val="32"/>
          <w:lang w:val="en-US" w:eastAsia="zh-CN"/>
        </w:rPr>
        <w:t>由责任单位形成工作情况简报每周报送县营商环境指挥部办公室。</w:t>
      </w:r>
      <w:r>
        <w:rPr>
          <w:rFonts w:hint="eastAsia" w:ascii="仿宋_GB2312" w:hAnsi="仿宋_GB2312" w:eastAsia="仿宋_GB2312" w:cs="仿宋_GB2312"/>
          <w:color w:val="auto"/>
          <w:sz w:val="32"/>
          <w:szCs w:val="32"/>
          <w:highlight w:val="none"/>
        </w:rPr>
        <w:t>各项任务</w:t>
      </w:r>
      <w:r>
        <w:rPr>
          <w:rFonts w:hint="eastAsia" w:ascii="仿宋_GB2312" w:hAnsi="仿宋_GB2312" w:eastAsia="仿宋_GB2312" w:cs="仿宋_GB2312"/>
          <w:sz w:val="32"/>
          <w:szCs w:val="32"/>
          <w:lang w:val="en-US" w:eastAsia="zh-CN"/>
        </w:rPr>
        <w:t>取得重大突破性进展和形成示范性创新做法的，由责任单位形成工作情况简报每周报送县营商环境指挥部办公室。对于</w:t>
      </w:r>
      <w:r>
        <w:rPr>
          <w:rFonts w:hint="eastAsia" w:ascii="仿宋_GB2312" w:hAnsi="仿宋_GB2312" w:eastAsia="仿宋_GB2312" w:cs="仿宋_GB2312"/>
          <w:color w:val="auto"/>
          <w:sz w:val="32"/>
          <w:szCs w:val="32"/>
          <w:highlight w:val="none"/>
          <w:lang w:eastAsia="zh-CN"/>
        </w:rPr>
        <w:t>“三大行动”</w:t>
      </w:r>
      <w:r>
        <w:rPr>
          <w:rFonts w:hint="eastAsia" w:ascii="仿宋_GB2312" w:hAnsi="仿宋_GB2312" w:eastAsia="仿宋_GB2312" w:cs="仿宋_GB2312"/>
          <w:sz w:val="32"/>
          <w:szCs w:val="32"/>
          <w:lang w:val="en-US" w:eastAsia="zh-CN"/>
        </w:rPr>
        <w:t>领导小组、指挥部、办公室层面会议协调事项，形成交办事项清单，落实对账销号制度，办理事项落实情况于每月23日前提交县营商环境指挥部办公室汇总，对账销号，直至事项办结。</w:t>
      </w:r>
    </w:p>
    <w:p w14:paraId="4D38EEF2">
      <w:pPr>
        <w:keepNext w:val="0"/>
        <w:keepLines w:val="0"/>
        <w:pageBreakBefore w:val="0"/>
        <w:widowControl w:val="0"/>
        <w:suppressLineNumbers w:val="0"/>
        <w:kinsoku/>
        <w:wordWrap w:val="0"/>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kern w:val="2"/>
          <w:sz w:val="32"/>
          <w:szCs w:val="32"/>
          <w:lang w:val="en-US" w:eastAsia="zh-CN" w:bidi="ar-SA"/>
        </w:rPr>
        <w:t>（二）建立联动工作机制。</w:t>
      </w:r>
      <w:r>
        <w:rPr>
          <w:rFonts w:hint="eastAsia" w:ascii="仿宋_GB2312" w:hAnsi="仿宋_GB2312" w:eastAsia="仿宋_GB2312" w:cs="仿宋_GB2312"/>
          <w:sz w:val="32"/>
          <w:szCs w:val="32"/>
          <w:lang w:val="en-US" w:eastAsia="zh-CN"/>
        </w:rPr>
        <w:t>建立月调度、季分析制度，每月由县营商环境指挥部办公室组织召开工作调度会，听取县直有关部门汇报</w:t>
      </w:r>
      <w:r>
        <w:rPr>
          <w:rFonts w:hint="eastAsia" w:ascii="仿宋_GB2312" w:hAnsi="仿宋_GB2312" w:eastAsia="仿宋_GB2312" w:cs="仿宋_GB2312"/>
          <w:color w:val="auto"/>
          <w:sz w:val="32"/>
          <w:szCs w:val="32"/>
          <w:highlight w:val="none"/>
        </w:rPr>
        <w:t>全面优化营商环境攻坚行动</w:t>
      </w:r>
      <w:r>
        <w:rPr>
          <w:rFonts w:hint="eastAsia" w:ascii="仿宋_GB2312" w:hAnsi="仿宋_GB2312" w:eastAsia="仿宋_GB2312" w:cs="仿宋_GB2312"/>
          <w:sz w:val="32"/>
          <w:szCs w:val="32"/>
          <w:lang w:val="en-US" w:eastAsia="zh-CN"/>
        </w:rPr>
        <w:t>工作情况，分析存在问题，围绕市考核要求部署整改落实工作；根据市每季度一次组织第三方测评、暗访督查情况及营商环境优化行动考核情况，召开分析会总结上一阶段进展成效及通报滞后情况，推动相关单位对照存在问题整改到位；年底开展全年工作总结及布置迎市年终考核冲刺工作。根据市考核细则，探索制定对县直部门和各镇的考核办法，</w:t>
      </w:r>
      <w:r>
        <w:rPr>
          <w:rFonts w:hint="eastAsia" w:ascii="仿宋_GB2312" w:hAnsi="仿宋_GB2312" w:eastAsia="仿宋_GB2312" w:cs="仿宋_GB2312"/>
          <w:color w:val="auto"/>
          <w:sz w:val="32"/>
          <w:szCs w:val="32"/>
          <w:highlight w:val="none"/>
        </w:rPr>
        <w:t>以完善、科学的考核</w:t>
      </w:r>
      <w:r>
        <w:rPr>
          <w:rFonts w:hint="eastAsia" w:ascii="仿宋_GB2312" w:hAnsi="仿宋_GB2312" w:eastAsia="仿宋_GB2312" w:cs="仿宋_GB2312"/>
          <w:color w:val="auto"/>
          <w:sz w:val="32"/>
          <w:szCs w:val="32"/>
          <w:highlight w:val="none"/>
          <w:lang w:val="en-US" w:eastAsia="zh-CN"/>
        </w:rPr>
        <w:t>办法</w:t>
      </w:r>
      <w:r>
        <w:rPr>
          <w:rFonts w:hint="eastAsia" w:ascii="仿宋_GB2312" w:hAnsi="仿宋_GB2312" w:eastAsia="仿宋_GB2312" w:cs="仿宋_GB2312"/>
          <w:color w:val="auto"/>
          <w:sz w:val="32"/>
          <w:szCs w:val="32"/>
          <w:highlight w:val="none"/>
        </w:rPr>
        <w:t>助推工作取得更佳的成效，</w:t>
      </w:r>
      <w:r>
        <w:rPr>
          <w:rFonts w:hint="eastAsia" w:ascii="仿宋_GB2312" w:hAnsi="仿宋_GB2312" w:eastAsia="仿宋_GB2312" w:cs="仿宋_GB2312"/>
          <w:sz w:val="32"/>
          <w:szCs w:val="32"/>
          <w:lang w:val="en-US" w:eastAsia="zh-CN"/>
        </w:rPr>
        <w:t>每季度和年终开展测评，筑牢上下贯通、执行有力的联动工作机制。</w:t>
      </w:r>
      <w:r>
        <w:rPr>
          <w:rFonts w:hint="eastAsia" w:ascii="仿宋_GB2312" w:hAnsi="仿宋_GB2312" w:eastAsia="仿宋_GB2312" w:cs="仿宋_GB2312"/>
          <w:sz w:val="32"/>
          <w:szCs w:val="32"/>
          <w:highlight w:val="none"/>
          <w:lang w:val="en-US" w:eastAsia="zh-CN"/>
        </w:rPr>
        <w:t>各地各部门</w:t>
      </w:r>
      <w:r>
        <w:rPr>
          <w:rFonts w:hint="eastAsia" w:ascii="仿宋_GB2312" w:hAnsi="仿宋_GB2312" w:eastAsia="仿宋_GB2312" w:cs="仿宋_GB2312"/>
          <w:sz w:val="32"/>
          <w:szCs w:val="32"/>
          <w:lang w:val="en-US" w:eastAsia="zh-CN"/>
        </w:rPr>
        <w:t>要参照县级机构机制，抓好体制机制建设，压紧单位主要领导亲自抓，分管领导专门抓，各有关股室协同抓的责任链条，形成体制顺畅、责任明确、边界清晰、力量汇聚的良好工作格局，推动我县全面优化营商环境攻坚行动的各项工作落实落细。</w:t>
      </w:r>
    </w:p>
    <w:p w14:paraId="1A457249">
      <w:pPr>
        <w:keepNext w:val="0"/>
        <w:keepLines w:val="0"/>
        <w:pageBreakBefore w:val="0"/>
        <w:widowControl w:val="0"/>
        <w:suppressLineNumbers w:val="0"/>
        <w:kinsoku/>
        <w:wordWrap w:val="0"/>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四、工作要求</w:t>
      </w:r>
    </w:p>
    <w:p w14:paraId="7D7E1106">
      <w:pPr>
        <w:keepNext w:val="0"/>
        <w:keepLines w:val="0"/>
        <w:pageBreakBefore w:val="0"/>
        <w:widowControl w:val="0"/>
        <w:suppressLineNumbers w:val="0"/>
        <w:kinsoku/>
        <w:wordWrap w:val="0"/>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b/>
          <w:bCs/>
          <w:kern w:val="2"/>
          <w:sz w:val="32"/>
          <w:szCs w:val="32"/>
          <w:lang w:val="en-US" w:eastAsia="zh-CN" w:bidi="ar-SA"/>
        </w:rPr>
        <w:t>（一）强化组织领导，精心筹划部署。</w:t>
      </w:r>
      <w:r>
        <w:rPr>
          <w:rFonts w:hint="eastAsia" w:ascii="仿宋_GB2312" w:hAnsi="仿宋_GB2312" w:eastAsia="仿宋_GB2312" w:cs="仿宋_GB2312"/>
          <w:sz w:val="32"/>
          <w:szCs w:val="32"/>
        </w:rPr>
        <w:t>指挥</w:t>
      </w:r>
      <w:r>
        <w:rPr>
          <w:rFonts w:hint="eastAsia" w:ascii="仿宋_GB2312" w:hAnsi="仿宋_GB2312" w:eastAsia="仿宋_GB2312" w:cs="仿宋_GB2312"/>
          <w:sz w:val="32"/>
          <w:szCs w:val="32"/>
          <w:lang w:eastAsia="zh-CN"/>
        </w:rPr>
        <w:t>部办公室</w:t>
      </w:r>
      <w:r>
        <w:rPr>
          <w:rFonts w:hint="eastAsia" w:ascii="仿宋_GB2312" w:hAnsi="仿宋_GB2312" w:eastAsia="仿宋_GB2312" w:cs="仿宋_GB2312"/>
          <w:sz w:val="32"/>
          <w:szCs w:val="32"/>
        </w:rPr>
        <w:t>发挥统筹推进作用，统筹优化营商环境工作任务的组织协调、推进落实和督促检查，</w:t>
      </w:r>
      <w:r>
        <w:rPr>
          <w:rFonts w:hint="eastAsia" w:ascii="仿宋_GB2312" w:hAnsi="仿宋_GB2312" w:eastAsia="仿宋_GB2312" w:cs="仿宋_GB2312"/>
          <w:color w:val="auto"/>
          <w:sz w:val="32"/>
          <w:szCs w:val="32"/>
          <w:highlight w:val="none"/>
          <w:lang w:eastAsia="zh-CN"/>
        </w:rPr>
        <w:t>及时推动先进经验、做法在我</w:t>
      </w:r>
      <w:r>
        <w:rPr>
          <w:rFonts w:hint="eastAsia" w:ascii="仿宋_GB2312" w:hAnsi="仿宋_GB2312" w:eastAsia="仿宋_GB2312" w:cs="仿宋_GB2312"/>
          <w:color w:val="auto"/>
          <w:sz w:val="32"/>
          <w:szCs w:val="32"/>
          <w:highlight w:val="none"/>
          <w:lang w:val="en-US" w:eastAsia="zh-CN"/>
        </w:rPr>
        <w:t>县</w:t>
      </w:r>
      <w:r>
        <w:rPr>
          <w:rFonts w:hint="eastAsia" w:ascii="仿宋_GB2312" w:hAnsi="仿宋_GB2312" w:eastAsia="仿宋_GB2312" w:cs="仿宋_GB2312"/>
          <w:color w:val="auto"/>
          <w:sz w:val="32"/>
          <w:szCs w:val="32"/>
          <w:highlight w:val="none"/>
          <w:lang w:eastAsia="zh-CN"/>
        </w:rPr>
        <w:t>复制推广，</w:t>
      </w:r>
      <w:r>
        <w:rPr>
          <w:rFonts w:hint="eastAsia" w:ascii="仿宋_GB2312" w:hAnsi="仿宋_GB2312" w:eastAsia="仿宋_GB2312" w:cs="仿宋_GB2312"/>
          <w:sz w:val="32"/>
          <w:szCs w:val="32"/>
        </w:rPr>
        <w:t>保证工作贯彻落实，获得成效。</w:t>
      </w:r>
      <w:r>
        <w:rPr>
          <w:rFonts w:hint="eastAsia" w:ascii="仿宋_GB2312" w:hAnsi="仿宋_GB2312" w:eastAsia="仿宋_GB2312" w:cs="仿宋_GB2312"/>
          <w:sz w:val="32"/>
          <w:szCs w:val="32"/>
          <w:lang w:eastAsia="zh-CN"/>
        </w:rPr>
        <w:t>县市</w:t>
      </w:r>
      <w:r>
        <w:rPr>
          <w:rFonts w:hint="eastAsia" w:ascii="仿宋_GB2312" w:hAnsi="仿宋_GB2312" w:eastAsia="仿宋_GB2312" w:cs="仿宋_GB2312"/>
          <w:sz w:val="32"/>
          <w:szCs w:val="32"/>
        </w:rPr>
        <w:t>场监督管理局、</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政务服务数据管理局</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司法局分别牵头“</w:t>
      </w:r>
      <w:r>
        <w:rPr>
          <w:rFonts w:hint="eastAsia" w:ascii="仿宋_GB2312" w:hAnsi="仿宋_GB2312" w:eastAsia="仿宋_GB2312" w:cs="仿宋_GB2312"/>
          <w:sz w:val="32"/>
          <w:szCs w:val="32"/>
          <w:lang w:val="en-US" w:eastAsia="zh-CN"/>
        </w:rPr>
        <w:t>三个一流</w:t>
      </w:r>
      <w:r>
        <w:rPr>
          <w:rFonts w:hint="eastAsia" w:ascii="仿宋_GB2312" w:hAnsi="仿宋_GB2312" w:eastAsia="仿宋_GB2312" w:cs="仿宋_GB2312"/>
          <w:sz w:val="32"/>
          <w:szCs w:val="32"/>
        </w:rPr>
        <w:t>”专班运作，建立主要领导亲自抓、工作专班专门抓、配合部门协同抓的工作机制。</w:t>
      </w:r>
      <w:r>
        <w:rPr>
          <w:rFonts w:hint="eastAsia" w:ascii="仿宋_GB2312" w:hAnsi="仿宋_GB2312" w:eastAsia="仿宋_GB2312" w:cs="仿宋_GB2312"/>
          <w:color w:val="auto"/>
          <w:sz w:val="32"/>
          <w:szCs w:val="32"/>
          <w:highlight w:val="none"/>
          <w:shd w:val="clear" w:fill="auto"/>
          <w:lang w:val="en-US" w:eastAsia="zh-CN"/>
        </w:rPr>
        <w:t>县</w:t>
      </w:r>
      <w:r>
        <w:rPr>
          <w:rFonts w:hint="eastAsia" w:ascii="仿宋_GB2312" w:hAnsi="仿宋_GB2312" w:eastAsia="仿宋_GB2312" w:cs="仿宋_GB2312"/>
          <w:color w:val="auto"/>
          <w:sz w:val="32"/>
          <w:szCs w:val="32"/>
          <w:highlight w:val="none"/>
          <w:shd w:val="clear" w:fill="auto"/>
        </w:rPr>
        <w:t>发改局</w:t>
      </w:r>
      <w:r>
        <w:rPr>
          <w:rFonts w:hint="eastAsia" w:ascii="仿宋_GB2312" w:hAnsi="仿宋_GB2312" w:eastAsia="仿宋_GB2312" w:cs="仿宋_GB2312"/>
          <w:color w:val="auto"/>
          <w:sz w:val="32"/>
          <w:szCs w:val="32"/>
          <w:highlight w:val="none"/>
          <w:shd w:val="clear" w:fill="auto"/>
          <w:lang w:val="en-US" w:eastAsia="zh-CN"/>
        </w:rPr>
        <w:t>要对接市发改局，</w:t>
      </w:r>
      <w:r>
        <w:rPr>
          <w:rFonts w:hint="eastAsia" w:ascii="仿宋_GB2312" w:hAnsi="仿宋_GB2312" w:eastAsia="仿宋_GB2312" w:cs="仿宋_GB2312"/>
          <w:color w:val="auto"/>
          <w:sz w:val="32"/>
          <w:szCs w:val="32"/>
          <w:highlight w:val="none"/>
          <w:shd w:val="clear" w:fill="auto"/>
        </w:rPr>
        <w:t>牵头做好</w:t>
      </w:r>
      <w:r>
        <w:rPr>
          <w:rFonts w:hint="eastAsia" w:ascii="仿宋_GB2312" w:hAnsi="仿宋_GB2312" w:eastAsia="仿宋_GB2312" w:cs="仿宋_GB2312"/>
          <w:color w:val="auto"/>
          <w:sz w:val="32"/>
          <w:szCs w:val="32"/>
          <w:highlight w:val="none"/>
          <w:shd w:val="clear" w:fill="auto"/>
          <w:lang w:val="en-US" w:eastAsia="zh-CN"/>
        </w:rPr>
        <w:t>省</w:t>
      </w:r>
      <w:r>
        <w:rPr>
          <w:rFonts w:hint="eastAsia" w:ascii="仿宋_GB2312" w:hAnsi="仿宋_GB2312" w:eastAsia="仿宋_GB2312" w:cs="仿宋_GB2312"/>
          <w:color w:val="auto"/>
          <w:sz w:val="32"/>
          <w:szCs w:val="32"/>
          <w:highlight w:val="none"/>
          <w:shd w:val="clear" w:fill="auto"/>
        </w:rPr>
        <w:t>营商环境评价迎评工作，各地各部门要对标2021年省营商环境评价报告失分情况做好迎评整改优化，确保在2022年省营商环境评价中取得优异成绩。</w:t>
      </w:r>
      <w:r>
        <w:rPr>
          <w:rFonts w:hint="eastAsia" w:ascii="仿宋_GB2312" w:hAnsi="仿宋_GB2312" w:eastAsia="仿宋_GB2312" w:cs="仿宋_GB2312"/>
          <w:color w:val="auto"/>
          <w:sz w:val="32"/>
          <w:szCs w:val="32"/>
          <w:highlight w:val="none"/>
        </w:rPr>
        <w:t>各地各部门于本方案印发之日起15日内制定落实优化营商环境工作任务及其配套实施方案，细化分解目标任务，明确各项任务开始</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完成的时间节点，保证优化营商环境任务定时定点高质量完成。</w:t>
      </w:r>
      <w:r>
        <w:rPr>
          <w:rFonts w:hint="eastAsia" w:ascii="仿宋_GB2312" w:hAnsi="仿宋_GB2312" w:eastAsia="仿宋_GB2312" w:cs="仿宋_GB2312"/>
          <w:sz w:val="32"/>
          <w:szCs w:val="32"/>
        </w:rPr>
        <w:t>保证优化营商环境任务定时定点高质量完成。</w:t>
      </w:r>
    </w:p>
    <w:p w14:paraId="2A83FD6E">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kern w:val="2"/>
          <w:sz w:val="32"/>
          <w:szCs w:val="32"/>
          <w:lang w:val="en-US" w:eastAsia="zh-CN" w:bidi="ar-SA"/>
        </w:rPr>
        <w:t>（二）强化督查通报，狠抓工作落实。</w:t>
      </w:r>
      <w:r>
        <w:rPr>
          <w:rFonts w:hint="eastAsia" w:ascii="仿宋_GB2312" w:hAnsi="仿宋_GB2312" w:eastAsia="仿宋_GB2312" w:cs="仿宋_GB2312"/>
          <w:sz w:val="32"/>
          <w:szCs w:val="32"/>
        </w:rPr>
        <w:t>健全优化营商环境全过程督查机制，把营商环境建设纳入</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政府重点督查事项，聚焦优化营商环境专项整治重点任务，</w:t>
      </w:r>
      <w:r>
        <w:rPr>
          <w:rFonts w:hint="eastAsia" w:ascii="仿宋_GB2312" w:hAnsi="仿宋_GB2312" w:eastAsia="仿宋_GB2312" w:cs="仿宋_GB2312"/>
          <w:color w:val="auto"/>
          <w:sz w:val="32"/>
          <w:szCs w:val="32"/>
          <w:highlight w:val="none"/>
        </w:rPr>
        <w:t>定期进行督导</w:t>
      </w:r>
      <w:r>
        <w:rPr>
          <w:rFonts w:hint="eastAsia" w:ascii="仿宋_GB2312" w:hAnsi="仿宋_GB2312" w:eastAsia="仿宋_GB2312" w:cs="仿宋_GB2312"/>
          <w:color w:val="auto"/>
          <w:sz w:val="32"/>
          <w:szCs w:val="32"/>
          <w:highlight w:val="none"/>
          <w:lang w:val="en-US" w:eastAsia="zh-CN"/>
        </w:rPr>
        <w:t>通报</w:t>
      </w:r>
      <w:r>
        <w:rPr>
          <w:rFonts w:hint="eastAsia" w:ascii="仿宋_GB2312" w:hAnsi="仿宋_GB2312" w:eastAsia="仿宋_GB2312" w:cs="仿宋_GB2312"/>
          <w:color w:val="auto"/>
          <w:sz w:val="32"/>
          <w:szCs w:val="32"/>
          <w:highlight w:val="none"/>
        </w:rPr>
        <w:t>，进展严重滞后的事项，约谈</w:t>
      </w:r>
      <w:r>
        <w:rPr>
          <w:rFonts w:hint="eastAsia" w:ascii="仿宋_GB2312" w:hAnsi="仿宋_GB2312" w:eastAsia="仿宋_GB2312" w:cs="仿宋_GB2312"/>
          <w:color w:val="auto"/>
          <w:sz w:val="32"/>
          <w:szCs w:val="32"/>
          <w:highlight w:val="none"/>
          <w:lang w:eastAsia="zh-CN"/>
        </w:rPr>
        <w:t>相关单位责任人，</w:t>
      </w:r>
      <w:r>
        <w:rPr>
          <w:rFonts w:hint="eastAsia" w:ascii="仿宋_GB2312" w:hAnsi="仿宋_GB2312" w:eastAsia="仿宋_GB2312" w:cs="仿宋_GB2312"/>
          <w:sz w:val="32"/>
          <w:szCs w:val="32"/>
        </w:rPr>
        <w:t>持续加强执纪问责，对工作推动不力、不担当、不作为、乱作为等形式主义、官僚主义问题，以及损害营商环境的违纪违法问题进行严肃追责问责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推动营商环境攻坚行动各项工作落到实处。</w:t>
      </w:r>
    </w:p>
    <w:p w14:paraId="66F42695">
      <w:pPr>
        <w:keepNext w:val="0"/>
        <w:keepLines w:val="0"/>
        <w:pageBreakBefore w:val="0"/>
        <w:widowControl/>
        <w:kinsoku/>
        <w:wordWrap w:val="0"/>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kern w:val="2"/>
          <w:sz w:val="32"/>
          <w:szCs w:val="32"/>
          <w:lang w:val="en-US" w:eastAsia="zh-CN" w:bidi="ar-SA"/>
        </w:rPr>
        <w:t>（三）增强服务意识，提高服务能力。</w:t>
      </w:r>
      <w:r>
        <w:rPr>
          <w:rFonts w:hint="eastAsia" w:ascii="仿宋_GB2312" w:hAnsi="仿宋_GB2312" w:eastAsia="仿宋_GB2312" w:cs="仿宋_GB2312"/>
          <w:sz w:val="32"/>
          <w:szCs w:val="32"/>
          <w:lang w:val="en-US" w:eastAsia="zh-CN"/>
        </w:rPr>
        <w:t>各地各单位要认真贯彻落实市委市政府和县委县政府工作部署安排，牢固树立“为人民服务”宗旨，切实转变思想观念及工作作风，打破“玻璃门、旋转门、弹簧门”等难点、堵点、痛点问题，从群众跑腿寻找服务转变为政府主动提供服务、上门服务，做好便民利企“店小二”。对改革后，群众办事依然“门难进、脸难看、事难办”的，一经暗访督查发现，将对有关单位主要负责同志、分管负责同志、相关业务人员进行提醒约谈。</w:t>
      </w:r>
    </w:p>
    <w:p w14:paraId="572E38D0">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kern w:val="2"/>
          <w:sz w:val="32"/>
          <w:szCs w:val="32"/>
          <w:lang w:val="en-US" w:eastAsia="zh-CN" w:bidi="ar-SA"/>
        </w:rPr>
        <w:t>（四）加大宣传推广，营造良好氛围。</w:t>
      </w:r>
      <w:r>
        <w:rPr>
          <w:rFonts w:hint="eastAsia" w:ascii="仿宋_GB2312" w:hAnsi="仿宋_GB2312" w:eastAsia="仿宋_GB2312" w:cs="仿宋_GB2312"/>
          <w:sz w:val="32"/>
          <w:szCs w:val="32"/>
        </w:rPr>
        <w:t>各地各单位要将营商环境宣传工作纳入重要议事日程，充分利用网站、线上服务平台、网络媒体、营业网点等线上线下渠道及时宣传推广优化营商环境的相关政策举措，准确传递权威信息和政策意图。</w:t>
      </w:r>
      <w:r>
        <w:rPr>
          <w:rFonts w:hint="eastAsia" w:ascii="仿宋_GB2312" w:hAnsi="仿宋_GB2312" w:eastAsia="仿宋_GB2312" w:cs="仿宋_GB2312"/>
          <w:color w:val="auto"/>
          <w:sz w:val="32"/>
          <w:szCs w:val="32"/>
          <w:highlight w:val="none"/>
          <w:lang w:eastAsia="zh-CN"/>
        </w:rPr>
        <w:t>并及时将改革成果向省、</w:t>
      </w:r>
      <w:r>
        <w:rPr>
          <w:rFonts w:hint="eastAsia" w:ascii="仿宋_GB2312" w:hAnsi="仿宋_GB2312" w:eastAsia="仿宋_GB2312" w:cs="仿宋_GB2312"/>
          <w:color w:val="auto"/>
          <w:sz w:val="32"/>
          <w:szCs w:val="32"/>
          <w:highlight w:val="none"/>
          <w:lang w:val="en-US" w:eastAsia="zh-CN"/>
        </w:rPr>
        <w:t>市</w:t>
      </w:r>
      <w:r>
        <w:rPr>
          <w:rFonts w:hint="eastAsia" w:ascii="仿宋_GB2312" w:hAnsi="仿宋_GB2312" w:eastAsia="仿宋_GB2312" w:cs="仿宋_GB2312"/>
          <w:color w:val="auto"/>
          <w:sz w:val="32"/>
          <w:szCs w:val="32"/>
          <w:highlight w:val="none"/>
          <w:lang w:eastAsia="zh-CN"/>
        </w:rPr>
        <w:t>级部门报送</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rPr>
        <w:t>一方面要广泛开展行业分管领域宣传工作，做好分管领域氛围营造，另一方面要抓好基层宣传工作，使优化营商环境走近民众、深入民心，提升群众满意度、获得感，在全社会营造优化营商环境的浓厚氛围。</w:t>
      </w:r>
    </w:p>
    <w:p w14:paraId="10750FAC">
      <w:pPr>
        <w:keepNext w:val="0"/>
        <w:keepLines w:val="0"/>
        <w:pageBreakBefore w:val="0"/>
        <w:widowControl/>
        <w:kinsoku/>
        <w:wordWrap w:val="0"/>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eastAsia="zh-CN"/>
        </w:rPr>
      </w:pPr>
    </w:p>
    <w:p w14:paraId="22467679">
      <w:pPr>
        <w:keepNext w:val="0"/>
        <w:keepLines w:val="0"/>
        <w:pageBreakBefore w:val="0"/>
        <w:widowControl/>
        <w:kinsoku/>
        <w:wordWrap w:val="0"/>
        <w:overflowPunct/>
        <w:topLinePunct w:val="0"/>
        <w:autoSpaceDE/>
        <w:autoSpaceDN/>
        <w:bidi w:val="0"/>
        <w:adjustRightInd/>
        <w:snapToGrid/>
        <w:spacing w:line="560" w:lineRule="exact"/>
        <w:ind w:left="1918" w:leftChars="304" w:hanging="1280" w:hangingChars="4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z w:val="32"/>
          <w:szCs w:val="32"/>
          <w:highlight w:val="none"/>
          <w:lang w:val="en-US" w:eastAsia="zh-CN"/>
        </w:rPr>
        <w:t>海丰县</w:t>
      </w:r>
      <w:r>
        <w:rPr>
          <w:rFonts w:ascii="仿宋_GB2312" w:hAnsi="仿宋_GB2312" w:eastAsia="仿宋_GB2312" w:cs="仿宋_GB2312"/>
          <w:color w:val="auto"/>
          <w:sz w:val="32"/>
          <w:szCs w:val="32"/>
          <w:highlight w:val="none"/>
        </w:rPr>
        <w:t>2022</w:t>
      </w:r>
      <w:r>
        <w:rPr>
          <w:rFonts w:hint="eastAsia" w:ascii="仿宋_GB2312" w:hAnsi="仿宋_GB2312" w:eastAsia="仿宋_GB2312" w:cs="仿宋_GB2312"/>
          <w:color w:val="auto"/>
          <w:sz w:val="32"/>
          <w:szCs w:val="32"/>
          <w:highlight w:val="none"/>
        </w:rPr>
        <w:t>年全面优化营商环境攻坚行动工作任务</w:t>
      </w:r>
      <w:r>
        <w:rPr>
          <w:rFonts w:hint="eastAsia" w:ascii="仿宋_GB2312" w:hAnsi="仿宋_GB2312" w:eastAsia="仿宋_GB2312" w:cs="仿宋_GB2312"/>
          <w:color w:val="auto"/>
          <w:sz w:val="32"/>
          <w:szCs w:val="32"/>
          <w:highlight w:val="none"/>
          <w:lang w:val="en-US" w:eastAsia="zh-CN"/>
        </w:rPr>
        <w:t>及工作责任</w:t>
      </w:r>
      <w:r>
        <w:rPr>
          <w:rFonts w:hint="eastAsia" w:ascii="仿宋_GB2312" w:hAnsi="仿宋_GB2312" w:eastAsia="仿宋_GB2312" w:cs="仿宋_GB2312"/>
          <w:color w:val="auto"/>
          <w:sz w:val="32"/>
          <w:szCs w:val="32"/>
          <w:highlight w:val="none"/>
        </w:rPr>
        <w:t>清单</w:t>
      </w:r>
    </w:p>
    <w:p w14:paraId="1FA00928">
      <w:pPr>
        <w:ind w:firstLine="1600" w:firstLineChars="500"/>
        <w:rPr>
          <w:rFonts w:hint="default"/>
          <w:lang w:val="en-US" w:eastAsia="zh-CN"/>
        </w:rPr>
      </w:pPr>
      <w:r>
        <w:rPr>
          <w:rFonts w:hint="eastAsia" w:ascii="仿宋_GB2312" w:hAnsi="仿宋_GB2312" w:eastAsia="仿宋_GB2312" w:cs="仿宋_GB2312"/>
          <w:color w:val="auto"/>
          <w:sz w:val="32"/>
          <w:szCs w:val="32"/>
          <w:highlight w:val="none"/>
          <w:lang w:val="en-US" w:eastAsia="zh-CN"/>
        </w:rPr>
        <w:t>2.海丰县</w:t>
      </w:r>
      <w:r>
        <w:rPr>
          <w:rFonts w:hint="default" w:ascii="仿宋_GB2312" w:hAnsi="仿宋_GB2312" w:eastAsia="仿宋_GB2312" w:cs="仿宋_GB2312"/>
          <w:color w:val="auto"/>
          <w:sz w:val="32"/>
          <w:szCs w:val="32"/>
          <w:highlight w:val="none"/>
          <w:lang w:val="en-US"/>
        </w:rPr>
        <w:t>助企暖企服务清单</w:t>
      </w:r>
    </w:p>
    <w:p w14:paraId="1DED8C95">
      <w:pPr>
        <w:ind w:left="1916" w:leftChars="760" w:hanging="320" w:hangingChars="100"/>
        <w:rPr>
          <w:rFonts w:hint="default" w:ascii="仿宋_GB2312" w:hAnsi="仿宋_GB2312" w:eastAsia="仿宋_GB2312" w:cs="仿宋_GB2312"/>
          <w:color w:val="auto"/>
          <w:sz w:val="32"/>
          <w:szCs w:val="32"/>
          <w:highlight w:val="none"/>
          <w:lang w:val="en-US" w:eastAsia="zh-CN"/>
        </w:rPr>
        <w:sectPr>
          <w:footerReference r:id="rId3" w:type="default"/>
          <w:footerReference r:id="rId4" w:type="even"/>
          <w:pgSz w:w="11906" w:h="16838"/>
          <w:pgMar w:top="1440" w:right="1587" w:bottom="1440" w:left="1587" w:header="851" w:footer="992" w:gutter="0"/>
          <w:pgNumType w:fmt="numberInDash"/>
          <w:cols w:space="0" w:num="1"/>
          <w:rtlGutter w:val="0"/>
          <w:docGrid w:type="lines" w:linePitch="312" w:charSpace="0"/>
        </w:sectPr>
      </w:pPr>
      <w:r>
        <w:rPr>
          <w:rFonts w:hint="eastAsia" w:ascii="仿宋_GB2312" w:hAnsi="仿宋_GB2312" w:eastAsia="仿宋_GB2312" w:cs="仿宋_GB2312"/>
          <w:color w:val="auto"/>
          <w:sz w:val="32"/>
          <w:szCs w:val="32"/>
          <w:highlight w:val="none"/>
          <w:lang w:val="en-US" w:eastAsia="zh-CN"/>
        </w:rPr>
        <w:t>3.海丰县2022年全面优化营商环境攻坚行动工作机制</w:t>
      </w:r>
    </w:p>
    <w:p w14:paraId="198FEC2D">
      <w:pPr>
        <w:wordWrap w:val="0"/>
        <w:spacing w:line="560" w:lineRule="exact"/>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r>
        <w:rPr>
          <w:rFonts w:hint="eastAsia" w:ascii="黑体" w:hAnsi="黑体" w:eastAsia="黑体" w:cs="黑体"/>
          <w:color w:val="auto"/>
          <w:sz w:val="32"/>
          <w:szCs w:val="32"/>
          <w:highlight w:val="none"/>
        </w:rPr>
        <w:t>：</w:t>
      </w:r>
    </w:p>
    <w:p w14:paraId="3DE9358A">
      <w:pPr>
        <w:pStyle w:val="2"/>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lang w:val="en-US" w:eastAsia="zh-CN"/>
        </w:rPr>
        <w:t>海丰县</w:t>
      </w:r>
      <w:r>
        <w:rPr>
          <w:rFonts w:hint="eastAsia" w:ascii="方正小标宋简体" w:hAnsi="方正小标宋简体" w:eastAsia="方正小标宋简体" w:cs="方正小标宋简体"/>
          <w:color w:val="auto"/>
          <w:sz w:val="36"/>
          <w:szCs w:val="36"/>
          <w:highlight w:val="none"/>
        </w:rPr>
        <w:t>2022年全面优化营商环境攻坚行动</w:t>
      </w:r>
    </w:p>
    <w:p w14:paraId="04FC098B">
      <w:pPr>
        <w:pStyle w:val="2"/>
        <w:jc w:val="center"/>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工作任务清单</w:t>
      </w:r>
    </w:p>
    <w:tbl>
      <w:tblPr>
        <w:tblStyle w:val="13"/>
        <w:tblW w:w="13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1559"/>
        <w:gridCol w:w="6095"/>
        <w:gridCol w:w="1559"/>
        <w:gridCol w:w="3435"/>
      </w:tblGrid>
      <w:tr w14:paraId="55BBF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77" w:type="dxa"/>
            <w:noWrap w:val="0"/>
            <w:vAlign w:val="center"/>
          </w:tcPr>
          <w:p w14:paraId="080A09DC">
            <w:pPr>
              <w:widowControl/>
              <w:jc w:val="center"/>
              <w:rPr>
                <w:rFonts w:ascii="Times New Roman" w:hAnsi="Times New Roman"/>
                <w:b/>
                <w:bCs/>
                <w:color w:val="auto"/>
                <w:kern w:val="0"/>
                <w:sz w:val="22"/>
                <w:szCs w:val="22"/>
                <w:highlight w:val="none"/>
              </w:rPr>
            </w:pPr>
            <w:bookmarkStart w:id="0" w:name="OLE_LINK1"/>
            <w:r>
              <w:rPr>
                <w:rFonts w:ascii="Times New Roman" w:hAnsi="Times New Roman"/>
                <w:b/>
                <w:bCs/>
                <w:color w:val="auto"/>
                <w:kern w:val="0"/>
                <w:sz w:val="22"/>
                <w:szCs w:val="22"/>
                <w:highlight w:val="none"/>
              </w:rPr>
              <w:t>序号</w:t>
            </w:r>
          </w:p>
        </w:tc>
        <w:tc>
          <w:tcPr>
            <w:tcW w:w="1559" w:type="dxa"/>
            <w:noWrap w:val="0"/>
            <w:vAlign w:val="center"/>
          </w:tcPr>
          <w:p w14:paraId="0035906D">
            <w:pPr>
              <w:widowControl/>
              <w:jc w:val="center"/>
              <w:rPr>
                <w:rFonts w:ascii="Times New Roman" w:hAnsi="Times New Roman"/>
                <w:b/>
                <w:bCs/>
                <w:color w:val="auto"/>
                <w:kern w:val="0"/>
                <w:sz w:val="22"/>
                <w:szCs w:val="22"/>
                <w:highlight w:val="none"/>
              </w:rPr>
            </w:pPr>
            <w:r>
              <w:rPr>
                <w:rFonts w:ascii="Times New Roman" w:hAnsi="Times New Roman"/>
                <w:b/>
                <w:bCs/>
                <w:color w:val="auto"/>
                <w:kern w:val="0"/>
                <w:sz w:val="22"/>
                <w:szCs w:val="22"/>
                <w:highlight w:val="none"/>
              </w:rPr>
              <w:t>工作事项</w:t>
            </w:r>
          </w:p>
        </w:tc>
        <w:tc>
          <w:tcPr>
            <w:tcW w:w="6095" w:type="dxa"/>
            <w:noWrap w:val="0"/>
            <w:vAlign w:val="center"/>
          </w:tcPr>
          <w:p w14:paraId="6B256EB0">
            <w:pPr>
              <w:widowControl/>
              <w:jc w:val="center"/>
              <w:rPr>
                <w:rFonts w:ascii="Times New Roman" w:hAnsi="Times New Roman"/>
                <w:b/>
                <w:bCs/>
                <w:color w:val="auto"/>
                <w:kern w:val="0"/>
                <w:sz w:val="22"/>
                <w:szCs w:val="22"/>
                <w:highlight w:val="none"/>
              </w:rPr>
            </w:pPr>
            <w:r>
              <w:rPr>
                <w:rFonts w:ascii="Times New Roman" w:hAnsi="Times New Roman"/>
                <w:b/>
                <w:bCs/>
                <w:color w:val="auto"/>
                <w:kern w:val="0"/>
                <w:sz w:val="22"/>
                <w:szCs w:val="22"/>
                <w:highlight w:val="none"/>
              </w:rPr>
              <w:t>落实举措</w:t>
            </w:r>
          </w:p>
        </w:tc>
        <w:tc>
          <w:tcPr>
            <w:tcW w:w="1559" w:type="dxa"/>
            <w:noWrap w:val="0"/>
            <w:vAlign w:val="center"/>
          </w:tcPr>
          <w:p w14:paraId="0EF94E13">
            <w:pPr>
              <w:widowControl/>
              <w:jc w:val="center"/>
              <w:rPr>
                <w:rFonts w:ascii="Times New Roman" w:hAnsi="Times New Roman"/>
                <w:b/>
                <w:bCs/>
                <w:color w:val="auto"/>
                <w:kern w:val="0"/>
                <w:sz w:val="22"/>
                <w:szCs w:val="22"/>
                <w:highlight w:val="none"/>
              </w:rPr>
            </w:pPr>
            <w:r>
              <w:rPr>
                <w:rFonts w:ascii="Times New Roman" w:hAnsi="Times New Roman"/>
                <w:b/>
                <w:bCs/>
                <w:color w:val="auto"/>
                <w:kern w:val="0"/>
                <w:sz w:val="22"/>
                <w:szCs w:val="22"/>
                <w:highlight w:val="none"/>
              </w:rPr>
              <w:t>牵头单位</w:t>
            </w:r>
          </w:p>
        </w:tc>
        <w:tc>
          <w:tcPr>
            <w:tcW w:w="3435" w:type="dxa"/>
            <w:noWrap w:val="0"/>
            <w:vAlign w:val="center"/>
          </w:tcPr>
          <w:p w14:paraId="66EC671C">
            <w:pPr>
              <w:widowControl/>
              <w:jc w:val="center"/>
              <w:rPr>
                <w:rFonts w:ascii="Times New Roman" w:hAnsi="Times New Roman"/>
                <w:b/>
                <w:bCs/>
                <w:color w:val="auto"/>
                <w:kern w:val="0"/>
                <w:sz w:val="22"/>
                <w:szCs w:val="22"/>
                <w:highlight w:val="none"/>
              </w:rPr>
            </w:pPr>
            <w:r>
              <w:rPr>
                <w:rFonts w:ascii="Times New Roman" w:hAnsi="Times New Roman"/>
                <w:b/>
                <w:bCs/>
                <w:color w:val="auto"/>
                <w:kern w:val="0"/>
                <w:sz w:val="22"/>
                <w:szCs w:val="22"/>
                <w:highlight w:val="none"/>
              </w:rPr>
              <w:t>配合单位</w:t>
            </w:r>
          </w:p>
        </w:tc>
      </w:tr>
      <w:tr w14:paraId="1463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325" w:type="dxa"/>
            <w:gridSpan w:val="5"/>
            <w:noWrap w:val="0"/>
            <w:vAlign w:val="center"/>
          </w:tcPr>
          <w:p w14:paraId="42BFCB81">
            <w:pPr>
              <w:widowControl/>
              <w:jc w:val="left"/>
              <w:rPr>
                <w:rFonts w:ascii="Times New Roman" w:hAnsi="Times New Roman"/>
                <w:color w:val="auto"/>
                <w:kern w:val="0"/>
                <w:sz w:val="22"/>
                <w:szCs w:val="22"/>
                <w:highlight w:val="none"/>
              </w:rPr>
            </w:pPr>
            <w:r>
              <w:rPr>
                <w:rFonts w:ascii="Times New Roman" w:hAnsi="Times New Roman"/>
                <w:color w:val="auto"/>
                <w:kern w:val="0"/>
                <w:sz w:val="22"/>
                <w:szCs w:val="22"/>
                <w:highlight w:val="none"/>
              </w:rPr>
              <w:t>一、营造公平开放的一流市场环境</w:t>
            </w:r>
          </w:p>
        </w:tc>
      </w:tr>
      <w:tr w14:paraId="1E541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7" w:type="dxa"/>
            <w:noWrap w:val="0"/>
            <w:vAlign w:val="center"/>
          </w:tcPr>
          <w:p w14:paraId="115E512C">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1</w:t>
            </w:r>
          </w:p>
        </w:tc>
        <w:tc>
          <w:tcPr>
            <w:tcW w:w="1559" w:type="dxa"/>
            <w:vMerge w:val="restart"/>
            <w:noWrap w:val="0"/>
            <w:vAlign w:val="center"/>
          </w:tcPr>
          <w:p w14:paraId="2196B0C2">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推进企业登记全生命周期便利化</w:t>
            </w:r>
          </w:p>
        </w:tc>
        <w:tc>
          <w:tcPr>
            <w:tcW w:w="6095" w:type="dxa"/>
            <w:noWrap w:val="0"/>
            <w:vAlign w:val="center"/>
          </w:tcPr>
          <w:p w14:paraId="41BAFF85">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坚持落实“非禁即入”原则，实施统一的市场准入负面清单制度。</w:t>
            </w:r>
          </w:p>
        </w:tc>
        <w:tc>
          <w:tcPr>
            <w:tcW w:w="1559" w:type="dxa"/>
            <w:noWrap w:val="0"/>
            <w:vAlign w:val="center"/>
          </w:tcPr>
          <w:p w14:paraId="4FC49A65">
            <w:pPr>
              <w:widowControl/>
              <w:jc w:val="center"/>
              <w:rPr>
                <w:rFonts w:hint="eastAsia" w:ascii="Times New Roman" w:hAnsi="Times New Roman" w:eastAsia="仿宋_GB2312"/>
                <w:color w:val="auto"/>
                <w:kern w:val="0"/>
                <w:sz w:val="24"/>
                <w:highlight w:val="none"/>
                <w:lang w:val="en-US" w:eastAsia="zh-CN"/>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市监局</w:t>
            </w:r>
            <w:r>
              <w:rPr>
                <w:rFonts w:hint="eastAsia" w:ascii="Times New Roman" w:hAnsi="Times New Roman" w:eastAsia="仿宋_GB2312"/>
                <w:color w:val="auto"/>
                <w:kern w:val="0"/>
                <w:sz w:val="24"/>
                <w:highlight w:val="none"/>
                <w:lang w:eastAsia="zh-CN"/>
              </w:rPr>
              <w:t>、发改局、</w:t>
            </w:r>
            <w:r>
              <w:rPr>
                <w:rFonts w:hint="eastAsia" w:ascii="Times New Roman" w:hAnsi="Times New Roman" w:eastAsia="仿宋_GB2312"/>
                <w:color w:val="auto"/>
                <w:kern w:val="0"/>
                <w:sz w:val="24"/>
                <w:highlight w:val="none"/>
                <w:lang w:val="en-US" w:eastAsia="zh-CN"/>
              </w:rPr>
              <w:t>科工局</w:t>
            </w:r>
          </w:p>
        </w:tc>
        <w:tc>
          <w:tcPr>
            <w:tcW w:w="3435" w:type="dxa"/>
            <w:noWrap w:val="0"/>
            <w:vAlign w:val="center"/>
          </w:tcPr>
          <w:p w14:paraId="2D47F49A">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r>
              <w:rPr>
                <w:rFonts w:hint="eastAsia" w:ascii="Times New Roman" w:hAnsi="Times New Roman" w:eastAsia="仿宋_GB2312"/>
                <w:color w:val="auto"/>
                <w:kern w:val="0"/>
                <w:sz w:val="24"/>
                <w:highlight w:val="none"/>
                <w:lang w:val="en-US" w:eastAsia="zh-CN"/>
              </w:rPr>
              <w:t>，各镇（场、开发区）</w:t>
            </w:r>
          </w:p>
        </w:tc>
      </w:tr>
      <w:tr w14:paraId="5D59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677" w:type="dxa"/>
            <w:noWrap w:val="0"/>
            <w:vAlign w:val="center"/>
          </w:tcPr>
          <w:p w14:paraId="77B6D0A3">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2</w:t>
            </w:r>
          </w:p>
        </w:tc>
        <w:tc>
          <w:tcPr>
            <w:tcW w:w="1559" w:type="dxa"/>
            <w:vMerge w:val="continue"/>
            <w:noWrap w:val="0"/>
            <w:vAlign w:val="center"/>
          </w:tcPr>
          <w:p w14:paraId="57C710FE">
            <w:pPr>
              <w:widowControl/>
              <w:jc w:val="left"/>
              <w:rPr>
                <w:rFonts w:ascii="Times New Roman" w:hAnsi="Times New Roman" w:eastAsia="仿宋_GB2312"/>
                <w:color w:val="auto"/>
                <w:kern w:val="0"/>
                <w:sz w:val="24"/>
                <w:highlight w:val="none"/>
              </w:rPr>
            </w:pPr>
          </w:p>
        </w:tc>
        <w:tc>
          <w:tcPr>
            <w:tcW w:w="6095" w:type="dxa"/>
            <w:noWrap w:val="0"/>
            <w:vAlign w:val="center"/>
          </w:tcPr>
          <w:p w14:paraId="07F6FEC8">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推行开办企业</w:t>
            </w:r>
            <w:r>
              <w:rPr>
                <w:rFonts w:hint="eastAsia" w:ascii="Times New Roman" w:hAnsi="Times New Roman" w:eastAsia="仿宋_GB2312"/>
                <w:color w:val="auto"/>
                <w:kern w:val="0"/>
                <w:sz w:val="24"/>
                <w:highlight w:val="none"/>
              </w:rPr>
              <w:t>1个环节0.</w:t>
            </w:r>
            <w:r>
              <w:rPr>
                <w:rFonts w:hint="eastAsia" w:ascii="Times New Roman" w:hAnsi="Times New Roman" w:eastAsia="仿宋_GB2312"/>
                <w:color w:val="auto"/>
                <w:kern w:val="0"/>
                <w:sz w:val="24"/>
                <w:highlight w:val="none"/>
                <w:lang w:val="en-US" w:eastAsia="zh-CN"/>
              </w:rPr>
              <w:t>4</w:t>
            </w:r>
            <w:r>
              <w:rPr>
                <w:rFonts w:hint="eastAsia" w:ascii="Times New Roman" w:hAnsi="Times New Roman" w:eastAsia="仿宋_GB2312"/>
                <w:color w:val="auto"/>
                <w:kern w:val="0"/>
                <w:sz w:val="24"/>
                <w:highlight w:val="none"/>
              </w:rPr>
              <w:t>个工作日</w:t>
            </w:r>
            <w:r>
              <w:rPr>
                <w:rFonts w:ascii="Times New Roman" w:hAnsi="Times New Roman" w:eastAsia="仿宋_GB2312"/>
                <w:color w:val="auto"/>
                <w:kern w:val="0"/>
                <w:sz w:val="24"/>
                <w:highlight w:val="none"/>
              </w:rPr>
              <w:t>办结。将企业设立、公章刻制、预约银行开户、发票申领和税控设备（含税务UKey）申领、员工参保登记、住房公积金企业缴存登记等多个涉企事项压减为1个办事环节，实现“一表填报、一网通办、一日办结、一窗领取”。</w:t>
            </w:r>
          </w:p>
        </w:tc>
        <w:tc>
          <w:tcPr>
            <w:tcW w:w="1559" w:type="dxa"/>
            <w:noWrap w:val="0"/>
            <w:vAlign w:val="center"/>
          </w:tcPr>
          <w:p w14:paraId="4E3BACB6">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市监局、政数局、公安局、税务局</w:t>
            </w:r>
          </w:p>
        </w:tc>
        <w:tc>
          <w:tcPr>
            <w:tcW w:w="3435" w:type="dxa"/>
            <w:noWrap w:val="0"/>
            <w:vAlign w:val="center"/>
          </w:tcPr>
          <w:p w14:paraId="593E5188">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人社局、</w:t>
            </w:r>
            <w:r>
              <w:rPr>
                <w:rFonts w:hint="eastAsia" w:ascii="Times New Roman" w:hAnsi="Times New Roman" w:eastAsia="仿宋_GB2312"/>
                <w:color w:val="auto"/>
                <w:kern w:val="0"/>
                <w:sz w:val="24"/>
                <w:highlight w:val="none"/>
                <w:lang w:val="en-US" w:eastAsia="zh-CN"/>
              </w:rPr>
              <w:t>市</w:t>
            </w:r>
            <w:r>
              <w:rPr>
                <w:rFonts w:hint="eastAsia" w:ascii="Times New Roman" w:hAnsi="Times New Roman" w:eastAsia="仿宋_GB2312"/>
                <w:color w:val="auto"/>
                <w:kern w:val="0"/>
                <w:sz w:val="24"/>
                <w:highlight w:val="none"/>
                <w:lang w:eastAsia="zh-CN"/>
              </w:rPr>
              <w:t>住房公积金管理中心</w:t>
            </w:r>
            <w:r>
              <w:rPr>
                <w:rFonts w:hint="eastAsia" w:ascii="Times New Roman" w:hAnsi="Times New Roman" w:eastAsia="仿宋_GB2312"/>
                <w:color w:val="auto"/>
                <w:kern w:val="0"/>
                <w:sz w:val="24"/>
                <w:highlight w:val="none"/>
                <w:lang w:val="en-US" w:eastAsia="zh-CN"/>
              </w:rPr>
              <w:t>海丰管理部</w:t>
            </w:r>
          </w:p>
        </w:tc>
      </w:tr>
      <w:tr w14:paraId="1DFD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77" w:type="dxa"/>
            <w:noWrap w:val="0"/>
            <w:vAlign w:val="center"/>
          </w:tcPr>
          <w:p w14:paraId="3A96620C">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3</w:t>
            </w:r>
          </w:p>
        </w:tc>
        <w:tc>
          <w:tcPr>
            <w:tcW w:w="1559" w:type="dxa"/>
            <w:vMerge w:val="continue"/>
            <w:noWrap w:val="0"/>
            <w:vAlign w:val="center"/>
          </w:tcPr>
          <w:p w14:paraId="15F58BCA">
            <w:pPr>
              <w:widowControl/>
              <w:jc w:val="left"/>
              <w:rPr>
                <w:rFonts w:ascii="Times New Roman" w:hAnsi="Times New Roman" w:eastAsia="仿宋_GB2312"/>
                <w:color w:val="auto"/>
                <w:kern w:val="0"/>
                <w:sz w:val="24"/>
                <w:highlight w:val="none"/>
              </w:rPr>
            </w:pPr>
          </w:p>
        </w:tc>
        <w:tc>
          <w:tcPr>
            <w:tcW w:w="6095" w:type="dxa"/>
            <w:noWrap w:val="0"/>
            <w:vAlign w:val="center"/>
          </w:tcPr>
          <w:p w14:paraId="3FDDFF06">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推行标准化智能审批，应用企业名称自主申报、经营范围规范化登记、住所(经营场所)自主承诺申报，以及“人工智能+机器人”智能无人审批。</w:t>
            </w:r>
          </w:p>
        </w:tc>
        <w:tc>
          <w:tcPr>
            <w:tcW w:w="1559" w:type="dxa"/>
            <w:noWrap w:val="0"/>
            <w:vAlign w:val="center"/>
          </w:tcPr>
          <w:p w14:paraId="6D54B89C">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市监局</w:t>
            </w:r>
          </w:p>
        </w:tc>
        <w:tc>
          <w:tcPr>
            <w:tcW w:w="3435" w:type="dxa"/>
            <w:noWrap w:val="0"/>
            <w:vAlign w:val="center"/>
          </w:tcPr>
          <w:p w14:paraId="55F52DA8">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r>
              <w:rPr>
                <w:rFonts w:hint="eastAsia" w:ascii="Times New Roman" w:hAnsi="Times New Roman" w:eastAsia="仿宋_GB2312"/>
                <w:color w:val="auto"/>
                <w:kern w:val="0"/>
                <w:sz w:val="24"/>
                <w:highlight w:val="none"/>
                <w:lang w:val="en-US" w:eastAsia="zh-CN"/>
              </w:rPr>
              <w:t>，各镇（场、开发区）</w:t>
            </w:r>
          </w:p>
        </w:tc>
      </w:tr>
      <w:tr w14:paraId="7D12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7" w:type="dxa"/>
            <w:noWrap w:val="0"/>
            <w:vAlign w:val="center"/>
          </w:tcPr>
          <w:p w14:paraId="425B1D33">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4</w:t>
            </w:r>
          </w:p>
        </w:tc>
        <w:tc>
          <w:tcPr>
            <w:tcW w:w="1559" w:type="dxa"/>
            <w:vMerge w:val="continue"/>
            <w:noWrap w:val="0"/>
            <w:vAlign w:val="center"/>
          </w:tcPr>
          <w:p w14:paraId="0D216951">
            <w:pPr>
              <w:widowControl/>
              <w:jc w:val="left"/>
              <w:rPr>
                <w:rFonts w:ascii="Times New Roman" w:hAnsi="Times New Roman" w:eastAsia="仿宋_GB2312"/>
                <w:color w:val="auto"/>
                <w:kern w:val="0"/>
                <w:sz w:val="24"/>
                <w:highlight w:val="none"/>
              </w:rPr>
            </w:pPr>
          </w:p>
        </w:tc>
        <w:tc>
          <w:tcPr>
            <w:tcW w:w="6095" w:type="dxa"/>
            <w:noWrap w:val="0"/>
            <w:vAlign w:val="center"/>
          </w:tcPr>
          <w:p w14:paraId="6CE27B84">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允许“一照多址”改革，商事主体可以在其住所（经营场所）以外增设不需要前置许可的经营场所。</w:t>
            </w:r>
          </w:p>
        </w:tc>
        <w:tc>
          <w:tcPr>
            <w:tcW w:w="1559" w:type="dxa"/>
            <w:noWrap w:val="0"/>
            <w:vAlign w:val="center"/>
          </w:tcPr>
          <w:p w14:paraId="5E609921">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县市监局</w:t>
            </w:r>
          </w:p>
        </w:tc>
        <w:tc>
          <w:tcPr>
            <w:tcW w:w="3435" w:type="dxa"/>
            <w:noWrap w:val="0"/>
            <w:vAlign w:val="center"/>
          </w:tcPr>
          <w:p w14:paraId="74A13004">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r>
              <w:rPr>
                <w:rFonts w:hint="eastAsia" w:ascii="Times New Roman" w:hAnsi="Times New Roman" w:eastAsia="仿宋_GB2312"/>
                <w:color w:val="auto"/>
                <w:kern w:val="0"/>
                <w:sz w:val="24"/>
                <w:highlight w:val="none"/>
                <w:lang w:val="en-US" w:eastAsia="zh-CN"/>
              </w:rPr>
              <w:t>，各镇（场、开发区）</w:t>
            </w:r>
          </w:p>
        </w:tc>
      </w:tr>
      <w:tr w14:paraId="6B607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77" w:type="dxa"/>
            <w:noWrap w:val="0"/>
            <w:vAlign w:val="center"/>
          </w:tcPr>
          <w:p w14:paraId="7E7BB461">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5</w:t>
            </w:r>
          </w:p>
        </w:tc>
        <w:tc>
          <w:tcPr>
            <w:tcW w:w="1559" w:type="dxa"/>
            <w:vMerge w:val="continue"/>
            <w:noWrap w:val="0"/>
            <w:vAlign w:val="center"/>
          </w:tcPr>
          <w:p w14:paraId="7C05AC72">
            <w:pPr>
              <w:widowControl/>
              <w:jc w:val="left"/>
              <w:rPr>
                <w:rFonts w:ascii="Times New Roman" w:hAnsi="Times New Roman" w:eastAsia="仿宋_GB2312"/>
                <w:color w:val="auto"/>
                <w:kern w:val="0"/>
                <w:sz w:val="24"/>
                <w:highlight w:val="none"/>
              </w:rPr>
            </w:pPr>
          </w:p>
        </w:tc>
        <w:tc>
          <w:tcPr>
            <w:tcW w:w="6095" w:type="dxa"/>
            <w:noWrap w:val="0"/>
            <w:vAlign w:val="center"/>
          </w:tcPr>
          <w:p w14:paraId="2FF92963">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全面推行银行账户简易开户服务，对符合条件的企业先行开立简易账户，后续根据客户尽职调查情况，升级账户功能。</w:t>
            </w:r>
          </w:p>
        </w:tc>
        <w:tc>
          <w:tcPr>
            <w:tcW w:w="1559" w:type="dxa"/>
            <w:noWrap w:val="0"/>
            <w:vAlign w:val="center"/>
          </w:tcPr>
          <w:p w14:paraId="23B734CB">
            <w:pPr>
              <w:widowControl/>
              <w:jc w:val="center"/>
              <w:rPr>
                <w:rFonts w:hint="default" w:ascii="Times New Roman" w:hAnsi="Times New Roman" w:eastAsia="仿宋_GB2312"/>
                <w:color w:val="auto"/>
                <w:kern w:val="0"/>
                <w:sz w:val="24"/>
                <w:highlight w:val="none"/>
                <w:lang w:val="en-US" w:eastAsia="zh-CN"/>
              </w:rPr>
            </w:pPr>
            <w:r>
              <w:rPr>
                <w:rFonts w:ascii="Times New Roman" w:hAnsi="Times New Roman" w:eastAsia="仿宋_GB2312"/>
                <w:color w:val="auto"/>
                <w:kern w:val="0"/>
                <w:sz w:val="24"/>
                <w:highlight w:val="none"/>
              </w:rPr>
              <w:t>中国人民银行海丰县支行</w:t>
            </w:r>
          </w:p>
        </w:tc>
        <w:tc>
          <w:tcPr>
            <w:tcW w:w="3435" w:type="dxa"/>
            <w:noWrap w:val="0"/>
            <w:vAlign w:val="center"/>
          </w:tcPr>
          <w:p w14:paraId="065AFFA3">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r>
              <w:rPr>
                <w:rFonts w:hint="eastAsia" w:ascii="Times New Roman" w:hAnsi="Times New Roman" w:eastAsia="仿宋_GB2312"/>
                <w:color w:val="auto"/>
                <w:kern w:val="0"/>
                <w:sz w:val="24"/>
                <w:highlight w:val="none"/>
                <w:lang w:val="en-US" w:eastAsia="zh-CN"/>
              </w:rPr>
              <w:t>，各镇（场、开发区）</w:t>
            </w:r>
          </w:p>
        </w:tc>
      </w:tr>
      <w:tr w14:paraId="25ECE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7" w:type="dxa"/>
            <w:noWrap w:val="0"/>
            <w:vAlign w:val="center"/>
          </w:tcPr>
          <w:p w14:paraId="0D64A521">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6</w:t>
            </w:r>
          </w:p>
        </w:tc>
        <w:tc>
          <w:tcPr>
            <w:tcW w:w="1559" w:type="dxa"/>
            <w:vMerge w:val="continue"/>
            <w:noWrap w:val="0"/>
            <w:vAlign w:val="center"/>
          </w:tcPr>
          <w:p w14:paraId="74E1E4C8">
            <w:pPr>
              <w:widowControl/>
              <w:jc w:val="left"/>
              <w:rPr>
                <w:rFonts w:ascii="Times New Roman" w:hAnsi="Times New Roman" w:eastAsia="仿宋_GB2312"/>
                <w:color w:val="auto"/>
                <w:kern w:val="0"/>
                <w:sz w:val="24"/>
                <w:highlight w:val="none"/>
              </w:rPr>
            </w:pPr>
          </w:p>
        </w:tc>
        <w:tc>
          <w:tcPr>
            <w:tcW w:w="6095" w:type="dxa"/>
            <w:noWrap w:val="0"/>
            <w:vAlign w:val="center"/>
          </w:tcPr>
          <w:p w14:paraId="2EFDB673">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全面开展“一标三实”信息采集，探索建立全</w:t>
            </w: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统一“标准地址库”，推广应用标准地址编码和地址名称。</w:t>
            </w:r>
          </w:p>
        </w:tc>
        <w:tc>
          <w:tcPr>
            <w:tcW w:w="1559" w:type="dxa"/>
            <w:noWrap w:val="0"/>
            <w:vAlign w:val="center"/>
          </w:tcPr>
          <w:p w14:paraId="45C3CD6F">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公安局</w:t>
            </w:r>
          </w:p>
        </w:tc>
        <w:tc>
          <w:tcPr>
            <w:tcW w:w="3435" w:type="dxa"/>
            <w:noWrap w:val="0"/>
            <w:vAlign w:val="center"/>
          </w:tcPr>
          <w:p w14:paraId="3B292A2A">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FF0000"/>
                <w:kern w:val="0"/>
                <w:sz w:val="24"/>
                <w:highlight w:val="none"/>
                <w:lang w:val="en-US" w:eastAsia="zh-CN"/>
              </w:rPr>
              <w:t>县委政法委、</w:t>
            </w:r>
            <w:r>
              <w:rPr>
                <w:rFonts w:hint="default" w:ascii="Times New Roman" w:hAnsi="Times New Roman" w:eastAsia="仿宋_GB2312"/>
                <w:color w:val="FF0000"/>
                <w:kern w:val="0"/>
                <w:sz w:val="24"/>
                <w:highlight w:val="none"/>
                <w:lang w:val="en-US" w:eastAsia="zh-CN"/>
              </w:rPr>
              <w:t>县民政局、县政数局，各镇（场、开发区）</w:t>
            </w:r>
          </w:p>
        </w:tc>
      </w:tr>
      <w:tr w14:paraId="6E451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77" w:type="dxa"/>
            <w:noWrap w:val="0"/>
            <w:vAlign w:val="center"/>
          </w:tcPr>
          <w:p w14:paraId="3F6B9DD5">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7</w:t>
            </w:r>
          </w:p>
        </w:tc>
        <w:tc>
          <w:tcPr>
            <w:tcW w:w="1559" w:type="dxa"/>
            <w:vMerge w:val="continue"/>
            <w:noWrap w:val="0"/>
            <w:vAlign w:val="center"/>
          </w:tcPr>
          <w:p w14:paraId="5225CA12">
            <w:pPr>
              <w:widowControl/>
              <w:jc w:val="left"/>
              <w:rPr>
                <w:rFonts w:ascii="Times New Roman" w:hAnsi="Times New Roman" w:eastAsia="仿宋_GB2312"/>
                <w:color w:val="auto"/>
                <w:kern w:val="0"/>
                <w:sz w:val="24"/>
                <w:highlight w:val="none"/>
              </w:rPr>
            </w:pPr>
          </w:p>
        </w:tc>
        <w:tc>
          <w:tcPr>
            <w:tcW w:w="6095" w:type="dxa"/>
            <w:noWrap w:val="0"/>
            <w:vAlign w:val="center"/>
          </w:tcPr>
          <w:p w14:paraId="5EA9B38F">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持续实行新开办企业免费刻章。</w:t>
            </w:r>
          </w:p>
        </w:tc>
        <w:tc>
          <w:tcPr>
            <w:tcW w:w="1559" w:type="dxa"/>
            <w:noWrap w:val="0"/>
            <w:vAlign w:val="center"/>
          </w:tcPr>
          <w:p w14:paraId="1C682EC4">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市监局、公安局、</w:t>
            </w:r>
            <w:r>
              <w:rPr>
                <w:rFonts w:hint="eastAsia" w:ascii="Times New Roman" w:hAnsi="Times New Roman" w:eastAsia="仿宋_GB2312"/>
                <w:color w:val="auto"/>
                <w:kern w:val="0"/>
                <w:sz w:val="24"/>
                <w:highlight w:val="none"/>
                <w:lang w:eastAsia="zh-CN"/>
              </w:rPr>
              <w:t>政数局、</w:t>
            </w:r>
            <w:r>
              <w:rPr>
                <w:rFonts w:ascii="Times New Roman" w:hAnsi="Times New Roman" w:eastAsia="仿宋_GB2312"/>
                <w:color w:val="auto"/>
                <w:kern w:val="0"/>
                <w:sz w:val="24"/>
                <w:highlight w:val="none"/>
              </w:rPr>
              <w:t>财政局</w:t>
            </w:r>
          </w:p>
        </w:tc>
        <w:tc>
          <w:tcPr>
            <w:tcW w:w="3435" w:type="dxa"/>
            <w:noWrap w:val="0"/>
            <w:vAlign w:val="center"/>
          </w:tcPr>
          <w:p w14:paraId="35328DFB">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6D6B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677" w:type="dxa"/>
            <w:noWrap w:val="0"/>
            <w:vAlign w:val="center"/>
          </w:tcPr>
          <w:p w14:paraId="3905FD9F">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8</w:t>
            </w:r>
          </w:p>
        </w:tc>
        <w:tc>
          <w:tcPr>
            <w:tcW w:w="1559" w:type="dxa"/>
            <w:vMerge w:val="restart"/>
            <w:noWrap w:val="0"/>
            <w:vAlign w:val="center"/>
          </w:tcPr>
          <w:p w14:paraId="4A177192">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深化“证照分离”改革</w:t>
            </w:r>
          </w:p>
        </w:tc>
        <w:tc>
          <w:tcPr>
            <w:tcW w:w="6095" w:type="dxa"/>
            <w:noWrap w:val="0"/>
            <w:vAlign w:val="center"/>
          </w:tcPr>
          <w:p w14:paraId="4E90C86A">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推进行政审批制度改革和商事制度改革，在全市范围内实施涉企经营许可事项全覆盖清单管理，将法律、行政法规、国务院决定设定的523项涉企经营许可事项,我省地方性法规、省政府规章设定的2项涉企经营许可事项，全部纳入改革范围，按照直接取消审批、审批改为备案、实行告知承诺、优化审批服务等四种方式分类推进改革，实施改革事项清单动态管理。</w:t>
            </w:r>
          </w:p>
        </w:tc>
        <w:tc>
          <w:tcPr>
            <w:tcW w:w="1559" w:type="dxa"/>
            <w:noWrap w:val="0"/>
            <w:vAlign w:val="center"/>
          </w:tcPr>
          <w:p w14:paraId="6D0CA05B">
            <w:pPr>
              <w:widowControl/>
              <w:jc w:val="center"/>
              <w:rPr>
                <w:rFonts w:hint="eastAsia" w:ascii="Times New Roman" w:hAnsi="Times New Roman" w:eastAsia="仿宋_GB2312"/>
                <w:color w:val="auto"/>
                <w:kern w:val="0"/>
                <w:sz w:val="24"/>
                <w:highlight w:val="none"/>
                <w:lang w:eastAsia="zh-CN"/>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市监局、司法局</w:t>
            </w:r>
            <w:r>
              <w:rPr>
                <w:rFonts w:hint="eastAsia" w:ascii="Times New Roman" w:hAnsi="Times New Roman" w:eastAsia="仿宋_GB2312"/>
                <w:color w:val="auto"/>
                <w:kern w:val="0"/>
                <w:sz w:val="24"/>
                <w:highlight w:val="none"/>
                <w:lang w:eastAsia="zh-CN"/>
              </w:rPr>
              <w:t>、政数局</w:t>
            </w:r>
          </w:p>
        </w:tc>
        <w:tc>
          <w:tcPr>
            <w:tcW w:w="3435" w:type="dxa"/>
            <w:noWrap w:val="0"/>
            <w:vAlign w:val="center"/>
          </w:tcPr>
          <w:p w14:paraId="72E1E0E2">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县科工</w:t>
            </w:r>
            <w:r>
              <w:rPr>
                <w:rFonts w:ascii="Times New Roman" w:hAnsi="Times New Roman" w:eastAsia="仿宋_GB2312"/>
                <w:color w:val="auto"/>
                <w:kern w:val="0"/>
                <w:sz w:val="24"/>
                <w:highlight w:val="none"/>
              </w:rPr>
              <w:t>局、公安局、人社局、自然资源局、</w:t>
            </w:r>
            <w:r>
              <w:rPr>
                <w:rFonts w:hint="eastAsia" w:ascii="Times New Roman" w:hAnsi="Times New Roman" w:eastAsia="仿宋_GB2312"/>
                <w:color w:val="auto"/>
                <w:kern w:val="0"/>
                <w:sz w:val="24"/>
                <w:highlight w:val="none"/>
                <w:lang w:val="en-US" w:eastAsia="zh-CN"/>
              </w:rPr>
              <w:t>市</w:t>
            </w:r>
            <w:r>
              <w:rPr>
                <w:rFonts w:ascii="Times New Roman" w:hAnsi="Times New Roman" w:eastAsia="仿宋_GB2312"/>
                <w:color w:val="auto"/>
                <w:kern w:val="0"/>
                <w:sz w:val="24"/>
                <w:highlight w:val="none"/>
              </w:rPr>
              <w:t>生态</w:t>
            </w:r>
            <w:r>
              <w:rPr>
                <w:rFonts w:hint="eastAsia" w:ascii="Times New Roman" w:hAnsi="Times New Roman" w:eastAsia="仿宋_GB2312"/>
                <w:color w:val="auto"/>
                <w:kern w:val="0"/>
                <w:sz w:val="24"/>
                <w:highlight w:val="none"/>
                <w:lang w:val="en-US" w:eastAsia="zh-CN"/>
              </w:rPr>
              <w:t>环境</w:t>
            </w:r>
            <w:r>
              <w:rPr>
                <w:rFonts w:ascii="Times New Roman" w:hAnsi="Times New Roman" w:eastAsia="仿宋_GB2312"/>
                <w:color w:val="auto"/>
                <w:kern w:val="0"/>
                <w:sz w:val="24"/>
                <w:highlight w:val="none"/>
              </w:rPr>
              <w:t>局</w:t>
            </w:r>
            <w:r>
              <w:rPr>
                <w:rFonts w:hint="eastAsia" w:ascii="Times New Roman" w:hAnsi="Times New Roman" w:eastAsia="仿宋_GB2312"/>
                <w:color w:val="auto"/>
                <w:kern w:val="0"/>
                <w:sz w:val="24"/>
                <w:highlight w:val="none"/>
                <w:lang w:val="en-US" w:eastAsia="zh-CN"/>
              </w:rPr>
              <w:t>海丰分局</w:t>
            </w:r>
            <w:r>
              <w:rPr>
                <w:rFonts w:ascii="Times New Roman" w:hAnsi="Times New Roman" w:eastAsia="仿宋_GB2312"/>
                <w:color w:val="auto"/>
                <w:kern w:val="0"/>
                <w:sz w:val="24"/>
                <w:highlight w:val="none"/>
              </w:rPr>
              <w:t>、住建局、</w:t>
            </w:r>
            <w:bookmarkStart w:id="1" w:name="_GoBack"/>
            <w:bookmarkEnd w:id="1"/>
            <w:r>
              <w:rPr>
                <w:rFonts w:hint="eastAsia" w:ascii="Times New Roman" w:hAnsi="Times New Roman" w:eastAsia="仿宋_GB2312"/>
                <w:color w:val="auto"/>
                <w:kern w:val="0"/>
                <w:sz w:val="24"/>
                <w:highlight w:val="none"/>
                <w:lang w:eastAsia="zh-CN"/>
              </w:rPr>
              <w:t>交通运输局</w:t>
            </w:r>
            <w:r>
              <w:rPr>
                <w:rFonts w:ascii="Times New Roman" w:hAnsi="Times New Roman" w:eastAsia="仿宋_GB2312"/>
                <w:color w:val="auto"/>
                <w:kern w:val="0"/>
                <w:sz w:val="24"/>
                <w:highlight w:val="none"/>
              </w:rPr>
              <w:t>、水务局、农业局、文广旅体局</w:t>
            </w:r>
            <w:r>
              <w:rPr>
                <w:rFonts w:hint="eastAsia" w:ascii="Times New Roman" w:hAnsi="Times New Roman" w:eastAsia="仿宋_GB2312"/>
                <w:color w:val="auto"/>
                <w:kern w:val="0"/>
                <w:sz w:val="24"/>
                <w:highlight w:val="none"/>
                <w:lang w:eastAsia="zh-CN"/>
              </w:rPr>
              <w:t>等</w:t>
            </w:r>
            <w:r>
              <w:rPr>
                <w:rFonts w:hint="eastAsia" w:ascii="Times New Roman" w:hAnsi="Times New Roman" w:eastAsia="仿宋_GB2312"/>
                <w:color w:val="auto"/>
                <w:kern w:val="0"/>
                <w:sz w:val="24"/>
                <w:highlight w:val="none"/>
                <w:lang w:val="en-US" w:eastAsia="zh-CN"/>
              </w:rPr>
              <w:t>县</w:t>
            </w:r>
            <w:r>
              <w:rPr>
                <w:rFonts w:hint="eastAsia" w:ascii="Times New Roman" w:hAnsi="Times New Roman" w:eastAsia="仿宋_GB2312"/>
                <w:color w:val="auto"/>
                <w:kern w:val="0"/>
                <w:sz w:val="24"/>
                <w:highlight w:val="none"/>
                <w:lang w:eastAsia="zh-CN"/>
              </w:rPr>
              <w:t>直有关单位</w:t>
            </w:r>
            <w:r>
              <w:rPr>
                <w:rFonts w:ascii="Times New Roman" w:hAnsi="Times New Roman" w:eastAsia="仿宋_GB2312"/>
                <w:color w:val="auto"/>
                <w:kern w:val="0"/>
                <w:sz w:val="24"/>
                <w:highlight w:val="none"/>
              </w:rPr>
              <w:t>，</w:t>
            </w:r>
          </w:p>
        </w:tc>
      </w:tr>
      <w:tr w14:paraId="4073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7" w:type="dxa"/>
            <w:noWrap w:val="0"/>
            <w:vAlign w:val="center"/>
          </w:tcPr>
          <w:p w14:paraId="3086B5C7">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9</w:t>
            </w:r>
          </w:p>
        </w:tc>
        <w:tc>
          <w:tcPr>
            <w:tcW w:w="1559" w:type="dxa"/>
            <w:vMerge w:val="continue"/>
            <w:noWrap w:val="0"/>
            <w:vAlign w:val="center"/>
          </w:tcPr>
          <w:p w14:paraId="42957F2D">
            <w:pPr>
              <w:widowControl/>
              <w:jc w:val="left"/>
              <w:rPr>
                <w:rFonts w:ascii="Times New Roman" w:hAnsi="Times New Roman" w:eastAsia="仿宋_GB2312"/>
                <w:color w:val="auto"/>
                <w:kern w:val="0"/>
                <w:sz w:val="24"/>
                <w:highlight w:val="none"/>
              </w:rPr>
            </w:pPr>
          </w:p>
        </w:tc>
        <w:tc>
          <w:tcPr>
            <w:tcW w:w="6095" w:type="dxa"/>
            <w:noWrap w:val="0"/>
            <w:vAlign w:val="center"/>
          </w:tcPr>
          <w:p w14:paraId="66B19E0E">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推行“</w:t>
            </w:r>
            <w:r>
              <w:rPr>
                <w:rFonts w:hint="eastAsia" w:ascii="Times New Roman" w:hAnsi="Times New Roman" w:eastAsia="仿宋_GB2312"/>
                <w:color w:val="auto"/>
                <w:kern w:val="0"/>
                <w:sz w:val="24"/>
                <w:highlight w:val="none"/>
                <w:lang w:eastAsia="zh-CN"/>
              </w:rPr>
              <w:t>证照联办</w:t>
            </w:r>
            <w:r>
              <w:rPr>
                <w:rFonts w:ascii="Times New Roman" w:hAnsi="Times New Roman" w:eastAsia="仿宋_GB2312"/>
                <w:color w:val="auto"/>
                <w:kern w:val="0"/>
                <w:sz w:val="24"/>
                <w:highlight w:val="none"/>
              </w:rPr>
              <w:t>”改革。</w:t>
            </w:r>
            <w:r>
              <w:rPr>
                <w:rFonts w:hint="eastAsia" w:ascii="Times New Roman" w:hAnsi="Times New Roman" w:eastAsia="仿宋_GB2312"/>
                <w:color w:val="auto"/>
                <w:kern w:val="0"/>
                <w:sz w:val="24"/>
                <w:highlight w:val="none"/>
                <w:lang w:eastAsia="zh-CN"/>
              </w:rPr>
              <w:t>扩大对群众办理“小超市经营变更、小超市经营延续、小超市注销、开餐馆、餐馆经营变更、餐馆经营延续、餐馆注销、开网店、开美容美发店”的试点改革</w:t>
            </w:r>
            <w:r>
              <w:rPr>
                <w:rFonts w:ascii="Times New Roman" w:hAnsi="Times New Roman" w:eastAsia="仿宋_GB2312"/>
                <w:color w:val="auto"/>
                <w:kern w:val="0"/>
                <w:sz w:val="24"/>
                <w:highlight w:val="none"/>
              </w:rPr>
              <w:t>，促进“准入准营”同步提速。</w:t>
            </w:r>
          </w:p>
        </w:tc>
        <w:tc>
          <w:tcPr>
            <w:tcW w:w="1559" w:type="dxa"/>
            <w:noWrap w:val="0"/>
            <w:vAlign w:val="center"/>
          </w:tcPr>
          <w:p w14:paraId="77FC90A4">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市监局、政数局</w:t>
            </w:r>
          </w:p>
        </w:tc>
        <w:tc>
          <w:tcPr>
            <w:tcW w:w="3435" w:type="dxa"/>
            <w:noWrap w:val="0"/>
            <w:vAlign w:val="center"/>
          </w:tcPr>
          <w:p w14:paraId="4714842D">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hint="eastAsia" w:ascii="Times New Roman" w:hAnsi="Times New Roman" w:eastAsia="仿宋_GB2312"/>
                <w:color w:val="auto"/>
                <w:kern w:val="0"/>
                <w:sz w:val="24"/>
                <w:highlight w:val="none"/>
                <w:lang w:eastAsia="zh-CN"/>
              </w:rPr>
              <w:t>卫健局、税务局、</w:t>
            </w:r>
            <w:r>
              <w:rPr>
                <w:rFonts w:hint="eastAsia" w:ascii="Times New Roman" w:hAnsi="Times New Roman" w:eastAsia="仿宋_GB2312"/>
                <w:color w:val="auto"/>
                <w:kern w:val="0"/>
                <w:sz w:val="24"/>
                <w:highlight w:val="none"/>
                <w:lang w:val="en-US" w:eastAsia="zh-CN"/>
              </w:rPr>
              <w:t>市</w:t>
            </w:r>
            <w:r>
              <w:rPr>
                <w:rFonts w:hint="eastAsia" w:ascii="Times New Roman" w:hAnsi="Times New Roman" w:eastAsia="仿宋_GB2312"/>
                <w:color w:val="auto"/>
                <w:kern w:val="0"/>
                <w:sz w:val="24"/>
                <w:highlight w:val="none"/>
                <w:lang w:eastAsia="zh-CN"/>
              </w:rPr>
              <w:t>住房公积金管理中心</w:t>
            </w:r>
            <w:r>
              <w:rPr>
                <w:rFonts w:hint="eastAsia" w:ascii="Times New Roman" w:hAnsi="Times New Roman" w:eastAsia="仿宋_GB2312"/>
                <w:color w:val="auto"/>
                <w:kern w:val="0"/>
                <w:sz w:val="24"/>
                <w:highlight w:val="none"/>
                <w:lang w:val="en-US" w:eastAsia="zh-CN"/>
              </w:rPr>
              <w:t>海丰管理部</w:t>
            </w:r>
            <w:r>
              <w:rPr>
                <w:rFonts w:ascii="Times New Roman" w:hAnsi="Times New Roman" w:eastAsia="仿宋_GB2312"/>
                <w:color w:val="auto"/>
                <w:kern w:val="0"/>
                <w:sz w:val="24"/>
                <w:highlight w:val="none"/>
              </w:rPr>
              <w:t>，</w:t>
            </w:r>
          </w:p>
        </w:tc>
      </w:tr>
      <w:tr w14:paraId="19B78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7" w:type="dxa"/>
            <w:noWrap w:val="0"/>
            <w:vAlign w:val="center"/>
          </w:tcPr>
          <w:p w14:paraId="7E7742CC">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10</w:t>
            </w:r>
          </w:p>
        </w:tc>
        <w:tc>
          <w:tcPr>
            <w:tcW w:w="1559" w:type="dxa"/>
            <w:vMerge w:val="restart"/>
            <w:noWrap w:val="0"/>
            <w:vAlign w:val="center"/>
          </w:tcPr>
          <w:p w14:paraId="22FCBD1A">
            <w:pPr>
              <w:widowControl/>
              <w:jc w:val="center"/>
              <w:rPr>
                <w:rFonts w:hint="eastAsia" w:ascii="Times New Roman" w:hAnsi="Times New Roman" w:eastAsia="仿宋_GB2312"/>
                <w:color w:val="auto"/>
                <w:kern w:val="0"/>
                <w:sz w:val="24"/>
                <w:highlight w:val="none"/>
                <w:lang w:eastAsia="zh-CN"/>
              </w:rPr>
            </w:pPr>
            <w:r>
              <w:rPr>
                <w:rFonts w:hint="eastAsia" w:ascii="Times New Roman" w:hAnsi="Times New Roman" w:eastAsia="仿宋_GB2312"/>
                <w:color w:val="auto"/>
                <w:kern w:val="0"/>
                <w:sz w:val="24"/>
                <w:highlight w:val="none"/>
                <w:lang w:eastAsia="zh-CN"/>
              </w:rPr>
              <w:t>深化工程建设项目审批便利化</w:t>
            </w:r>
          </w:p>
        </w:tc>
        <w:tc>
          <w:tcPr>
            <w:tcW w:w="6095" w:type="dxa"/>
            <w:noWrap w:val="0"/>
            <w:vAlign w:val="center"/>
          </w:tcPr>
          <w:p w14:paraId="1358F675">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实施工程安全质量分类分级管控。对工程项目进行工程类别以及风险等级划分，确定工程安全质量监督检查频次和内容等，出台基于各类工程及不同风险等级的管控制度</w:t>
            </w:r>
            <w:r>
              <w:rPr>
                <w:rFonts w:hint="eastAsia" w:ascii="Times New Roman" w:hAnsi="Times New Roman" w:eastAsia="仿宋_GB2312"/>
                <w:color w:val="auto"/>
                <w:kern w:val="0"/>
                <w:sz w:val="24"/>
                <w:highlight w:val="none"/>
                <w:lang w:eastAsia="zh-CN"/>
              </w:rPr>
              <w:t>，率先在</w:t>
            </w:r>
            <w:r>
              <w:rPr>
                <w:rFonts w:hint="eastAsia" w:ascii="Times New Roman" w:hAnsi="Times New Roman" w:eastAsia="仿宋_GB2312"/>
                <w:color w:val="auto"/>
                <w:kern w:val="0"/>
                <w:sz w:val="24"/>
                <w:highlight w:val="none"/>
                <w:lang w:val="en-US" w:eastAsia="zh-CN"/>
              </w:rPr>
              <w:t>县</w:t>
            </w:r>
            <w:r>
              <w:rPr>
                <w:rFonts w:hint="eastAsia" w:ascii="Times New Roman" w:hAnsi="Times New Roman" w:eastAsia="仿宋_GB2312"/>
                <w:color w:val="auto"/>
                <w:kern w:val="0"/>
                <w:sz w:val="24"/>
                <w:highlight w:val="none"/>
                <w:lang w:eastAsia="zh-CN"/>
              </w:rPr>
              <w:t>直一般社会投资项目领域实施工程安全质量分类分级管控试点</w:t>
            </w:r>
            <w:r>
              <w:rPr>
                <w:rFonts w:ascii="Times New Roman" w:hAnsi="Times New Roman" w:eastAsia="仿宋_GB2312"/>
                <w:color w:val="auto"/>
                <w:kern w:val="0"/>
                <w:sz w:val="24"/>
                <w:highlight w:val="none"/>
              </w:rPr>
              <w:t>。</w:t>
            </w:r>
          </w:p>
        </w:tc>
        <w:tc>
          <w:tcPr>
            <w:tcW w:w="1559" w:type="dxa"/>
            <w:noWrap w:val="0"/>
            <w:vAlign w:val="center"/>
          </w:tcPr>
          <w:p w14:paraId="65E49BC4">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住建局</w:t>
            </w:r>
          </w:p>
        </w:tc>
        <w:tc>
          <w:tcPr>
            <w:tcW w:w="3435" w:type="dxa"/>
            <w:noWrap w:val="0"/>
            <w:vAlign w:val="center"/>
          </w:tcPr>
          <w:p w14:paraId="0D428AE1">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hint="eastAsia" w:ascii="Times New Roman" w:hAnsi="Times New Roman" w:eastAsia="仿宋_GB2312"/>
                <w:color w:val="auto"/>
                <w:kern w:val="0"/>
                <w:sz w:val="24"/>
                <w:highlight w:val="none"/>
                <w:lang w:eastAsia="zh-CN"/>
              </w:rPr>
              <w:t>交通运输局</w:t>
            </w:r>
            <w:r>
              <w:rPr>
                <w:rFonts w:hint="eastAsia" w:ascii="Times New Roman" w:hAnsi="Times New Roman" w:eastAsia="仿宋_GB2312"/>
                <w:color w:val="auto"/>
                <w:kern w:val="0"/>
                <w:sz w:val="24"/>
                <w:highlight w:val="none"/>
              </w:rPr>
              <w:t>、水务局、</w:t>
            </w:r>
            <w:r>
              <w:rPr>
                <w:rFonts w:hint="eastAsia" w:ascii="Times New Roman" w:hAnsi="Times New Roman" w:eastAsia="仿宋_GB2312"/>
                <w:color w:val="auto"/>
                <w:kern w:val="0"/>
                <w:sz w:val="24"/>
                <w:highlight w:val="none"/>
                <w:lang w:val="en-US" w:eastAsia="zh-CN"/>
              </w:rPr>
              <w:t>市</w:t>
            </w:r>
            <w:r>
              <w:rPr>
                <w:rFonts w:ascii="Times New Roman" w:hAnsi="Times New Roman" w:eastAsia="仿宋_GB2312"/>
                <w:color w:val="auto"/>
                <w:kern w:val="0"/>
                <w:sz w:val="24"/>
                <w:highlight w:val="none"/>
              </w:rPr>
              <w:t>生态</w:t>
            </w:r>
            <w:r>
              <w:rPr>
                <w:rFonts w:hint="eastAsia" w:ascii="Times New Roman" w:hAnsi="Times New Roman" w:eastAsia="仿宋_GB2312"/>
                <w:color w:val="auto"/>
                <w:kern w:val="0"/>
                <w:sz w:val="24"/>
                <w:highlight w:val="none"/>
                <w:lang w:val="en-US" w:eastAsia="zh-CN"/>
              </w:rPr>
              <w:t>环境</w:t>
            </w:r>
            <w:r>
              <w:rPr>
                <w:rFonts w:ascii="Times New Roman" w:hAnsi="Times New Roman" w:eastAsia="仿宋_GB2312"/>
                <w:color w:val="auto"/>
                <w:kern w:val="0"/>
                <w:sz w:val="24"/>
                <w:highlight w:val="none"/>
              </w:rPr>
              <w:t>局</w:t>
            </w:r>
            <w:r>
              <w:rPr>
                <w:rFonts w:hint="eastAsia" w:ascii="Times New Roman" w:hAnsi="Times New Roman" w:eastAsia="仿宋_GB2312"/>
                <w:color w:val="auto"/>
                <w:kern w:val="0"/>
                <w:sz w:val="24"/>
                <w:highlight w:val="none"/>
                <w:lang w:val="en-US" w:eastAsia="zh-CN"/>
              </w:rPr>
              <w:t>海丰分局</w:t>
            </w:r>
            <w:r>
              <w:rPr>
                <w:rFonts w:hint="eastAsia" w:ascii="Times New Roman" w:hAnsi="Times New Roman" w:eastAsia="仿宋_GB2312"/>
                <w:color w:val="auto"/>
                <w:kern w:val="0"/>
                <w:sz w:val="24"/>
                <w:highlight w:val="none"/>
              </w:rPr>
              <w:t>、市监局、气象局等</w:t>
            </w:r>
            <w:r>
              <w:rPr>
                <w:rFonts w:hint="eastAsia" w:ascii="Times New Roman" w:hAnsi="Times New Roman" w:eastAsia="仿宋_GB2312"/>
                <w:color w:val="auto"/>
                <w:kern w:val="0"/>
                <w:sz w:val="24"/>
                <w:highlight w:val="none"/>
                <w:lang w:val="en-US" w:eastAsia="zh-CN"/>
              </w:rPr>
              <w:t>县</w:t>
            </w:r>
            <w:r>
              <w:rPr>
                <w:rFonts w:hint="eastAsia" w:ascii="Times New Roman" w:hAnsi="Times New Roman" w:eastAsia="仿宋_GB2312"/>
                <w:color w:val="auto"/>
                <w:kern w:val="0"/>
                <w:sz w:val="24"/>
                <w:highlight w:val="none"/>
              </w:rPr>
              <w:t>直有关单位，</w:t>
            </w:r>
          </w:p>
        </w:tc>
      </w:tr>
      <w:tr w14:paraId="6C5F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77" w:type="dxa"/>
            <w:noWrap w:val="0"/>
            <w:vAlign w:val="center"/>
          </w:tcPr>
          <w:p w14:paraId="4290F706">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11</w:t>
            </w:r>
          </w:p>
        </w:tc>
        <w:tc>
          <w:tcPr>
            <w:tcW w:w="1559" w:type="dxa"/>
            <w:vMerge w:val="continue"/>
            <w:noWrap w:val="0"/>
            <w:vAlign w:val="center"/>
          </w:tcPr>
          <w:p w14:paraId="1EEC2949">
            <w:pPr>
              <w:widowControl/>
              <w:jc w:val="left"/>
              <w:rPr>
                <w:rFonts w:ascii="Times New Roman" w:hAnsi="Times New Roman" w:eastAsia="仿宋_GB2312"/>
                <w:color w:val="auto"/>
                <w:kern w:val="0"/>
                <w:sz w:val="24"/>
                <w:highlight w:val="none"/>
              </w:rPr>
            </w:pPr>
          </w:p>
        </w:tc>
        <w:tc>
          <w:tcPr>
            <w:tcW w:w="6095" w:type="dxa"/>
            <w:noWrap w:val="0"/>
            <w:vAlign w:val="center"/>
          </w:tcPr>
          <w:p w14:paraId="47A71B19">
            <w:pPr>
              <w:widowControl/>
              <w:jc w:val="left"/>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rPr>
              <w:t>推行“区域评估+标准地+承诺制+政府配套服务”改革，在土地供应前开展相关评估和现状普查，企业拿地后无需再提供清单内的评估评审报告，全</w:t>
            </w:r>
            <w:r>
              <w:rPr>
                <w:rFonts w:hint="eastAsia" w:ascii="Times New Roman" w:hAnsi="Times New Roman" w:eastAsia="仿宋_GB2312"/>
                <w:color w:val="auto"/>
                <w:kern w:val="0"/>
                <w:sz w:val="24"/>
                <w:highlight w:val="none"/>
                <w:lang w:val="en-US" w:eastAsia="zh-CN"/>
              </w:rPr>
              <w:t>县</w:t>
            </w:r>
            <w:r>
              <w:rPr>
                <w:rFonts w:hint="eastAsia" w:ascii="Times New Roman" w:hAnsi="Times New Roman" w:eastAsia="仿宋_GB2312"/>
                <w:color w:val="auto"/>
                <w:kern w:val="0"/>
                <w:sz w:val="24"/>
                <w:highlight w:val="none"/>
              </w:rPr>
              <w:t>应用区域评估成果的项目数超</w:t>
            </w:r>
            <w:r>
              <w:rPr>
                <w:rFonts w:hint="eastAsia" w:ascii="Times New Roman" w:hAnsi="Times New Roman" w:eastAsia="仿宋_GB2312"/>
                <w:color w:val="auto"/>
                <w:kern w:val="0"/>
                <w:sz w:val="24"/>
                <w:highlight w:val="none"/>
                <w:lang w:val="en-US" w:eastAsia="zh-CN"/>
              </w:rPr>
              <w:t>2</w:t>
            </w:r>
            <w:r>
              <w:rPr>
                <w:rFonts w:hint="eastAsia" w:ascii="Times New Roman" w:hAnsi="Times New Roman" w:eastAsia="仿宋_GB2312"/>
                <w:color w:val="auto"/>
                <w:kern w:val="0"/>
                <w:sz w:val="24"/>
                <w:highlight w:val="none"/>
              </w:rPr>
              <w:t>个，省级开发区、高新产业园区、其他工业园区新增工业用地“标准地”出让实现</w:t>
            </w:r>
            <w:r>
              <w:rPr>
                <w:rFonts w:hint="eastAsia" w:ascii="Times New Roman" w:hAnsi="Times New Roman" w:eastAsia="仿宋_GB2312"/>
                <w:color w:val="auto"/>
                <w:kern w:val="0"/>
                <w:sz w:val="24"/>
                <w:highlight w:val="none"/>
                <w:lang w:val="en-US" w:eastAsia="zh-CN"/>
              </w:rPr>
              <w:t>100</w:t>
            </w:r>
            <w:r>
              <w:rPr>
                <w:rFonts w:hint="eastAsia" w:ascii="Times New Roman" w:hAnsi="Times New Roman" w:eastAsia="仿宋_GB2312"/>
                <w:color w:val="auto"/>
                <w:kern w:val="0"/>
                <w:sz w:val="24"/>
                <w:highlight w:val="none"/>
              </w:rPr>
              <w:t>%覆盖。</w:t>
            </w:r>
          </w:p>
        </w:tc>
        <w:tc>
          <w:tcPr>
            <w:tcW w:w="1559" w:type="dxa"/>
            <w:noWrap w:val="0"/>
            <w:vAlign w:val="center"/>
          </w:tcPr>
          <w:p w14:paraId="52115BA9">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自然资源局、住建局、发改局</w:t>
            </w:r>
          </w:p>
        </w:tc>
        <w:tc>
          <w:tcPr>
            <w:tcW w:w="3435" w:type="dxa"/>
            <w:noWrap w:val="0"/>
            <w:vAlign w:val="center"/>
          </w:tcPr>
          <w:p w14:paraId="3BA002BA">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委统战部，</w:t>
            </w:r>
            <w:r>
              <w:rPr>
                <w:rFonts w:hint="eastAsia" w:ascii="Times New Roman" w:hAnsi="Times New Roman" w:eastAsia="仿宋_GB2312"/>
                <w:color w:val="auto"/>
                <w:kern w:val="0"/>
                <w:sz w:val="24"/>
                <w:highlight w:val="none"/>
                <w:lang w:val="en-US" w:eastAsia="zh-CN"/>
              </w:rPr>
              <w:t>市</w:t>
            </w:r>
            <w:r>
              <w:rPr>
                <w:rFonts w:ascii="Times New Roman" w:hAnsi="Times New Roman" w:eastAsia="仿宋_GB2312"/>
                <w:color w:val="auto"/>
                <w:kern w:val="0"/>
                <w:sz w:val="24"/>
                <w:highlight w:val="none"/>
              </w:rPr>
              <w:t>生态</w:t>
            </w:r>
            <w:r>
              <w:rPr>
                <w:rFonts w:hint="eastAsia" w:ascii="Times New Roman" w:hAnsi="Times New Roman" w:eastAsia="仿宋_GB2312"/>
                <w:color w:val="auto"/>
                <w:kern w:val="0"/>
                <w:sz w:val="24"/>
                <w:highlight w:val="none"/>
                <w:lang w:val="en-US" w:eastAsia="zh-CN"/>
              </w:rPr>
              <w:t>环境</w:t>
            </w:r>
            <w:r>
              <w:rPr>
                <w:rFonts w:ascii="Times New Roman" w:hAnsi="Times New Roman" w:eastAsia="仿宋_GB2312"/>
                <w:color w:val="auto"/>
                <w:kern w:val="0"/>
                <w:sz w:val="24"/>
                <w:highlight w:val="none"/>
              </w:rPr>
              <w:t>局</w:t>
            </w:r>
            <w:r>
              <w:rPr>
                <w:rFonts w:hint="eastAsia" w:ascii="Times New Roman" w:hAnsi="Times New Roman" w:eastAsia="仿宋_GB2312"/>
                <w:color w:val="auto"/>
                <w:kern w:val="0"/>
                <w:sz w:val="24"/>
                <w:highlight w:val="none"/>
                <w:lang w:val="en-US" w:eastAsia="zh-CN"/>
              </w:rPr>
              <w:t>海丰分局</w:t>
            </w:r>
            <w:r>
              <w:rPr>
                <w:rFonts w:ascii="Times New Roman" w:hAnsi="Times New Roman" w:eastAsia="仿宋_GB2312"/>
                <w:color w:val="auto"/>
                <w:kern w:val="0"/>
                <w:sz w:val="24"/>
                <w:highlight w:val="none"/>
              </w:rPr>
              <w:t>、水务局、应急局、</w:t>
            </w:r>
            <w:r>
              <w:rPr>
                <w:rFonts w:hint="eastAsia" w:ascii="Times New Roman" w:hAnsi="Times New Roman" w:eastAsia="仿宋_GB2312"/>
                <w:color w:val="auto"/>
                <w:kern w:val="0"/>
                <w:sz w:val="24"/>
                <w:highlight w:val="none"/>
                <w:lang w:eastAsia="zh-CN"/>
              </w:rPr>
              <w:t>交通运输局</w:t>
            </w:r>
            <w:r>
              <w:rPr>
                <w:rFonts w:ascii="Times New Roman" w:hAnsi="Times New Roman" w:eastAsia="仿宋_GB2312"/>
                <w:color w:val="auto"/>
                <w:kern w:val="0"/>
                <w:sz w:val="24"/>
                <w:highlight w:val="none"/>
              </w:rPr>
              <w:t>、气象局、林业局、文广旅体局、政数局、国安</w:t>
            </w:r>
            <w:r>
              <w:rPr>
                <w:rFonts w:hint="eastAsia" w:ascii="Times New Roman" w:hAnsi="Times New Roman" w:eastAsia="仿宋_GB2312"/>
                <w:color w:val="auto"/>
                <w:kern w:val="0"/>
                <w:sz w:val="24"/>
                <w:highlight w:val="none"/>
                <w:lang w:val="en-US" w:eastAsia="zh-CN"/>
              </w:rPr>
              <w:t>办</w:t>
            </w:r>
            <w:r>
              <w:rPr>
                <w:rFonts w:ascii="Times New Roman" w:hAnsi="Times New Roman" w:eastAsia="仿宋_GB2312"/>
                <w:color w:val="auto"/>
                <w:kern w:val="0"/>
                <w:sz w:val="24"/>
                <w:highlight w:val="none"/>
              </w:rPr>
              <w:t>、通信办、</w:t>
            </w:r>
            <w:r>
              <w:rPr>
                <w:rFonts w:hint="eastAsia" w:ascii="Times New Roman" w:hAnsi="Times New Roman" w:eastAsia="仿宋_GB2312"/>
                <w:color w:val="auto"/>
                <w:kern w:val="0"/>
                <w:sz w:val="24"/>
                <w:highlight w:val="none"/>
                <w:lang w:val="en-US" w:eastAsia="zh-CN"/>
              </w:rPr>
              <w:t>水务集团</w:t>
            </w:r>
            <w:r>
              <w:rPr>
                <w:rFonts w:ascii="Times New Roman" w:hAnsi="Times New Roman" w:eastAsia="仿宋_GB2312"/>
                <w:color w:val="auto"/>
                <w:kern w:val="0"/>
                <w:sz w:val="24"/>
                <w:highlight w:val="none"/>
              </w:rPr>
              <w:t>，</w:t>
            </w: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供电局、</w:t>
            </w:r>
            <w:r>
              <w:rPr>
                <w:rFonts w:hint="eastAsia" w:ascii="Times New Roman" w:hAnsi="Times New Roman" w:eastAsia="仿宋_GB2312"/>
                <w:color w:val="auto"/>
                <w:kern w:val="0"/>
                <w:sz w:val="24"/>
                <w:highlight w:val="none"/>
                <w:lang w:val="en-US" w:eastAsia="zh-CN"/>
              </w:rPr>
              <w:t>海丰深燃公司</w:t>
            </w:r>
            <w:r>
              <w:rPr>
                <w:rFonts w:ascii="Times New Roman" w:hAnsi="Times New Roman" w:eastAsia="仿宋_GB2312"/>
                <w:color w:val="auto"/>
                <w:kern w:val="0"/>
                <w:sz w:val="24"/>
                <w:highlight w:val="none"/>
              </w:rPr>
              <w:t>、广东广电网络</w:t>
            </w:r>
            <w:r>
              <w:rPr>
                <w:rFonts w:hint="eastAsia" w:ascii="Times New Roman" w:hAnsi="Times New Roman" w:eastAsia="仿宋_GB2312"/>
                <w:color w:val="auto"/>
                <w:kern w:val="0"/>
                <w:sz w:val="24"/>
                <w:highlight w:val="none"/>
                <w:lang w:val="en-US" w:eastAsia="zh-CN"/>
              </w:rPr>
              <w:t>海丰</w:t>
            </w:r>
            <w:r>
              <w:rPr>
                <w:rFonts w:ascii="Times New Roman" w:hAnsi="Times New Roman" w:eastAsia="仿宋_GB2312"/>
                <w:color w:val="auto"/>
                <w:kern w:val="0"/>
                <w:sz w:val="24"/>
                <w:highlight w:val="none"/>
              </w:rPr>
              <w:t>分公司，</w:t>
            </w:r>
          </w:p>
        </w:tc>
      </w:tr>
      <w:tr w14:paraId="451E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7" w:type="dxa"/>
            <w:noWrap w:val="0"/>
            <w:vAlign w:val="center"/>
          </w:tcPr>
          <w:p w14:paraId="4CC52D1B">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12</w:t>
            </w:r>
          </w:p>
        </w:tc>
        <w:tc>
          <w:tcPr>
            <w:tcW w:w="1559" w:type="dxa"/>
            <w:vMerge w:val="continue"/>
            <w:noWrap w:val="0"/>
            <w:vAlign w:val="center"/>
          </w:tcPr>
          <w:p w14:paraId="1C863ABC">
            <w:pPr>
              <w:widowControl/>
              <w:jc w:val="left"/>
              <w:rPr>
                <w:rFonts w:ascii="Times New Roman" w:hAnsi="Times New Roman" w:eastAsia="仿宋_GB2312"/>
                <w:color w:val="auto"/>
                <w:kern w:val="0"/>
                <w:sz w:val="24"/>
                <w:highlight w:val="none"/>
              </w:rPr>
            </w:pPr>
          </w:p>
        </w:tc>
        <w:tc>
          <w:tcPr>
            <w:tcW w:w="6095" w:type="dxa"/>
            <w:noWrap w:val="0"/>
            <w:vAlign w:val="center"/>
          </w:tcPr>
          <w:p w14:paraId="4F0EE9D3">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加快推进国土空间规划编制工作，进一步更新和完善“一张蓝图”基础数据，实现“一张蓝图”共享共用，依托“多规合一”业务协同平台，推动</w:t>
            </w:r>
            <w:r>
              <w:rPr>
                <w:rFonts w:hint="eastAsia" w:ascii="Times New Roman" w:hAnsi="Times New Roman" w:eastAsia="仿宋_GB2312"/>
                <w:color w:val="auto"/>
                <w:kern w:val="0"/>
                <w:sz w:val="24"/>
                <w:highlight w:val="none"/>
                <w:lang w:val="en-US" w:eastAsia="zh-CN"/>
              </w:rPr>
              <w:t>海丰</w:t>
            </w:r>
            <w:r>
              <w:rPr>
                <w:rFonts w:ascii="Times New Roman" w:hAnsi="Times New Roman" w:eastAsia="仿宋_GB2312"/>
                <w:color w:val="auto"/>
                <w:kern w:val="0"/>
                <w:sz w:val="24"/>
                <w:highlight w:val="none"/>
              </w:rPr>
              <w:t>县持续做好前期项目策划生成相关工作</w:t>
            </w:r>
            <w:r>
              <w:rPr>
                <w:rFonts w:hint="eastAsia" w:ascii="Times New Roman" w:hAnsi="Times New Roman" w:eastAsia="仿宋_GB2312"/>
                <w:color w:val="auto"/>
                <w:kern w:val="0"/>
                <w:sz w:val="24"/>
                <w:highlight w:val="none"/>
                <w:lang w:eastAsia="zh-CN"/>
              </w:rPr>
              <w:t>。</w:t>
            </w:r>
          </w:p>
        </w:tc>
        <w:tc>
          <w:tcPr>
            <w:tcW w:w="1559" w:type="dxa"/>
            <w:noWrap w:val="0"/>
            <w:vAlign w:val="center"/>
          </w:tcPr>
          <w:p w14:paraId="1306640D">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发改局、自然资源局</w:t>
            </w:r>
          </w:p>
        </w:tc>
        <w:tc>
          <w:tcPr>
            <w:tcW w:w="3435" w:type="dxa"/>
            <w:noWrap w:val="0"/>
            <w:vAlign w:val="center"/>
          </w:tcPr>
          <w:p w14:paraId="795189D1">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住建局</w:t>
            </w:r>
            <w:r>
              <w:rPr>
                <w:rFonts w:hint="eastAsia" w:ascii="Times New Roman" w:hAnsi="Times New Roman" w:eastAsia="仿宋_GB2312"/>
                <w:color w:val="auto"/>
                <w:kern w:val="0"/>
                <w:sz w:val="24"/>
                <w:highlight w:val="none"/>
                <w:lang w:eastAsia="zh-CN"/>
              </w:rPr>
              <w:t>、政数局，</w:t>
            </w:r>
          </w:p>
        </w:tc>
      </w:tr>
      <w:tr w14:paraId="60EF0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7" w:type="dxa"/>
            <w:noWrap w:val="0"/>
            <w:vAlign w:val="center"/>
          </w:tcPr>
          <w:p w14:paraId="32CACBB2">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13</w:t>
            </w:r>
          </w:p>
        </w:tc>
        <w:tc>
          <w:tcPr>
            <w:tcW w:w="1559" w:type="dxa"/>
            <w:vMerge w:val="continue"/>
            <w:noWrap w:val="0"/>
            <w:vAlign w:val="center"/>
          </w:tcPr>
          <w:p w14:paraId="651B2D1C">
            <w:pPr>
              <w:widowControl/>
              <w:jc w:val="left"/>
              <w:rPr>
                <w:rFonts w:ascii="Times New Roman" w:hAnsi="Times New Roman" w:eastAsia="仿宋_GB2312"/>
                <w:color w:val="auto"/>
                <w:kern w:val="0"/>
                <w:sz w:val="24"/>
                <w:highlight w:val="none"/>
              </w:rPr>
            </w:pPr>
          </w:p>
        </w:tc>
        <w:tc>
          <w:tcPr>
            <w:tcW w:w="6095" w:type="dxa"/>
            <w:noWrap w:val="0"/>
            <w:vAlign w:val="center"/>
          </w:tcPr>
          <w:p w14:paraId="79872C59">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深化限时联合验收。统一竣工验收图纸和验收标准，统一出具验收意见，坚决杜绝“预验收”模式。</w:t>
            </w:r>
          </w:p>
        </w:tc>
        <w:tc>
          <w:tcPr>
            <w:tcW w:w="1559" w:type="dxa"/>
            <w:noWrap w:val="0"/>
            <w:vAlign w:val="center"/>
          </w:tcPr>
          <w:p w14:paraId="6724B058">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住建局</w:t>
            </w:r>
          </w:p>
        </w:tc>
        <w:tc>
          <w:tcPr>
            <w:tcW w:w="3435" w:type="dxa"/>
            <w:noWrap w:val="0"/>
            <w:vAlign w:val="center"/>
          </w:tcPr>
          <w:p w14:paraId="5514DF20">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通信办、广东广电网络</w:t>
            </w:r>
            <w:r>
              <w:rPr>
                <w:rFonts w:hint="eastAsia" w:ascii="Times New Roman" w:hAnsi="Times New Roman" w:eastAsia="仿宋_GB2312"/>
                <w:color w:val="auto"/>
                <w:kern w:val="0"/>
                <w:sz w:val="24"/>
                <w:highlight w:val="none"/>
                <w:lang w:val="en-US" w:eastAsia="zh-CN"/>
              </w:rPr>
              <w:t>海丰</w:t>
            </w:r>
            <w:r>
              <w:rPr>
                <w:rFonts w:ascii="Times New Roman" w:hAnsi="Times New Roman" w:eastAsia="仿宋_GB2312"/>
                <w:color w:val="auto"/>
                <w:kern w:val="0"/>
                <w:sz w:val="24"/>
                <w:highlight w:val="none"/>
              </w:rPr>
              <w:t>分公司，</w:t>
            </w:r>
          </w:p>
        </w:tc>
      </w:tr>
      <w:tr w14:paraId="544EE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7" w:type="dxa"/>
            <w:noWrap w:val="0"/>
            <w:vAlign w:val="center"/>
          </w:tcPr>
          <w:p w14:paraId="649F2A87">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14</w:t>
            </w:r>
          </w:p>
        </w:tc>
        <w:tc>
          <w:tcPr>
            <w:tcW w:w="1559" w:type="dxa"/>
            <w:vMerge w:val="continue"/>
            <w:noWrap w:val="0"/>
            <w:vAlign w:val="center"/>
          </w:tcPr>
          <w:p w14:paraId="36777778">
            <w:pPr>
              <w:widowControl/>
              <w:jc w:val="left"/>
              <w:rPr>
                <w:rFonts w:ascii="Times New Roman" w:hAnsi="Times New Roman" w:eastAsia="仿宋_GB2312"/>
                <w:color w:val="auto"/>
                <w:kern w:val="0"/>
                <w:sz w:val="24"/>
                <w:highlight w:val="none"/>
              </w:rPr>
            </w:pPr>
          </w:p>
        </w:tc>
        <w:tc>
          <w:tcPr>
            <w:tcW w:w="6095" w:type="dxa"/>
            <w:noWrap w:val="0"/>
            <w:vAlign w:val="center"/>
          </w:tcPr>
          <w:p w14:paraId="3E6318A7">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推行一站式融合监管，将人防、消防检查内容按施工阶段分解，融入工程质量检查中，在建设过程中由同一监督小组同步开展土建、设备、人防、消防质量监督，实行融合监管。</w:t>
            </w:r>
          </w:p>
        </w:tc>
        <w:tc>
          <w:tcPr>
            <w:tcW w:w="1559" w:type="dxa"/>
            <w:noWrap w:val="0"/>
            <w:vAlign w:val="center"/>
          </w:tcPr>
          <w:p w14:paraId="6F01126C">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住建局</w:t>
            </w:r>
          </w:p>
        </w:tc>
        <w:tc>
          <w:tcPr>
            <w:tcW w:w="3435" w:type="dxa"/>
            <w:noWrap w:val="0"/>
            <w:vAlign w:val="center"/>
          </w:tcPr>
          <w:p w14:paraId="4F3F911F">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hint="eastAsia" w:ascii="Times New Roman" w:hAnsi="Times New Roman" w:eastAsia="仿宋_GB2312"/>
                <w:color w:val="auto"/>
                <w:kern w:val="0"/>
                <w:sz w:val="24"/>
                <w:highlight w:val="none"/>
                <w:lang w:eastAsia="zh-CN"/>
              </w:rPr>
              <w:t>人防办、消防</w:t>
            </w:r>
            <w:r>
              <w:rPr>
                <w:rFonts w:hint="eastAsia" w:ascii="Times New Roman" w:hAnsi="Times New Roman" w:eastAsia="仿宋_GB2312"/>
                <w:color w:val="auto"/>
                <w:kern w:val="0"/>
                <w:sz w:val="24"/>
                <w:highlight w:val="none"/>
                <w:lang w:val="en-US" w:eastAsia="zh-CN"/>
              </w:rPr>
              <w:t>大</w:t>
            </w:r>
            <w:r>
              <w:rPr>
                <w:rFonts w:hint="eastAsia" w:ascii="Times New Roman" w:hAnsi="Times New Roman" w:eastAsia="仿宋_GB2312"/>
                <w:color w:val="auto"/>
                <w:kern w:val="0"/>
                <w:sz w:val="24"/>
                <w:highlight w:val="none"/>
                <w:lang w:eastAsia="zh-CN"/>
              </w:rPr>
              <w:t>队</w:t>
            </w:r>
            <w:r>
              <w:rPr>
                <w:rFonts w:ascii="Times New Roman" w:hAnsi="Times New Roman" w:eastAsia="仿宋_GB2312"/>
                <w:color w:val="auto"/>
                <w:kern w:val="0"/>
                <w:sz w:val="24"/>
                <w:highlight w:val="none"/>
              </w:rPr>
              <w:t>，</w:t>
            </w:r>
          </w:p>
        </w:tc>
      </w:tr>
      <w:tr w14:paraId="135B5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77" w:type="dxa"/>
            <w:noWrap w:val="0"/>
            <w:vAlign w:val="center"/>
          </w:tcPr>
          <w:p w14:paraId="304CFEAB">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15</w:t>
            </w:r>
          </w:p>
        </w:tc>
        <w:tc>
          <w:tcPr>
            <w:tcW w:w="1559" w:type="dxa"/>
            <w:vMerge w:val="continue"/>
            <w:noWrap w:val="0"/>
            <w:vAlign w:val="center"/>
          </w:tcPr>
          <w:p w14:paraId="35E92B64">
            <w:pPr>
              <w:widowControl/>
              <w:jc w:val="left"/>
              <w:rPr>
                <w:rFonts w:ascii="Times New Roman" w:hAnsi="Times New Roman" w:eastAsia="仿宋_GB2312"/>
                <w:color w:val="auto"/>
                <w:kern w:val="0"/>
                <w:sz w:val="24"/>
                <w:highlight w:val="none"/>
              </w:rPr>
            </w:pPr>
          </w:p>
        </w:tc>
        <w:tc>
          <w:tcPr>
            <w:tcW w:w="6095" w:type="dxa"/>
            <w:noWrap w:val="0"/>
            <w:vAlign w:val="center"/>
          </w:tcPr>
          <w:p w14:paraId="0345825A">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推行分阶段办理施工许可，允许建设单位按照“基坑支护、基础工程和土方开挖”、“地下室”、“±0.000以上”三个阶段办理施工许可证。</w:t>
            </w:r>
            <w:r>
              <w:rPr>
                <w:rFonts w:hint="eastAsia" w:ascii="Times New Roman" w:hAnsi="Times New Roman" w:eastAsia="仿宋_GB2312"/>
                <w:color w:val="auto"/>
                <w:kern w:val="0"/>
                <w:sz w:val="24"/>
                <w:highlight w:val="none"/>
                <w:lang w:val="en-US" w:eastAsia="zh-CN"/>
              </w:rPr>
              <w:t>完成市下达</w:t>
            </w:r>
            <w:r>
              <w:rPr>
                <w:rFonts w:hint="eastAsia" w:ascii="Times New Roman" w:hAnsi="Times New Roman" w:eastAsia="仿宋_GB2312"/>
                <w:color w:val="auto"/>
                <w:kern w:val="0"/>
                <w:sz w:val="24"/>
                <w:highlight w:val="none"/>
              </w:rPr>
              <w:t>至少完成1-2个分阶段核发房屋建筑工程施工许可。</w:t>
            </w:r>
          </w:p>
        </w:tc>
        <w:tc>
          <w:tcPr>
            <w:tcW w:w="1559" w:type="dxa"/>
            <w:noWrap w:val="0"/>
            <w:vAlign w:val="center"/>
          </w:tcPr>
          <w:p w14:paraId="1D4C0A41">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住建局</w:t>
            </w:r>
          </w:p>
        </w:tc>
        <w:tc>
          <w:tcPr>
            <w:tcW w:w="3435" w:type="dxa"/>
            <w:noWrap w:val="0"/>
            <w:vAlign w:val="center"/>
          </w:tcPr>
          <w:p w14:paraId="7539AD0D">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hint="eastAsia" w:ascii="Times New Roman" w:hAnsi="Times New Roman" w:eastAsia="仿宋_GB2312"/>
                <w:color w:val="auto"/>
                <w:kern w:val="0"/>
                <w:sz w:val="24"/>
                <w:highlight w:val="none"/>
                <w:lang w:eastAsia="zh-CN"/>
              </w:rPr>
              <w:t>自然资源局</w:t>
            </w:r>
          </w:p>
        </w:tc>
      </w:tr>
      <w:tr w14:paraId="517F2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7" w:type="dxa"/>
            <w:noWrap w:val="0"/>
            <w:vAlign w:val="center"/>
          </w:tcPr>
          <w:p w14:paraId="2CFB7D30">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16</w:t>
            </w:r>
          </w:p>
        </w:tc>
        <w:tc>
          <w:tcPr>
            <w:tcW w:w="1559" w:type="dxa"/>
            <w:vMerge w:val="continue"/>
            <w:noWrap w:val="0"/>
            <w:vAlign w:val="center"/>
          </w:tcPr>
          <w:p w14:paraId="409BAC68">
            <w:pPr>
              <w:widowControl/>
              <w:jc w:val="left"/>
              <w:rPr>
                <w:rFonts w:ascii="Times New Roman" w:hAnsi="Times New Roman" w:eastAsia="仿宋_GB2312"/>
                <w:color w:val="auto"/>
                <w:kern w:val="0"/>
                <w:sz w:val="24"/>
                <w:highlight w:val="none"/>
              </w:rPr>
            </w:pPr>
          </w:p>
        </w:tc>
        <w:tc>
          <w:tcPr>
            <w:tcW w:w="6095" w:type="dxa"/>
            <w:noWrap w:val="0"/>
            <w:vAlign w:val="center"/>
          </w:tcPr>
          <w:p w14:paraId="1330BD45">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开展“体外循环”“隐性审批”专项治理，坚决杜绝审批中存在的“体外循环”“隐性审批”等行为，确保“清单之外无审批、流程之外无环节、指南之外无材料”。</w:t>
            </w:r>
          </w:p>
        </w:tc>
        <w:tc>
          <w:tcPr>
            <w:tcW w:w="1559" w:type="dxa"/>
            <w:noWrap w:val="0"/>
            <w:vAlign w:val="center"/>
          </w:tcPr>
          <w:p w14:paraId="0CFACCBA">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住建局、发改局、自然资源局</w:t>
            </w:r>
          </w:p>
        </w:tc>
        <w:tc>
          <w:tcPr>
            <w:tcW w:w="3435" w:type="dxa"/>
            <w:noWrap w:val="0"/>
            <w:vAlign w:val="center"/>
          </w:tcPr>
          <w:p w14:paraId="04721CDF">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委统战部，市生态</w:t>
            </w:r>
            <w:r>
              <w:rPr>
                <w:rFonts w:hint="eastAsia" w:ascii="Times New Roman" w:hAnsi="Times New Roman" w:eastAsia="仿宋_GB2312"/>
                <w:color w:val="auto"/>
                <w:kern w:val="0"/>
                <w:sz w:val="24"/>
                <w:highlight w:val="none"/>
                <w:lang w:val="en-US" w:eastAsia="zh-CN"/>
              </w:rPr>
              <w:t>环境</w:t>
            </w:r>
            <w:r>
              <w:rPr>
                <w:rFonts w:ascii="Times New Roman" w:hAnsi="Times New Roman" w:eastAsia="仿宋_GB2312"/>
                <w:color w:val="auto"/>
                <w:kern w:val="0"/>
                <w:sz w:val="24"/>
                <w:highlight w:val="none"/>
              </w:rPr>
              <w:t>局</w:t>
            </w:r>
            <w:r>
              <w:rPr>
                <w:rFonts w:hint="eastAsia" w:ascii="Times New Roman" w:hAnsi="Times New Roman" w:eastAsia="仿宋_GB2312"/>
                <w:color w:val="auto"/>
                <w:kern w:val="0"/>
                <w:sz w:val="24"/>
                <w:highlight w:val="none"/>
                <w:lang w:val="en-US" w:eastAsia="zh-CN"/>
              </w:rPr>
              <w:t>海丰分局</w:t>
            </w:r>
            <w:r>
              <w:rPr>
                <w:rFonts w:ascii="Times New Roman" w:hAnsi="Times New Roman" w:eastAsia="仿宋_GB2312"/>
                <w:color w:val="auto"/>
                <w:kern w:val="0"/>
                <w:sz w:val="24"/>
                <w:highlight w:val="none"/>
              </w:rPr>
              <w:t>、水务局、应急局、</w:t>
            </w:r>
            <w:r>
              <w:rPr>
                <w:rFonts w:hint="eastAsia" w:ascii="Times New Roman" w:hAnsi="Times New Roman" w:eastAsia="仿宋_GB2312"/>
                <w:color w:val="auto"/>
                <w:kern w:val="0"/>
                <w:sz w:val="24"/>
                <w:highlight w:val="none"/>
                <w:lang w:eastAsia="zh-CN"/>
              </w:rPr>
              <w:t>交通运输局</w:t>
            </w:r>
            <w:r>
              <w:rPr>
                <w:rFonts w:ascii="Times New Roman" w:hAnsi="Times New Roman" w:eastAsia="仿宋_GB2312"/>
                <w:color w:val="auto"/>
                <w:kern w:val="0"/>
                <w:sz w:val="24"/>
                <w:highlight w:val="none"/>
              </w:rPr>
              <w:t>、气象局、林业局、文广旅体局、政数局、国安</w:t>
            </w:r>
            <w:r>
              <w:rPr>
                <w:rFonts w:hint="eastAsia" w:ascii="Times New Roman" w:hAnsi="Times New Roman" w:eastAsia="仿宋_GB2312"/>
                <w:color w:val="auto"/>
                <w:kern w:val="0"/>
                <w:sz w:val="24"/>
                <w:highlight w:val="none"/>
                <w:lang w:val="en-US" w:eastAsia="zh-CN"/>
              </w:rPr>
              <w:t>办</w:t>
            </w:r>
            <w:r>
              <w:rPr>
                <w:rFonts w:ascii="Times New Roman" w:hAnsi="Times New Roman" w:eastAsia="仿宋_GB2312"/>
                <w:color w:val="auto"/>
                <w:kern w:val="0"/>
                <w:sz w:val="24"/>
                <w:highlight w:val="none"/>
              </w:rPr>
              <w:t>、通信办、</w:t>
            </w:r>
            <w:r>
              <w:rPr>
                <w:rFonts w:hint="eastAsia" w:ascii="Times New Roman" w:hAnsi="Times New Roman" w:eastAsia="仿宋_GB2312"/>
                <w:color w:val="auto"/>
                <w:kern w:val="0"/>
                <w:sz w:val="24"/>
                <w:highlight w:val="none"/>
                <w:lang w:val="en-US" w:eastAsia="zh-CN"/>
              </w:rPr>
              <w:t>水务集团</w:t>
            </w:r>
            <w:r>
              <w:rPr>
                <w:rFonts w:ascii="Times New Roman" w:hAnsi="Times New Roman" w:eastAsia="仿宋_GB2312"/>
                <w:color w:val="auto"/>
                <w:kern w:val="0"/>
                <w:sz w:val="24"/>
                <w:highlight w:val="none"/>
              </w:rPr>
              <w:t>，</w:t>
            </w: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供电局、</w:t>
            </w:r>
            <w:r>
              <w:rPr>
                <w:rFonts w:hint="eastAsia" w:ascii="Times New Roman" w:hAnsi="Times New Roman" w:eastAsia="仿宋_GB2312"/>
                <w:color w:val="auto"/>
                <w:kern w:val="0"/>
                <w:sz w:val="24"/>
                <w:highlight w:val="none"/>
                <w:lang w:val="en-US" w:eastAsia="zh-CN"/>
              </w:rPr>
              <w:t>海丰深燃</w:t>
            </w:r>
            <w:r>
              <w:rPr>
                <w:rFonts w:ascii="Times New Roman" w:hAnsi="Times New Roman" w:eastAsia="仿宋_GB2312"/>
                <w:color w:val="auto"/>
                <w:kern w:val="0"/>
                <w:sz w:val="24"/>
                <w:highlight w:val="none"/>
              </w:rPr>
              <w:t>公司、广东广电</w:t>
            </w:r>
            <w:r>
              <w:rPr>
                <w:rFonts w:hint="eastAsia" w:ascii="Times New Roman" w:hAnsi="Times New Roman" w:eastAsia="仿宋_GB2312"/>
                <w:color w:val="auto"/>
                <w:kern w:val="0"/>
                <w:sz w:val="24"/>
                <w:highlight w:val="none"/>
                <w:lang w:val="en-US" w:eastAsia="zh-CN"/>
              </w:rPr>
              <w:t>网络</w:t>
            </w:r>
            <w:r>
              <w:rPr>
                <w:rFonts w:ascii="Times New Roman" w:hAnsi="Times New Roman" w:eastAsia="仿宋_GB2312"/>
                <w:color w:val="auto"/>
                <w:kern w:val="0"/>
                <w:sz w:val="24"/>
                <w:highlight w:val="none"/>
              </w:rPr>
              <w:t>网络</w:t>
            </w:r>
            <w:r>
              <w:rPr>
                <w:rFonts w:hint="eastAsia" w:ascii="Times New Roman" w:hAnsi="Times New Roman" w:eastAsia="仿宋_GB2312"/>
                <w:color w:val="auto"/>
                <w:kern w:val="0"/>
                <w:sz w:val="24"/>
                <w:highlight w:val="none"/>
                <w:lang w:val="en-US" w:eastAsia="zh-CN"/>
              </w:rPr>
              <w:t>海丰</w:t>
            </w:r>
            <w:r>
              <w:rPr>
                <w:rFonts w:ascii="Times New Roman" w:hAnsi="Times New Roman" w:eastAsia="仿宋_GB2312"/>
                <w:color w:val="auto"/>
                <w:kern w:val="0"/>
                <w:sz w:val="24"/>
                <w:highlight w:val="none"/>
              </w:rPr>
              <w:t>分公司，</w:t>
            </w:r>
          </w:p>
        </w:tc>
      </w:tr>
      <w:tr w14:paraId="2812B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7" w:type="dxa"/>
            <w:noWrap w:val="0"/>
            <w:vAlign w:val="center"/>
          </w:tcPr>
          <w:p w14:paraId="71B4FE28">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17</w:t>
            </w:r>
          </w:p>
        </w:tc>
        <w:tc>
          <w:tcPr>
            <w:tcW w:w="1559" w:type="dxa"/>
            <w:vMerge w:val="continue"/>
            <w:noWrap w:val="0"/>
            <w:vAlign w:val="center"/>
          </w:tcPr>
          <w:p w14:paraId="1DA2834C">
            <w:pPr>
              <w:widowControl/>
              <w:jc w:val="left"/>
              <w:rPr>
                <w:rFonts w:ascii="Times New Roman" w:hAnsi="Times New Roman" w:eastAsia="仿宋_GB2312"/>
                <w:color w:val="auto"/>
                <w:kern w:val="0"/>
                <w:sz w:val="24"/>
                <w:highlight w:val="none"/>
              </w:rPr>
            </w:pPr>
          </w:p>
        </w:tc>
        <w:tc>
          <w:tcPr>
            <w:tcW w:w="6095" w:type="dxa"/>
            <w:noWrap w:val="0"/>
            <w:vAlign w:val="center"/>
          </w:tcPr>
          <w:p w14:paraId="66EE6456">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试点开展工程质量潜在缺陷保险，以市场化手段防范化解工程质量风险。</w:t>
            </w:r>
          </w:p>
        </w:tc>
        <w:tc>
          <w:tcPr>
            <w:tcW w:w="1559" w:type="dxa"/>
            <w:noWrap w:val="0"/>
            <w:vAlign w:val="center"/>
          </w:tcPr>
          <w:p w14:paraId="2B16C027">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住建局</w:t>
            </w:r>
          </w:p>
        </w:tc>
        <w:tc>
          <w:tcPr>
            <w:tcW w:w="3435" w:type="dxa"/>
            <w:noWrap w:val="0"/>
            <w:vAlign w:val="center"/>
          </w:tcPr>
          <w:p w14:paraId="2B6FF975">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1F9C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77" w:type="dxa"/>
            <w:noWrap w:val="0"/>
            <w:vAlign w:val="center"/>
          </w:tcPr>
          <w:p w14:paraId="74880197">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18</w:t>
            </w:r>
          </w:p>
        </w:tc>
        <w:tc>
          <w:tcPr>
            <w:tcW w:w="1559" w:type="dxa"/>
            <w:vMerge w:val="restart"/>
            <w:noWrap w:val="0"/>
            <w:vAlign w:val="center"/>
          </w:tcPr>
          <w:p w14:paraId="63E3987B">
            <w:pPr>
              <w:widowControl/>
              <w:jc w:val="center"/>
              <w:rPr>
                <w:rFonts w:hint="eastAsia" w:ascii="Times New Roman" w:hAnsi="Times New Roman" w:eastAsia="仿宋_GB2312"/>
                <w:color w:val="auto"/>
                <w:kern w:val="0"/>
                <w:sz w:val="24"/>
                <w:highlight w:val="none"/>
                <w:lang w:eastAsia="zh-CN"/>
              </w:rPr>
            </w:pPr>
            <w:r>
              <w:rPr>
                <w:rFonts w:hint="eastAsia" w:ascii="Times New Roman" w:hAnsi="Times New Roman" w:eastAsia="仿宋_GB2312"/>
                <w:color w:val="auto"/>
                <w:kern w:val="0"/>
                <w:sz w:val="24"/>
                <w:highlight w:val="none"/>
                <w:lang w:eastAsia="zh-CN"/>
              </w:rPr>
              <w:t>深化“企业投资项目落地”便利化</w:t>
            </w:r>
          </w:p>
        </w:tc>
        <w:tc>
          <w:tcPr>
            <w:tcW w:w="6095" w:type="dxa"/>
            <w:noWrap w:val="0"/>
            <w:vAlign w:val="center"/>
          </w:tcPr>
          <w:p w14:paraId="22EBF096">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简化审批程序、提高审批效率，推进信用审批、实施容缺承诺制，强化企业主体责任、加强事中事后监管等方式方法优化创新审批模式。</w:t>
            </w:r>
          </w:p>
        </w:tc>
        <w:tc>
          <w:tcPr>
            <w:tcW w:w="1559" w:type="dxa"/>
            <w:noWrap w:val="0"/>
            <w:vAlign w:val="center"/>
          </w:tcPr>
          <w:p w14:paraId="2DF0A1C5">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发改局、住建局</w:t>
            </w:r>
          </w:p>
        </w:tc>
        <w:tc>
          <w:tcPr>
            <w:tcW w:w="3435" w:type="dxa"/>
            <w:noWrap w:val="0"/>
            <w:vAlign w:val="center"/>
          </w:tcPr>
          <w:p w14:paraId="3479825B">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自然资源局、政数局、</w:t>
            </w:r>
            <w:r>
              <w:rPr>
                <w:rFonts w:hint="eastAsia" w:ascii="Times New Roman" w:hAnsi="Times New Roman" w:eastAsia="仿宋_GB2312"/>
                <w:color w:val="auto"/>
                <w:kern w:val="0"/>
                <w:sz w:val="24"/>
                <w:highlight w:val="none"/>
                <w:lang w:val="en-US" w:eastAsia="zh-CN"/>
              </w:rPr>
              <w:t>科工局</w:t>
            </w:r>
            <w:r>
              <w:rPr>
                <w:rFonts w:ascii="Times New Roman" w:hAnsi="Times New Roman" w:eastAsia="仿宋_GB2312"/>
                <w:color w:val="auto"/>
                <w:kern w:val="0"/>
                <w:sz w:val="24"/>
                <w:highlight w:val="none"/>
              </w:rPr>
              <w:t>、</w:t>
            </w:r>
            <w:r>
              <w:rPr>
                <w:rFonts w:hint="eastAsia" w:ascii="Times New Roman" w:hAnsi="Times New Roman" w:eastAsia="仿宋_GB2312"/>
                <w:color w:val="auto"/>
                <w:kern w:val="0"/>
                <w:sz w:val="24"/>
                <w:highlight w:val="none"/>
                <w:lang w:eastAsia="zh-CN"/>
              </w:rPr>
              <w:t>交通运输局</w:t>
            </w:r>
            <w:r>
              <w:rPr>
                <w:rFonts w:ascii="Times New Roman" w:hAnsi="Times New Roman" w:eastAsia="仿宋_GB2312"/>
                <w:color w:val="auto"/>
                <w:kern w:val="0"/>
                <w:sz w:val="24"/>
                <w:highlight w:val="none"/>
              </w:rPr>
              <w:t>、农业局</w:t>
            </w:r>
          </w:p>
        </w:tc>
      </w:tr>
      <w:tr w14:paraId="5D6BC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7" w:type="dxa"/>
            <w:noWrap w:val="0"/>
            <w:vAlign w:val="center"/>
          </w:tcPr>
          <w:p w14:paraId="2C00756E">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19</w:t>
            </w:r>
          </w:p>
        </w:tc>
        <w:tc>
          <w:tcPr>
            <w:tcW w:w="1559" w:type="dxa"/>
            <w:vMerge w:val="continue"/>
            <w:noWrap w:val="0"/>
            <w:vAlign w:val="center"/>
          </w:tcPr>
          <w:p w14:paraId="0606D912">
            <w:pPr>
              <w:widowControl/>
              <w:jc w:val="left"/>
              <w:rPr>
                <w:rFonts w:ascii="Times New Roman" w:hAnsi="Times New Roman" w:eastAsia="仿宋_GB2312"/>
                <w:color w:val="auto"/>
                <w:kern w:val="0"/>
                <w:sz w:val="24"/>
                <w:highlight w:val="none"/>
              </w:rPr>
            </w:pPr>
          </w:p>
        </w:tc>
        <w:tc>
          <w:tcPr>
            <w:tcW w:w="6095" w:type="dxa"/>
            <w:noWrap w:val="0"/>
            <w:vAlign w:val="center"/>
          </w:tcPr>
          <w:p w14:paraId="73C06522">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按照项目类型和规模，将企业投资项目细分为一般民用建筑项目、一般工业项目、社会简易低风险项目、带方案出让类项目以及交通水利能源项目等类型，分类优化审批流程，推进企业投资项目落地便利化，其中，一般工业项目审批总时间控制在21个工作日内，社会简易低风险项目审批总时间控制在10个工作日以内。</w:t>
            </w:r>
          </w:p>
        </w:tc>
        <w:tc>
          <w:tcPr>
            <w:tcW w:w="1559" w:type="dxa"/>
            <w:noWrap w:val="0"/>
            <w:vAlign w:val="center"/>
          </w:tcPr>
          <w:p w14:paraId="5B558EB8">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发改局、住建局</w:t>
            </w:r>
          </w:p>
        </w:tc>
        <w:tc>
          <w:tcPr>
            <w:tcW w:w="3435" w:type="dxa"/>
            <w:noWrap w:val="0"/>
            <w:vAlign w:val="center"/>
          </w:tcPr>
          <w:p w14:paraId="4CA43423">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自然资源局、政数局、</w:t>
            </w:r>
            <w:r>
              <w:rPr>
                <w:rFonts w:hint="eastAsia" w:ascii="Times New Roman" w:hAnsi="Times New Roman" w:eastAsia="仿宋_GB2312"/>
                <w:color w:val="auto"/>
                <w:kern w:val="0"/>
                <w:sz w:val="24"/>
                <w:highlight w:val="none"/>
                <w:lang w:val="en-US" w:eastAsia="zh-CN"/>
              </w:rPr>
              <w:t>科工</w:t>
            </w:r>
            <w:r>
              <w:rPr>
                <w:rFonts w:ascii="Times New Roman" w:hAnsi="Times New Roman" w:eastAsia="仿宋_GB2312"/>
                <w:color w:val="auto"/>
                <w:kern w:val="0"/>
                <w:sz w:val="24"/>
                <w:highlight w:val="none"/>
              </w:rPr>
              <w:t>局、</w:t>
            </w:r>
            <w:r>
              <w:rPr>
                <w:rFonts w:hint="eastAsia" w:ascii="Times New Roman" w:hAnsi="Times New Roman" w:eastAsia="仿宋_GB2312"/>
                <w:color w:val="auto"/>
                <w:kern w:val="0"/>
                <w:sz w:val="24"/>
                <w:highlight w:val="none"/>
                <w:lang w:eastAsia="zh-CN"/>
              </w:rPr>
              <w:t>交通运输局</w:t>
            </w:r>
            <w:r>
              <w:rPr>
                <w:rFonts w:ascii="Times New Roman" w:hAnsi="Times New Roman" w:eastAsia="仿宋_GB2312"/>
                <w:color w:val="auto"/>
                <w:kern w:val="0"/>
                <w:sz w:val="24"/>
                <w:highlight w:val="none"/>
              </w:rPr>
              <w:t>、农业局</w:t>
            </w:r>
          </w:p>
        </w:tc>
      </w:tr>
      <w:tr w14:paraId="3E63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7" w:type="dxa"/>
            <w:noWrap w:val="0"/>
            <w:vAlign w:val="center"/>
          </w:tcPr>
          <w:p w14:paraId="1CEF261F">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20</w:t>
            </w:r>
          </w:p>
        </w:tc>
        <w:tc>
          <w:tcPr>
            <w:tcW w:w="1559" w:type="dxa"/>
            <w:vMerge w:val="restart"/>
            <w:noWrap w:val="0"/>
            <w:vAlign w:val="center"/>
          </w:tcPr>
          <w:p w14:paraId="2F9A167A">
            <w:pPr>
              <w:widowControl/>
              <w:jc w:val="center"/>
              <w:rPr>
                <w:rFonts w:hint="eastAsia" w:ascii="Times New Roman" w:hAnsi="Times New Roman" w:eastAsia="仿宋_GB2312"/>
                <w:color w:val="auto"/>
                <w:kern w:val="0"/>
                <w:sz w:val="24"/>
                <w:highlight w:val="none"/>
                <w:lang w:eastAsia="zh-CN"/>
              </w:rPr>
            </w:pPr>
            <w:r>
              <w:rPr>
                <w:rFonts w:hint="eastAsia" w:ascii="Times New Roman" w:hAnsi="Times New Roman" w:eastAsia="仿宋_GB2312"/>
                <w:color w:val="auto"/>
                <w:kern w:val="0"/>
                <w:sz w:val="24"/>
                <w:highlight w:val="none"/>
                <w:lang w:eastAsia="zh-CN"/>
              </w:rPr>
              <w:t>深化不动产登记便利化</w:t>
            </w:r>
          </w:p>
        </w:tc>
        <w:tc>
          <w:tcPr>
            <w:tcW w:w="6095" w:type="dxa"/>
            <w:noWrap w:val="0"/>
            <w:vAlign w:val="center"/>
          </w:tcPr>
          <w:p w14:paraId="11705AB3">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全面推进不动产交易、缴税、登记“一窗受理”，对企业之间存量非住宅转移登记实行“即来即办”，大力推进居民不动产转移登记当场核税，保证不动产一般登记及抵押登记1个工作日办结。</w:t>
            </w:r>
          </w:p>
        </w:tc>
        <w:tc>
          <w:tcPr>
            <w:tcW w:w="1559" w:type="dxa"/>
            <w:noWrap w:val="0"/>
            <w:vAlign w:val="center"/>
          </w:tcPr>
          <w:p w14:paraId="0327FFDF">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自然资源局、税务局</w:t>
            </w:r>
          </w:p>
        </w:tc>
        <w:tc>
          <w:tcPr>
            <w:tcW w:w="3435" w:type="dxa"/>
            <w:noWrap w:val="0"/>
            <w:vAlign w:val="center"/>
          </w:tcPr>
          <w:p w14:paraId="0237DAEF">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住建局、财政局</w:t>
            </w:r>
          </w:p>
        </w:tc>
      </w:tr>
      <w:tr w14:paraId="55C0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77" w:type="dxa"/>
            <w:noWrap w:val="0"/>
            <w:vAlign w:val="center"/>
          </w:tcPr>
          <w:p w14:paraId="2A67AE03">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21</w:t>
            </w:r>
          </w:p>
        </w:tc>
        <w:tc>
          <w:tcPr>
            <w:tcW w:w="1559" w:type="dxa"/>
            <w:vMerge w:val="continue"/>
            <w:noWrap w:val="0"/>
            <w:vAlign w:val="center"/>
          </w:tcPr>
          <w:p w14:paraId="4F597C41">
            <w:pPr>
              <w:widowControl/>
              <w:jc w:val="left"/>
              <w:rPr>
                <w:rFonts w:ascii="Times New Roman" w:hAnsi="Times New Roman" w:eastAsia="仿宋_GB2312"/>
                <w:color w:val="auto"/>
                <w:kern w:val="0"/>
                <w:sz w:val="24"/>
                <w:highlight w:val="none"/>
              </w:rPr>
            </w:pPr>
          </w:p>
        </w:tc>
        <w:tc>
          <w:tcPr>
            <w:tcW w:w="6095" w:type="dxa"/>
            <w:noWrap w:val="0"/>
            <w:vAlign w:val="center"/>
          </w:tcPr>
          <w:p w14:paraId="79FE6748">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深化“不动产登记+民生服务”，统筹推进用水、用气业务受理系统与汕尾市“互联网+不动产登记”平台对接。</w:t>
            </w:r>
          </w:p>
        </w:tc>
        <w:tc>
          <w:tcPr>
            <w:tcW w:w="1559" w:type="dxa"/>
            <w:noWrap w:val="0"/>
            <w:vAlign w:val="center"/>
          </w:tcPr>
          <w:p w14:paraId="5155DBB2">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自然资源局、住建局</w:t>
            </w:r>
          </w:p>
        </w:tc>
        <w:tc>
          <w:tcPr>
            <w:tcW w:w="3435" w:type="dxa"/>
            <w:noWrap w:val="0"/>
            <w:vAlign w:val="center"/>
          </w:tcPr>
          <w:p w14:paraId="678080C3">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hint="eastAsia" w:ascii="Times New Roman" w:hAnsi="Times New Roman" w:eastAsia="仿宋_GB2312"/>
                <w:color w:val="auto"/>
                <w:kern w:val="0"/>
                <w:sz w:val="24"/>
                <w:highlight w:val="none"/>
                <w:lang w:eastAsia="zh-CN"/>
              </w:rPr>
              <w:t>政数局</w:t>
            </w:r>
            <w:r>
              <w:rPr>
                <w:rFonts w:ascii="Times New Roman" w:hAnsi="Times New Roman" w:eastAsia="仿宋_GB2312"/>
                <w:color w:val="auto"/>
                <w:kern w:val="0"/>
                <w:sz w:val="24"/>
                <w:highlight w:val="none"/>
              </w:rPr>
              <w:t>、</w:t>
            </w:r>
            <w:r>
              <w:rPr>
                <w:rFonts w:hint="eastAsia" w:ascii="Times New Roman" w:hAnsi="Times New Roman" w:eastAsia="仿宋_GB2312"/>
                <w:color w:val="auto"/>
                <w:kern w:val="0"/>
                <w:sz w:val="24"/>
                <w:highlight w:val="none"/>
                <w:lang w:eastAsia="zh-CN"/>
              </w:rPr>
              <w:t>供电局、</w:t>
            </w:r>
            <w:r>
              <w:rPr>
                <w:rFonts w:hint="eastAsia" w:ascii="Times New Roman" w:hAnsi="Times New Roman" w:eastAsia="仿宋_GB2312"/>
                <w:color w:val="auto"/>
                <w:kern w:val="0"/>
                <w:sz w:val="24"/>
                <w:highlight w:val="none"/>
                <w:lang w:val="en-US" w:eastAsia="zh-CN"/>
              </w:rPr>
              <w:t>水务集团</w:t>
            </w:r>
            <w:r>
              <w:rPr>
                <w:rFonts w:ascii="Times New Roman" w:hAnsi="Times New Roman" w:eastAsia="仿宋_GB2312"/>
                <w:color w:val="auto"/>
                <w:kern w:val="0"/>
                <w:sz w:val="24"/>
                <w:highlight w:val="none"/>
              </w:rPr>
              <w:t>，</w:t>
            </w:r>
            <w:r>
              <w:rPr>
                <w:rFonts w:hint="eastAsia" w:ascii="Times New Roman" w:hAnsi="Times New Roman" w:eastAsia="仿宋_GB2312"/>
                <w:color w:val="auto"/>
                <w:kern w:val="0"/>
                <w:sz w:val="24"/>
                <w:highlight w:val="none"/>
                <w:lang w:val="en-US" w:eastAsia="zh-CN"/>
              </w:rPr>
              <w:t>海丰深燃公司</w:t>
            </w:r>
            <w:r>
              <w:rPr>
                <w:rFonts w:hint="eastAsia" w:ascii="Times New Roman" w:hAnsi="Times New Roman" w:eastAsia="仿宋_GB2312"/>
                <w:color w:val="auto"/>
                <w:kern w:val="0"/>
                <w:sz w:val="24"/>
                <w:highlight w:val="none"/>
                <w:lang w:eastAsia="zh-CN"/>
              </w:rPr>
              <w:t>，</w:t>
            </w:r>
          </w:p>
        </w:tc>
      </w:tr>
      <w:tr w14:paraId="1E38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7" w:type="dxa"/>
            <w:noWrap w:val="0"/>
            <w:vAlign w:val="center"/>
          </w:tcPr>
          <w:p w14:paraId="1390CC1F">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22</w:t>
            </w:r>
          </w:p>
        </w:tc>
        <w:tc>
          <w:tcPr>
            <w:tcW w:w="1559" w:type="dxa"/>
            <w:vMerge w:val="continue"/>
            <w:noWrap w:val="0"/>
            <w:vAlign w:val="center"/>
          </w:tcPr>
          <w:p w14:paraId="5BC574EC">
            <w:pPr>
              <w:widowControl/>
              <w:jc w:val="left"/>
              <w:rPr>
                <w:rFonts w:ascii="Times New Roman" w:hAnsi="Times New Roman" w:eastAsia="仿宋_GB2312"/>
                <w:color w:val="auto"/>
                <w:kern w:val="0"/>
                <w:sz w:val="24"/>
                <w:highlight w:val="none"/>
              </w:rPr>
            </w:pPr>
          </w:p>
        </w:tc>
        <w:tc>
          <w:tcPr>
            <w:tcW w:w="6095" w:type="dxa"/>
            <w:noWrap w:val="0"/>
            <w:vAlign w:val="center"/>
          </w:tcPr>
          <w:p w14:paraId="483F5CDC">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建立全市不动产登记业务信息化监测渠道，确保业务运行状态得到有效监管。</w:t>
            </w:r>
          </w:p>
        </w:tc>
        <w:tc>
          <w:tcPr>
            <w:tcW w:w="1559" w:type="dxa"/>
            <w:noWrap w:val="0"/>
            <w:vAlign w:val="center"/>
          </w:tcPr>
          <w:p w14:paraId="24F0CC49">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自然资源局</w:t>
            </w:r>
          </w:p>
        </w:tc>
        <w:tc>
          <w:tcPr>
            <w:tcW w:w="3435" w:type="dxa"/>
            <w:noWrap w:val="0"/>
            <w:vAlign w:val="center"/>
          </w:tcPr>
          <w:p w14:paraId="1E2FD297">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税务局</w:t>
            </w:r>
          </w:p>
        </w:tc>
      </w:tr>
      <w:tr w14:paraId="5C0F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7" w:type="dxa"/>
            <w:noWrap w:val="0"/>
            <w:vAlign w:val="center"/>
          </w:tcPr>
          <w:p w14:paraId="359B59BB">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23</w:t>
            </w:r>
          </w:p>
        </w:tc>
        <w:tc>
          <w:tcPr>
            <w:tcW w:w="1559" w:type="dxa"/>
            <w:vMerge w:val="continue"/>
            <w:noWrap w:val="0"/>
            <w:vAlign w:val="center"/>
          </w:tcPr>
          <w:p w14:paraId="0A7D6D28">
            <w:pPr>
              <w:widowControl/>
              <w:jc w:val="left"/>
              <w:rPr>
                <w:rFonts w:ascii="Times New Roman" w:hAnsi="Times New Roman" w:eastAsia="仿宋_GB2312"/>
                <w:color w:val="auto"/>
                <w:kern w:val="0"/>
                <w:sz w:val="24"/>
                <w:highlight w:val="none"/>
              </w:rPr>
            </w:pPr>
          </w:p>
        </w:tc>
        <w:tc>
          <w:tcPr>
            <w:tcW w:w="6095" w:type="dxa"/>
            <w:noWrap w:val="0"/>
            <w:vAlign w:val="center"/>
          </w:tcPr>
          <w:p w14:paraId="325B6DCC">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研究推行二手房带抵押过户。</w:t>
            </w:r>
          </w:p>
        </w:tc>
        <w:tc>
          <w:tcPr>
            <w:tcW w:w="1559" w:type="dxa"/>
            <w:noWrap w:val="0"/>
            <w:vAlign w:val="center"/>
          </w:tcPr>
          <w:p w14:paraId="4302598B">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自然资源局</w:t>
            </w:r>
          </w:p>
        </w:tc>
        <w:tc>
          <w:tcPr>
            <w:tcW w:w="3435" w:type="dxa"/>
            <w:noWrap w:val="0"/>
            <w:vAlign w:val="center"/>
          </w:tcPr>
          <w:p w14:paraId="58D3BDB6">
            <w:pPr>
              <w:widowControl/>
              <w:jc w:val="both"/>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中国人民银行海丰县支行</w:t>
            </w:r>
            <w:r>
              <w:rPr>
                <w:rFonts w:hint="eastAsia" w:ascii="Times New Roman" w:hAnsi="Times New Roman" w:eastAsia="仿宋_GB2312"/>
                <w:color w:val="auto"/>
                <w:kern w:val="0"/>
                <w:sz w:val="24"/>
                <w:highlight w:val="none"/>
                <w:lang w:eastAsia="zh-CN"/>
              </w:rPr>
              <w:t>，</w:t>
            </w:r>
            <w:r>
              <w:rPr>
                <w:rFonts w:hint="eastAsia" w:ascii="Times New Roman" w:hAnsi="Times New Roman" w:eastAsia="仿宋_GB2312"/>
                <w:color w:val="auto"/>
                <w:kern w:val="0"/>
                <w:sz w:val="24"/>
                <w:highlight w:val="none"/>
                <w:lang w:val="en-US" w:eastAsia="zh-CN"/>
              </w:rPr>
              <w:t>县</w:t>
            </w:r>
            <w:r>
              <w:rPr>
                <w:rFonts w:hint="eastAsia" w:ascii="Times New Roman" w:hAnsi="Times New Roman" w:eastAsia="仿宋_GB2312"/>
                <w:color w:val="auto"/>
                <w:kern w:val="0"/>
                <w:sz w:val="24"/>
                <w:highlight w:val="none"/>
                <w:lang w:eastAsia="zh-CN"/>
              </w:rPr>
              <w:t>金融局</w:t>
            </w:r>
          </w:p>
        </w:tc>
      </w:tr>
      <w:tr w14:paraId="3EA7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7" w:type="dxa"/>
            <w:noWrap w:val="0"/>
            <w:vAlign w:val="center"/>
          </w:tcPr>
          <w:p w14:paraId="217CB833">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24</w:t>
            </w:r>
          </w:p>
        </w:tc>
        <w:tc>
          <w:tcPr>
            <w:tcW w:w="1559" w:type="dxa"/>
            <w:vMerge w:val="continue"/>
            <w:noWrap w:val="0"/>
            <w:vAlign w:val="center"/>
          </w:tcPr>
          <w:p w14:paraId="7FE3D347">
            <w:pPr>
              <w:widowControl/>
              <w:jc w:val="left"/>
              <w:rPr>
                <w:rFonts w:ascii="Times New Roman" w:hAnsi="Times New Roman" w:eastAsia="仿宋_GB2312"/>
                <w:color w:val="auto"/>
                <w:kern w:val="0"/>
                <w:sz w:val="24"/>
                <w:highlight w:val="none"/>
              </w:rPr>
            </w:pPr>
          </w:p>
        </w:tc>
        <w:tc>
          <w:tcPr>
            <w:tcW w:w="6095" w:type="dxa"/>
            <w:noWrap w:val="0"/>
            <w:vAlign w:val="center"/>
          </w:tcPr>
          <w:p w14:paraId="32F630F5">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提高全市不动产登记数据质量，为全省构建不动产登记数据“可信库”奠定扎实的数据基础。</w:t>
            </w:r>
          </w:p>
        </w:tc>
        <w:tc>
          <w:tcPr>
            <w:tcW w:w="1559" w:type="dxa"/>
            <w:noWrap w:val="0"/>
            <w:vAlign w:val="center"/>
          </w:tcPr>
          <w:p w14:paraId="282F2121">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自然资源局</w:t>
            </w:r>
          </w:p>
        </w:tc>
        <w:tc>
          <w:tcPr>
            <w:tcW w:w="3435" w:type="dxa"/>
            <w:noWrap w:val="0"/>
            <w:vAlign w:val="center"/>
          </w:tcPr>
          <w:p w14:paraId="60E0A460">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17ED6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7" w:type="dxa"/>
            <w:noWrap w:val="0"/>
            <w:vAlign w:val="center"/>
          </w:tcPr>
          <w:p w14:paraId="142693DB">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25</w:t>
            </w:r>
          </w:p>
        </w:tc>
        <w:tc>
          <w:tcPr>
            <w:tcW w:w="1559" w:type="dxa"/>
            <w:vMerge w:val="continue"/>
            <w:noWrap w:val="0"/>
            <w:vAlign w:val="center"/>
          </w:tcPr>
          <w:p w14:paraId="33893CBD">
            <w:pPr>
              <w:widowControl/>
              <w:jc w:val="left"/>
              <w:rPr>
                <w:rFonts w:ascii="Times New Roman" w:hAnsi="Times New Roman" w:eastAsia="仿宋_GB2312"/>
                <w:color w:val="auto"/>
                <w:kern w:val="0"/>
                <w:sz w:val="24"/>
                <w:highlight w:val="none"/>
              </w:rPr>
            </w:pPr>
          </w:p>
        </w:tc>
        <w:tc>
          <w:tcPr>
            <w:tcW w:w="6095" w:type="dxa"/>
            <w:noWrap w:val="0"/>
            <w:vAlign w:val="center"/>
          </w:tcPr>
          <w:p w14:paraId="13AD6103">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研究建立不动产登记错误赔偿机制。</w:t>
            </w:r>
          </w:p>
        </w:tc>
        <w:tc>
          <w:tcPr>
            <w:tcW w:w="1559" w:type="dxa"/>
            <w:noWrap w:val="0"/>
            <w:vAlign w:val="center"/>
          </w:tcPr>
          <w:p w14:paraId="20EF84FB">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自然资源局</w:t>
            </w:r>
          </w:p>
        </w:tc>
        <w:tc>
          <w:tcPr>
            <w:tcW w:w="3435" w:type="dxa"/>
            <w:noWrap w:val="0"/>
            <w:vAlign w:val="center"/>
          </w:tcPr>
          <w:p w14:paraId="49E0BE72">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财政局</w:t>
            </w:r>
          </w:p>
        </w:tc>
      </w:tr>
      <w:tr w14:paraId="34B0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77" w:type="dxa"/>
            <w:noWrap w:val="0"/>
            <w:vAlign w:val="center"/>
          </w:tcPr>
          <w:p w14:paraId="16FA77F5">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26</w:t>
            </w:r>
          </w:p>
        </w:tc>
        <w:tc>
          <w:tcPr>
            <w:tcW w:w="1559" w:type="dxa"/>
            <w:vMerge w:val="continue"/>
            <w:noWrap w:val="0"/>
            <w:vAlign w:val="center"/>
          </w:tcPr>
          <w:p w14:paraId="1B6038B0">
            <w:pPr>
              <w:widowControl/>
              <w:jc w:val="left"/>
              <w:rPr>
                <w:rFonts w:ascii="Times New Roman" w:hAnsi="Times New Roman" w:eastAsia="仿宋_GB2312"/>
                <w:color w:val="auto"/>
                <w:kern w:val="0"/>
                <w:sz w:val="24"/>
                <w:highlight w:val="none"/>
              </w:rPr>
            </w:pPr>
          </w:p>
        </w:tc>
        <w:tc>
          <w:tcPr>
            <w:tcW w:w="6095" w:type="dxa"/>
            <w:noWrap w:val="0"/>
            <w:vAlign w:val="center"/>
          </w:tcPr>
          <w:p w14:paraId="422E09E7">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全面实行“交房即交证”，通过不动产登记机构与税务、金融机构等部门联动，在交房现场为购房人颁发不动产权证书</w:t>
            </w:r>
            <w:r>
              <w:rPr>
                <w:rFonts w:hint="eastAsia" w:ascii="Times New Roman" w:hAnsi="Times New Roman" w:eastAsia="仿宋_GB2312"/>
                <w:color w:val="auto"/>
                <w:kern w:val="0"/>
                <w:sz w:val="24"/>
                <w:highlight w:val="none"/>
              </w:rPr>
              <w:t>，</w:t>
            </w:r>
            <w:r>
              <w:rPr>
                <w:rFonts w:hint="default" w:ascii="Times New Roman" w:hAnsi="Times New Roman" w:eastAsia="仿宋_GB2312"/>
                <w:color w:val="auto"/>
                <w:kern w:val="0"/>
                <w:sz w:val="24"/>
                <w:highlight w:val="none"/>
                <w:lang w:val="en-US"/>
              </w:rPr>
              <w:t>2022</w:t>
            </w:r>
            <w:r>
              <w:rPr>
                <w:rFonts w:hint="eastAsia" w:ascii="Times New Roman" w:hAnsi="Times New Roman" w:eastAsia="仿宋_GB2312"/>
                <w:color w:val="auto"/>
                <w:kern w:val="0"/>
                <w:sz w:val="24"/>
                <w:highlight w:val="none"/>
                <w:lang w:val="en-US" w:eastAsia="zh-CN"/>
              </w:rPr>
              <w:t>年底前</w:t>
            </w:r>
            <w:r>
              <w:rPr>
                <w:rFonts w:hint="eastAsia" w:ascii="Times New Roman" w:hAnsi="Times New Roman" w:eastAsia="仿宋_GB2312"/>
                <w:color w:val="auto"/>
                <w:kern w:val="0"/>
                <w:sz w:val="24"/>
                <w:highlight w:val="none"/>
              </w:rPr>
              <w:t>推动全市一手房交易覆盖80%以上。</w:t>
            </w:r>
          </w:p>
        </w:tc>
        <w:tc>
          <w:tcPr>
            <w:tcW w:w="1559" w:type="dxa"/>
            <w:noWrap w:val="0"/>
            <w:vAlign w:val="center"/>
          </w:tcPr>
          <w:p w14:paraId="5567992E">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自然资源局、税务局、金融局</w:t>
            </w:r>
          </w:p>
        </w:tc>
        <w:tc>
          <w:tcPr>
            <w:tcW w:w="3435" w:type="dxa"/>
            <w:noWrap w:val="0"/>
            <w:vAlign w:val="center"/>
          </w:tcPr>
          <w:p w14:paraId="77C9C679">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7D746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7" w:type="dxa"/>
            <w:noWrap w:val="0"/>
            <w:vAlign w:val="center"/>
          </w:tcPr>
          <w:p w14:paraId="64D558E1">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27</w:t>
            </w:r>
          </w:p>
        </w:tc>
        <w:tc>
          <w:tcPr>
            <w:tcW w:w="1559" w:type="dxa"/>
            <w:vMerge w:val="restart"/>
            <w:noWrap w:val="0"/>
            <w:vAlign w:val="center"/>
          </w:tcPr>
          <w:p w14:paraId="5BB67BF8">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深化“纳税”便利化</w:t>
            </w:r>
          </w:p>
        </w:tc>
        <w:tc>
          <w:tcPr>
            <w:tcW w:w="6095" w:type="dxa"/>
            <w:noWrap w:val="0"/>
            <w:vAlign w:val="center"/>
          </w:tcPr>
          <w:p w14:paraId="733752EA">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深化大数据分析和应用，精准推送税费优惠政策，推行“自行判别、申报享受、资料备查”的办理方式，确保税费优惠政策直达快享。</w:t>
            </w:r>
          </w:p>
        </w:tc>
        <w:tc>
          <w:tcPr>
            <w:tcW w:w="1559" w:type="dxa"/>
            <w:noWrap w:val="0"/>
            <w:vAlign w:val="center"/>
          </w:tcPr>
          <w:p w14:paraId="350343D5">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税务局</w:t>
            </w:r>
          </w:p>
        </w:tc>
        <w:tc>
          <w:tcPr>
            <w:tcW w:w="3435" w:type="dxa"/>
            <w:noWrap w:val="0"/>
            <w:vAlign w:val="center"/>
          </w:tcPr>
          <w:p w14:paraId="47B72FA4">
            <w:pPr>
              <w:widowControl/>
              <w:jc w:val="both"/>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中国人民银行海丰县支行</w:t>
            </w:r>
          </w:p>
        </w:tc>
      </w:tr>
      <w:tr w14:paraId="3754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7" w:type="dxa"/>
            <w:noWrap w:val="0"/>
            <w:vAlign w:val="center"/>
          </w:tcPr>
          <w:p w14:paraId="5B84D59F">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28</w:t>
            </w:r>
          </w:p>
        </w:tc>
        <w:tc>
          <w:tcPr>
            <w:tcW w:w="1559" w:type="dxa"/>
            <w:vMerge w:val="continue"/>
            <w:noWrap w:val="0"/>
            <w:vAlign w:val="center"/>
          </w:tcPr>
          <w:p w14:paraId="26D44E5E">
            <w:pPr>
              <w:widowControl/>
              <w:jc w:val="left"/>
              <w:rPr>
                <w:rFonts w:ascii="Times New Roman" w:hAnsi="Times New Roman" w:eastAsia="仿宋_GB2312"/>
                <w:color w:val="auto"/>
                <w:kern w:val="0"/>
                <w:sz w:val="24"/>
                <w:highlight w:val="none"/>
              </w:rPr>
            </w:pPr>
          </w:p>
        </w:tc>
        <w:tc>
          <w:tcPr>
            <w:tcW w:w="6095" w:type="dxa"/>
            <w:noWrap w:val="0"/>
            <w:vAlign w:val="center"/>
          </w:tcPr>
          <w:p w14:paraId="0847C197">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推广应用V-Tax办税智能导办服务，</w:t>
            </w:r>
            <w:r>
              <w:rPr>
                <w:rFonts w:hint="eastAsia" w:ascii="Times New Roman" w:hAnsi="Times New Roman" w:eastAsia="仿宋_GB2312"/>
                <w:color w:val="auto"/>
                <w:kern w:val="0"/>
                <w:sz w:val="24"/>
                <w:highlight w:val="none"/>
                <w:lang w:val="en-US" w:eastAsia="zh-CN"/>
              </w:rPr>
              <w:t>配合市税务局扩大全市</w:t>
            </w:r>
            <w:r>
              <w:rPr>
                <w:rFonts w:ascii="Times New Roman" w:hAnsi="Times New Roman" w:eastAsia="仿宋_GB2312"/>
                <w:color w:val="auto"/>
                <w:kern w:val="0"/>
                <w:sz w:val="24"/>
                <w:highlight w:val="none"/>
              </w:rPr>
              <w:t>“一次不用跑”和“非接触式”办税覆盖税费事项范围，不断提升网上办税比例，实现企业办税缴费事项可网上办理，个人办税缴费事项可掌上办理。</w:t>
            </w:r>
          </w:p>
        </w:tc>
        <w:tc>
          <w:tcPr>
            <w:tcW w:w="1559" w:type="dxa"/>
            <w:noWrap w:val="0"/>
            <w:vAlign w:val="center"/>
          </w:tcPr>
          <w:p w14:paraId="461B3617">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税务局</w:t>
            </w:r>
          </w:p>
        </w:tc>
        <w:tc>
          <w:tcPr>
            <w:tcW w:w="3435" w:type="dxa"/>
            <w:noWrap w:val="0"/>
            <w:vAlign w:val="center"/>
          </w:tcPr>
          <w:p w14:paraId="559A593E">
            <w:pPr>
              <w:widowControl/>
              <w:jc w:val="both"/>
              <w:rPr>
                <w:rFonts w:hint="eastAsia" w:ascii="Times New Roman" w:hAnsi="Times New Roman" w:eastAsia="仿宋_GB2312"/>
                <w:color w:val="auto"/>
                <w:kern w:val="0"/>
                <w:sz w:val="24"/>
                <w:highlight w:val="none"/>
                <w:lang w:eastAsia="zh-CN"/>
              </w:rPr>
            </w:pPr>
            <w:r>
              <w:rPr>
                <w:rFonts w:hint="eastAsia" w:ascii="Times New Roman" w:hAnsi="Times New Roman" w:eastAsia="仿宋_GB2312"/>
                <w:color w:val="auto"/>
                <w:kern w:val="0"/>
                <w:sz w:val="24"/>
                <w:highlight w:val="none"/>
                <w:lang w:val="en-US" w:eastAsia="zh-CN"/>
              </w:rPr>
              <w:t>县</w:t>
            </w:r>
            <w:r>
              <w:rPr>
                <w:rFonts w:hint="eastAsia" w:ascii="Times New Roman" w:hAnsi="Times New Roman" w:eastAsia="仿宋_GB2312"/>
                <w:color w:val="auto"/>
                <w:kern w:val="0"/>
                <w:sz w:val="24"/>
                <w:highlight w:val="none"/>
                <w:lang w:eastAsia="zh-CN"/>
              </w:rPr>
              <w:t>政数局</w:t>
            </w:r>
          </w:p>
        </w:tc>
      </w:tr>
      <w:tr w14:paraId="1FCD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77" w:type="dxa"/>
            <w:noWrap w:val="0"/>
            <w:vAlign w:val="center"/>
          </w:tcPr>
          <w:p w14:paraId="1873F258">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29</w:t>
            </w:r>
          </w:p>
        </w:tc>
        <w:tc>
          <w:tcPr>
            <w:tcW w:w="1559" w:type="dxa"/>
            <w:vMerge w:val="continue"/>
            <w:noWrap w:val="0"/>
            <w:vAlign w:val="center"/>
          </w:tcPr>
          <w:p w14:paraId="21E09C27">
            <w:pPr>
              <w:widowControl/>
              <w:jc w:val="left"/>
              <w:rPr>
                <w:rFonts w:ascii="Times New Roman" w:hAnsi="Times New Roman" w:eastAsia="仿宋_GB2312"/>
                <w:color w:val="auto"/>
                <w:kern w:val="0"/>
                <w:sz w:val="24"/>
                <w:highlight w:val="none"/>
              </w:rPr>
            </w:pPr>
          </w:p>
        </w:tc>
        <w:tc>
          <w:tcPr>
            <w:tcW w:w="6095" w:type="dxa"/>
            <w:noWrap w:val="0"/>
            <w:vAlign w:val="center"/>
          </w:tcPr>
          <w:p w14:paraId="4C80838E">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减轻办税缴费负担，拓展税费综合申报范围，依法简并部分税种征期，全面推行税务证明事项告知承诺制，拓展容缺办理事项，持续提高税费申报效率，年纳税缴费时间压减至90小时以内。</w:t>
            </w:r>
          </w:p>
        </w:tc>
        <w:tc>
          <w:tcPr>
            <w:tcW w:w="1559" w:type="dxa"/>
            <w:noWrap w:val="0"/>
            <w:vAlign w:val="center"/>
          </w:tcPr>
          <w:p w14:paraId="103FFE97">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税务局</w:t>
            </w:r>
          </w:p>
        </w:tc>
        <w:tc>
          <w:tcPr>
            <w:tcW w:w="3435" w:type="dxa"/>
            <w:noWrap w:val="0"/>
            <w:vAlign w:val="center"/>
          </w:tcPr>
          <w:p w14:paraId="7EA5C166">
            <w:pPr>
              <w:widowControl/>
              <w:jc w:val="both"/>
              <w:rPr>
                <w:rFonts w:hint="default" w:ascii="Times New Roman" w:hAnsi="Times New Roman" w:eastAsia="仿宋_GB2312"/>
                <w:color w:val="auto"/>
                <w:kern w:val="0"/>
                <w:sz w:val="24"/>
                <w:highlight w:val="none"/>
                <w:lang w:val="en-US" w:eastAsia="zh-CN"/>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政数局、</w:t>
            </w:r>
            <w:r>
              <w:rPr>
                <w:rFonts w:hint="eastAsia" w:ascii="Times New Roman" w:hAnsi="Times New Roman" w:eastAsia="仿宋_GB2312"/>
                <w:color w:val="auto"/>
                <w:kern w:val="0"/>
                <w:sz w:val="24"/>
                <w:highlight w:val="none"/>
                <w:lang w:val="en-US" w:eastAsia="zh-CN"/>
              </w:rPr>
              <w:t>县市</w:t>
            </w:r>
            <w:r>
              <w:rPr>
                <w:rFonts w:ascii="Times New Roman" w:hAnsi="Times New Roman" w:eastAsia="仿宋_GB2312"/>
                <w:color w:val="auto"/>
                <w:kern w:val="0"/>
                <w:sz w:val="24"/>
                <w:highlight w:val="none"/>
              </w:rPr>
              <w:t>监局、自然资源局、住建局、司法局，中国人民银行海丰县支行</w:t>
            </w:r>
          </w:p>
        </w:tc>
      </w:tr>
      <w:tr w14:paraId="082FD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7" w:type="dxa"/>
            <w:noWrap w:val="0"/>
            <w:vAlign w:val="center"/>
          </w:tcPr>
          <w:p w14:paraId="0285151C">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30</w:t>
            </w:r>
          </w:p>
        </w:tc>
        <w:tc>
          <w:tcPr>
            <w:tcW w:w="1559" w:type="dxa"/>
            <w:vMerge w:val="continue"/>
            <w:noWrap w:val="0"/>
            <w:vAlign w:val="center"/>
          </w:tcPr>
          <w:p w14:paraId="243868A3">
            <w:pPr>
              <w:widowControl/>
              <w:jc w:val="left"/>
              <w:rPr>
                <w:rFonts w:ascii="Times New Roman" w:hAnsi="Times New Roman" w:eastAsia="仿宋_GB2312"/>
                <w:color w:val="auto"/>
                <w:kern w:val="0"/>
                <w:sz w:val="24"/>
                <w:highlight w:val="none"/>
              </w:rPr>
            </w:pPr>
          </w:p>
        </w:tc>
        <w:tc>
          <w:tcPr>
            <w:tcW w:w="6095" w:type="dxa"/>
            <w:noWrap w:val="0"/>
            <w:vAlign w:val="center"/>
          </w:tcPr>
          <w:p w14:paraId="6A8FA81C">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完善纳税人缴费人权利救济渠道和税费争议解决、跨区域事项协调处置等机制。</w:t>
            </w:r>
          </w:p>
        </w:tc>
        <w:tc>
          <w:tcPr>
            <w:tcW w:w="1559" w:type="dxa"/>
            <w:noWrap w:val="0"/>
            <w:vAlign w:val="center"/>
          </w:tcPr>
          <w:p w14:paraId="23780D9C">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税务局</w:t>
            </w:r>
          </w:p>
        </w:tc>
        <w:tc>
          <w:tcPr>
            <w:tcW w:w="3435" w:type="dxa"/>
            <w:noWrap w:val="0"/>
            <w:vAlign w:val="center"/>
          </w:tcPr>
          <w:p w14:paraId="30631BDA">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司法局</w:t>
            </w:r>
          </w:p>
        </w:tc>
      </w:tr>
      <w:tr w14:paraId="1BC1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7" w:type="dxa"/>
            <w:noWrap w:val="0"/>
            <w:vAlign w:val="center"/>
          </w:tcPr>
          <w:p w14:paraId="114E2DF1">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31</w:t>
            </w:r>
          </w:p>
        </w:tc>
        <w:tc>
          <w:tcPr>
            <w:tcW w:w="1559" w:type="dxa"/>
            <w:vMerge w:val="continue"/>
            <w:noWrap w:val="0"/>
            <w:vAlign w:val="center"/>
          </w:tcPr>
          <w:p w14:paraId="68277952">
            <w:pPr>
              <w:widowControl/>
              <w:jc w:val="left"/>
              <w:rPr>
                <w:rFonts w:ascii="Times New Roman" w:hAnsi="Times New Roman" w:eastAsia="仿宋_GB2312"/>
                <w:color w:val="auto"/>
                <w:kern w:val="0"/>
                <w:sz w:val="24"/>
                <w:highlight w:val="none"/>
              </w:rPr>
            </w:pPr>
          </w:p>
        </w:tc>
        <w:tc>
          <w:tcPr>
            <w:tcW w:w="6095" w:type="dxa"/>
            <w:noWrap w:val="0"/>
            <w:vAlign w:val="center"/>
          </w:tcPr>
          <w:p w14:paraId="4EB16E45">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简化企业涉税涉费事项跨省、跨市迁移办理程序，优化税务注销程序</w:t>
            </w:r>
          </w:p>
        </w:tc>
        <w:tc>
          <w:tcPr>
            <w:tcW w:w="1559" w:type="dxa"/>
            <w:noWrap w:val="0"/>
            <w:vAlign w:val="center"/>
          </w:tcPr>
          <w:p w14:paraId="3A532C5B">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税务局</w:t>
            </w:r>
          </w:p>
        </w:tc>
        <w:tc>
          <w:tcPr>
            <w:tcW w:w="3435" w:type="dxa"/>
            <w:noWrap w:val="0"/>
            <w:vAlign w:val="center"/>
          </w:tcPr>
          <w:p w14:paraId="0E1CF5E7">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市监局</w:t>
            </w:r>
          </w:p>
        </w:tc>
      </w:tr>
      <w:tr w14:paraId="0AB4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77" w:type="dxa"/>
            <w:noWrap w:val="0"/>
            <w:vAlign w:val="center"/>
          </w:tcPr>
          <w:p w14:paraId="689CF5CB">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32</w:t>
            </w:r>
          </w:p>
        </w:tc>
        <w:tc>
          <w:tcPr>
            <w:tcW w:w="1559" w:type="dxa"/>
            <w:vMerge w:val="restart"/>
            <w:noWrap w:val="0"/>
            <w:vAlign w:val="center"/>
          </w:tcPr>
          <w:p w14:paraId="2FB7721C">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深化“获得电力”便利</w:t>
            </w:r>
          </w:p>
        </w:tc>
        <w:tc>
          <w:tcPr>
            <w:tcW w:w="6095" w:type="dxa"/>
            <w:noWrap w:val="0"/>
            <w:vAlign w:val="center"/>
          </w:tcPr>
          <w:p w14:paraId="1E82FC5F">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实现全年低压居民客户办电平均不超3个工作日，低压非居民客户办电平均用时不超5个工作日，高压单电源客户办电平均用时不超38个工作日。</w:t>
            </w:r>
          </w:p>
        </w:tc>
        <w:tc>
          <w:tcPr>
            <w:tcW w:w="1559" w:type="dxa"/>
            <w:noWrap w:val="0"/>
            <w:vAlign w:val="center"/>
          </w:tcPr>
          <w:p w14:paraId="57B6A386">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供电局</w:t>
            </w:r>
          </w:p>
        </w:tc>
        <w:tc>
          <w:tcPr>
            <w:tcW w:w="3435" w:type="dxa"/>
            <w:noWrap w:val="0"/>
            <w:vAlign w:val="center"/>
          </w:tcPr>
          <w:p w14:paraId="7E4B54D8">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1087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7" w:type="dxa"/>
            <w:noWrap w:val="0"/>
            <w:vAlign w:val="center"/>
          </w:tcPr>
          <w:p w14:paraId="4A7F50AC">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33</w:t>
            </w:r>
          </w:p>
        </w:tc>
        <w:tc>
          <w:tcPr>
            <w:tcW w:w="1559" w:type="dxa"/>
            <w:vMerge w:val="continue"/>
            <w:noWrap w:val="0"/>
            <w:vAlign w:val="center"/>
          </w:tcPr>
          <w:p w14:paraId="2385855E">
            <w:pPr>
              <w:widowControl/>
              <w:jc w:val="left"/>
              <w:rPr>
                <w:rFonts w:ascii="Times New Roman" w:hAnsi="Times New Roman" w:eastAsia="仿宋_GB2312"/>
                <w:color w:val="auto"/>
                <w:kern w:val="0"/>
                <w:sz w:val="24"/>
                <w:highlight w:val="none"/>
              </w:rPr>
            </w:pPr>
          </w:p>
        </w:tc>
        <w:tc>
          <w:tcPr>
            <w:tcW w:w="6095" w:type="dxa"/>
            <w:noWrap w:val="0"/>
            <w:vAlign w:val="center"/>
          </w:tcPr>
          <w:p w14:paraId="55AB2E38">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建立业扩工单逐单管控机制，实行超时预警和通报管理。</w:t>
            </w:r>
          </w:p>
        </w:tc>
        <w:tc>
          <w:tcPr>
            <w:tcW w:w="1559" w:type="dxa"/>
            <w:noWrap w:val="0"/>
            <w:vAlign w:val="center"/>
          </w:tcPr>
          <w:p w14:paraId="37A26F36">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供电局</w:t>
            </w:r>
          </w:p>
        </w:tc>
        <w:tc>
          <w:tcPr>
            <w:tcW w:w="3435" w:type="dxa"/>
            <w:noWrap w:val="0"/>
            <w:vAlign w:val="center"/>
          </w:tcPr>
          <w:p w14:paraId="03948F48">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702E3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77" w:type="dxa"/>
            <w:noWrap w:val="0"/>
            <w:vAlign w:val="center"/>
          </w:tcPr>
          <w:p w14:paraId="1E3B64CB">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34</w:t>
            </w:r>
          </w:p>
        </w:tc>
        <w:tc>
          <w:tcPr>
            <w:tcW w:w="1559" w:type="dxa"/>
            <w:vMerge w:val="continue"/>
            <w:noWrap w:val="0"/>
            <w:vAlign w:val="center"/>
          </w:tcPr>
          <w:p w14:paraId="04697111">
            <w:pPr>
              <w:widowControl/>
              <w:jc w:val="left"/>
              <w:rPr>
                <w:rFonts w:ascii="Times New Roman" w:hAnsi="Times New Roman" w:eastAsia="仿宋_GB2312"/>
                <w:color w:val="auto"/>
                <w:kern w:val="0"/>
                <w:sz w:val="24"/>
                <w:highlight w:val="none"/>
              </w:rPr>
            </w:pPr>
          </w:p>
        </w:tc>
        <w:tc>
          <w:tcPr>
            <w:tcW w:w="6095" w:type="dxa"/>
            <w:noWrap w:val="0"/>
            <w:vAlign w:val="center"/>
          </w:tcPr>
          <w:p w14:paraId="5F3168C4">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持续降低客户办电成本，落实业扩投资界面延伸至客户红线，全</w:t>
            </w: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推行160千瓦及以下小微企业用电报装“零投资”。</w:t>
            </w:r>
          </w:p>
        </w:tc>
        <w:tc>
          <w:tcPr>
            <w:tcW w:w="1559" w:type="dxa"/>
            <w:noWrap w:val="0"/>
            <w:vAlign w:val="center"/>
          </w:tcPr>
          <w:p w14:paraId="5F536EAB">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供电局</w:t>
            </w:r>
          </w:p>
        </w:tc>
        <w:tc>
          <w:tcPr>
            <w:tcW w:w="3435" w:type="dxa"/>
            <w:noWrap w:val="0"/>
            <w:vAlign w:val="center"/>
          </w:tcPr>
          <w:p w14:paraId="73DB628C">
            <w:pPr>
              <w:widowControl/>
              <w:jc w:val="both"/>
              <w:rPr>
                <w:rFonts w:hint="eastAsia" w:ascii="Times New Roman" w:hAnsi="Times New Roman" w:eastAsia="仿宋_GB2312"/>
                <w:color w:val="auto"/>
                <w:kern w:val="0"/>
                <w:sz w:val="24"/>
                <w:highlight w:val="none"/>
                <w:lang w:eastAsia="zh-CN"/>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6A26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7" w:type="dxa"/>
            <w:noWrap w:val="0"/>
            <w:vAlign w:val="center"/>
          </w:tcPr>
          <w:p w14:paraId="4A58D42A">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35</w:t>
            </w:r>
          </w:p>
        </w:tc>
        <w:tc>
          <w:tcPr>
            <w:tcW w:w="1559" w:type="dxa"/>
            <w:vMerge w:val="continue"/>
            <w:noWrap w:val="0"/>
            <w:vAlign w:val="center"/>
          </w:tcPr>
          <w:p w14:paraId="7C3ED61A">
            <w:pPr>
              <w:widowControl/>
              <w:jc w:val="left"/>
              <w:rPr>
                <w:rFonts w:ascii="Times New Roman" w:hAnsi="Times New Roman" w:eastAsia="仿宋_GB2312"/>
                <w:color w:val="auto"/>
                <w:kern w:val="0"/>
                <w:sz w:val="24"/>
                <w:highlight w:val="none"/>
              </w:rPr>
            </w:pPr>
          </w:p>
        </w:tc>
        <w:tc>
          <w:tcPr>
            <w:tcW w:w="6095" w:type="dxa"/>
            <w:noWrap w:val="0"/>
            <w:vAlign w:val="center"/>
          </w:tcPr>
          <w:p w14:paraId="699C358A">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加强配网管理，提升供电可靠性。全面推行“网格化”抢修模式，拓宽不停电作业适用场景，推广带电作业、旁路作业、发电车、低压转供电等用户无感负荷转供技术。市中心区域用户平均停电时间压缩到</w:t>
            </w:r>
            <w:r>
              <w:rPr>
                <w:rFonts w:hint="default" w:ascii="Times New Roman" w:hAnsi="Times New Roman" w:eastAsia="仿宋_GB2312"/>
                <w:color w:val="auto"/>
                <w:kern w:val="0"/>
                <w:sz w:val="24"/>
                <w:highlight w:val="none"/>
                <w:lang w:val="en-US" w:eastAsia="zh-CN"/>
              </w:rPr>
              <w:t>3.96</w:t>
            </w:r>
            <w:r>
              <w:rPr>
                <w:rFonts w:ascii="Times New Roman" w:hAnsi="Times New Roman" w:eastAsia="仿宋_GB2312"/>
                <w:color w:val="auto"/>
                <w:kern w:val="0"/>
                <w:sz w:val="24"/>
                <w:highlight w:val="none"/>
              </w:rPr>
              <w:t>小时以内。</w:t>
            </w:r>
          </w:p>
        </w:tc>
        <w:tc>
          <w:tcPr>
            <w:tcW w:w="1559" w:type="dxa"/>
            <w:noWrap w:val="0"/>
            <w:vAlign w:val="center"/>
          </w:tcPr>
          <w:p w14:paraId="377010E0">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供电局</w:t>
            </w:r>
          </w:p>
        </w:tc>
        <w:tc>
          <w:tcPr>
            <w:tcW w:w="3435" w:type="dxa"/>
            <w:noWrap w:val="0"/>
            <w:vAlign w:val="center"/>
          </w:tcPr>
          <w:p w14:paraId="31678476">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4529D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7" w:type="dxa"/>
            <w:noWrap w:val="0"/>
            <w:vAlign w:val="center"/>
          </w:tcPr>
          <w:p w14:paraId="0DC128BC">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36</w:t>
            </w:r>
          </w:p>
        </w:tc>
        <w:tc>
          <w:tcPr>
            <w:tcW w:w="1559" w:type="dxa"/>
            <w:vMerge w:val="continue"/>
            <w:noWrap w:val="0"/>
            <w:vAlign w:val="center"/>
          </w:tcPr>
          <w:p w14:paraId="0EEB3A75">
            <w:pPr>
              <w:widowControl/>
              <w:jc w:val="left"/>
              <w:rPr>
                <w:rFonts w:ascii="Times New Roman" w:hAnsi="Times New Roman" w:eastAsia="仿宋_GB2312"/>
                <w:color w:val="auto"/>
                <w:kern w:val="0"/>
                <w:sz w:val="24"/>
                <w:highlight w:val="none"/>
              </w:rPr>
            </w:pPr>
          </w:p>
        </w:tc>
        <w:tc>
          <w:tcPr>
            <w:tcW w:w="6095" w:type="dxa"/>
            <w:noWrap w:val="0"/>
            <w:vAlign w:val="center"/>
          </w:tcPr>
          <w:p w14:paraId="1282AAF3">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建立限制停电的财务遏制机制。</w:t>
            </w:r>
          </w:p>
        </w:tc>
        <w:tc>
          <w:tcPr>
            <w:tcW w:w="1559" w:type="dxa"/>
            <w:noWrap w:val="0"/>
            <w:vAlign w:val="center"/>
          </w:tcPr>
          <w:p w14:paraId="275EB18C">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发改局</w:t>
            </w:r>
          </w:p>
        </w:tc>
        <w:tc>
          <w:tcPr>
            <w:tcW w:w="3435" w:type="dxa"/>
            <w:noWrap w:val="0"/>
            <w:vAlign w:val="center"/>
          </w:tcPr>
          <w:p w14:paraId="087C7F65">
            <w:pPr>
              <w:keepNext w:val="0"/>
              <w:keepLines w:val="0"/>
              <w:widowControl/>
              <w:suppressLineNumbers w:val="0"/>
              <w:jc w:val="both"/>
              <w:textAlignment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hint="eastAsia" w:ascii="仿宋_GB2312" w:hAnsi="等线" w:eastAsia="仿宋_GB2312" w:cs="仿宋_GB2312"/>
                <w:i w:val="0"/>
                <w:color w:val="auto"/>
                <w:kern w:val="0"/>
                <w:sz w:val="24"/>
                <w:szCs w:val="24"/>
                <w:highlight w:val="none"/>
                <w:u w:val="none"/>
                <w:lang w:val="en-US" w:eastAsia="zh-CN" w:bidi="ar"/>
              </w:rPr>
              <w:t>司法局，</w:t>
            </w:r>
            <w:r>
              <w:rPr>
                <w:rFonts w:hint="eastAsia" w:ascii="Times New Roman" w:hAnsi="Times New Roman" w:eastAsia="仿宋_GB2312"/>
                <w:color w:val="auto"/>
                <w:kern w:val="0"/>
                <w:sz w:val="24"/>
                <w:highlight w:val="none"/>
                <w:lang w:val="en-US" w:eastAsia="zh-CN"/>
              </w:rPr>
              <w:t>县</w:t>
            </w:r>
            <w:r>
              <w:rPr>
                <w:rFonts w:hint="eastAsia" w:ascii="仿宋_GB2312" w:hAnsi="等线" w:eastAsia="仿宋_GB2312" w:cs="仿宋_GB2312"/>
                <w:i w:val="0"/>
                <w:color w:val="auto"/>
                <w:kern w:val="0"/>
                <w:sz w:val="24"/>
                <w:szCs w:val="24"/>
                <w:highlight w:val="none"/>
                <w:u w:val="none"/>
                <w:lang w:val="en-US" w:eastAsia="zh-CN" w:bidi="ar"/>
              </w:rPr>
              <w:t>供电局</w:t>
            </w:r>
          </w:p>
        </w:tc>
      </w:tr>
      <w:tr w14:paraId="35BE5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677" w:type="dxa"/>
            <w:noWrap w:val="0"/>
            <w:vAlign w:val="center"/>
          </w:tcPr>
          <w:p w14:paraId="60310981">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37</w:t>
            </w:r>
          </w:p>
        </w:tc>
        <w:tc>
          <w:tcPr>
            <w:tcW w:w="1559" w:type="dxa"/>
            <w:vMerge w:val="continue"/>
            <w:noWrap w:val="0"/>
            <w:vAlign w:val="center"/>
          </w:tcPr>
          <w:p w14:paraId="2928ABA7">
            <w:pPr>
              <w:widowControl/>
              <w:jc w:val="left"/>
              <w:rPr>
                <w:rFonts w:ascii="Times New Roman" w:hAnsi="Times New Roman" w:eastAsia="仿宋_GB2312"/>
                <w:color w:val="auto"/>
                <w:kern w:val="0"/>
                <w:sz w:val="24"/>
                <w:highlight w:val="none"/>
              </w:rPr>
            </w:pPr>
          </w:p>
        </w:tc>
        <w:tc>
          <w:tcPr>
            <w:tcW w:w="6095" w:type="dxa"/>
            <w:noWrap w:val="0"/>
            <w:vAlign w:val="center"/>
          </w:tcPr>
          <w:p w14:paraId="33830CF4">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加强政企协同办电信息共享，及时将政府招商、土地出让、规划许可、建设审批、施工许可、企业登记等政务信息向供电部门共享，供电部门提前获取用电需求，推动配套电网工程规划建设和用户接入全过程各环节有效衔接。</w:t>
            </w:r>
          </w:p>
        </w:tc>
        <w:tc>
          <w:tcPr>
            <w:tcW w:w="1559" w:type="dxa"/>
            <w:noWrap w:val="0"/>
            <w:vAlign w:val="center"/>
          </w:tcPr>
          <w:p w14:paraId="12330AC7">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发改局、供电局</w:t>
            </w:r>
          </w:p>
        </w:tc>
        <w:tc>
          <w:tcPr>
            <w:tcW w:w="3435" w:type="dxa"/>
            <w:noWrap w:val="0"/>
            <w:vAlign w:val="center"/>
          </w:tcPr>
          <w:p w14:paraId="20BF4600">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住建局、政数局</w:t>
            </w:r>
          </w:p>
        </w:tc>
      </w:tr>
      <w:tr w14:paraId="57F6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77" w:type="dxa"/>
            <w:noWrap w:val="0"/>
            <w:vAlign w:val="center"/>
          </w:tcPr>
          <w:p w14:paraId="0D05BCDC">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38</w:t>
            </w:r>
          </w:p>
        </w:tc>
        <w:tc>
          <w:tcPr>
            <w:tcW w:w="1559" w:type="dxa"/>
            <w:vMerge w:val="continue"/>
            <w:noWrap w:val="0"/>
            <w:vAlign w:val="center"/>
          </w:tcPr>
          <w:p w14:paraId="3CAE7613">
            <w:pPr>
              <w:widowControl/>
              <w:jc w:val="left"/>
              <w:rPr>
                <w:rFonts w:ascii="Times New Roman" w:hAnsi="Times New Roman" w:eastAsia="仿宋_GB2312"/>
                <w:color w:val="auto"/>
                <w:kern w:val="0"/>
                <w:sz w:val="24"/>
                <w:highlight w:val="none"/>
              </w:rPr>
            </w:pPr>
          </w:p>
        </w:tc>
        <w:tc>
          <w:tcPr>
            <w:tcW w:w="6095" w:type="dxa"/>
            <w:noWrap w:val="0"/>
            <w:vAlign w:val="center"/>
          </w:tcPr>
          <w:p w14:paraId="12B04EEC">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开展转供电环节加价专项整治工作，进一步清理用电不合理加价，加大宣传力度，畅通举报机制，规范非电网直供电环节的价格和收费行为。</w:t>
            </w:r>
          </w:p>
        </w:tc>
        <w:tc>
          <w:tcPr>
            <w:tcW w:w="1559" w:type="dxa"/>
            <w:noWrap w:val="0"/>
            <w:vAlign w:val="center"/>
          </w:tcPr>
          <w:p w14:paraId="50D5E5B6">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市监局、发改局，供电局</w:t>
            </w:r>
          </w:p>
        </w:tc>
        <w:tc>
          <w:tcPr>
            <w:tcW w:w="3435" w:type="dxa"/>
            <w:noWrap w:val="0"/>
            <w:vAlign w:val="center"/>
          </w:tcPr>
          <w:p w14:paraId="31B0AE74">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7CA2E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7" w:type="dxa"/>
            <w:noWrap w:val="0"/>
            <w:vAlign w:val="center"/>
          </w:tcPr>
          <w:p w14:paraId="4FE4461D">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39</w:t>
            </w:r>
          </w:p>
        </w:tc>
        <w:tc>
          <w:tcPr>
            <w:tcW w:w="1559" w:type="dxa"/>
            <w:vMerge w:val="restart"/>
            <w:noWrap w:val="0"/>
            <w:vAlign w:val="center"/>
          </w:tcPr>
          <w:p w14:paraId="1BF196E9">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深化“获得用水用气”便利化</w:t>
            </w:r>
          </w:p>
        </w:tc>
        <w:tc>
          <w:tcPr>
            <w:tcW w:w="6095" w:type="dxa"/>
            <w:noWrap w:val="0"/>
            <w:vAlign w:val="center"/>
          </w:tcPr>
          <w:p w14:paraId="1471802F">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探索建立电水气“一次办”机制。搭建市政公用基础设施联合服务平台，统一电水气线上申报入口，推行“电水气+”一窗受理、联合踏勘、联合设计、联合施工、联合验收。</w:t>
            </w:r>
          </w:p>
        </w:tc>
        <w:tc>
          <w:tcPr>
            <w:tcW w:w="1559" w:type="dxa"/>
            <w:noWrap w:val="0"/>
            <w:vAlign w:val="center"/>
          </w:tcPr>
          <w:p w14:paraId="5388D537">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住建局、发改</w:t>
            </w:r>
            <w:r>
              <w:rPr>
                <w:rFonts w:hint="eastAsia" w:ascii="Times New Roman" w:hAnsi="Times New Roman" w:eastAsia="仿宋_GB2312"/>
                <w:color w:val="auto"/>
                <w:kern w:val="0"/>
                <w:sz w:val="24"/>
                <w:highlight w:val="none"/>
                <w:lang w:eastAsia="zh-CN"/>
              </w:rPr>
              <w:t>局</w:t>
            </w:r>
            <w:r>
              <w:rPr>
                <w:rFonts w:ascii="Times New Roman" w:hAnsi="Times New Roman" w:eastAsia="仿宋_GB2312"/>
                <w:color w:val="auto"/>
                <w:kern w:val="0"/>
                <w:sz w:val="24"/>
                <w:highlight w:val="none"/>
              </w:rPr>
              <w:t>、供电局、</w:t>
            </w:r>
          </w:p>
        </w:tc>
        <w:tc>
          <w:tcPr>
            <w:tcW w:w="3435" w:type="dxa"/>
            <w:noWrap w:val="0"/>
            <w:vAlign w:val="center"/>
          </w:tcPr>
          <w:p w14:paraId="2C799675">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政数局</w:t>
            </w:r>
            <w:r>
              <w:rPr>
                <w:rFonts w:hint="eastAsia" w:ascii="Times New Roman" w:hAnsi="Times New Roman" w:eastAsia="仿宋_GB2312"/>
                <w:color w:val="auto"/>
                <w:kern w:val="0"/>
                <w:sz w:val="24"/>
                <w:highlight w:val="none"/>
                <w:lang w:eastAsia="zh-CN"/>
              </w:rPr>
              <w:t>，</w:t>
            </w:r>
            <w:r>
              <w:rPr>
                <w:rFonts w:hint="eastAsia" w:ascii="Times New Roman" w:hAnsi="Times New Roman" w:eastAsia="仿宋_GB2312"/>
                <w:color w:val="auto"/>
                <w:kern w:val="0"/>
                <w:sz w:val="24"/>
                <w:highlight w:val="none"/>
                <w:lang w:val="en-US" w:eastAsia="zh-CN"/>
              </w:rPr>
              <w:t>各</w:t>
            </w:r>
            <w:r>
              <w:rPr>
                <w:rFonts w:ascii="Times New Roman" w:hAnsi="Times New Roman" w:eastAsia="仿宋_GB2312"/>
                <w:color w:val="auto"/>
                <w:kern w:val="0"/>
                <w:sz w:val="24"/>
                <w:highlight w:val="none"/>
              </w:rPr>
              <w:t>供水、供气企业</w:t>
            </w:r>
          </w:p>
        </w:tc>
      </w:tr>
      <w:tr w14:paraId="2A2BA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7" w:type="dxa"/>
            <w:noWrap w:val="0"/>
            <w:vAlign w:val="center"/>
          </w:tcPr>
          <w:p w14:paraId="295CB21D">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40</w:t>
            </w:r>
          </w:p>
        </w:tc>
        <w:tc>
          <w:tcPr>
            <w:tcW w:w="1559" w:type="dxa"/>
            <w:vMerge w:val="continue"/>
            <w:noWrap w:val="0"/>
            <w:vAlign w:val="center"/>
          </w:tcPr>
          <w:p w14:paraId="708C594B">
            <w:pPr>
              <w:widowControl/>
              <w:jc w:val="left"/>
              <w:rPr>
                <w:rFonts w:ascii="Times New Roman" w:hAnsi="Times New Roman" w:eastAsia="仿宋_GB2312"/>
                <w:color w:val="auto"/>
                <w:kern w:val="0"/>
                <w:sz w:val="24"/>
                <w:highlight w:val="none"/>
              </w:rPr>
            </w:pPr>
          </w:p>
        </w:tc>
        <w:tc>
          <w:tcPr>
            <w:tcW w:w="6095" w:type="dxa"/>
            <w:noWrap w:val="0"/>
            <w:vAlign w:val="center"/>
          </w:tcPr>
          <w:p w14:paraId="4A7D0104">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统一精简和规范全市各供气、供水企业报装服务程序、报装流程、申请材料，推广广州“四办”（主动办、线上办、联席办、一次办）举措典型经验做法，进一步提升服务质量。</w:t>
            </w:r>
          </w:p>
        </w:tc>
        <w:tc>
          <w:tcPr>
            <w:tcW w:w="1559" w:type="dxa"/>
            <w:noWrap w:val="0"/>
            <w:vAlign w:val="center"/>
          </w:tcPr>
          <w:p w14:paraId="1B58F092">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住建局</w:t>
            </w:r>
            <w:r>
              <w:rPr>
                <w:rFonts w:hint="eastAsia" w:ascii="Times New Roman" w:hAnsi="Times New Roman" w:eastAsia="仿宋_GB2312"/>
                <w:color w:val="auto"/>
                <w:kern w:val="0"/>
                <w:sz w:val="24"/>
                <w:highlight w:val="none"/>
                <w:lang w:eastAsia="zh-CN"/>
              </w:rPr>
              <w:t>、水务局</w:t>
            </w:r>
          </w:p>
        </w:tc>
        <w:tc>
          <w:tcPr>
            <w:tcW w:w="3435" w:type="dxa"/>
            <w:noWrap w:val="0"/>
            <w:vAlign w:val="center"/>
          </w:tcPr>
          <w:p w14:paraId="3834F7AA">
            <w:pPr>
              <w:widowControl/>
              <w:jc w:val="both"/>
              <w:rPr>
                <w:rFonts w:hint="eastAsia" w:ascii="Times New Roman" w:hAnsi="Times New Roman" w:eastAsia="仿宋_GB2312"/>
                <w:color w:val="auto"/>
                <w:kern w:val="0"/>
                <w:sz w:val="24"/>
                <w:highlight w:val="none"/>
                <w:lang w:eastAsia="zh-CN"/>
              </w:rPr>
            </w:pPr>
            <w:r>
              <w:rPr>
                <w:rFonts w:hint="eastAsia" w:ascii="Times New Roman" w:hAnsi="Times New Roman" w:eastAsia="仿宋_GB2312"/>
                <w:color w:val="auto"/>
                <w:kern w:val="0"/>
                <w:sz w:val="24"/>
                <w:highlight w:val="none"/>
                <w:lang w:eastAsia="zh-CN"/>
              </w:rPr>
              <w:t>各</w:t>
            </w:r>
            <w:r>
              <w:rPr>
                <w:rFonts w:ascii="Times New Roman" w:hAnsi="Times New Roman" w:eastAsia="仿宋_GB2312"/>
                <w:color w:val="auto"/>
                <w:kern w:val="0"/>
                <w:sz w:val="24"/>
                <w:highlight w:val="none"/>
              </w:rPr>
              <w:t>供水、供气企业</w:t>
            </w:r>
          </w:p>
        </w:tc>
      </w:tr>
      <w:tr w14:paraId="7893C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7" w:type="dxa"/>
            <w:noWrap w:val="0"/>
            <w:vAlign w:val="center"/>
          </w:tcPr>
          <w:p w14:paraId="76F2A86D">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41</w:t>
            </w:r>
          </w:p>
        </w:tc>
        <w:tc>
          <w:tcPr>
            <w:tcW w:w="1559" w:type="dxa"/>
            <w:vMerge w:val="continue"/>
            <w:noWrap w:val="0"/>
            <w:vAlign w:val="center"/>
          </w:tcPr>
          <w:p w14:paraId="55994911">
            <w:pPr>
              <w:widowControl/>
              <w:jc w:val="left"/>
              <w:rPr>
                <w:rFonts w:ascii="Times New Roman" w:hAnsi="Times New Roman" w:eastAsia="仿宋_GB2312"/>
                <w:color w:val="auto"/>
                <w:kern w:val="0"/>
                <w:sz w:val="24"/>
                <w:highlight w:val="none"/>
              </w:rPr>
            </w:pPr>
          </w:p>
        </w:tc>
        <w:tc>
          <w:tcPr>
            <w:tcW w:w="6095" w:type="dxa"/>
            <w:noWrap w:val="0"/>
            <w:vAlign w:val="center"/>
          </w:tcPr>
          <w:p w14:paraId="486BFD87">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指导全</w:t>
            </w: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各供水、供气企业完善线上服务渠道功能，向用户提供报装、缴费、报修等业务在线办理。</w:t>
            </w:r>
          </w:p>
        </w:tc>
        <w:tc>
          <w:tcPr>
            <w:tcW w:w="1559" w:type="dxa"/>
            <w:noWrap w:val="0"/>
            <w:vAlign w:val="center"/>
          </w:tcPr>
          <w:p w14:paraId="5E54D014">
            <w:pPr>
              <w:widowControl/>
              <w:jc w:val="center"/>
              <w:rPr>
                <w:rFonts w:hint="eastAsia" w:ascii="Times New Roman" w:hAnsi="Times New Roman" w:eastAsia="仿宋_GB2312"/>
                <w:color w:val="auto"/>
                <w:kern w:val="0"/>
                <w:sz w:val="24"/>
                <w:highlight w:val="none"/>
                <w:lang w:eastAsia="zh-CN"/>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住建局</w:t>
            </w:r>
            <w:r>
              <w:rPr>
                <w:rFonts w:hint="eastAsia" w:ascii="Times New Roman" w:hAnsi="Times New Roman" w:eastAsia="仿宋_GB2312"/>
                <w:color w:val="auto"/>
                <w:kern w:val="0"/>
                <w:sz w:val="24"/>
                <w:highlight w:val="none"/>
                <w:lang w:eastAsia="zh-CN"/>
              </w:rPr>
              <w:t>、水务局</w:t>
            </w:r>
          </w:p>
        </w:tc>
        <w:tc>
          <w:tcPr>
            <w:tcW w:w="3435" w:type="dxa"/>
            <w:noWrap w:val="0"/>
            <w:vAlign w:val="center"/>
          </w:tcPr>
          <w:p w14:paraId="38AACE1C">
            <w:pPr>
              <w:widowControl/>
              <w:jc w:val="both"/>
              <w:rPr>
                <w:rFonts w:hint="eastAsia" w:ascii="Times New Roman" w:hAnsi="Times New Roman" w:eastAsia="仿宋_GB2312"/>
                <w:color w:val="auto"/>
                <w:kern w:val="0"/>
                <w:sz w:val="24"/>
                <w:highlight w:val="none"/>
                <w:lang w:eastAsia="zh-CN"/>
              </w:rPr>
            </w:pPr>
            <w:r>
              <w:rPr>
                <w:rFonts w:hint="eastAsia" w:ascii="Times New Roman" w:hAnsi="Times New Roman" w:eastAsia="仿宋_GB2312"/>
                <w:color w:val="auto"/>
                <w:kern w:val="0"/>
                <w:sz w:val="24"/>
                <w:highlight w:val="none"/>
                <w:lang w:eastAsia="zh-CN"/>
              </w:rPr>
              <w:t>各</w:t>
            </w:r>
            <w:r>
              <w:rPr>
                <w:rFonts w:ascii="Times New Roman" w:hAnsi="Times New Roman" w:eastAsia="仿宋_GB2312"/>
                <w:color w:val="auto"/>
                <w:kern w:val="0"/>
                <w:sz w:val="24"/>
                <w:highlight w:val="none"/>
              </w:rPr>
              <w:t>供水、供气企业</w:t>
            </w:r>
          </w:p>
        </w:tc>
      </w:tr>
      <w:tr w14:paraId="11142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7" w:type="dxa"/>
            <w:noWrap w:val="0"/>
            <w:vAlign w:val="center"/>
          </w:tcPr>
          <w:p w14:paraId="124576F7">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42</w:t>
            </w:r>
          </w:p>
        </w:tc>
        <w:tc>
          <w:tcPr>
            <w:tcW w:w="1559" w:type="dxa"/>
            <w:vMerge w:val="continue"/>
            <w:noWrap w:val="0"/>
            <w:vAlign w:val="center"/>
          </w:tcPr>
          <w:p w14:paraId="3E98E226">
            <w:pPr>
              <w:widowControl/>
              <w:jc w:val="left"/>
              <w:rPr>
                <w:rFonts w:ascii="Times New Roman" w:hAnsi="Times New Roman" w:eastAsia="仿宋_GB2312"/>
                <w:color w:val="auto"/>
                <w:kern w:val="0"/>
                <w:sz w:val="24"/>
                <w:highlight w:val="none"/>
              </w:rPr>
            </w:pPr>
          </w:p>
        </w:tc>
        <w:tc>
          <w:tcPr>
            <w:tcW w:w="6095" w:type="dxa"/>
            <w:noWrap w:val="0"/>
            <w:vAlign w:val="center"/>
          </w:tcPr>
          <w:p w14:paraId="41DA48F1">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加快推进</w:t>
            </w:r>
            <w:r>
              <w:rPr>
                <w:rFonts w:hint="default" w:ascii="Times New Roman" w:hAnsi="Times New Roman" w:eastAsia="仿宋_GB2312" w:cs="Times New Roman"/>
                <w:color w:val="auto"/>
                <w:kern w:val="0"/>
                <w:sz w:val="24"/>
                <w:szCs w:val="24"/>
                <w:highlight w:val="none"/>
                <w:shd w:val="clear"/>
                <w:lang w:val="en-US" w:eastAsia="zh-CN"/>
              </w:rPr>
              <w:t>海丰深燃</w:t>
            </w:r>
            <w:r>
              <w:rPr>
                <w:rFonts w:ascii="Times New Roman" w:hAnsi="Times New Roman" w:eastAsia="仿宋_GB2312"/>
                <w:color w:val="auto"/>
                <w:kern w:val="0"/>
                <w:sz w:val="24"/>
                <w:highlight w:val="none"/>
              </w:rPr>
              <w:t>天然气接收门站及连接线工程，提高供气效率。</w:t>
            </w:r>
          </w:p>
        </w:tc>
        <w:tc>
          <w:tcPr>
            <w:tcW w:w="1559" w:type="dxa"/>
            <w:noWrap w:val="0"/>
            <w:vAlign w:val="center"/>
          </w:tcPr>
          <w:p w14:paraId="06E310C0">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住建局、供气企业</w:t>
            </w:r>
          </w:p>
        </w:tc>
        <w:tc>
          <w:tcPr>
            <w:tcW w:w="3435" w:type="dxa"/>
            <w:noWrap w:val="0"/>
            <w:vAlign w:val="center"/>
          </w:tcPr>
          <w:p w14:paraId="42CC5ECF">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自然资源局</w:t>
            </w:r>
          </w:p>
        </w:tc>
      </w:tr>
      <w:tr w14:paraId="44A42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77" w:type="dxa"/>
            <w:noWrap w:val="0"/>
            <w:vAlign w:val="center"/>
          </w:tcPr>
          <w:p w14:paraId="7D01850B">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43</w:t>
            </w:r>
          </w:p>
        </w:tc>
        <w:tc>
          <w:tcPr>
            <w:tcW w:w="1559" w:type="dxa"/>
            <w:vMerge w:val="continue"/>
            <w:noWrap w:val="0"/>
            <w:vAlign w:val="center"/>
          </w:tcPr>
          <w:p w14:paraId="2CB3014E">
            <w:pPr>
              <w:widowControl/>
              <w:jc w:val="left"/>
              <w:rPr>
                <w:rFonts w:ascii="Times New Roman" w:hAnsi="Times New Roman" w:eastAsia="仿宋_GB2312"/>
                <w:color w:val="auto"/>
                <w:kern w:val="0"/>
                <w:sz w:val="24"/>
                <w:highlight w:val="none"/>
              </w:rPr>
            </w:pPr>
          </w:p>
        </w:tc>
        <w:tc>
          <w:tcPr>
            <w:tcW w:w="6095" w:type="dxa"/>
            <w:noWrap w:val="0"/>
            <w:vAlign w:val="center"/>
          </w:tcPr>
          <w:p w14:paraId="47FC3A55">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延伸供水企业投资界面。研究建立供水接入工程投资分担机制，选取试点地区，将供水企业投资界面延伸至用户建筑区划红线。</w:t>
            </w:r>
          </w:p>
        </w:tc>
        <w:tc>
          <w:tcPr>
            <w:tcW w:w="1559" w:type="dxa"/>
            <w:noWrap w:val="0"/>
            <w:vAlign w:val="center"/>
          </w:tcPr>
          <w:p w14:paraId="33FEF13E">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发改局、住建局</w:t>
            </w:r>
          </w:p>
        </w:tc>
        <w:tc>
          <w:tcPr>
            <w:tcW w:w="3435" w:type="dxa"/>
            <w:noWrap w:val="0"/>
            <w:vAlign w:val="center"/>
          </w:tcPr>
          <w:p w14:paraId="5FB1799B">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hint="eastAsia" w:ascii="Times New Roman" w:hAnsi="Times New Roman" w:eastAsia="仿宋_GB2312"/>
                <w:color w:val="auto"/>
                <w:kern w:val="0"/>
                <w:sz w:val="24"/>
                <w:highlight w:val="none"/>
                <w:lang w:eastAsia="zh-CN"/>
              </w:rPr>
              <w:t>水务局，各</w:t>
            </w:r>
            <w:r>
              <w:rPr>
                <w:rFonts w:ascii="Times New Roman" w:hAnsi="Times New Roman" w:eastAsia="仿宋_GB2312"/>
                <w:color w:val="auto"/>
                <w:kern w:val="0"/>
                <w:sz w:val="24"/>
                <w:highlight w:val="none"/>
              </w:rPr>
              <w:t>供水企业</w:t>
            </w:r>
          </w:p>
        </w:tc>
      </w:tr>
      <w:tr w14:paraId="5CFA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7" w:type="dxa"/>
            <w:noWrap w:val="0"/>
            <w:vAlign w:val="center"/>
          </w:tcPr>
          <w:p w14:paraId="32A12D74">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44</w:t>
            </w:r>
          </w:p>
        </w:tc>
        <w:tc>
          <w:tcPr>
            <w:tcW w:w="1559" w:type="dxa"/>
            <w:vMerge w:val="continue"/>
            <w:noWrap w:val="0"/>
            <w:vAlign w:val="center"/>
          </w:tcPr>
          <w:p w14:paraId="0E0F3DB8">
            <w:pPr>
              <w:widowControl/>
              <w:jc w:val="left"/>
              <w:rPr>
                <w:rFonts w:ascii="Times New Roman" w:hAnsi="Times New Roman" w:eastAsia="仿宋_GB2312"/>
                <w:color w:val="auto"/>
                <w:kern w:val="0"/>
                <w:sz w:val="24"/>
                <w:highlight w:val="none"/>
              </w:rPr>
            </w:pPr>
          </w:p>
        </w:tc>
        <w:tc>
          <w:tcPr>
            <w:tcW w:w="6095" w:type="dxa"/>
            <w:noWrap w:val="0"/>
            <w:vAlign w:val="center"/>
          </w:tcPr>
          <w:p w14:paraId="3CF97C2D">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清理规范供水供气行业收费。</w:t>
            </w:r>
          </w:p>
        </w:tc>
        <w:tc>
          <w:tcPr>
            <w:tcW w:w="1559" w:type="dxa"/>
            <w:noWrap w:val="0"/>
            <w:vAlign w:val="center"/>
          </w:tcPr>
          <w:p w14:paraId="6CD62008">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发改局、住建局</w:t>
            </w:r>
            <w:r>
              <w:rPr>
                <w:rFonts w:hint="eastAsia" w:ascii="Times New Roman" w:hAnsi="Times New Roman" w:eastAsia="仿宋_GB2312"/>
                <w:color w:val="auto"/>
                <w:kern w:val="0"/>
                <w:sz w:val="24"/>
                <w:highlight w:val="none"/>
                <w:lang w:eastAsia="zh-CN"/>
              </w:rPr>
              <w:t>、水务局</w:t>
            </w:r>
          </w:p>
        </w:tc>
        <w:tc>
          <w:tcPr>
            <w:tcW w:w="3435" w:type="dxa"/>
            <w:noWrap w:val="0"/>
            <w:vAlign w:val="center"/>
          </w:tcPr>
          <w:p w14:paraId="1D265321">
            <w:pPr>
              <w:widowControl/>
              <w:jc w:val="both"/>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各供水</w:t>
            </w:r>
            <w:r>
              <w:rPr>
                <w:rFonts w:hint="eastAsia" w:ascii="Times New Roman" w:hAnsi="Times New Roman" w:eastAsia="仿宋_GB2312"/>
                <w:color w:val="auto"/>
                <w:kern w:val="0"/>
                <w:sz w:val="24"/>
                <w:highlight w:val="none"/>
                <w:lang w:eastAsia="zh-CN"/>
              </w:rPr>
              <w:t>、供气</w:t>
            </w:r>
            <w:r>
              <w:rPr>
                <w:rFonts w:ascii="Times New Roman" w:hAnsi="Times New Roman" w:eastAsia="仿宋_GB2312"/>
                <w:color w:val="auto"/>
                <w:kern w:val="0"/>
                <w:sz w:val="24"/>
                <w:highlight w:val="none"/>
              </w:rPr>
              <w:t>企业</w:t>
            </w:r>
          </w:p>
        </w:tc>
      </w:tr>
      <w:tr w14:paraId="4DBD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7" w:type="dxa"/>
            <w:noWrap w:val="0"/>
            <w:vAlign w:val="center"/>
          </w:tcPr>
          <w:p w14:paraId="63204A31">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45</w:t>
            </w:r>
          </w:p>
        </w:tc>
        <w:tc>
          <w:tcPr>
            <w:tcW w:w="1559" w:type="dxa"/>
            <w:vMerge w:val="continue"/>
            <w:noWrap w:val="0"/>
            <w:vAlign w:val="center"/>
          </w:tcPr>
          <w:p w14:paraId="6D0B4CE6">
            <w:pPr>
              <w:widowControl/>
              <w:jc w:val="left"/>
              <w:rPr>
                <w:rFonts w:ascii="Times New Roman" w:hAnsi="Times New Roman" w:eastAsia="仿宋_GB2312"/>
                <w:color w:val="auto"/>
                <w:kern w:val="0"/>
                <w:sz w:val="24"/>
                <w:highlight w:val="none"/>
              </w:rPr>
            </w:pPr>
          </w:p>
        </w:tc>
        <w:tc>
          <w:tcPr>
            <w:tcW w:w="6095" w:type="dxa"/>
            <w:noWrap w:val="0"/>
            <w:vAlign w:val="center"/>
          </w:tcPr>
          <w:p w14:paraId="2D4E4497">
            <w:pPr>
              <w:widowControl/>
              <w:rPr>
                <w:rFonts w:hint="eastAsia" w:ascii="Times New Roman" w:hAnsi="Times New Roman" w:eastAsia="仿宋_GB2312"/>
                <w:color w:val="auto"/>
                <w:kern w:val="0"/>
                <w:sz w:val="24"/>
                <w:highlight w:val="none"/>
                <w:lang w:eastAsia="zh-CN"/>
              </w:rPr>
            </w:pPr>
            <w:r>
              <w:rPr>
                <w:rFonts w:ascii="Times New Roman" w:hAnsi="Times New Roman" w:eastAsia="仿宋_GB2312"/>
                <w:color w:val="auto"/>
                <w:kern w:val="0"/>
                <w:sz w:val="24"/>
                <w:highlight w:val="none"/>
              </w:rPr>
              <w:t>加快自来水居民用户“一户一表”改造，</w:t>
            </w:r>
            <w:r>
              <w:rPr>
                <w:rFonts w:hint="eastAsia" w:ascii="Times New Roman" w:hAnsi="Times New Roman" w:eastAsia="仿宋_GB2312"/>
                <w:color w:val="auto"/>
                <w:kern w:val="0"/>
                <w:sz w:val="24"/>
                <w:highlight w:val="none"/>
              </w:rPr>
              <w:t>2022年“一户一表”覆盖率达到60%以上</w:t>
            </w:r>
            <w:r>
              <w:rPr>
                <w:rFonts w:hint="eastAsia" w:ascii="Times New Roman" w:hAnsi="Times New Roman" w:eastAsia="仿宋_GB2312"/>
                <w:color w:val="auto"/>
                <w:kern w:val="0"/>
                <w:sz w:val="24"/>
                <w:highlight w:val="none"/>
                <w:lang w:eastAsia="zh-CN"/>
              </w:rPr>
              <w:t>。</w:t>
            </w:r>
          </w:p>
        </w:tc>
        <w:tc>
          <w:tcPr>
            <w:tcW w:w="1559" w:type="dxa"/>
            <w:noWrap w:val="0"/>
            <w:vAlign w:val="center"/>
          </w:tcPr>
          <w:p w14:paraId="52098352">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住建局</w:t>
            </w:r>
          </w:p>
        </w:tc>
        <w:tc>
          <w:tcPr>
            <w:tcW w:w="3435" w:type="dxa"/>
            <w:noWrap w:val="0"/>
            <w:vAlign w:val="center"/>
          </w:tcPr>
          <w:p w14:paraId="42AA0948">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财政局</w:t>
            </w:r>
            <w:r>
              <w:rPr>
                <w:rFonts w:hint="eastAsia" w:ascii="Times New Roman" w:hAnsi="Times New Roman" w:eastAsia="仿宋_GB2312"/>
                <w:color w:val="auto"/>
                <w:kern w:val="0"/>
                <w:sz w:val="24"/>
                <w:highlight w:val="none"/>
                <w:lang w:eastAsia="zh-CN"/>
              </w:rPr>
              <w:t>，各</w:t>
            </w:r>
            <w:r>
              <w:rPr>
                <w:rFonts w:ascii="Times New Roman" w:hAnsi="Times New Roman" w:eastAsia="仿宋_GB2312"/>
                <w:color w:val="auto"/>
                <w:kern w:val="0"/>
                <w:sz w:val="24"/>
                <w:highlight w:val="none"/>
              </w:rPr>
              <w:t>供水企业</w:t>
            </w:r>
          </w:p>
        </w:tc>
      </w:tr>
      <w:tr w14:paraId="2271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77" w:type="dxa"/>
            <w:noWrap w:val="0"/>
            <w:vAlign w:val="center"/>
          </w:tcPr>
          <w:p w14:paraId="1444A7C6">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46</w:t>
            </w:r>
          </w:p>
        </w:tc>
        <w:tc>
          <w:tcPr>
            <w:tcW w:w="1559" w:type="dxa"/>
            <w:vMerge w:val="continue"/>
            <w:noWrap w:val="0"/>
            <w:vAlign w:val="center"/>
          </w:tcPr>
          <w:p w14:paraId="0B59B10E">
            <w:pPr>
              <w:widowControl/>
              <w:jc w:val="left"/>
              <w:rPr>
                <w:rFonts w:ascii="Times New Roman" w:hAnsi="Times New Roman" w:eastAsia="仿宋_GB2312"/>
                <w:color w:val="auto"/>
                <w:kern w:val="0"/>
                <w:sz w:val="24"/>
                <w:highlight w:val="none"/>
              </w:rPr>
            </w:pPr>
          </w:p>
        </w:tc>
        <w:tc>
          <w:tcPr>
            <w:tcW w:w="6095" w:type="dxa"/>
            <w:noWrap w:val="0"/>
            <w:vAlign w:val="center"/>
          </w:tcPr>
          <w:p w14:paraId="2CA98DD4">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逐年降低</w:t>
            </w:r>
            <w:r>
              <w:rPr>
                <w:rFonts w:hint="eastAsia" w:ascii="Times New Roman" w:hAnsi="Times New Roman" w:eastAsia="仿宋_GB2312"/>
                <w:color w:val="auto"/>
                <w:kern w:val="0"/>
                <w:sz w:val="24"/>
                <w:highlight w:val="none"/>
                <w:lang w:val="en-US" w:eastAsia="zh-CN"/>
              </w:rPr>
              <w:t>县城</w:t>
            </w:r>
            <w:r>
              <w:rPr>
                <w:rFonts w:ascii="Times New Roman" w:hAnsi="Times New Roman" w:eastAsia="仿宋_GB2312"/>
                <w:color w:val="auto"/>
                <w:kern w:val="0"/>
                <w:sz w:val="24"/>
                <w:highlight w:val="none"/>
              </w:rPr>
              <w:t>公共供水管网漏损率，完成</w:t>
            </w:r>
            <w:r>
              <w:rPr>
                <w:rFonts w:hint="eastAsia" w:ascii="Times New Roman" w:hAnsi="Times New Roman" w:eastAsia="仿宋_GB2312"/>
                <w:color w:val="auto"/>
                <w:kern w:val="0"/>
                <w:sz w:val="24"/>
                <w:highlight w:val="none"/>
                <w:lang w:val="en-US" w:eastAsia="zh-CN"/>
              </w:rPr>
              <w:t>县城</w:t>
            </w:r>
            <w:r>
              <w:rPr>
                <w:rFonts w:ascii="Times New Roman" w:hAnsi="Times New Roman" w:eastAsia="仿宋_GB2312"/>
                <w:color w:val="auto"/>
                <w:kern w:val="0"/>
                <w:sz w:val="24"/>
                <w:highlight w:val="none"/>
              </w:rPr>
              <w:t>供水管网排查，到202</w:t>
            </w:r>
            <w:r>
              <w:rPr>
                <w:rFonts w:hint="default" w:ascii="Times New Roman" w:hAnsi="Times New Roman" w:eastAsia="仿宋_GB2312"/>
                <w:color w:val="auto"/>
                <w:kern w:val="0"/>
                <w:sz w:val="24"/>
                <w:highlight w:val="none"/>
                <w:lang w:val="en-US"/>
              </w:rPr>
              <w:t>2</w:t>
            </w:r>
            <w:r>
              <w:rPr>
                <w:rFonts w:ascii="Times New Roman" w:hAnsi="Times New Roman" w:eastAsia="仿宋_GB2312"/>
                <w:color w:val="auto"/>
                <w:kern w:val="0"/>
                <w:sz w:val="24"/>
                <w:highlight w:val="none"/>
              </w:rPr>
              <w:t>年汕尾市区公共供水管网漏损率控制在10%以内。</w:t>
            </w:r>
          </w:p>
        </w:tc>
        <w:tc>
          <w:tcPr>
            <w:tcW w:w="1559" w:type="dxa"/>
            <w:noWrap w:val="0"/>
            <w:vAlign w:val="center"/>
          </w:tcPr>
          <w:p w14:paraId="32E31113">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住建局</w:t>
            </w:r>
          </w:p>
        </w:tc>
        <w:tc>
          <w:tcPr>
            <w:tcW w:w="3435" w:type="dxa"/>
            <w:noWrap w:val="0"/>
            <w:vAlign w:val="center"/>
          </w:tcPr>
          <w:p w14:paraId="3B24B100">
            <w:pPr>
              <w:widowControl/>
              <w:jc w:val="both"/>
              <w:rPr>
                <w:rFonts w:hint="eastAsia" w:ascii="Times New Roman" w:hAnsi="Times New Roman" w:eastAsia="仿宋_GB2312"/>
                <w:color w:val="auto"/>
                <w:kern w:val="0"/>
                <w:sz w:val="24"/>
                <w:highlight w:val="none"/>
                <w:lang w:eastAsia="zh-CN"/>
              </w:rPr>
            </w:pPr>
            <w:r>
              <w:rPr>
                <w:rFonts w:hint="eastAsia" w:ascii="Times New Roman" w:hAnsi="Times New Roman" w:eastAsia="仿宋_GB2312"/>
                <w:color w:val="auto"/>
                <w:kern w:val="0"/>
                <w:sz w:val="24"/>
                <w:highlight w:val="none"/>
                <w:lang w:val="en-US" w:eastAsia="zh-CN"/>
              </w:rPr>
              <w:t>县</w:t>
            </w:r>
            <w:r>
              <w:rPr>
                <w:rFonts w:hint="eastAsia" w:ascii="Times New Roman" w:hAnsi="Times New Roman" w:eastAsia="仿宋_GB2312"/>
                <w:color w:val="auto"/>
                <w:kern w:val="0"/>
                <w:sz w:val="24"/>
                <w:highlight w:val="none"/>
              </w:rPr>
              <w:t>公安局</w:t>
            </w:r>
            <w:r>
              <w:rPr>
                <w:rFonts w:hint="eastAsia" w:ascii="Times New Roman" w:hAnsi="Times New Roman" w:eastAsia="仿宋_GB2312"/>
                <w:color w:val="auto"/>
                <w:kern w:val="0"/>
                <w:sz w:val="24"/>
                <w:highlight w:val="none"/>
                <w:lang w:eastAsia="zh-CN"/>
              </w:rPr>
              <w:t>，各</w:t>
            </w:r>
            <w:r>
              <w:rPr>
                <w:rFonts w:ascii="Times New Roman" w:hAnsi="Times New Roman" w:eastAsia="仿宋_GB2312"/>
                <w:color w:val="auto"/>
                <w:kern w:val="0"/>
                <w:sz w:val="24"/>
                <w:highlight w:val="none"/>
              </w:rPr>
              <w:t>供水企业</w:t>
            </w:r>
          </w:p>
        </w:tc>
      </w:tr>
      <w:tr w14:paraId="0DB2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77" w:type="dxa"/>
            <w:noWrap w:val="0"/>
            <w:vAlign w:val="center"/>
          </w:tcPr>
          <w:p w14:paraId="115EC541">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47</w:t>
            </w:r>
          </w:p>
        </w:tc>
        <w:tc>
          <w:tcPr>
            <w:tcW w:w="1559" w:type="dxa"/>
            <w:vMerge w:val="continue"/>
            <w:noWrap w:val="0"/>
            <w:vAlign w:val="center"/>
          </w:tcPr>
          <w:p w14:paraId="0AB5B983">
            <w:pPr>
              <w:widowControl/>
              <w:jc w:val="left"/>
              <w:rPr>
                <w:rFonts w:ascii="Times New Roman" w:hAnsi="Times New Roman" w:eastAsia="仿宋_GB2312"/>
                <w:color w:val="auto"/>
                <w:kern w:val="0"/>
                <w:sz w:val="24"/>
                <w:highlight w:val="none"/>
              </w:rPr>
            </w:pPr>
          </w:p>
        </w:tc>
        <w:tc>
          <w:tcPr>
            <w:tcW w:w="6095" w:type="dxa"/>
            <w:noWrap w:val="0"/>
            <w:vAlign w:val="center"/>
          </w:tcPr>
          <w:p w14:paraId="094DD7C4">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规范公用设施接入外线工程行政审批，推行外线工程审批代办服务，审批时限压缩至5个工作日；试行小型用水用气工程外线接入免审批。</w:t>
            </w:r>
          </w:p>
        </w:tc>
        <w:tc>
          <w:tcPr>
            <w:tcW w:w="1559" w:type="dxa"/>
            <w:noWrap w:val="0"/>
            <w:vAlign w:val="center"/>
          </w:tcPr>
          <w:p w14:paraId="2FB84508">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住建局</w:t>
            </w:r>
          </w:p>
        </w:tc>
        <w:tc>
          <w:tcPr>
            <w:tcW w:w="3435" w:type="dxa"/>
            <w:noWrap w:val="0"/>
            <w:vAlign w:val="center"/>
          </w:tcPr>
          <w:p w14:paraId="6FA790A4">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公安局、</w:t>
            </w:r>
            <w:r>
              <w:rPr>
                <w:rFonts w:hint="eastAsia" w:ascii="Times New Roman" w:hAnsi="Times New Roman" w:eastAsia="仿宋_GB2312"/>
                <w:color w:val="auto"/>
                <w:kern w:val="0"/>
                <w:sz w:val="24"/>
                <w:highlight w:val="none"/>
                <w:lang w:eastAsia="zh-CN"/>
              </w:rPr>
              <w:t>交通运输局、政数局</w:t>
            </w:r>
            <w:r>
              <w:rPr>
                <w:rFonts w:ascii="Times New Roman" w:hAnsi="Times New Roman" w:eastAsia="仿宋_GB2312"/>
                <w:color w:val="auto"/>
                <w:kern w:val="0"/>
                <w:sz w:val="24"/>
                <w:highlight w:val="none"/>
              </w:rPr>
              <w:t>，各供水企业</w:t>
            </w:r>
          </w:p>
        </w:tc>
      </w:tr>
      <w:tr w14:paraId="682A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7" w:type="dxa"/>
            <w:noWrap w:val="0"/>
            <w:vAlign w:val="center"/>
          </w:tcPr>
          <w:p w14:paraId="13F701C0">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48</w:t>
            </w:r>
          </w:p>
        </w:tc>
        <w:tc>
          <w:tcPr>
            <w:tcW w:w="1559" w:type="dxa"/>
            <w:vMerge w:val="restart"/>
            <w:noWrap w:val="0"/>
            <w:vAlign w:val="center"/>
          </w:tcPr>
          <w:p w14:paraId="0B1F5E02">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深化“获得信贷”便利化</w:t>
            </w:r>
          </w:p>
        </w:tc>
        <w:tc>
          <w:tcPr>
            <w:tcW w:w="6095" w:type="dxa"/>
            <w:noWrap w:val="0"/>
            <w:vAlign w:val="center"/>
          </w:tcPr>
          <w:p w14:paraId="1719F623">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积极争取市新引进的金融机构到海丰设立分支、网点</w:t>
            </w:r>
            <w:r>
              <w:rPr>
                <w:rFonts w:hint="eastAsia" w:ascii="Times New Roman" w:hAnsi="Times New Roman" w:eastAsia="仿宋_GB2312"/>
                <w:color w:val="auto"/>
                <w:kern w:val="0"/>
                <w:sz w:val="24"/>
                <w:highlight w:val="none"/>
                <w:lang w:eastAsia="zh-CN"/>
              </w:rPr>
              <w:t>，</w:t>
            </w:r>
            <w:r>
              <w:rPr>
                <w:rFonts w:hint="eastAsia" w:ascii="Times New Roman" w:hAnsi="Times New Roman" w:eastAsia="仿宋_GB2312"/>
                <w:color w:val="auto"/>
                <w:kern w:val="0"/>
                <w:sz w:val="24"/>
                <w:highlight w:val="none"/>
                <w:lang w:val="en-US" w:eastAsia="zh-CN"/>
              </w:rPr>
              <w:t>不断</w:t>
            </w:r>
            <w:r>
              <w:rPr>
                <w:rFonts w:ascii="Times New Roman" w:hAnsi="Times New Roman" w:eastAsia="仿宋_GB2312"/>
                <w:color w:val="auto"/>
                <w:kern w:val="0"/>
                <w:sz w:val="24"/>
                <w:highlight w:val="none"/>
              </w:rPr>
              <w:t>满足本县中小微企业融资需求。</w:t>
            </w:r>
          </w:p>
        </w:tc>
        <w:tc>
          <w:tcPr>
            <w:tcW w:w="1559" w:type="dxa"/>
            <w:noWrap w:val="0"/>
            <w:vAlign w:val="center"/>
          </w:tcPr>
          <w:p w14:paraId="7CAE497D">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金融局</w:t>
            </w:r>
          </w:p>
        </w:tc>
        <w:tc>
          <w:tcPr>
            <w:tcW w:w="3435" w:type="dxa"/>
            <w:noWrap w:val="0"/>
            <w:vAlign w:val="center"/>
          </w:tcPr>
          <w:p w14:paraId="3E2139F7">
            <w:pPr>
              <w:keepNext w:val="0"/>
              <w:keepLines w:val="0"/>
              <w:widowControl/>
              <w:suppressLineNumbers w:val="0"/>
              <w:jc w:val="both"/>
              <w:textAlignment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中国人民银行海丰县支行</w:t>
            </w:r>
            <w:r>
              <w:rPr>
                <w:rFonts w:hint="eastAsia" w:ascii="仿宋_GB2312" w:hAnsi="等线" w:eastAsia="仿宋_GB2312" w:cs="仿宋_GB2312"/>
                <w:i w:val="0"/>
                <w:color w:val="auto"/>
                <w:kern w:val="0"/>
                <w:sz w:val="24"/>
                <w:szCs w:val="24"/>
                <w:highlight w:val="none"/>
                <w:u w:val="none"/>
                <w:lang w:val="en-US" w:eastAsia="zh-CN" w:bidi="ar"/>
              </w:rPr>
              <w:t>、各银行机构</w:t>
            </w:r>
          </w:p>
        </w:tc>
      </w:tr>
      <w:tr w14:paraId="5EAAC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7" w:type="dxa"/>
            <w:noWrap w:val="0"/>
            <w:vAlign w:val="center"/>
          </w:tcPr>
          <w:p w14:paraId="15E5FFC6">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49</w:t>
            </w:r>
          </w:p>
        </w:tc>
        <w:tc>
          <w:tcPr>
            <w:tcW w:w="1559" w:type="dxa"/>
            <w:vMerge w:val="continue"/>
            <w:noWrap w:val="0"/>
            <w:vAlign w:val="center"/>
          </w:tcPr>
          <w:p w14:paraId="25DEBDE1">
            <w:pPr>
              <w:widowControl/>
              <w:jc w:val="left"/>
              <w:rPr>
                <w:rFonts w:ascii="Times New Roman" w:hAnsi="Times New Roman" w:eastAsia="仿宋_GB2312"/>
                <w:color w:val="auto"/>
                <w:kern w:val="0"/>
                <w:sz w:val="24"/>
                <w:highlight w:val="none"/>
              </w:rPr>
            </w:pPr>
          </w:p>
        </w:tc>
        <w:tc>
          <w:tcPr>
            <w:tcW w:w="6095" w:type="dxa"/>
            <w:noWrap w:val="0"/>
            <w:vAlign w:val="center"/>
          </w:tcPr>
          <w:p w14:paraId="159A8748">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全面推广“中小融”“粤信融”“粤商通”等信息平台，提升各平台知晓度和使用率。推动在县域个体经营户在“中小融”汕尾专区注册达到</w:t>
            </w:r>
            <w:r>
              <w:rPr>
                <w:rFonts w:hint="eastAsia" w:ascii="Times New Roman" w:hAnsi="Times New Roman" w:eastAsia="仿宋_GB2312"/>
                <w:color w:val="auto"/>
                <w:kern w:val="0"/>
                <w:sz w:val="24"/>
                <w:highlight w:val="none"/>
                <w:lang w:val="en-US" w:eastAsia="zh-CN"/>
              </w:rPr>
              <w:t>6</w:t>
            </w:r>
            <w:r>
              <w:rPr>
                <w:rFonts w:ascii="Times New Roman" w:hAnsi="Times New Roman" w:eastAsia="仿宋_GB2312"/>
                <w:color w:val="auto"/>
                <w:kern w:val="0"/>
                <w:sz w:val="24"/>
                <w:highlight w:val="none"/>
              </w:rPr>
              <w:t>500户以上。</w:t>
            </w:r>
            <w:r>
              <w:rPr>
                <w:rFonts w:hint="eastAsia" w:ascii="Times New Roman" w:hAnsi="Times New Roman" w:eastAsia="仿宋_GB2312"/>
                <w:color w:val="auto"/>
                <w:kern w:val="0"/>
                <w:sz w:val="24"/>
                <w:highlight w:val="none"/>
                <w:lang w:val="en-US" w:eastAsia="zh-CN"/>
              </w:rPr>
              <w:t>配合</w:t>
            </w:r>
            <w:r>
              <w:rPr>
                <w:rFonts w:ascii="Times New Roman" w:hAnsi="Times New Roman" w:eastAsia="仿宋_GB2312"/>
                <w:color w:val="auto"/>
                <w:kern w:val="0"/>
                <w:sz w:val="24"/>
                <w:highlight w:val="none"/>
              </w:rPr>
              <w:t>完善“中小融”“粤信融”汕尾分平台非银信用信息采集机制，实现核心数据共享。</w:t>
            </w:r>
          </w:p>
        </w:tc>
        <w:tc>
          <w:tcPr>
            <w:tcW w:w="1559" w:type="dxa"/>
            <w:noWrap w:val="0"/>
            <w:vAlign w:val="center"/>
          </w:tcPr>
          <w:p w14:paraId="24E71B63">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金融局</w:t>
            </w:r>
          </w:p>
        </w:tc>
        <w:tc>
          <w:tcPr>
            <w:tcW w:w="3435" w:type="dxa"/>
            <w:noWrap w:val="0"/>
            <w:vAlign w:val="center"/>
          </w:tcPr>
          <w:p w14:paraId="12E33449">
            <w:pPr>
              <w:keepNext w:val="0"/>
              <w:keepLines w:val="0"/>
              <w:widowControl/>
              <w:suppressLineNumbers w:val="0"/>
              <w:jc w:val="both"/>
              <w:textAlignment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hint="eastAsia" w:ascii="仿宋_GB2312" w:hAnsi="等线" w:eastAsia="仿宋_GB2312" w:cs="仿宋_GB2312"/>
                <w:i w:val="0"/>
                <w:color w:val="auto"/>
                <w:kern w:val="0"/>
                <w:sz w:val="24"/>
                <w:szCs w:val="24"/>
                <w:highlight w:val="none"/>
                <w:u w:val="none"/>
                <w:lang w:val="en-US" w:eastAsia="zh-CN" w:bidi="ar"/>
              </w:rPr>
              <w:t>工商联、</w:t>
            </w:r>
            <w:r>
              <w:rPr>
                <w:rFonts w:ascii="Times New Roman" w:hAnsi="Times New Roman" w:eastAsia="仿宋_GB2312"/>
                <w:color w:val="auto"/>
                <w:kern w:val="0"/>
                <w:sz w:val="24"/>
                <w:highlight w:val="none"/>
              </w:rPr>
              <w:t>中国人民银行海丰县支行</w:t>
            </w:r>
            <w:r>
              <w:rPr>
                <w:rFonts w:hint="eastAsia" w:ascii="仿宋_GB2312" w:hAnsi="等线" w:eastAsia="仿宋_GB2312" w:cs="仿宋_GB2312"/>
                <w:i w:val="0"/>
                <w:color w:val="auto"/>
                <w:kern w:val="0"/>
                <w:sz w:val="24"/>
                <w:szCs w:val="24"/>
                <w:highlight w:val="none"/>
                <w:u w:val="none"/>
                <w:lang w:val="en-US" w:eastAsia="zh-CN" w:bidi="ar"/>
              </w:rPr>
              <w:t>，各银行机构</w:t>
            </w:r>
          </w:p>
        </w:tc>
      </w:tr>
      <w:tr w14:paraId="61AE2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677" w:type="dxa"/>
            <w:noWrap w:val="0"/>
            <w:vAlign w:val="center"/>
          </w:tcPr>
          <w:p w14:paraId="70E2C23A">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50</w:t>
            </w:r>
          </w:p>
        </w:tc>
        <w:tc>
          <w:tcPr>
            <w:tcW w:w="1559" w:type="dxa"/>
            <w:vMerge w:val="continue"/>
            <w:noWrap w:val="0"/>
            <w:vAlign w:val="center"/>
          </w:tcPr>
          <w:p w14:paraId="5367338F">
            <w:pPr>
              <w:widowControl/>
              <w:jc w:val="left"/>
              <w:rPr>
                <w:rFonts w:ascii="Times New Roman" w:hAnsi="Times New Roman" w:eastAsia="仿宋_GB2312"/>
                <w:color w:val="auto"/>
                <w:kern w:val="0"/>
                <w:sz w:val="24"/>
                <w:highlight w:val="none"/>
              </w:rPr>
            </w:pPr>
          </w:p>
        </w:tc>
        <w:tc>
          <w:tcPr>
            <w:tcW w:w="6095" w:type="dxa"/>
            <w:noWrap w:val="0"/>
            <w:vAlign w:val="center"/>
          </w:tcPr>
          <w:p w14:paraId="18D13356">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建立并充实挂牌上市后备企业资源库，实施动态管理和重点引培，优选培育挂牌上市后备企业达到1</w:t>
            </w:r>
            <w:r>
              <w:rPr>
                <w:rFonts w:hint="eastAsia" w:ascii="Times New Roman" w:hAnsi="Times New Roman" w:eastAsia="仿宋_GB2312"/>
                <w:color w:val="auto"/>
                <w:kern w:val="0"/>
                <w:sz w:val="24"/>
                <w:highlight w:val="none"/>
                <w:lang w:val="en-US" w:eastAsia="zh-CN"/>
              </w:rPr>
              <w:t>2</w:t>
            </w:r>
            <w:r>
              <w:rPr>
                <w:rFonts w:ascii="Times New Roman" w:hAnsi="Times New Roman" w:eastAsia="仿宋_GB2312"/>
                <w:color w:val="auto"/>
                <w:kern w:val="0"/>
                <w:sz w:val="24"/>
                <w:highlight w:val="none"/>
              </w:rPr>
              <w:t>家。鼓励支持本地优秀企业改制上市，引导企业改制、并购、发债以及股权转让等方式有效直接融资，推动非上</w:t>
            </w:r>
            <w:r>
              <w:rPr>
                <w:rFonts w:hint="eastAsia" w:ascii="Times New Roman" w:hAnsi="Times New Roman" w:eastAsia="仿宋_GB2312"/>
                <w:color w:val="auto"/>
                <w:kern w:val="0"/>
                <w:sz w:val="24"/>
                <w:highlight w:val="none"/>
                <w:lang w:val="en-US" w:eastAsia="zh-CN"/>
              </w:rPr>
              <w:t>市</w:t>
            </w:r>
            <w:r>
              <w:rPr>
                <w:rFonts w:ascii="Times New Roman" w:hAnsi="Times New Roman" w:eastAsia="仿宋_GB2312"/>
                <w:color w:val="auto"/>
                <w:kern w:val="0"/>
                <w:sz w:val="24"/>
                <w:highlight w:val="none"/>
              </w:rPr>
              <w:t>公司直接融资占比有量的提升。</w:t>
            </w:r>
          </w:p>
        </w:tc>
        <w:tc>
          <w:tcPr>
            <w:tcW w:w="1559" w:type="dxa"/>
            <w:noWrap w:val="0"/>
            <w:vAlign w:val="center"/>
          </w:tcPr>
          <w:p w14:paraId="68E178DA">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金融局</w:t>
            </w:r>
          </w:p>
        </w:tc>
        <w:tc>
          <w:tcPr>
            <w:tcW w:w="3435" w:type="dxa"/>
            <w:noWrap w:val="0"/>
            <w:vAlign w:val="center"/>
          </w:tcPr>
          <w:p w14:paraId="6FB7C7D8">
            <w:pPr>
              <w:keepNext w:val="0"/>
              <w:keepLines w:val="0"/>
              <w:widowControl/>
              <w:suppressLineNumbers w:val="0"/>
              <w:jc w:val="both"/>
              <w:textAlignment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hint="eastAsia" w:ascii="仿宋_GB2312" w:hAnsi="等线" w:eastAsia="仿宋_GB2312" w:cs="仿宋_GB2312"/>
                <w:i w:val="0"/>
                <w:color w:val="auto"/>
                <w:kern w:val="0"/>
                <w:sz w:val="24"/>
                <w:szCs w:val="24"/>
                <w:highlight w:val="none"/>
                <w:u w:val="none"/>
                <w:lang w:val="en-US" w:eastAsia="zh-CN" w:bidi="ar"/>
              </w:rPr>
              <w:t>财政局、科工局</w:t>
            </w:r>
          </w:p>
        </w:tc>
      </w:tr>
      <w:tr w14:paraId="144D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677" w:type="dxa"/>
            <w:noWrap w:val="0"/>
            <w:vAlign w:val="center"/>
          </w:tcPr>
          <w:p w14:paraId="56FA6F6B">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51</w:t>
            </w:r>
          </w:p>
        </w:tc>
        <w:tc>
          <w:tcPr>
            <w:tcW w:w="1559" w:type="dxa"/>
            <w:vMerge w:val="continue"/>
            <w:noWrap w:val="0"/>
            <w:vAlign w:val="center"/>
          </w:tcPr>
          <w:p w14:paraId="7642D387">
            <w:pPr>
              <w:widowControl/>
              <w:jc w:val="left"/>
              <w:rPr>
                <w:rFonts w:ascii="Times New Roman" w:hAnsi="Times New Roman" w:eastAsia="仿宋_GB2312"/>
                <w:color w:val="auto"/>
                <w:kern w:val="0"/>
                <w:sz w:val="24"/>
                <w:highlight w:val="none"/>
              </w:rPr>
            </w:pPr>
          </w:p>
        </w:tc>
        <w:tc>
          <w:tcPr>
            <w:tcW w:w="6095" w:type="dxa"/>
            <w:noWrap w:val="0"/>
            <w:vAlign w:val="center"/>
          </w:tcPr>
          <w:p w14:paraId="110FE3ED">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大力推广信保基金，不断提升覆盖面，为小微企业向金融机构贷款提供保证担保，有效提高小微企业贷款获得率，发挥“信保基金”政策杠杆作用，实现全社会融资规模达</w:t>
            </w:r>
            <w:r>
              <w:rPr>
                <w:rFonts w:hint="eastAsia" w:ascii="Times New Roman" w:hAnsi="Times New Roman" w:eastAsia="仿宋_GB2312"/>
                <w:color w:val="auto"/>
                <w:kern w:val="0"/>
                <w:sz w:val="24"/>
                <w:highlight w:val="none"/>
                <w:lang w:val="en-US" w:eastAsia="zh-CN"/>
              </w:rPr>
              <w:t>100</w:t>
            </w:r>
            <w:r>
              <w:rPr>
                <w:rFonts w:ascii="Times New Roman" w:hAnsi="Times New Roman" w:eastAsia="仿宋_GB2312"/>
                <w:color w:val="auto"/>
                <w:kern w:val="0"/>
                <w:sz w:val="24"/>
                <w:highlight w:val="none"/>
              </w:rPr>
              <w:t>亿元以上。</w:t>
            </w:r>
          </w:p>
        </w:tc>
        <w:tc>
          <w:tcPr>
            <w:tcW w:w="1559" w:type="dxa"/>
            <w:noWrap w:val="0"/>
            <w:vAlign w:val="center"/>
          </w:tcPr>
          <w:p w14:paraId="3C21F14D">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金融局</w:t>
            </w:r>
          </w:p>
        </w:tc>
        <w:tc>
          <w:tcPr>
            <w:tcW w:w="3435" w:type="dxa"/>
            <w:noWrap w:val="0"/>
            <w:vAlign w:val="center"/>
          </w:tcPr>
          <w:p w14:paraId="6A7E132A">
            <w:pPr>
              <w:keepNext w:val="0"/>
              <w:keepLines w:val="0"/>
              <w:widowControl/>
              <w:suppressLineNumbers w:val="0"/>
              <w:jc w:val="both"/>
              <w:textAlignment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hint="eastAsia" w:ascii="仿宋_GB2312" w:hAnsi="等线" w:eastAsia="仿宋_GB2312" w:cs="仿宋_GB2312"/>
                <w:i w:val="0"/>
                <w:color w:val="auto"/>
                <w:kern w:val="0"/>
                <w:sz w:val="24"/>
                <w:szCs w:val="24"/>
                <w:highlight w:val="none"/>
                <w:u w:val="none"/>
                <w:lang w:val="en-US" w:eastAsia="zh-CN" w:bidi="ar"/>
              </w:rPr>
              <w:t>财政局、中国人民银行海丰县支行，各银行机构，各保险机构</w:t>
            </w:r>
          </w:p>
        </w:tc>
      </w:tr>
      <w:tr w14:paraId="2079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77" w:type="dxa"/>
            <w:noWrap w:val="0"/>
            <w:vAlign w:val="center"/>
          </w:tcPr>
          <w:p w14:paraId="6590393D">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52</w:t>
            </w:r>
          </w:p>
        </w:tc>
        <w:tc>
          <w:tcPr>
            <w:tcW w:w="1559" w:type="dxa"/>
            <w:vMerge w:val="continue"/>
            <w:noWrap w:val="0"/>
            <w:vAlign w:val="center"/>
          </w:tcPr>
          <w:p w14:paraId="4E528DB4">
            <w:pPr>
              <w:widowControl/>
              <w:jc w:val="left"/>
              <w:rPr>
                <w:rFonts w:ascii="Times New Roman" w:hAnsi="Times New Roman" w:eastAsia="仿宋_GB2312"/>
                <w:color w:val="auto"/>
                <w:kern w:val="0"/>
                <w:sz w:val="24"/>
                <w:highlight w:val="none"/>
              </w:rPr>
            </w:pPr>
          </w:p>
        </w:tc>
        <w:tc>
          <w:tcPr>
            <w:tcW w:w="6095" w:type="dxa"/>
            <w:noWrap w:val="0"/>
            <w:vAlign w:val="center"/>
          </w:tcPr>
          <w:p w14:paraId="7DD32029">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完善普惠贷款风险补偿机制，降低银行中小微企业信用贷款的风险承担比例，推动中小微企业信用贷款实现增量、降价、扩面。</w:t>
            </w:r>
          </w:p>
        </w:tc>
        <w:tc>
          <w:tcPr>
            <w:tcW w:w="1559" w:type="dxa"/>
            <w:noWrap w:val="0"/>
            <w:vAlign w:val="center"/>
          </w:tcPr>
          <w:p w14:paraId="4FF90343">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金融局</w:t>
            </w:r>
          </w:p>
        </w:tc>
        <w:tc>
          <w:tcPr>
            <w:tcW w:w="3435" w:type="dxa"/>
            <w:noWrap w:val="0"/>
            <w:vAlign w:val="center"/>
          </w:tcPr>
          <w:p w14:paraId="1DD82D1B">
            <w:pPr>
              <w:keepNext w:val="0"/>
              <w:keepLines w:val="0"/>
              <w:widowControl/>
              <w:suppressLineNumbers w:val="0"/>
              <w:jc w:val="both"/>
              <w:textAlignment w:val="center"/>
              <w:rPr>
                <w:rFonts w:ascii="Times New Roman" w:hAnsi="Times New Roman" w:eastAsia="仿宋_GB2312"/>
                <w:color w:val="auto"/>
                <w:kern w:val="0"/>
                <w:sz w:val="24"/>
                <w:highlight w:val="none"/>
              </w:rPr>
            </w:pPr>
            <w:r>
              <w:rPr>
                <w:rFonts w:hint="eastAsia" w:ascii="仿宋_GB2312" w:hAnsi="等线" w:eastAsia="仿宋_GB2312" w:cs="仿宋_GB2312"/>
                <w:i w:val="0"/>
                <w:color w:val="auto"/>
                <w:kern w:val="0"/>
                <w:sz w:val="24"/>
                <w:szCs w:val="24"/>
                <w:highlight w:val="none"/>
                <w:u w:val="none"/>
                <w:lang w:val="en-US" w:eastAsia="zh-CN" w:bidi="ar"/>
              </w:rPr>
              <w:t>中国人民银行海丰县支行，各银行机构，各保险机构</w:t>
            </w:r>
          </w:p>
        </w:tc>
      </w:tr>
      <w:tr w14:paraId="3C7C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677" w:type="dxa"/>
            <w:noWrap w:val="0"/>
            <w:vAlign w:val="center"/>
          </w:tcPr>
          <w:p w14:paraId="3AEDEF4C">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53</w:t>
            </w:r>
          </w:p>
        </w:tc>
        <w:tc>
          <w:tcPr>
            <w:tcW w:w="1559" w:type="dxa"/>
            <w:vMerge w:val="continue"/>
            <w:noWrap w:val="0"/>
            <w:vAlign w:val="center"/>
          </w:tcPr>
          <w:p w14:paraId="6AF6D352">
            <w:pPr>
              <w:widowControl/>
              <w:jc w:val="left"/>
              <w:rPr>
                <w:rFonts w:ascii="Times New Roman" w:hAnsi="Times New Roman" w:eastAsia="仿宋_GB2312"/>
                <w:color w:val="auto"/>
                <w:kern w:val="0"/>
                <w:sz w:val="24"/>
                <w:highlight w:val="none"/>
              </w:rPr>
            </w:pPr>
          </w:p>
        </w:tc>
        <w:tc>
          <w:tcPr>
            <w:tcW w:w="6095" w:type="dxa"/>
            <w:noWrap w:val="0"/>
            <w:vAlign w:val="center"/>
          </w:tcPr>
          <w:p w14:paraId="70AC526F">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支持市级加大中小微企业融资专项资金规模，缓解中小企业贷款到期常面临的“续贷”难题。到2022年末，扶持“中小微融资专项资金”实现为县辖周转困难的企业累计不少于</w:t>
            </w:r>
            <w:r>
              <w:rPr>
                <w:rFonts w:hint="eastAsia" w:ascii="Times New Roman" w:hAnsi="Times New Roman" w:eastAsia="仿宋_GB2312"/>
                <w:color w:val="auto"/>
                <w:kern w:val="0"/>
                <w:sz w:val="24"/>
                <w:highlight w:val="none"/>
                <w:lang w:val="en-US" w:eastAsia="zh-CN"/>
              </w:rPr>
              <w:t>2</w:t>
            </w:r>
            <w:r>
              <w:rPr>
                <w:rFonts w:ascii="Times New Roman" w:hAnsi="Times New Roman" w:eastAsia="仿宋_GB2312"/>
                <w:color w:val="auto"/>
                <w:kern w:val="0"/>
                <w:sz w:val="24"/>
                <w:highlight w:val="none"/>
              </w:rPr>
              <w:t>000万元的贷款提供转贷服务。</w:t>
            </w:r>
          </w:p>
        </w:tc>
        <w:tc>
          <w:tcPr>
            <w:tcW w:w="1559" w:type="dxa"/>
            <w:noWrap w:val="0"/>
            <w:vAlign w:val="center"/>
          </w:tcPr>
          <w:p w14:paraId="037D2CAC">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金融局</w:t>
            </w:r>
          </w:p>
        </w:tc>
        <w:tc>
          <w:tcPr>
            <w:tcW w:w="3435" w:type="dxa"/>
            <w:noWrap w:val="0"/>
            <w:vAlign w:val="center"/>
          </w:tcPr>
          <w:p w14:paraId="44C35521">
            <w:pPr>
              <w:keepNext w:val="0"/>
              <w:keepLines w:val="0"/>
              <w:widowControl/>
              <w:suppressLineNumbers w:val="0"/>
              <w:jc w:val="both"/>
              <w:textAlignment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hint="eastAsia" w:ascii="仿宋_GB2312" w:hAnsi="等线" w:eastAsia="仿宋_GB2312" w:cs="仿宋_GB2312"/>
                <w:i w:val="0"/>
                <w:color w:val="auto"/>
                <w:kern w:val="0"/>
                <w:sz w:val="24"/>
                <w:szCs w:val="24"/>
                <w:highlight w:val="none"/>
                <w:u w:val="none"/>
                <w:lang w:val="en-US" w:eastAsia="zh-CN" w:bidi="ar"/>
              </w:rPr>
              <w:t>财政局，各银行机构，各保险机构</w:t>
            </w:r>
          </w:p>
        </w:tc>
      </w:tr>
      <w:tr w14:paraId="65497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77" w:type="dxa"/>
            <w:noWrap w:val="0"/>
            <w:vAlign w:val="center"/>
          </w:tcPr>
          <w:p w14:paraId="0FF2C0C5">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54</w:t>
            </w:r>
          </w:p>
        </w:tc>
        <w:tc>
          <w:tcPr>
            <w:tcW w:w="1559" w:type="dxa"/>
            <w:vMerge w:val="continue"/>
            <w:noWrap w:val="0"/>
            <w:vAlign w:val="center"/>
          </w:tcPr>
          <w:p w14:paraId="59EBACCC">
            <w:pPr>
              <w:widowControl/>
              <w:jc w:val="left"/>
              <w:rPr>
                <w:rFonts w:ascii="Times New Roman" w:hAnsi="Times New Roman" w:eastAsia="仿宋_GB2312"/>
                <w:color w:val="auto"/>
                <w:kern w:val="0"/>
                <w:sz w:val="24"/>
                <w:highlight w:val="none"/>
              </w:rPr>
            </w:pPr>
          </w:p>
        </w:tc>
        <w:tc>
          <w:tcPr>
            <w:tcW w:w="6095" w:type="dxa"/>
            <w:noWrap w:val="0"/>
            <w:vAlign w:val="center"/>
          </w:tcPr>
          <w:p w14:paraId="108F25F4">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整合政策性小额贷款保证保险资金，通过“保险+银行+政府”模式为小微企业提供增信，向符合条件的小微企业发放流动资金贷款。</w:t>
            </w:r>
          </w:p>
        </w:tc>
        <w:tc>
          <w:tcPr>
            <w:tcW w:w="1559" w:type="dxa"/>
            <w:noWrap w:val="0"/>
            <w:vAlign w:val="center"/>
          </w:tcPr>
          <w:p w14:paraId="575DBDE5">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金融局</w:t>
            </w:r>
          </w:p>
        </w:tc>
        <w:tc>
          <w:tcPr>
            <w:tcW w:w="3435" w:type="dxa"/>
            <w:noWrap w:val="0"/>
            <w:vAlign w:val="center"/>
          </w:tcPr>
          <w:p w14:paraId="6009175F">
            <w:pPr>
              <w:keepNext w:val="0"/>
              <w:keepLines w:val="0"/>
              <w:widowControl/>
              <w:suppressLineNumbers w:val="0"/>
              <w:jc w:val="both"/>
              <w:textAlignment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hint="eastAsia" w:ascii="仿宋_GB2312" w:hAnsi="等线" w:eastAsia="仿宋_GB2312" w:cs="仿宋_GB2312"/>
                <w:i w:val="0"/>
                <w:color w:val="auto"/>
                <w:kern w:val="0"/>
                <w:sz w:val="24"/>
                <w:szCs w:val="24"/>
                <w:highlight w:val="none"/>
                <w:u w:val="none"/>
                <w:lang w:val="en-US" w:eastAsia="zh-CN" w:bidi="ar"/>
              </w:rPr>
              <w:t>财政局、中国人民银行海丰县支行，各银行机构，各保险机构</w:t>
            </w:r>
          </w:p>
        </w:tc>
      </w:tr>
      <w:tr w14:paraId="15187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77" w:type="dxa"/>
            <w:noWrap w:val="0"/>
            <w:vAlign w:val="center"/>
          </w:tcPr>
          <w:p w14:paraId="4ACE4F03">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55</w:t>
            </w:r>
          </w:p>
        </w:tc>
        <w:tc>
          <w:tcPr>
            <w:tcW w:w="1559" w:type="dxa"/>
            <w:vMerge w:val="continue"/>
            <w:noWrap w:val="0"/>
            <w:vAlign w:val="center"/>
          </w:tcPr>
          <w:p w14:paraId="501308A5">
            <w:pPr>
              <w:widowControl/>
              <w:jc w:val="left"/>
              <w:rPr>
                <w:rFonts w:ascii="Times New Roman" w:hAnsi="Times New Roman" w:eastAsia="仿宋_GB2312"/>
                <w:color w:val="auto"/>
                <w:kern w:val="0"/>
                <w:sz w:val="24"/>
                <w:highlight w:val="none"/>
              </w:rPr>
            </w:pPr>
          </w:p>
        </w:tc>
        <w:tc>
          <w:tcPr>
            <w:tcW w:w="6095" w:type="dxa"/>
            <w:noWrap w:val="0"/>
            <w:vAlign w:val="center"/>
          </w:tcPr>
          <w:p w14:paraId="5F819269">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深化“银税互动”合作，扩大参与商业银行的范围和数量，拓宽受惠企业覆盖面，探索将个体工商户等特殊主体纳入“银税互动”数据推送范围。</w:t>
            </w:r>
          </w:p>
        </w:tc>
        <w:tc>
          <w:tcPr>
            <w:tcW w:w="1559" w:type="dxa"/>
            <w:noWrap w:val="0"/>
            <w:vAlign w:val="center"/>
          </w:tcPr>
          <w:p w14:paraId="6993304F">
            <w:pPr>
              <w:widowControl/>
              <w:jc w:val="center"/>
              <w:rPr>
                <w:rFonts w:ascii="Times New Roman" w:hAnsi="Times New Roman" w:eastAsia="仿宋_GB2312"/>
                <w:color w:val="auto"/>
                <w:kern w:val="0"/>
                <w:sz w:val="24"/>
                <w:highlight w:val="none"/>
              </w:rPr>
            </w:pPr>
            <w:r>
              <w:rPr>
                <w:rFonts w:hint="eastAsia" w:ascii="仿宋_GB2312" w:hAnsi="等线" w:eastAsia="仿宋_GB2312" w:cs="仿宋_GB2312"/>
                <w:i w:val="0"/>
                <w:color w:val="auto"/>
                <w:kern w:val="0"/>
                <w:sz w:val="24"/>
                <w:szCs w:val="24"/>
                <w:highlight w:val="none"/>
                <w:u w:val="none"/>
                <w:lang w:val="en-US" w:eastAsia="zh-CN" w:bidi="ar"/>
              </w:rPr>
              <w:t>县税务局、</w:t>
            </w: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金融局</w:t>
            </w:r>
          </w:p>
        </w:tc>
        <w:tc>
          <w:tcPr>
            <w:tcW w:w="3435" w:type="dxa"/>
            <w:noWrap w:val="0"/>
            <w:vAlign w:val="center"/>
          </w:tcPr>
          <w:p w14:paraId="5654238F">
            <w:pPr>
              <w:keepNext w:val="0"/>
              <w:keepLines w:val="0"/>
              <w:widowControl/>
              <w:suppressLineNumbers w:val="0"/>
              <w:jc w:val="both"/>
              <w:textAlignment w:val="center"/>
              <w:rPr>
                <w:rFonts w:ascii="Times New Roman" w:hAnsi="Times New Roman" w:eastAsia="仿宋_GB2312"/>
                <w:color w:val="auto"/>
                <w:kern w:val="0"/>
                <w:sz w:val="24"/>
                <w:highlight w:val="none"/>
              </w:rPr>
            </w:pPr>
            <w:r>
              <w:rPr>
                <w:rFonts w:hint="eastAsia" w:ascii="仿宋_GB2312" w:hAnsi="等线" w:eastAsia="仿宋_GB2312" w:cs="仿宋_GB2312"/>
                <w:i w:val="0"/>
                <w:color w:val="auto"/>
                <w:kern w:val="0"/>
                <w:sz w:val="24"/>
                <w:szCs w:val="24"/>
                <w:highlight w:val="none"/>
                <w:u w:val="none"/>
                <w:lang w:val="en-US" w:eastAsia="zh-CN" w:bidi="ar"/>
              </w:rPr>
              <w:t>各银行机构</w:t>
            </w:r>
          </w:p>
        </w:tc>
      </w:tr>
      <w:tr w14:paraId="7252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7" w:type="dxa"/>
            <w:noWrap w:val="0"/>
            <w:vAlign w:val="center"/>
          </w:tcPr>
          <w:p w14:paraId="376E0C6D">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56</w:t>
            </w:r>
          </w:p>
        </w:tc>
        <w:tc>
          <w:tcPr>
            <w:tcW w:w="1559" w:type="dxa"/>
            <w:vMerge w:val="continue"/>
            <w:noWrap w:val="0"/>
            <w:vAlign w:val="center"/>
          </w:tcPr>
          <w:p w14:paraId="2406A8AB">
            <w:pPr>
              <w:widowControl/>
              <w:jc w:val="left"/>
              <w:rPr>
                <w:rFonts w:ascii="Times New Roman" w:hAnsi="Times New Roman" w:eastAsia="仿宋_GB2312"/>
                <w:color w:val="auto"/>
                <w:kern w:val="0"/>
                <w:sz w:val="24"/>
                <w:highlight w:val="none"/>
              </w:rPr>
            </w:pPr>
          </w:p>
        </w:tc>
        <w:tc>
          <w:tcPr>
            <w:tcW w:w="6095" w:type="dxa"/>
            <w:noWrap w:val="0"/>
            <w:vAlign w:val="center"/>
          </w:tcPr>
          <w:p w14:paraId="0E9A9819">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构建绿色金融体系，整合金融、财政、环保等激励扶持政策，鼓励和引导银行机构加大对促进环保、新能源、节能、绿色交通、绿色建筑等领域信贷支持。创新金融工具和服务手段</w:t>
            </w:r>
            <w:r>
              <w:rPr>
                <w:rFonts w:hint="default" w:ascii="Times New Roman" w:hAnsi="Times New Roman" w:eastAsia="仿宋_GB2312"/>
                <w:color w:val="auto"/>
                <w:kern w:val="0"/>
                <w:sz w:val="24"/>
                <w:highlight w:val="none"/>
              </w:rPr>
              <w:t>。</w:t>
            </w:r>
          </w:p>
        </w:tc>
        <w:tc>
          <w:tcPr>
            <w:tcW w:w="1559" w:type="dxa"/>
            <w:noWrap w:val="0"/>
            <w:vAlign w:val="center"/>
          </w:tcPr>
          <w:p w14:paraId="56E0D8B4">
            <w:pPr>
              <w:widowControl/>
              <w:jc w:val="center"/>
              <w:rPr>
                <w:rFonts w:ascii="Times New Roman" w:hAnsi="Times New Roman" w:eastAsia="仿宋_GB2312"/>
                <w:color w:val="auto"/>
                <w:kern w:val="0"/>
                <w:sz w:val="24"/>
                <w:highlight w:val="none"/>
              </w:rPr>
            </w:pPr>
            <w:r>
              <w:rPr>
                <w:rFonts w:ascii="Times New Roman" w:hAnsi="Times New Roman" w:eastAsia="仿宋_GB2312" w:cs="Times New Roman"/>
                <w:color w:val="auto"/>
                <w:kern w:val="0"/>
                <w:sz w:val="24"/>
                <w:szCs w:val="24"/>
                <w:highlight w:val="none"/>
              </w:rPr>
              <w:t>县</w:t>
            </w:r>
            <w:r>
              <w:rPr>
                <w:rFonts w:ascii="Times New Roman" w:hAnsi="Times New Roman" w:eastAsia="仿宋_GB2312"/>
                <w:color w:val="auto"/>
                <w:kern w:val="0"/>
                <w:sz w:val="24"/>
                <w:highlight w:val="none"/>
              </w:rPr>
              <w:t>金融局</w:t>
            </w:r>
          </w:p>
        </w:tc>
        <w:tc>
          <w:tcPr>
            <w:tcW w:w="3435" w:type="dxa"/>
            <w:noWrap w:val="0"/>
            <w:vAlign w:val="center"/>
          </w:tcPr>
          <w:p w14:paraId="307A1034">
            <w:pPr>
              <w:keepNext w:val="0"/>
              <w:keepLines w:val="0"/>
              <w:widowControl/>
              <w:suppressLineNumbers w:val="0"/>
              <w:jc w:val="both"/>
              <w:textAlignment w:val="center"/>
              <w:rPr>
                <w:rFonts w:ascii="Times New Roman" w:hAnsi="Times New Roman" w:eastAsia="仿宋_GB2312"/>
                <w:color w:val="auto"/>
                <w:kern w:val="0"/>
                <w:sz w:val="24"/>
                <w:highlight w:val="none"/>
              </w:rPr>
            </w:pPr>
            <w:r>
              <w:rPr>
                <w:rFonts w:ascii="Times New Roman" w:hAnsi="Times New Roman" w:eastAsia="仿宋_GB2312" w:cs="Times New Roman"/>
                <w:color w:val="auto"/>
                <w:kern w:val="0"/>
                <w:sz w:val="24"/>
                <w:szCs w:val="24"/>
                <w:highlight w:val="none"/>
              </w:rPr>
              <w:t>县</w:t>
            </w:r>
            <w:r>
              <w:rPr>
                <w:rFonts w:hint="eastAsia" w:ascii="仿宋_GB2312" w:hAnsi="等线" w:eastAsia="仿宋_GB2312" w:cs="仿宋_GB2312"/>
                <w:i w:val="0"/>
                <w:color w:val="auto"/>
                <w:kern w:val="0"/>
                <w:sz w:val="24"/>
                <w:szCs w:val="24"/>
                <w:highlight w:val="none"/>
                <w:u w:val="none"/>
                <w:lang w:val="en-US" w:eastAsia="zh-CN" w:bidi="ar"/>
              </w:rPr>
              <w:t>财政局、</w:t>
            </w:r>
            <w:r>
              <w:rPr>
                <w:rFonts w:ascii="Times New Roman" w:hAnsi="Times New Roman" w:eastAsia="仿宋_GB2312"/>
                <w:color w:val="auto"/>
                <w:kern w:val="0"/>
                <w:sz w:val="24"/>
                <w:highlight w:val="none"/>
              </w:rPr>
              <w:t>中国人民银行海丰县支行</w:t>
            </w:r>
            <w:r>
              <w:rPr>
                <w:rFonts w:hint="eastAsia" w:ascii="仿宋_GB2312" w:hAnsi="等线" w:eastAsia="仿宋_GB2312" w:cs="仿宋_GB2312"/>
                <w:i w:val="0"/>
                <w:color w:val="auto"/>
                <w:kern w:val="0"/>
                <w:sz w:val="24"/>
                <w:szCs w:val="24"/>
                <w:highlight w:val="none"/>
                <w:u w:val="none"/>
                <w:lang w:val="en-US" w:eastAsia="zh-CN" w:bidi="ar"/>
              </w:rPr>
              <w:t>，各银行机构</w:t>
            </w:r>
          </w:p>
        </w:tc>
      </w:tr>
      <w:tr w14:paraId="2E709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7" w:type="dxa"/>
            <w:noWrap w:val="0"/>
            <w:vAlign w:val="center"/>
          </w:tcPr>
          <w:p w14:paraId="4468D91B">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57</w:t>
            </w:r>
          </w:p>
        </w:tc>
        <w:tc>
          <w:tcPr>
            <w:tcW w:w="1559" w:type="dxa"/>
            <w:vMerge w:val="continue"/>
            <w:noWrap w:val="0"/>
            <w:vAlign w:val="center"/>
          </w:tcPr>
          <w:p w14:paraId="64489F89">
            <w:pPr>
              <w:widowControl/>
              <w:jc w:val="left"/>
              <w:rPr>
                <w:rFonts w:ascii="Times New Roman" w:hAnsi="Times New Roman" w:eastAsia="仿宋_GB2312"/>
                <w:color w:val="auto"/>
                <w:kern w:val="0"/>
                <w:sz w:val="24"/>
                <w:highlight w:val="none"/>
              </w:rPr>
            </w:pPr>
          </w:p>
        </w:tc>
        <w:tc>
          <w:tcPr>
            <w:tcW w:w="6095" w:type="dxa"/>
            <w:noWrap w:val="0"/>
            <w:vAlign w:val="center"/>
          </w:tcPr>
          <w:p w14:paraId="2BE2B49F">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构建小微企业“首贷户”培育长效机制，推动无贷户向首贷户转化。</w:t>
            </w:r>
          </w:p>
        </w:tc>
        <w:tc>
          <w:tcPr>
            <w:tcW w:w="1559" w:type="dxa"/>
            <w:noWrap w:val="0"/>
            <w:vAlign w:val="center"/>
          </w:tcPr>
          <w:p w14:paraId="28E6465B">
            <w:pPr>
              <w:widowControl/>
              <w:jc w:val="center"/>
              <w:rPr>
                <w:rFonts w:ascii="Times New Roman" w:hAnsi="Times New Roman" w:eastAsia="仿宋_GB2312"/>
                <w:color w:val="auto"/>
                <w:kern w:val="0"/>
                <w:sz w:val="24"/>
                <w:highlight w:val="none"/>
              </w:rPr>
            </w:pPr>
            <w:r>
              <w:rPr>
                <w:rFonts w:ascii="Times New Roman" w:hAnsi="Times New Roman" w:eastAsia="仿宋_GB2312" w:cs="Times New Roman"/>
                <w:color w:val="auto"/>
                <w:kern w:val="0"/>
                <w:sz w:val="24"/>
                <w:szCs w:val="24"/>
                <w:highlight w:val="none"/>
              </w:rPr>
              <w:t>县</w:t>
            </w:r>
            <w:r>
              <w:rPr>
                <w:rFonts w:ascii="Times New Roman" w:hAnsi="Times New Roman" w:eastAsia="仿宋_GB2312"/>
                <w:color w:val="auto"/>
                <w:kern w:val="0"/>
                <w:sz w:val="24"/>
                <w:highlight w:val="none"/>
              </w:rPr>
              <w:t>金融局</w:t>
            </w:r>
          </w:p>
        </w:tc>
        <w:tc>
          <w:tcPr>
            <w:tcW w:w="3435" w:type="dxa"/>
            <w:noWrap w:val="0"/>
            <w:vAlign w:val="center"/>
          </w:tcPr>
          <w:p w14:paraId="6BF6077B">
            <w:pPr>
              <w:keepNext w:val="0"/>
              <w:keepLines w:val="0"/>
              <w:widowControl/>
              <w:suppressLineNumbers w:val="0"/>
              <w:jc w:val="both"/>
              <w:textAlignment w:val="center"/>
              <w:rPr>
                <w:rFonts w:ascii="Times New Roman" w:hAnsi="Times New Roman" w:eastAsia="仿宋_GB2312"/>
                <w:color w:val="auto"/>
                <w:kern w:val="0"/>
                <w:sz w:val="24"/>
                <w:highlight w:val="none"/>
              </w:rPr>
            </w:pPr>
            <w:r>
              <w:rPr>
                <w:rFonts w:hint="eastAsia" w:ascii="仿宋_GB2312" w:hAnsi="等线" w:eastAsia="仿宋_GB2312" w:cs="仿宋_GB2312"/>
                <w:i w:val="0"/>
                <w:color w:val="auto"/>
                <w:kern w:val="0"/>
                <w:sz w:val="24"/>
                <w:szCs w:val="24"/>
                <w:highlight w:val="none"/>
                <w:u w:val="none"/>
                <w:lang w:val="en-US" w:eastAsia="zh-CN" w:bidi="ar"/>
              </w:rPr>
              <w:t>县住建局，各银行机构</w:t>
            </w:r>
          </w:p>
        </w:tc>
      </w:tr>
      <w:tr w14:paraId="01D3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7" w:type="dxa"/>
            <w:noWrap w:val="0"/>
            <w:vAlign w:val="center"/>
          </w:tcPr>
          <w:p w14:paraId="357F26CC">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58</w:t>
            </w:r>
          </w:p>
        </w:tc>
        <w:tc>
          <w:tcPr>
            <w:tcW w:w="1559" w:type="dxa"/>
            <w:vMerge w:val="restart"/>
            <w:noWrap w:val="0"/>
            <w:vAlign w:val="center"/>
          </w:tcPr>
          <w:p w14:paraId="6D702A91">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提升“贸易通关”便利度</w:t>
            </w:r>
          </w:p>
        </w:tc>
        <w:tc>
          <w:tcPr>
            <w:tcW w:w="6095" w:type="dxa"/>
            <w:noWrap w:val="0"/>
            <w:vAlign w:val="center"/>
          </w:tcPr>
          <w:p w14:paraId="305B1AB0">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持续推动“提前申报”“两步申报”“两段准入”等通关改革，加快进出口货物通关速度。到2022年底，实现“提前申报”应用率达到</w:t>
            </w:r>
            <w:r>
              <w:rPr>
                <w:rFonts w:hint="default" w:ascii="Times New Roman" w:hAnsi="Times New Roman" w:eastAsia="仿宋_GB2312"/>
                <w:color w:val="auto"/>
                <w:kern w:val="0"/>
                <w:sz w:val="24"/>
                <w:highlight w:val="none"/>
                <w:lang w:val="en-US" w:eastAsia="zh-CN"/>
              </w:rPr>
              <w:t>90</w:t>
            </w:r>
            <w:r>
              <w:rPr>
                <w:rFonts w:ascii="Times New Roman" w:hAnsi="Times New Roman" w:eastAsia="仿宋_GB2312"/>
                <w:color w:val="auto"/>
                <w:kern w:val="0"/>
                <w:sz w:val="24"/>
                <w:highlight w:val="none"/>
              </w:rPr>
              <w:t>%以上，“两步申报”应用率达到</w:t>
            </w:r>
            <w:r>
              <w:rPr>
                <w:rFonts w:hint="default" w:ascii="Times New Roman" w:hAnsi="Times New Roman" w:eastAsia="仿宋_GB2312"/>
                <w:color w:val="auto"/>
                <w:kern w:val="0"/>
                <w:sz w:val="24"/>
                <w:highlight w:val="none"/>
                <w:lang w:val="en-US" w:eastAsia="zh-CN"/>
              </w:rPr>
              <w:t>90</w:t>
            </w:r>
            <w:r>
              <w:rPr>
                <w:rFonts w:ascii="Times New Roman" w:hAnsi="Times New Roman" w:eastAsia="仿宋_GB2312"/>
                <w:color w:val="auto"/>
                <w:kern w:val="0"/>
                <w:sz w:val="24"/>
                <w:highlight w:val="none"/>
              </w:rPr>
              <w:t>%以上。</w:t>
            </w:r>
          </w:p>
        </w:tc>
        <w:tc>
          <w:tcPr>
            <w:tcW w:w="1559" w:type="dxa"/>
            <w:noWrap w:val="0"/>
            <w:vAlign w:val="center"/>
          </w:tcPr>
          <w:p w14:paraId="6BFE422E">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海城</w:t>
            </w:r>
            <w:r>
              <w:rPr>
                <w:rFonts w:ascii="Times New Roman" w:hAnsi="Times New Roman" w:eastAsia="仿宋_GB2312"/>
                <w:color w:val="auto"/>
                <w:kern w:val="0"/>
                <w:sz w:val="24"/>
                <w:highlight w:val="none"/>
              </w:rPr>
              <w:t>海关</w:t>
            </w:r>
          </w:p>
        </w:tc>
        <w:tc>
          <w:tcPr>
            <w:tcW w:w="3435" w:type="dxa"/>
            <w:noWrap w:val="0"/>
            <w:vAlign w:val="center"/>
          </w:tcPr>
          <w:p w14:paraId="70641B14">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5B929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77" w:type="dxa"/>
            <w:noWrap w:val="0"/>
            <w:vAlign w:val="center"/>
          </w:tcPr>
          <w:p w14:paraId="4E81B855">
            <w:pPr>
              <w:widowControl/>
              <w:jc w:val="center"/>
              <w:rPr>
                <w:rFonts w:hint="default" w:ascii="Times New Roman" w:hAnsi="Times New Roman" w:eastAsia="仿宋_GB2312"/>
                <w:color w:val="auto"/>
                <w:kern w:val="0"/>
                <w:sz w:val="24"/>
                <w:highlight w:val="none"/>
                <w:lang w:val="en-US" w:eastAsia="zh-CN"/>
              </w:rPr>
            </w:pPr>
            <w:r>
              <w:rPr>
                <w:rFonts w:hint="eastAsia" w:ascii="Times New Roman" w:hAnsi="Times New Roman" w:eastAsia="仿宋_GB2312"/>
                <w:color w:val="auto"/>
                <w:kern w:val="0"/>
                <w:sz w:val="24"/>
                <w:highlight w:val="none"/>
                <w:lang w:val="en-US" w:eastAsia="zh-CN"/>
              </w:rPr>
              <w:t>59</w:t>
            </w:r>
          </w:p>
        </w:tc>
        <w:tc>
          <w:tcPr>
            <w:tcW w:w="1559" w:type="dxa"/>
            <w:vMerge w:val="continue"/>
            <w:noWrap w:val="0"/>
            <w:vAlign w:val="center"/>
          </w:tcPr>
          <w:p w14:paraId="1BCACCE1">
            <w:pPr>
              <w:widowControl/>
              <w:jc w:val="left"/>
              <w:rPr>
                <w:rFonts w:ascii="Times New Roman" w:hAnsi="Times New Roman" w:eastAsia="仿宋_GB2312"/>
                <w:color w:val="auto"/>
                <w:kern w:val="0"/>
                <w:sz w:val="24"/>
                <w:highlight w:val="none"/>
              </w:rPr>
            </w:pPr>
          </w:p>
        </w:tc>
        <w:tc>
          <w:tcPr>
            <w:tcW w:w="6095" w:type="dxa"/>
            <w:noWrap w:val="0"/>
            <w:vAlign w:val="center"/>
          </w:tcPr>
          <w:p w14:paraId="20DC3E9A">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优化商品货品查验机制，降低守法企业和低风险商品查验率，采取预约查验等灵活方式减少货物搬倒和企业查验时间。</w:t>
            </w:r>
          </w:p>
        </w:tc>
        <w:tc>
          <w:tcPr>
            <w:tcW w:w="1559" w:type="dxa"/>
            <w:noWrap w:val="0"/>
            <w:vAlign w:val="center"/>
          </w:tcPr>
          <w:p w14:paraId="5AFEE0D4">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海城</w:t>
            </w:r>
            <w:r>
              <w:rPr>
                <w:rFonts w:ascii="Times New Roman" w:hAnsi="Times New Roman" w:eastAsia="仿宋_GB2312"/>
                <w:color w:val="auto"/>
                <w:kern w:val="0"/>
                <w:sz w:val="24"/>
                <w:highlight w:val="none"/>
              </w:rPr>
              <w:t>海关</w:t>
            </w:r>
          </w:p>
        </w:tc>
        <w:tc>
          <w:tcPr>
            <w:tcW w:w="3435" w:type="dxa"/>
            <w:noWrap w:val="0"/>
            <w:vAlign w:val="center"/>
          </w:tcPr>
          <w:p w14:paraId="70764B15">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0144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7" w:type="dxa"/>
            <w:noWrap w:val="0"/>
            <w:vAlign w:val="center"/>
          </w:tcPr>
          <w:p w14:paraId="70EFE1BB">
            <w:pPr>
              <w:widowControl/>
              <w:jc w:val="center"/>
              <w:rPr>
                <w:rFonts w:hint="eastAsia" w:ascii="Times New Roman" w:hAnsi="Times New Roman" w:eastAsia="仿宋_GB2312"/>
                <w:color w:val="auto"/>
                <w:kern w:val="0"/>
                <w:sz w:val="24"/>
                <w:highlight w:val="none"/>
                <w:lang w:eastAsia="zh-CN"/>
              </w:rPr>
            </w:pPr>
            <w:r>
              <w:rPr>
                <w:rFonts w:ascii="Times New Roman" w:hAnsi="Times New Roman" w:eastAsia="仿宋_GB2312"/>
                <w:color w:val="auto"/>
                <w:kern w:val="0"/>
                <w:sz w:val="24"/>
                <w:highlight w:val="none"/>
              </w:rPr>
              <w:t>6</w:t>
            </w:r>
            <w:r>
              <w:rPr>
                <w:rFonts w:hint="eastAsia" w:ascii="Times New Roman" w:hAnsi="Times New Roman" w:eastAsia="仿宋_GB2312"/>
                <w:color w:val="auto"/>
                <w:kern w:val="0"/>
                <w:sz w:val="24"/>
                <w:highlight w:val="none"/>
                <w:lang w:val="en-US" w:eastAsia="zh-CN"/>
              </w:rPr>
              <w:t>0</w:t>
            </w:r>
          </w:p>
        </w:tc>
        <w:tc>
          <w:tcPr>
            <w:tcW w:w="1559" w:type="dxa"/>
            <w:vMerge w:val="continue"/>
            <w:noWrap w:val="0"/>
            <w:vAlign w:val="center"/>
          </w:tcPr>
          <w:p w14:paraId="6F18A21B">
            <w:pPr>
              <w:widowControl/>
              <w:jc w:val="left"/>
              <w:rPr>
                <w:rFonts w:ascii="Times New Roman" w:hAnsi="Times New Roman" w:eastAsia="仿宋_GB2312"/>
                <w:color w:val="auto"/>
                <w:kern w:val="0"/>
                <w:sz w:val="24"/>
                <w:highlight w:val="none"/>
              </w:rPr>
            </w:pPr>
          </w:p>
        </w:tc>
        <w:tc>
          <w:tcPr>
            <w:tcW w:w="6095" w:type="dxa"/>
            <w:noWrap w:val="0"/>
            <w:vAlign w:val="center"/>
          </w:tcPr>
          <w:p w14:paraId="090089D1">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扩大高级认证企业覆盖面，加大信用培育力度，给予高级认证企业更多通关便利</w:t>
            </w:r>
            <w:r>
              <w:rPr>
                <w:rFonts w:hint="eastAsia" w:ascii="Times New Roman" w:hAnsi="Times New Roman" w:eastAsia="仿宋_GB2312"/>
                <w:color w:val="auto"/>
                <w:kern w:val="0"/>
                <w:sz w:val="24"/>
                <w:highlight w:val="none"/>
                <w:lang w:eastAsia="zh-CN"/>
              </w:rPr>
              <w:t>。</w:t>
            </w:r>
          </w:p>
        </w:tc>
        <w:tc>
          <w:tcPr>
            <w:tcW w:w="1559" w:type="dxa"/>
            <w:noWrap w:val="0"/>
            <w:vAlign w:val="center"/>
          </w:tcPr>
          <w:p w14:paraId="478B5A0A">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海城</w:t>
            </w:r>
            <w:r>
              <w:rPr>
                <w:rFonts w:ascii="Times New Roman" w:hAnsi="Times New Roman" w:eastAsia="仿宋_GB2312"/>
                <w:color w:val="auto"/>
                <w:kern w:val="0"/>
                <w:sz w:val="24"/>
                <w:highlight w:val="none"/>
              </w:rPr>
              <w:t>海关</w:t>
            </w:r>
          </w:p>
        </w:tc>
        <w:tc>
          <w:tcPr>
            <w:tcW w:w="3435" w:type="dxa"/>
            <w:noWrap w:val="0"/>
            <w:vAlign w:val="center"/>
          </w:tcPr>
          <w:p w14:paraId="3B9EA04D">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55D0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77" w:type="dxa"/>
            <w:noWrap w:val="0"/>
            <w:vAlign w:val="center"/>
          </w:tcPr>
          <w:p w14:paraId="1E7A9E5B">
            <w:pPr>
              <w:widowControl/>
              <w:jc w:val="center"/>
              <w:rPr>
                <w:rFonts w:hint="eastAsia" w:ascii="Times New Roman" w:hAnsi="Times New Roman" w:eastAsia="仿宋_GB2312"/>
                <w:color w:val="auto"/>
                <w:kern w:val="0"/>
                <w:sz w:val="24"/>
                <w:highlight w:val="none"/>
                <w:lang w:eastAsia="zh-CN"/>
              </w:rPr>
            </w:pPr>
            <w:r>
              <w:rPr>
                <w:rFonts w:ascii="Times New Roman" w:hAnsi="Times New Roman" w:eastAsia="仿宋_GB2312"/>
                <w:color w:val="auto"/>
                <w:kern w:val="0"/>
                <w:sz w:val="24"/>
                <w:highlight w:val="none"/>
              </w:rPr>
              <w:t>6</w:t>
            </w:r>
            <w:r>
              <w:rPr>
                <w:rFonts w:hint="eastAsia" w:ascii="Times New Roman" w:hAnsi="Times New Roman" w:eastAsia="仿宋_GB2312"/>
                <w:color w:val="auto"/>
                <w:kern w:val="0"/>
                <w:sz w:val="24"/>
                <w:highlight w:val="none"/>
                <w:lang w:val="en-US" w:eastAsia="zh-CN"/>
              </w:rPr>
              <w:t>1</w:t>
            </w:r>
          </w:p>
        </w:tc>
        <w:tc>
          <w:tcPr>
            <w:tcW w:w="1559" w:type="dxa"/>
            <w:vMerge w:val="continue"/>
            <w:noWrap w:val="0"/>
            <w:vAlign w:val="center"/>
          </w:tcPr>
          <w:p w14:paraId="25BA61BD">
            <w:pPr>
              <w:widowControl/>
              <w:jc w:val="left"/>
              <w:rPr>
                <w:rFonts w:ascii="Times New Roman" w:hAnsi="Times New Roman" w:eastAsia="仿宋_GB2312"/>
                <w:color w:val="auto"/>
                <w:kern w:val="0"/>
                <w:sz w:val="24"/>
                <w:highlight w:val="none"/>
              </w:rPr>
            </w:pPr>
          </w:p>
        </w:tc>
        <w:tc>
          <w:tcPr>
            <w:tcW w:w="6095" w:type="dxa"/>
            <w:noWrap w:val="0"/>
            <w:vAlign w:val="center"/>
          </w:tcPr>
          <w:p w14:paraId="4928AA3E">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按有关规定简化单证和办理程序，切实提高审核和办理效率，加快出口退税办理进度，确保办理时间提速到5个工作日以内，加大对外贸出口企业的支持力度。</w:t>
            </w:r>
          </w:p>
        </w:tc>
        <w:tc>
          <w:tcPr>
            <w:tcW w:w="1559" w:type="dxa"/>
            <w:noWrap w:val="0"/>
            <w:vAlign w:val="center"/>
          </w:tcPr>
          <w:p w14:paraId="38DE4A82">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税务局</w:t>
            </w:r>
          </w:p>
        </w:tc>
        <w:tc>
          <w:tcPr>
            <w:tcW w:w="3435" w:type="dxa"/>
            <w:noWrap w:val="0"/>
            <w:vAlign w:val="center"/>
          </w:tcPr>
          <w:p w14:paraId="0111D99E">
            <w:pPr>
              <w:widowControl/>
              <w:jc w:val="both"/>
              <w:rPr>
                <w:rFonts w:hint="eastAsia" w:ascii="Times New Roman" w:hAnsi="Times New Roman" w:eastAsia="仿宋_GB2312"/>
                <w:color w:val="auto"/>
                <w:kern w:val="0"/>
                <w:sz w:val="24"/>
                <w:highlight w:val="none"/>
                <w:lang w:eastAsia="zh-CN"/>
              </w:rPr>
            </w:pPr>
            <w:r>
              <w:rPr>
                <w:rFonts w:hint="eastAsia" w:ascii="Times New Roman" w:hAnsi="Times New Roman" w:eastAsia="仿宋_GB2312"/>
                <w:color w:val="auto"/>
                <w:kern w:val="0"/>
                <w:sz w:val="24"/>
                <w:highlight w:val="none"/>
                <w:lang w:val="en-US" w:eastAsia="zh-CN"/>
              </w:rPr>
              <w:t>县</w:t>
            </w:r>
            <w:r>
              <w:rPr>
                <w:rFonts w:hint="eastAsia" w:ascii="Times New Roman" w:hAnsi="Times New Roman" w:eastAsia="仿宋_GB2312"/>
                <w:color w:val="auto"/>
                <w:kern w:val="0"/>
                <w:sz w:val="24"/>
                <w:highlight w:val="none"/>
                <w:lang w:eastAsia="zh-CN"/>
              </w:rPr>
              <w:t>财政局、</w:t>
            </w:r>
            <w:r>
              <w:rPr>
                <w:rFonts w:ascii="Times New Roman" w:hAnsi="Times New Roman" w:eastAsia="仿宋_GB2312"/>
                <w:color w:val="auto"/>
                <w:kern w:val="0"/>
                <w:sz w:val="24"/>
                <w:highlight w:val="none"/>
              </w:rPr>
              <w:t>中国人民银行海丰县支行</w:t>
            </w:r>
          </w:p>
        </w:tc>
      </w:tr>
      <w:tr w14:paraId="4B4F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7" w:type="dxa"/>
            <w:noWrap w:val="0"/>
            <w:vAlign w:val="center"/>
          </w:tcPr>
          <w:p w14:paraId="6CEB877A">
            <w:pPr>
              <w:widowControl/>
              <w:jc w:val="center"/>
              <w:rPr>
                <w:rFonts w:hint="eastAsia" w:ascii="Times New Roman" w:hAnsi="Times New Roman" w:eastAsia="仿宋_GB2312"/>
                <w:color w:val="auto"/>
                <w:kern w:val="0"/>
                <w:sz w:val="24"/>
                <w:highlight w:val="none"/>
                <w:lang w:eastAsia="zh-CN"/>
              </w:rPr>
            </w:pPr>
            <w:r>
              <w:rPr>
                <w:rFonts w:ascii="Times New Roman" w:hAnsi="Times New Roman" w:eastAsia="仿宋_GB2312"/>
                <w:color w:val="auto"/>
                <w:kern w:val="0"/>
                <w:sz w:val="24"/>
                <w:highlight w:val="none"/>
              </w:rPr>
              <w:t>6</w:t>
            </w:r>
            <w:r>
              <w:rPr>
                <w:rFonts w:hint="eastAsia" w:ascii="Times New Roman" w:hAnsi="Times New Roman" w:eastAsia="仿宋_GB2312"/>
                <w:color w:val="auto"/>
                <w:kern w:val="0"/>
                <w:sz w:val="24"/>
                <w:highlight w:val="none"/>
                <w:lang w:val="en-US" w:eastAsia="zh-CN"/>
              </w:rPr>
              <w:t>2</w:t>
            </w:r>
          </w:p>
        </w:tc>
        <w:tc>
          <w:tcPr>
            <w:tcW w:w="1559" w:type="dxa"/>
            <w:vMerge w:val="continue"/>
            <w:noWrap w:val="0"/>
            <w:vAlign w:val="center"/>
          </w:tcPr>
          <w:p w14:paraId="286A165E">
            <w:pPr>
              <w:widowControl/>
              <w:jc w:val="left"/>
              <w:rPr>
                <w:rFonts w:ascii="Times New Roman" w:hAnsi="Times New Roman" w:eastAsia="仿宋_GB2312"/>
                <w:color w:val="auto"/>
                <w:kern w:val="0"/>
                <w:sz w:val="24"/>
                <w:highlight w:val="none"/>
              </w:rPr>
            </w:pPr>
          </w:p>
        </w:tc>
        <w:tc>
          <w:tcPr>
            <w:tcW w:w="6095" w:type="dxa"/>
            <w:noWrap w:val="0"/>
            <w:vAlign w:val="center"/>
          </w:tcPr>
          <w:p w14:paraId="64BEAC62">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推进跨境电商综合试验区建设工作，推动珠宝首饰等特色产业集群发展，培育可塘、梅陇创建集电商平台、研发设计、生产制造、仓储物流等功能为一体的跨境电商产业园区，培育</w:t>
            </w:r>
            <w:r>
              <w:rPr>
                <w:rFonts w:hint="default" w:ascii="Times New Roman" w:hAnsi="Times New Roman" w:eastAsia="仿宋_GB2312"/>
                <w:color w:val="auto"/>
                <w:kern w:val="0"/>
                <w:sz w:val="24"/>
                <w:highlight w:val="none"/>
                <w:lang w:val="en-US" w:eastAsia="zh-CN"/>
              </w:rPr>
              <w:t>3</w:t>
            </w:r>
            <w:r>
              <w:rPr>
                <w:rFonts w:ascii="Times New Roman" w:hAnsi="Times New Roman" w:eastAsia="仿宋_GB2312"/>
                <w:color w:val="auto"/>
                <w:kern w:val="0"/>
                <w:sz w:val="24"/>
                <w:highlight w:val="none"/>
              </w:rPr>
              <w:t>家交易额</w:t>
            </w:r>
            <w:r>
              <w:rPr>
                <w:rFonts w:hint="default" w:ascii="Times New Roman" w:hAnsi="Times New Roman" w:eastAsia="仿宋_GB2312"/>
                <w:color w:val="auto"/>
                <w:kern w:val="0"/>
                <w:sz w:val="24"/>
                <w:highlight w:val="none"/>
                <w:lang w:val="en-US" w:eastAsia="zh-CN"/>
              </w:rPr>
              <w:t>1000万</w:t>
            </w:r>
            <w:r>
              <w:rPr>
                <w:rFonts w:ascii="Times New Roman" w:hAnsi="Times New Roman" w:eastAsia="仿宋_GB2312"/>
                <w:color w:val="auto"/>
                <w:kern w:val="0"/>
                <w:sz w:val="24"/>
                <w:highlight w:val="none"/>
              </w:rPr>
              <w:t>元以上的跨境电商商家。</w:t>
            </w:r>
          </w:p>
        </w:tc>
        <w:tc>
          <w:tcPr>
            <w:tcW w:w="1559" w:type="dxa"/>
            <w:noWrap w:val="0"/>
            <w:vAlign w:val="center"/>
          </w:tcPr>
          <w:p w14:paraId="3013F49C">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县科工</w:t>
            </w:r>
            <w:r>
              <w:rPr>
                <w:rFonts w:ascii="Times New Roman" w:hAnsi="Times New Roman" w:eastAsia="仿宋_GB2312"/>
                <w:color w:val="auto"/>
                <w:kern w:val="0"/>
                <w:sz w:val="24"/>
                <w:highlight w:val="none"/>
              </w:rPr>
              <w:t>局</w:t>
            </w:r>
          </w:p>
        </w:tc>
        <w:tc>
          <w:tcPr>
            <w:tcW w:w="3435" w:type="dxa"/>
            <w:noWrap w:val="0"/>
            <w:vAlign w:val="center"/>
          </w:tcPr>
          <w:p w14:paraId="0E616423">
            <w:pPr>
              <w:widowControl/>
              <w:jc w:val="both"/>
              <w:rPr>
                <w:rFonts w:hint="eastAsia" w:ascii="Times New Roman" w:hAnsi="Times New Roman" w:eastAsia="仿宋_GB2312"/>
                <w:color w:val="auto"/>
                <w:kern w:val="0"/>
                <w:sz w:val="24"/>
                <w:highlight w:val="none"/>
                <w:lang w:eastAsia="zh-CN"/>
              </w:rPr>
            </w:pPr>
            <w:r>
              <w:rPr>
                <w:rFonts w:hint="eastAsia" w:ascii="Times New Roman" w:hAnsi="Times New Roman" w:eastAsia="仿宋_GB2312"/>
                <w:color w:val="auto"/>
                <w:kern w:val="0"/>
                <w:sz w:val="24"/>
                <w:highlight w:val="none"/>
                <w:lang w:val="en-US" w:eastAsia="zh-CN"/>
              </w:rPr>
              <w:t>海城</w:t>
            </w:r>
            <w:r>
              <w:rPr>
                <w:rFonts w:hint="eastAsia" w:ascii="Times New Roman" w:hAnsi="Times New Roman" w:eastAsia="仿宋_GB2312"/>
                <w:color w:val="auto"/>
                <w:kern w:val="0"/>
                <w:sz w:val="24"/>
                <w:highlight w:val="none"/>
              </w:rPr>
              <w:t>海关、</w:t>
            </w:r>
            <w:r>
              <w:rPr>
                <w:rFonts w:hint="eastAsia" w:ascii="Times New Roman" w:hAnsi="Times New Roman" w:eastAsia="仿宋_GB2312"/>
                <w:color w:val="auto"/>
                <w:kern w:val="0"/>
                <w:sz w:val="24"/>
                <w:highlight w:val="none"/>
                <w:lang w:val="en-US" w:eastAsia="zh-CN"/>
              </w:rPr>
              <w:t>县</w:t>
            </w:r>
            <w:r>
              <w:rPr>
                <w:rFonts w:hint="eastAsia" w:ascii="Times New Roman" w:hAnsi="Times New Roman" w:eastAsia="仿宋_GB2312"/>
                <w:color w:val="auto"/>
                <w:kern w:val="0"/>
                <w:sz w:val="24"/>
                <w:highlight w:val="none"/>
              </w:rPr>
              <w:t>税务局、</w:t>
            </w:r>
            <w:r>
              <w:rPr>
                <w:rFonts w:ascii="Times New Roman" w:hAnsi="Times New Roman" w:eastAsia="仿宋_GB2312"/>
                <w:color w:val="auto"/>
                <w:kern w:val="0"/>
                <w:sz w:val="24"/>
                <w:highlight w:val="none"/>
              </w:rPr>
              <w:t>中国人民银行海丰县支行</w:t>
            </w:r>
            <w:r>
              <w:rPr>
                <w:rFonts w:hint="eastAsia" w:ascii="Times New Roman" w:hAnsi="Times New Roman" w:eastAsia="仿宋_GB2312"/>
                <w:color w:val="auto"/>
                <w:kern w:val="0"/>
                <w:sz w:val="24"/>
                <w:highlight w:val="none"/>
              </w:rPr>
              <w:t>、</w:t>
            </w:r>
            <w:r>
              <w:rPr>
                <w:rFonts w:hint="eastAsia" w:ascii="Times New Roman" w:hAnsi="Times New Roman" w:eastAsia="仿宋_GB2312"/>
                <w:color w:val="auto"/>
                <w:kern w:val="0"/>
                <w:sz w:val="24"/>
                <w:highlight w:val="none"/>
                <w:lang w:val="en-US" w:eastAsia="zh-CN"/>
              </w:rPr>
              <w:t>县</w:t>
            </w:r>
            <w:r>
              <w:rPr>
                <w:rFonts w:hint="eastAsia" w:ascii="Times New Roman" w:hAnsi="Times New Roman" w:eastAsia="仿宋_GB2312"/>
                <w:color w:val="auto"/>
                <w:kern w:val="0"/>
                <w:sz w:val="24"/>
                <w:highlight w:val="none"/>
              </w:rPr>
              <w:t>财政局</w:t>
            </w:r>
          </w:p>
        </w:tc>
      </w:tr>
      <w:tr w14:paraId="65C7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7" w:type="dxa"/>
            <w:noWrap w:val="0"/>
            <w:vAlign w:val="center"/>
          </w:tcPr>
          <w:p w14:paraId="134A4D04">
            <w:pPr>
              <w:widowControl/>
              <w:jc w:val="center"/>
              <w:rPr>
                <w:rFonts w:hint="eastAsia" w:ascii="Times New Roman" w:hAnsi="Times New Roman" w:eastAsia="仿宋_GB2312"/>
                <w:color w:val="auto"/>
                <w:kern w:val="0"/>
                <w:sz w:val="24"/>
                <w:highlight w:val="none"/>
                <w:lang w:eastAsia="zh-CN"/>
              </w:rPr>
            </w:pPr>
            <w:r>
              <w:rPr>
                <w:rFonts w:ascii="Times New Roman" w:hAnsi="Times New Roman" w:eastAsia="仿宋_GB2312"/>
                <w:color w:val="auto"/>
                <w:kern w:val="0"/>
                <w:sz w:val="24"/>
                <w:highlight w:val="none"/>
              </w:rPr>
              <w:t>6</w:t>
            </w:r>
            <w:r>
              <w:rPr>
                <w:rFonts w:hint="eastAsia" w:ascii="Times New Roman" w:hAnsi="Times New Roman" w:eastAsia="仿宋_GB2312"/>
                <w:color w:val="auto"/>
                <w:kern w:val="0"/>
                <w:sz w:val="24"/>
                <w:highlight w:val="none"/>
                <w:lang w:val="en-US" w:eastAsia="zh-CN"/>
              </w:rPr>
              <w:t>3</w:t>
            </w:r>
          </w:p>
        </w:tc>
        <w:tc>
          <w:tcPr>
            <w:tcW w:w="1559" w:type="dxa"/>
            <w:vMerge w:val="restart"/>
            <w:noWrap w:val="0"/>
            <w:vAlign w:val="center"/>
          </w:tcPr>
          <w:p w14:paraId="7483AF1F">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营造更加开放的投资环境</w:t>
            </w:r>
          </w:p>
        </w:tc>
        <w:tc>
          <w:tcPr>
            <w:tcW w:w="6095" w:type="dxa"/>
            <w:noWrap w:val="0"/>
            <w:vAlign w:val="center"/>
          </w:tcPr>
          <w:p w14:paraId="66174248">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实施外商投资准入前国民待遇加负面清单管理，对负面清单之外领域，按照内外资一致原则实施管理。全面清理与《外商投资法》不相符的法规、规章和规范性文件，加大《外商投资法》宣传力度。</w:t>
            </w:r>
          </w:p>
        </w:tc>
        <w:tc>
          <w:tcPr>
            <w:tcW w:w="1559" w:type="dxa"/>
            <w:noWrap w:val="0"/>
            <w:vAlign w:val="center"/>
          </w:tcPr>
          <w:p w14:paraId="2A8ABF0D">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县科工</w:t>
            </w:r>
            <w:r>
              <w:rPr>
                <w:rFonts w:ascii="Times New Roman" w:hAnsi="Times New Roman" w:eastAsia="仿宋_GB2312"/>
                <w:color w:val="auto"/>
                <w:kern w:val="0"/>
                <w:sz w:val="24"/>
                <w:highlight w:val="none"/>
              </w:rPr>
              <w:t>局</w:t>
            </w:r>
          </w:p>
        </w:tc>
        <w:tc>
          <w:tcPr>
            <w:tcW w:w="3435" w:type="dxa"/>
            <w:noWrap w:val="0"/>
            <w:vAlign w:val="center"/>
          </w:tcPr>
          <w:p w14:paraId="7F708D75">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hint="eastAsia" w:ascii="Times New Roman" w:hAnsi="Times New Roman" w:eastAsia="仿宋_GB2312"/>
                <w:color w:val="auto"/>
                <w:kern w:val="0"/>
                <w:sz w:val="24"/>
                <w:highlight w:val="none"/>
                <w:lang w:eastAsia="zh-CN"/>
              </w:rPr>
              <w:t>发改局</w:t>
            </w:r>
            <w:r>
              <w:rPr>
                <w:rFonts w:hint="eastAsia" w:ascii="Times New Roman" w:hAnsi="Times New Roman" w:eastAsia="仿宋_GB2312"/>
                <w:color w:val="auto"/>
                <w:kern w:val="0"/>
                <w:sz w:val="24"/>
                <w:highlight w:val="none"/>
              </w:rPr>
              <w:t>、</w:t>
            </w:r>
            <w:r>
              <w:rPr>
                <w:rFonts w:hint="eastAsia" w:ascii="Times New Roman" w:hAnsi="Times New Roman" w:eastAsia="仿宋_GB2312"/>
                <w:color w:val="auto"/>
                <w:kern w:val="0"/>
                <w:sz w:val="24"/>
                <w:highlight w:val="none"/>
                <w:lang w:eastAsia="zh-CN"/>
              </w:rPr>
              <w:t>市监局</w:t>
            </w:r>
            <w:r>
              <w:rPr>
                <w:rFonts w:hint="eastAsia" w:ascii="Times New Roman" w:hAnsi="Times New Roman" w:eastAsia="仿宋_GB2312"/>
                <w:color w:val="auto"/>
                <w:kern w:val="0"/>
                <w:sz w:val="24"/>
                <w:highlight w:val="none"/>
              </w:rPr>
              <w:t>、财政局、</w:t>
            </w:r>
            <w:r>
              <w:rPr>
                <w:rFonts w:hint="eastAsia" w:ascii="Times New Roman" w:hAnsi="Times New Roman" w:eastAsia="仿宋_GB2312"/>
                <w:color w:val="auto"/>
                <w:kern w:val="0"/>
                <w:sz w:val="24"/>
                <w:highlight w:val="none"/>
                <w:lang w:val="en-US" w:eastAsia="zh-CN"/>
              </w:rPr>
              <w:t>投资促进中心</w:t>
            </w:r>
            <w:r>
              <w:rPr>
                <w:rFonts w:hint="eastAsia" w:ascii="Times New Roman" w:hAnsi="Times New Roman" w:eastAsia="仿宋_GB2312"/>
                <w:color w:val="auto"/>
                <w:kern w:val="0"/>
                <w:sz w:val="24"/>
                <w:highlight w:val="none"/>
              </w:rPr>
              <w:t>、</w:t>
            </w:r>
            <w:r>
              <w:rPr>
                <w:rFonts w:hint="eastAsia" w:ascii="Times New Roman" w:hAnsi="Times New Roman" w:eastAsia="仿宋_GB2312"/>
                <w:color w:val="auto"/>
                <w:kern w:val="0"/>
                <w:sz w:val="24"/>
                <w:highlight w:val="none"/>
                <w:lang w:eastAsia="zh-CN"/>
              </w:rPr>
              <w:t>人社局</w:t>
            </w:r>
            <w:r>
              <w:rPr>
                <w:rFonts w:hint="eastAsia" w:ascii="Times New Roman" w:hAnsi="Times New Roman" w:eastAsia="仿宋_GB2312"/>
                <w:color w:val="auto"/>
                <w:kern w:val="0"/>
                <w:sz w:val="24"/>
                <w:highlight w:val="none"/>
              </w:rPr>
              <w:t>、自然资源局、</w:t>
            </w:r>
            <w:r>
              <w:rPr>
                <w:rFonts w:hint="eastAsia" w:ascii="Times New Roman" w:hAnsi="Times New Roman" w:eastAsia="仿宋_GB2312"/>
                <w:color w:val="auto"/>
                <w:kern w:val="0"/>
                <w:sz w:val="24"/>
                <w:highlight w:val="none"/>
                <w:lang w:eastAsia="zh-CN"/>
              </w:rPr>
              <w:t>交通运输局</w:t>
            </w:r>
            <w:r>
              <w:rPr>
                <w:rFonts w:hint="eastAsia" w:ascii="Times New Roman" w:hAnsi="Times New Roman" w:eastAsia="仿宋_GB2312"/>
                <w:color w:val="auto"/>
                <w:kern w:val="0"/>
                <w:sz w:val="24"/>
                <w:highlight w:val="none"/>
              </w:rPr>
              <w:t>、</w:t>
            </w:r>
            <w:r>
              <w:rPr>
                <w:rFonts w:hint="eastAsia" w:ascii="Times New Roman" w:hAnsi="Times New Roman" w:eastAsia="仿宋_GB2312"/>
                <w:color w:val="auto"/>
                <w:kern w:val="0"/>
                <w:sz w:val="24"/>
                <w:highlight w:val="none"/>
                <w:lang w:eastAsia="zh-CN"/>
              </w:rPr>
              <w:t>住建局</w:t>
            </w:r>
            <w:r>
              <w:rPr>
                <w:rFonts w:hint="eastAsia" w:ascii="Times New Roman" w:hAnsi="Times New Roman" w:eastAsia="仿宋_GB2312"/>
                <w:color w:val="auto"/>
                <w:kern w:val="0"/>
                <w:sz w:val="24"/>
                <w:highlight w:val="none"/>
              </w:rPr>
              <w:t>、</w:t>
            </w:r>
            <w:r>
              <w:rPr>
                <w:rFonts w:hint="eastAsia" w:ascii="Times New Roman" w:hAnsi="Times New Roman" w:eastAsia="仿宋_GB2312"/>
                <w:color w:val="auto"/>
                <w:kern w:val="0"/>
                <w:sz w:val="24"/>
                <w:highlight w:val="none"/>
                <w:lang w:eastAsia="zh-CN"/>
              </w:rPr>
              <w:t>卫健局</w:t>
            </w:r>
            <w:r>
              <w:rPr>
                <w:rFonts w:hint="eastAsia" w:ascii="Times New Roman" w:hAnsi="Times New Roman" w:eastAsia="仿宋_GB2312"/>
                <w:color w:val="auto"/>
                <w:kern w:val="0"/>
                <w:sz w:val="24"/>
                <w:highlight w:val="none"/>
              </w:rPr>
              <w:t>、教育局、文广旅体局、金融局、</w:t>
            </w:r>
            <w:r>
              <w:rPr>
                <w:rFonts w:hint="eastAsia" w:ascii="Times New Roman" w:hAnsi="Times New Roman" w:eastAsia="仿宋_GB2312"/>
                <w:color w:val="auto"/>
                <w:kern w:val="0"/>
                <w:sz w:val="24"/>
                <w:highlight w:val="none"/>
                <w:lang w:val="en-US" w:eastAsia="zh-CN"/>
              </w:rPr>
              <w:t>海城</w:t>
            </w:r>
            <w:r>
              <w:rPr>
                <w:rFonts w:hint="eastAsia" w:ascii="Times New Roman" w:hAnsi="Times New Roman" w:eastAsia="仿宋_GB2312"/>
                <w:color w:val="auto"/>
                <w:kern w:val="0"/>
                <w:sz w:val="24"/>
                <w:highlight w:val="none"/>
              </w:rPr>
              <w:t>海关，</w:t>
            </w:r>
            <w:r>
              <w:rPr>
                <w:rFonts w:ascii="Times New Roman" w:hAnsi="Times New Roman" w:eastAsia="仿宋_GB2312"/>
                <w:color w:val="auto"/>
                <w:kern w:val="0"/>
                <w:sz w:val="24"/>
                <w:highlight w:val="none"/>
              </w:rPr>
              <w:t>中国人民银行海丰县支行</w:t>
            </w:r>
            <w:r>
              <w:rPr>
                <w:rFonts w:hint="eastAsia" w:ascii="Times New Roman" w:hAnsi="Times New Roman" w:eastAsia="仿宋_GB2312"/>
                <w:color w:val="auto"/>
                <w:kern w:val="0"/>
                <w:sz w:val="24"/>
                <w:highlight w:val="none"/>
              </w:rPr>
              <w:t>、各银行机构</w:t>
            </w:r>
          </w:p>
        </w:tc>
      </w:tr>
      <w:tr w14:paraId="3784F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7" w:type="dxa"/>
            <w:noWrap w:val="0"/>
            <w:vAlign w:val="center"/>
          </w:tcPr>
          <w:p w14:paraId="510F4221">
            <w:pPr>
              <w:widowControl/>
              <w:jc w:val="center"/>
              <w:rPr>
                <w:rFonts w:hint="eastAsia" w:ascii="Times New Roman" w:hAnsi="Times New Roman" w:eastAsia="仿宋_GB2312"/>
                <w:color w:val="auto"/>
                <w:kern w:val="0"/>
                <w:sz w:val="24"/>
                <w:highlight w:val="none"/>
                <w:lang w:eastAsia="zh-CN"/>
              </w:rPr>
            </w:pPr>
            <w:r>
              <w:rPr>
                <w:rFonts w:ascii="Times New Roman" w:hAnsi="Times New Roman" w:eastAsia="仿宋_GB2312"/>
                <w:color w:val="auto"/>
                <w:kern w:val="0"/>
                <w:sz w:val="24"/>
                <w:highlight w:val="none"/>
              </w:rPr>
              <w:t>6</w:t>
            </w:r>
            <w:r>
              <w:rPr>
                <w:rFonts w:hint="eastAsia" w:ascii="Times New Roman" w:hAnsi="Times New Roman" w:eastAsia="仿宋_GB2312"/>
                <w:color w:val="auto"/>
                <w:kern w:val="0"/>
                <w:sz w:val="24"/>
                <w:highlight w:val="none"/>
                <w:lang w:val="en-US" w:eastAsia="zh-CN"/>
              </w:rPr>
              <w:t>4</w:t>
            </w:r>
          </w:p>
        </w:tc>
        <w:tc>
          <w:tcPr>
            <w:tcW w:w="1559" w:type="dxa"/>
            <w:vMerge w:val="continue"/>
            <w:noWrap w:val="0"/>
            <w:vAlign w:val="center"/>
          </w:tcPr>
          <w:p w14:paraId="55E8346E">
            <w:pPr>
              <w:widowControl/>
              <w:jc w:val="left"/>
              <w:rPr>
                <w:rFonts w:ascii="Times New Roman" w:hAnsi="Times New Roman" w:eastAsia="仿宋_GB2312"/>
                <w:color w:val="auto"/>
                <w:kern w:val="0"/>
                <w:sz w:val="24"/>
                <w:highlight w:val="none"/>
              </w:rPr>
            </w:pPr>
          </w:p>
        </w:tc>
        <w:tc>
          <w:tcPr>
            <w:tcW w:w="6095" w:type="dxa"/>
            <w:noWrap w:val="0"/>
            <w:vAlign w:val="center"/>
          </w:tcPr>
          <w:p w14:paraId="3D2E74D0">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进一步扩大开放积极利用外资。积极推动服务业吸收外资，带动利用外资增长。</w:t>
            </w:r>
          </w:p>
        </w:tc>
        <w:tc>
          <w:tcPr>
            <w:tcW w:w="1559" w:type="dxa"/>
            <w:noWrap w:val="0"/>
            <w:vAlign w:val="center"/>
          </w:tcPr>
          <w:p w14:paraId="7C6E094A">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县科工</w:t>
            </w:r>
            <w:r>
              <w:rPr>
                <w:rFonts w:ascii="Times New Roman" w:hAnsi="Times New Roman" w:eastAsia="仿宋_GB2312"/>
                <w:color w:val="auto"/>
                <w:kern w:val="0"/>
                <w:sz w:val="24"/>
                <w:highlight w:val="none"/>
              </w:rPr>
              <w:t>局</w:t>
            </w:r>
          </w:p>
        </w:tc>
        <w:tc>
          <w:tcPr>
            <w:tcW w:w="3435" w:type="dxa"/>
            <w:noWrap w:val="0"/>
            <w:vAlign w:val="center"/>
          </w:tcPr>
          <w:p w14:paraId="1860C509">
            <w:pPr>
              <w:widowControl/>
              <w:jc w:val="both"/>
              <w:rPr>
                <w:rFonts w:ascii="Times New Roman" w:hAnsi="Times New Roman" w:eastAsia="等线"/>
                <w:color w:val="auto"/>
                <w:kern w:val="0"/>
                <w:sz w:val="22"/>
                <w:szCs w:val="22"/>
                <w:highlight w:val="none"/>
              </w:rPr>
            </w:pPr>
            <w:r>
              <w:rPr>
                <w:rFonts w:hint="eastAsia" w:ascii="Times New Roman" w:hAnsi="Times New Roman" w:eastAsia="仿宋_GB2312"/>
                <w:color w:val="auto"/>
                <w:kern w:val="0"/>
                <w:sz w:val="24"/>
                <w:highlight w:val="none"/>
                <w:lang w:val="en-US" w:eastAsia="zh-CN"/>
              </w:rPr>
              <w:t>县</w:t>
            </w:r>
            <w:r>
              <w:rPr>
                <w:rFonts w:hint="eastAsia" w:ascii="Times New Roman" w:hAnsi="Times New Roman" w:eastAsia="仿宋_GB2312"/>
                <w:color w:val="auto"/>
                <w:kern w:val="0"/>
                <w:sz w:val="24"/>
                <w:highlight w:val="none"/>
                <w:lang w:eastAsia="zh-CN"/>
              </w:rPr>
              <w:t>发改局</w:t>
            </w:r>
            <w:r>
              <w:rPr>
                <w:rFonts w:hint="eastAsia" w:ascii="Times New Roman" w:hAnsi="Times New Roman" w:eastAsia="仿宋_GB2312"/>
                <w:color w:val="auto"/>
                <w:kern w:val="0"/>
                <w:sz w:val="24"/>
                <w:highlight w:val="none"/>
              </w:rPr>
              <w:t>、</w:t>
            </w:r>
            <w:r>
              <w:rPr>
                <w:rFonts w:hint="eastAsia" w:ascii="Times New Roman" w:hAnsi="Times New Roman" w:eastAsia="仿宋_GB2312"/>
                <w:color w:val="auto"/>
                <w:kern w:val="0"/>
                <w:sz w:val="24"/>
                <w:highlight w:val="none"/>
                <w:lang w:eastAsia="zh-CN"/>
              </w:rPr>
              <w:t>市监局</w:t>
            </w:r>
            <w:r>
              <w:rPr>
                <w:rFonts w:hint="eastAsia" w:ascii="Times New Roman" w:hAnsi="Times New Roman" w:eastAsia="仿宋_GB2312"/>
                <w:color w:val="auto"/>
                <w:kern w:val="0"/>
                <w:sz w:val="24"/>
                <w:highlight w:val="none"/>
              </w:rPr>
              <w:t>、财政局、</w:t>
            </w:r>
            <w:r>
              <w:rPr>
                <w:rFonts w:hint="eastAsia" w:ascii="Times New Roman" w:hAnsi="Times New Roman" w:eastAsia="仿宋_GB2312"/>
                <w:color w:val="auto"/>
                <w:kern w:val="0"/>
                <w:sz w:val="24"/>
                <w:highlight w:val="none"/>
                <w:lang w:val="en-US" w:eastAsia="zh-CN"/>
              </w:rPr>
              <w:t>投资促进中心</w:t>
            </w:r>
            <w:r>
              <w:rPr>
                <w:rFonts w:hint="eastAsia" w:ascii="Times New Roman" w:hAnsi="Times New Roman" w:eastAsia="仿宋_GB2312"/>
                <w:color w:val="auto"/>
                <w:kern w:val="0"/>
                <w:sz w:val="24"/>
                <w:highlight w:val="none"/>
              </w:rPr>
              <w:t>、</w:t>
            </w:r>
            <w:r>
              <w:rPr>
                <w:rFonts w:hint="eastAsia" w:ascii="Times New Roman" w:hAnsi="Times New Roman" w:eastAsia="仿宋_GB2312"/>
                <w:color w:val="auto"/>
                <w:kern w:val="0"/>
                <w:sz w:val="24"/>
                <w:highlight w:val="none"/>
                <w:lang w:eastAsia="zh-CN"/>
              </w:rPr>
              <w:t>人社局</w:t>
            </w:r>
            <w:r>
              <w:rPr>
                <w:rFonts w:hint="eastAsia" w:ascii="Times New Roman" w:hAnsi="Times New Roman" w:eastAsia="仿宋_GB2312"/>
                <w:color w:val="auto"/>
                <w:kern w:val="0"/>
                <w:sz w:val="24"/>
                <w:highlight w:val="none"/>
              </w:rPr>
              <w:t>、自然资源局、</w:t>
            </w:r>
            <w:r>
              <w:rPr>
                <w:rFonts w:hint="eastAsia" w:ascii="Times New Roman" w:hAnsi="Times New Roman" w:eastAsia="仿宋_GB2312"/>
                <w:color w:val="auto"/>
                <w:kern w:val="0"/>
                <w:sz w:val="24"/>
                <w:highlight w:val="none"/>
                <w:lang w:eastAsia="zh-CN"/>
              </w:rPr>
              <w:t>交通运输局</w:t>
            </w:r>
            <w:r>
              <w:rPr>
                <w:rFonts w:hint="eastAsia" w:ascii="Times New Roman" w:hAnsi="Times New Roman" w:eastAsia="仿宋_GB2312"/>
                <w:color w:val="auto"/>
                <w:kern w:val="0"/>
                <w:sz w:val="24"/>
                <w:highlight w:val="none"/>
              </w:rPr>
              <w:t>、</w:t>
            </w:r>
            <w:r>
              <w:rPr>
                <w:rFonts w:hint="eastAsia" w:ascii="Times New Roman" w:hAnsi="Times New Roman" w:eastAsia="仿宋_GB2312"/>
                <w:color w:val="auto"/>
                <w:kern w:val="0"/>
                <w:sz w:val="24"/>
                <w:highlight w:val="none"/>
                <w:lang w:eastAsia="zh-CN"/>
              </w:rPr>
              <w:t>住建局</w:t>
            </w:r>
            <w:r>
              <w:rPr>
                <w:rFonts w:hint="eastAsia" w:ascii="Times New Roman" w:hAnsi="Times New Roman" w:eastAsia="仿宋_GB2312"/>
                <w:color w:val="auto"/>
                <w:kern w:val="0"/>
                <w:sz w:val="24"/>
                <w:highlight w:val="none"/>
              </w:rPr>
              <w:t>、</w:t>
            </w:r>
            <w:r>
              <w:rPr>
                <w:rFonts w:hint="eastAsia" w:ascii="Times New Roman" w:hAnsi="Times New Roman" w:eastAsia="仿宋_GB2312"/>
                <w:color w:val="auto"/>
                <w:kern w:val="0"/>
                <w:sz w:val="24"/>
                <w:highlight w:val="none"/>
                <w:lang w:eastAsia="zh-CN"/>
              </w:rPr>
              <w:t>卫健局</w:t>
            </w:r>
            <w:r>
              <w:rPr>
                <w:rFonts w:hint="eastAsia" w:ascii="Times New Roman" w:hAnsi="Times New Roman" w:eastAsia="仿宋_GB2312"/>
                <w:color w:val="auto"/>
                <w:kern w:val="0"/>
                <w:sz w:val="24"/>
                <w:highlight w:val="none"/>
              </w:rPr>
              <w:t>、教育局、文广旅体局、金融局、</w:t>
            </w:r>
            <w:r>
              <w:rPr>
                <w:rFonts w:hint="eastAsia" w:ascii="Times New Roman" w:hAnsi="Times New Roman" w:eastAsia="仿宋_GB2312"/>
                <w:color w:val="auto"/>
                <w:kern w:val="0"/>
                <w:sz w:val="24"/>
                <w:highlight w:val="none"/>
                <w:lang w:val="en-US" w:eastAsia="zh-CN"/>
              </w:rPr>
              <w:t>海城</w:t>
            </w:r>
            <w:r>
              <w:rPr>
                <w:rFonts w:hint="eastAsia" w:ascii="Times New Roman" w:hAnsi="Times New Roman" w:eastAsia="仿宋_GB2312"/>
                <w:color w:val="auto"/>
                <w:kern w:val="0"/>
                <w:sz w:val="24"/>
                <w:highlight w:val="none"/>
              </w:rPr>
              <w:t>海关，</w:t>
            </w:r>
            <w:r>
              <w:rPr>
                <w:rFonts w:ascii="Times New Roman" w:hAnsi="Times New Roman" w:eastAsia="仿宋_GB2312"/>
                <w:color w:val="auto"/>
                <w:kern w:val="0"/>
                <w:sz w:val="24"/>
                <w:highlight w:val="none"/>
              </w:rPr>
              <w:t>中国人民银行海丰县支行</w:t>
            </w:r>
            <w:r>
              <w:rPr>
                <w:rFonts w:hint="eastAsia" w:ascii="Times New Roman" w:hAnsi="Times New Roman" w:eastAsia="仿宋_GB2312"/>
                <w:color w:val="auto"/>
                <w:kern w:val="0"/>
                <w:sz w:val="24"/>
                <w:highlight w:val="none"/>
              </w:rPr>
              <w:t>、各银行机构</w:t>
            </w:r>
          </w:p>
        </w:tc>
      </w:tr>
      <w:tr w14:paraId="0959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7" w:type="dxa"/>
            <w:noWrap w:val="0"/>
            <w:vAlign w:val="center"/>
          </w:tcPr>
          <w:p w14:paraId="22A4F1B0">
            <w:pPr>
              <w:widowControl/>
              <w:jc w:val="center"/>
              <w:rPr>
                <w:rFonts w:hint="eastAsia" w:ascii="Times New Roman" w:hAnsi="Times New Roman" w:eastAsia="仿宋_GB2312"/>
                <w:color w:val="auto"/>
                <w:kern w:val="0"/>
                <w:sz w:val="24"/>
                <w:highlight w:val="none"/>
                <w:lang w:eastAsia="zh-CN"/>
              </w:rPr>
            </w:pPr>
            <w:r>
              <w:rPr>
                <w:rFonts w:ascii="Times New Roman" w:hAnsi="Times New Roman" w:eastAsia="仿宋_GB2312"/>
                <w:color w:val="auto"/>
                <w:kern w:val="0"/>
                <w:sz w:val="24"/>
                <w:highlight w:val="none"/>
              </w:rPr>
              <w:t>6</w:t>
            </w:r>
            <w:r>
              <w:rPr>
                <w:rFonts w:hint="eastAsia" w:ascii="Times New Roman" w:hAnsi="Times New Roman" w:eastAsia="仿宋_GB2312"/>
                <w:color w:val="auto"/>
                <w:kern w:val="0"/>
                <w:sz w:val="24"/>
                <w:highlight w:val="none"/>
                <w:lang w:val="en-US" w:eastAsia="zh-CN"/>
              </w:rPr>
              <w:t>5</w:t>
            </w:r>
          </w:p>
        </w:tc>
        <w:tc>
          <w:tcPr>
            <w:tcW w:w="1559" w:type="dxa"/>
            <w:vMerge w:val="continue"/>
            <w:noWrap w:val="0"/>
            <w:vAlign w:val="center"/>
          </w:tcPr>
          <w:p w14:paraId="2E406385">
            <w:pPr>
              <w:widowControl/>
              <w:jc w:val="left"/>
              <w:rPr>
                <w:rFonts w:ascii="Times New Roman" w:hAnsi="Times New Roman" w:eastAsia="仿宋_GB2312"/>
                <w:color w:val="auto"/>
                <w:kern w:val="0"/>
                <w:sz w:val="24"/>
                <w:highlight w:val="none"/>
              </w:rPr>
            </w:pPr>
          </w:p>
        </w:tc>
        <w:tc>
          <w:tcPr>
            <w:tcW w:w="6095" w:type="dxa"/>
            <w:noWrap w:val="0"/>
            <w:vAlign w:val="center"/>
          </w:tcPr>
          <w:p w14:paraId="2E4CDC32">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积极申报创建综合保税区，坚持高起点规划、边申报边招商，加快土地收储进度，引进一批外向型、高层次、关联性强的进出口企业，推动产业集群成链、融合发展。</w:t>
            </w:r>
          </w:p>
        </w:tc>
        <w:tc>
          <w:tcPr>
            <w:tcW w:w="1559" w:type="dxa"/>
            <w:noWrap w:val="0"/>
            <w:vAlign w:val="center"/>
          </w:tcPr>
          <w:p w14:paraId="18F54614">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县科工</w:t>
            </w:r>
            <w:r>
              <w:rPr>
                <w:rFonts w:ascii="Times New Roman" w:hAnsi="Times New Roman" w:eastAsia="仿宋_GB2312"/>
                <w:color w:val="auto"/>
                <w:kern w:val="0"/>
                <w:sz w:val="24"/>
                <w:highlight w:val="none"/>
              </w:rPr>
              <w:t>局</w:t>
            </w:r>
          </w:p>
        </w:tc>
        <w:tc>
          <w:tcPr>
            <w:tcW w:w="3435" w:type="dxa"/>
            <w:noWrap w:val="0"/>
            <w:vAlign w:val="center"/>
          </w:tcPr>
          <w:p w14:paraId="02F0E893">
            <w:pPr>
              <w:widowControl/>
              <w:jc w:val="both"/>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olor w:val="auto"/>
                <w:kern w:val="0"/>
                <w:sz w:val="24"/>
                <w:highlight w:val="none"/>
                <w:lang w:val="en-US" w:eastAsia="zh-CN"/>
              </w:rPr>
              <w:t>县</w:t>
            </w:r>
            <w:r>
              <w:rPr>
                <w:rFonts w:hint="eastAsia" w:ascii="Times New Roman" w:hAnsi="Times New Roman" w:eastAsia="仿宋_GB2312"/>
                <w:color w:val="auto"/>
                <w:kern w:val="0"/>
                <w:sz w:val="24"/>
                <w:highlight w:val="none"/>
                <w:lang w:eastAsia="zh-CN"/>
              </w:rPr>
              <w:t>发改局</w:t>
            </w:r>
            <w:r>
              <w:rPr>
                <w:rFonts w:hint="eastAsia" w:ascii="Times New Roman" w:hAnsi="Times New Roman" w:eastAsia="仿宋_GB2312"/>
                <w:color w:val="auto"/>
                <w:kern w:val="0"/>
                <w:sz w:val="24"/>
                <w:highlight w:val="none"/>
              </w:rPr>
              <w:t>、</w:t>
            </w:r>
            <w:r>
              <w:rPr>
                <w:rFonts w:hint="eastAsia" w:ascii="Times New Roman" w:hAnsi="Times New Roman" w:eastAsia="仿宋_GB2312"/>
                <w:color w:val="auto"/>
                <w:kern w:val="0"/>
                <w:sz w:val="24"/>
                <w:highlight w:val="none"/>
                <w:lang w:eastAsia="zh-CN"/>
              </w:rPr>
              <w:t>市监局</w:t>
            </w:r>
            <w:r>
              <w:rPr>
                <w:rFonts w:hint="eastAsia" w:ascii="Times New Roman" w:hAnsi="Times New Roman" w:eastAsia="仿宋_GB2312"/>
                <w:color w:val="auto"/>
                <w:kern w:val="0"/>
                <w:sz w:val="24"/>
                <w:highlight w:val="none"/>
              </w:rPr>
              <w:t>、财政局、</w:t>
            </w:r>
            <w:r>
              <w:rPr>
                <w:rFonts w:hint="eastAsia" w:ascii="Times New Roman" w:hAnsi="Times New Roman" w:eastAsia="仿宋_GB2312"/>
                <w:color w:val="auto"/>
                <w:kern w:val="0"/>
                <w:sz w:val="24"/>
                <w:highlight w:val="none"/>
                <w:lang w:val="en-US" w:eastAsia="zh-CN"/>
              </w:rPr>
              <w:t>投资促进中心</w:t>
            </w:r>
            <w:r>
              <w:rPr>
                <w:rFonts w:hint="eastAsia" w:ascii="Times New Roman" w:hAnsi="Times New Roman" w:eastAsia="仿宋_GB2312"/>
                <w:color w:val="auto"/>
                <w:kern w:val="0"/>
                <w:sz w:val="24"/>
                <w:highlight w:val="none"/>
              </w:rPr>
              <w:t>、</w:t>
            </w:r>
            <w:r>
              <w:rPr>
                <w:rFonts w:hint="eastAsia" w:ascii="Times New Roman" w:hAnsi="Times New Roman" w:eastAsia="仿宋_GB2312"/>
                <w:color w:val="auto"/>
                <w:kern w:val="0"/>
                <w:sz w:val="24"/>
                <w:highlight w:val="none"/>
                <w:lang w:eastAsia="zh-CN"/>
              </w:rPr>
              <w:t>人社局</w:t>
            </w:r>
            <w:r>
              <w:rPr>
                <w:rFonts w:hint="eastAsia" w:ascii="Times New Roman" w:hAnsi="Times New Roman" w:eastAsia="仿宋_GB2312"/>
                <w:color w:val="auto"/>
                <w:kern w:val="0"/>
                <w:sz w:val="24"/>
                <w:highlight w:val="none"/>
              </w:rPr>
              <w:t>、自然资源局、</w:t>
            </w:r>
            <w:r>
              <w:rPr>
                <w:rFonts w:hint="eastAsia" w:ascii="Times New Roman" w:hAnsi="Times New Roman" w:eastAsia="仿宋_GB2312"/>
                <w:color w:val="auto"/>
                <w:kern w:val="0"/>
                <w:sz w:val="24"/>
                <w:highlight w:val="none"/>
                <w:lang w:eastAsia="zh-CN"/>
              </w:rPr>
              <w:t>交通运输局</w:t>
            </w:r>
            <w:r>
              <w:rPr>
                <w:rFonts w:hint="eastAsia" w:ascii="Times New Roman" w:hAnsi="Times New Roman" w:eastAsia="仿宋_GB2312"/>
                <w:color w:val="auto"/>
                <w:kern w:val="0"/>
                <w:sz w:val="24"/>
                <w:highlight w:val="none"/>
              </w:rPr>
              <w:t>、</w:t>
            </w:r>
            <w:r>
              <w:rPr>
                <w:rFonts w:hint="eastAsia" w:ascii="Times New Roman" w:hAnsi="Times New Roman" w:eastAsia="仿宋_GB2312"/>
                <w:color w:val="auto"/>
                <w:kern w:val="0"/>
                <w:sz w:val="24"/>
                <w:highlight w:val="none"/>
                <w:lang w:eastAsia="zh-CN"/>
              </w:rPr>
              <w:t>住建局</w:t>
            </w:r>
            <w:r>
              <w:rPr>
                <w:rFonts w:hint="eastAsia" w:ascii="Times New Roman" w:hAnsi="Times New Roman" w:eastAsia="仿宋_GB2312"/>
                <w:color w:val="auto"/>
                <w:kern w:val="0"/>
                <w:sz w:val="24"/>
                <w:highlight w:val="none"/>
              </w:rPr>
              <w:t>、</w:t>
            </w:r>
            <w:r>
              <w:rPr>
                <w:rFonts w:hint="eastAsia" w:ascii="Times New Roman" w:hAnsi="Times New Roman" w:eastAsia="仿宋_GB2312"/>
                <w:color w:val="auto"/>
                <w:kern w:val="0"/>
                <w:sz w:val="24"/>
                <w:highlight w:val="none"/>
                <w:lang w:eastAsia="zh-CN"/>
              </w:rPr>
              <w:t>卫健局</w:t>
            </w:r>
            <w:r>
              <w:rPr>
                <w:rFonts w:hint="eastAsia" w:ascii="Times New Roman" w:hAnsi="Times New Roman" w:eastAsia="仿宋_GB2312"/>
                <w:color w:val="auto"/>
                <w:kern w:val="0"/>
                <w:sz w:val="24"/>
                <w:highlight w:val="none"/>
              </w:rPr>
              <w:t>、教育局、文广旅体局、金融局、</w:t>
            </w:r>
            <w:r>
              <w:rPr>
                <w:rFonts w:hint="eastAsia" w:ascii="Times New Roman" w:hAnsi="Times New Roman" w:eastAsia="仿宋_GB2312"/>
                <w:color w:val="auto"/>
                <w:kern w:val="0"/>
                <w:sz w:val="24"/>
                <w:highlight w:val="none"/>
                <w:lang w:val="en-US" w:eastAsia="zh-CN"/>
              </w:rPr>
              <w:t>海城</w:t>
            </w:r>
            <w:r>
              <w:rPr>
                <w:rFonts w:hint="eastAsia" w:ascii="Times New Roman" w:hAnsi="Times New Roman" w:eastAsia="仿宋_GB2312"/>
                <w:color w:val="auto"/>
                <w:kern w:val="0"/>
                <w:sz w:val="24"/>
                <w:highlight w:val="none"/>
              </w:rPr>
              <w:t>海关，</w:t>
            </w:r>
            <w:r>
              <w:rPr>
                <w:rFonts w:ascii="Times New Roman" w:hAnsi="Times New Roman" w:eastAsia="仿宋_GB2312"/>
                <w:color w:val="auto"/>
                <w:kern w:val="0"/>
                <w:sz w:val="24"/>
                <w:highlight w:val="none"/>
              </w:rPr>
              <w:t>中国人民银行海丰县支行</w:t>
            </w:r>
            <w:r>
              <w:rPr>
                <w:rFonts w:hint="eastAsia" w:ascii="Times New Roman" w:hAnsi="Times New Roman" w:eastAsia="仿宋_GB2312"/>
                <w:color w:val="auto"/>
                <w:kern w:val="0"/>
                <w:sz w:val="24"/>
                <w:highlight w:val="none"/>
              </w:rPr>
              <w:t>、各银行机构</w:t>
            </w:r>
          </w:p>
        </w:tc>
      </w:tr>
      <w:tr w14:paraId="1FEF0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7" w:type="dxa"/>
            <w:noWrap w:val="0"/>
            <w:vAlign w:val="center"/>
          </w:tcPr>
          <w:p w14:paraId="32820C2E">
            <w:pPr>
              <w:widowControl/>
              <w:jc w:val="center"/>
              <w:rPr>
                <w:rFonts w:hint="eastAsia" w:ascii="Times New Roman" w:hAnsi="Times New Roman" w:eastAsia="仿宋_GB2312"/>
                <w:color w:val="auto"/>
                <w:kern w:val="0"/>
                <w:sz w:val="24"/>
                <w:highlight w:val="none"/>
                <w:lang w:eastAsia="zh-CN"/>
              </w:rPr>
            </w:pPr>
            <w:r>
              <w:rPr>
                <w:rFonts w:ascii="Times New Roman" w:hAnsi="Times New Roman" w:eastAsia="仿宋_GB2312"/>
                <w:color w:val="auto"/>
                <w:kern w:val="0"/>
                <w:sz w:val="24"/>
                <w:highlight w:val="none"/>
              </w:rPr>
              <w:t>6</w:t>
            </w:r>
            <w:r>
              <w:rPr>
                <w:rFonts w:hint="eastAsia" w:ascii="Times New Roman" w:hAnsi="Times New Roman" w:eastAsia="仿宋_GB2312"/>
                <w:color w:val="auto"/>
                <w:kern w:val="0"/>
                <w:sz w:val="24"/>
                <w:highlight w:val="none"/>
                <w:lang w:val="en-US" w:eastAsia="zh-CN"/>
              </w:rPr>
              <w:t>6</w:t>
            </w:r>
          </w:p>
        </w:tc>
        <w:tc>
          <w:tcPr>
            <w:tcW w:w="1559" w:type="dxa"/>
            <w:vMerge w:val="continue"/>
            <w:noWrap w:val="0"/>
            <w:vAlign w:val="center"/>
          </w:tcPr>
          <w:p w14:paraId="150549C8">
            <w:pPr>
              <w:widowControl/>
              <w:jc w:val="left"/>
              <w:rPr>
                <w:rFonts w:ascii="Times New Roman" w:hAnsi="Times New Roman" w:eastAsia="仿宋_GB2312"/>
                <w:color w:val="auto"/>
                <w:kern w:val="0"/>
                <w:sz w:val="24"/>
                <w:highlight w:val="none"/>
              </w:rPr>
            </w:pPr>
          </w:p>
        </w:tc>
        <w:tc>
          <w:tcPr>
            <w:tcW w:w="6095" w:type="dxa"/>
            <w:noWrap w:val="0"/>
            <w:vAlign w:val="center"/>
          </w:tcPr>
          <w:p w14:paraId="56CDA4D4">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分类施策创建自贸区联动发展区，推动先进制造业、现代服务业、海洋产业、数字经济联动发展。</w:t>
            </w:r>
          </w:p>
        </w:tc>
        <w:tc>
          <w:tcPr>
            <w:tcW w:w="1559" w:type="dxa"/>
            <w:noWrap w:val="0"/>
            <w:vAlign w:val="center"/>
          </w:tcPr>
          <w:p w14:paraId="6A05F31C">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县科工</w:t>
            </w:r>
            <w:r>
              <w:rPr>
                <w:rFonts w:ascii="Times New Roman" w:hAnsi="Times New Roman" w:eastAsia="仿宋_GB2312"/>
                <w:color w:val="auto"/>
                <w:kern w:val="0"/>
                <w:sz w:val="24"/>
                <w:highlight w:val="none"/>
              </w:rPr>
              <w:t>局</w:t>
            </w:r>
          </w:p>
        </w:tc>
        <w:tc>
          <w:tcPr>
            <w:tcW w:w="3435" w:type="dxa"/>
            <w:noWrap w:val="0"/>
            <w:vAlign w:val="center"/>
          </w:tcPr>
          <w:p w14:paraId="72207C0D">
            <w:pPr>
              <w:widowControl/>
              <w:jc w:val="both"/>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olor w:val="auto"/>
                <w:kern w:val="0"/>
                <w:sz w:val="24"/>
                <w:highlight w:val="none"/>
                <w:lang w:val="en-US" w:eastAsia="zh-CN"/>
              </w:rPr>
              <w:t>投资促进中心</w:t>
            </w:r>
            <w:r>
              <w:rPr>
                <w:rFonts w:hint="eastAsia" w:ascii="Times New Roman" w:hAnsi="Times New Roman" w:eastAsia="仿宋_GB2312" w:cs="Times New Roman"/>
                <w:color w:val="auto"/>
                <w:kern w:val="0"/>
                <w:sz w:val="24"/>
                <w:szCs w:val="24"/>
                <w:highlight w:val="none"/>
              </w:rPr>
              <w:t>、政数局、自然资源局</w:t>
            </w:r>
          </w:p>
        </w:tc>
      </w:tr>
      <w:tr w14:paraId="40270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7" w:type="dxa"/>
            <w:noWrap w:val="0"/>
            <w:vAlign w:val="center"/>
          </w:tcPr>
          <w:p w14:paraId="54B54430">
            <w:pPr>
              <w:widowControl/>
              <w:jc w:val="center"/>
              <w:rPr>
                <w:rFonts w:hint="eastAsia" w:ascii="Times New Roman" w:hAnsi="Times New Roman" w:eastAsia="仿宋_GB2312"/>
                <w:color w:val="auto"/>
                <w:kern w:val="0"/>
                <w:sz w:val="24"/>
                <w:highlight w:val="none"/>
                <w:lang w:eastAsia="zh-CN"/>
              </w:rPr>
            </w:pPr>
            <w:r>
              <w:rPr>
                <w:rFonts w:ascii="Times New Roman" w:hAnsi="Times New Roman" w:eastAsia="仿宋_GB2312"/>
                <w:color w:val="auto"/>
                <w:kern w:val="0"/>
                <w:sz w:val="24"/>
                <w:highlight w:val="none"/>
              </w:rPr>
              <w:t>6</w:t>
            </w:r>
            <w:r>
              <w:rPr>
                <w:rFonts w:hint="eastAsia" w:ascii="Times New Roman" w:hAnsi="Times New Roman" w:eastAsia="仿宋_GB2312"/>
                <w:color w:val="auto"/>
                <w:kern w:val="0"/>
                <w:sz w:val="24"/>
                <w:highlight w:val="none"/>
                <w:lang w:val="en-US" w:eastAsia="zh-CN"/>
              </w:rPr>
              <w:t>7</w:t>
            </w:r>
          </w:p>
        </w:tc>
        <w:tc>
          <w:tcPr>
            <w:tcW w:w="1559" w:type="dxa"/>
            <w:vMerge w:val="continue"/>
            <w:noWrap w:val="0"/>
            <w:vAlign w:val="center"/>
          </w:tcPr>
          <w:p w14:paraId="496DB727">
            <w:pPr>
              <w:widowControl/>
              <w:jc w:val="left"/>
              <w:rPr>
                <w:rFonts w:ascii="Times New Roman" w:hAnsi="Times New Roman" w:eastAsia="仿宋_GB2312"/>
                <w:color w:val="auto"/>
                <w:kern w:val="0"/>
                <w:sz w:val="24"/>
                <w:highlight w:val="none"/>
              </w:rPr>
            </w:pPr>
          </w:p>
        </w:tc>
        <w:tc>
          <w:tcPr>
            <w:tcW w:w="6095" w:type="dxa"/>
            <w:noWrap w:val="0"/>
            <w:vAlign w:val="center"/>
          </w:tcPr>
          <w:p w14:paraId="7EAC554D">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提高境外投资备案办理效率，创新境外投资事中事后监管。</w:t>
            </w:r>
          </w:p>
        </w:tc>
        <w:tc>
          <w:tcPr>
            <w:tcW w:w="1559" w:type="dxa"/>
            <w:noWrap w:val="0"/>
            <w:vAlign w:val="center"/>
          </w:tcPr>
          <w:p w14:paraId="77FAE91C">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县科工</w:t>
            </w:r>
            <w:r>
              <w:rPr>
                <w:rFonts w:ascii="Times New Roman" w:hAnsi="Times New Roman" w:eastAsia="仿宋_GB2312"/>
                <w:color w:val="auto"/>
                <w:kern w:val="0"/>
                <w:sz w:val="24"/>
                <w:highlight w:val="none"/>
              </w:rPr>
              <w:t>局</w:t>
            </w:r>
          </w:p>
        </w:tc>
        <w:tc>
          <w:tcPr>
            <w:tcW w:w="3435" w:type="dxa"/>
            <w:noWrap w:val="0"/>
            <w:vAlign w:val="center"/>
          </w:tcPr>
          <w:p w14:paraId="148EF729">
            <w:pPr>
              <w:widowControl/>
              <w:jc w:val="both"/>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3E07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677" w:type="dxa"/>
            <w:noWrap w:val="0"/>
            <w:vAlign w:val="center"/>
          </w:tcPr>
          <w:p w14:paraId="75BC8DDE">
            <w:pPr>
              <w:widowControl/>
              <w:jc w:val="center"/>
              <w:rPr>
                <w:rFonts w:hint="eastAsia" w:ascii="Times New Roman" w:hAnsi="Times New Roman" w:eastAsia="仿宋_GB2312"/>
                <w:color w:val="auto"/>
                <w:kern w:val="0"/>
                <w:sz w:val="24"/>
                <w:highlight w:val="none"/>
                <w:lang w:eastAsia="zh-CN"/>
              </w:rPr>
            </w:pPr>
            <w:r>
              <w:rPr>
                <w:rFonts w:hint="eastAsia" w:ascii="Times New Roman" w:hAnsi="Times New Roman" w:eastAsia="仿宋_GB2312"/>
                <w:color w:val="auto"/>
                <w:kern w:val="0"/>
                <w:sz w:val="24"/>
                <w:highlight w:val="none"/>
                <w:lang w:val="en-US" w:eastAsia="zh-CN"/>
              </w:rPr>
              <w:t>68</w:t>
            </w:r>
          </w:p>
        </w:tc>
        <w:tc>
          <w:tcPr>
            <w:tcW w:w="1559" w:type="dxa"/>
            <w:vMerge w:val="continue"/>
            <w:noWrap w:val="0"/>
            <w:vAlign w:val="center"/>
          </w:tcPr>
          <w:p w14:paraId="5A377C7D">
            <w:pPr>
              <w:widowControl/>
              <w:jc w:val="left"/>
              <w:rPr>
                <w:rFonts w:ascii="Times New Roman" w:hAnsi="Times New Roman" w:eastAsia="仿宋_GB2312"/>
                <w:color w:val="auto"/>
                <w:kern w:val="0"/>
                <w:sz w:val="24"/>
                <w:highlight w:val="none"/>
              </w:rPr>
            </w:pPr>
          </w:p>
        </w:tc>
        <w:tc>
          <w:tcPr>
            <w:tcW w:w="6095" w:type="dxa"/>
            <w:noWrap w:val="0"/>
            <w:vAlign w:val="center"/>
          </w:tcPr>
          <w:p w14:paraId="1529C16F">
            <w:pPr>
              <w:widowControl/>
              <w:jc w:val="left"/>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配合市</w:t>
            </w:r>
            <w:r>
              <w:rPr>
                <w:rFonts w:ascii="Times New Roman" w:hAnsi="Times New Roman" w:eastAsia="仿宋_GB2312"/>
                <w:color w:val="auto"/>
                <w:kern w:val="0"/>
                <w:sz w:val="24"/>
                <w:highlight w:val="none"/>
              </w:rPr>
              <w:t>探索专业服务领域国际人才过往资历认可机制，支持市场主体引进海外高层次人才。对引进符合条件的留学归国人才、港澳台专业人才，在医疗、社保、落户、税收、住房、子女入学等方面提供支持，为海外人才停留居留、往返签证、出入境通关提供便利。</w:t>
            </w:r>
          </w:p>
        </w:tc>
        <w:tc>
          <w:tcPr>
            <w:tcW w:w="1559" w:type="dxa"/>
            <w:noWrap w:val="0"/>
            <w:vAlign w:val="center"/>
          </w:tcPr>
          <w:p w14:paraId="48301744">
            <w:pPr>
              <w:keepNext w:val="0"/>
              <w:keepLines w:val="0"/>
              <w:widowControl/>
              <w:suppressLineNumbers w:val="0"/>
              <w:jc w:val="center"/>
              <w:textAlignment w:val="center"/>
              <w:rPr>
                <w:rFonts w:ascii="Times New Roman" w:hAnsi="Times New Roman" w:eastAsia="仿宋_GB2312"/>
                <w:color w:val="auto"/>
                <w:kern w:val="0"/>
                <w:sz w:val="24"/>
                <w:highlight w:val="none"/>
              </w:rPr>
            </w:pPr>
            <w:r>
              <w:rPr>
                <w:rFonts w:hint="default" w:ascii="Times New Roman" w:hAnsi="Times New Roman" w:eastAsia="仿宋_GB2312"/>
                <w:color w:val="auto"/>
                <w:kern w:val="0"/>
                <w:sz w:val="24"/>
                <w:highlight w:val="none"/>
                <w:lang w:val="en-US" w:eastAsia="zh-CN"/>
              </w:rPr>
              <w:t>县</w:t>
            </w:r>
            <w:r>
              <w:rPr>
                <w:rFonts w:hint="eastAsia" w:ascii="Times New Roman" w:hAnsi="Times New Roman" w:eastAsia="仿宋_GB2312"/>
                <w:color w:val="auto"/>
                <w:kern w:val="0"/>
                <w:sz w:val="24"/>
                <w:highlight w:val="none"/>
                <w:lang w:val="en-US" w:eastAsia="zh-CN"/>
              </w:rPr>
              <w:t>科工</w:t>
            </w:r>
            <w:r>
              <w:rPr>
                <w:rFonts w:hint="eastAsia" w:ascii="仿宋_GB2312" w:hAnsi="等线" w:eastAsia="仿宋_GB2312" w:cs="仿宋_GB2312"/>
                <w:i w:val="0"/>
                <w:color w:val="auto"/>
                <w:kern w:val="0"/>
                <w:sz w:val="24"/>
                <w:szCs w:val="24"/>
                <w:highlight w:val="none"/>
                <w:u w:val="none"/>
                <w:lang w:val="en-US" w:eastAsia="zh-CN" w:bidi="ar"/>
              </w:rPr>
              <w:t>局、</w:t>
            </w:r>
            <w:r>
              <w:rPr>
                <w:rFonts w:hint="default" w:ascii="Times New Roman" w:hAnsi="Times New Roman" w:eastAsia="仿宋_GB2312"/>
                <w:color w:val="auto"/>
                <w:kern w:val="0"/>
                <w:sz w:val="24"/>
                <w:highlight w:val="none"/>
                <w:lang w:val="en-US" w:eastAsia="zh-CN"/>
              </w:rPr>
              <w:t>人社局</w:t>
            </w:r>
          </w:p>
        </w:tc>
        <w:tc>
          <w:tcPr>
            <w:tcW w:w="3435" w:type="dxa"/>
            <w:noWrap w:val="0"/>
            <w:vAlign w:val="center"/>
          </w:tcPr>
          <w:p w14:paraId="6DF66C0D">
            <w:pPr>
              <w:widowControl/>
              <w:jc w:val="both"/>
              <w:textAlignment w:val="center"/>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olor w:val="auto"/>
                <w:kern w:val="0"/>
                <w:sz w:val="24"/>
                <w:highlight w:val="none"/>
                <w:lang w:val="en-US" w:eastAsia="zh-CN"/>
              </w:rPr>
              <w:t>县</w:t>
            </w:r>
            <w:r>
              <w:rPr>
                <w:rFonts w:hint="eastAsia" w:ascii="仿宋_GB2312" w:hAnsi="等线" w:eastAsia="仿宋_GB2312" w:cs="仿宋_GB2312"/>
                <w:i w:val="0"/>
                <w:color w:val="auto"/>
                <w:kern w:val="0"/>
                <w:sz w:val="24"/>
                <w:szCs w:val="24"/>
                <w:highlight w:val="none"/>
                <w:u w:val="none"/>
                <w:lang w:val="en-US" w:eastAsia="zh-CN" w:bidi="ar"/>
              </w:rPr>
              <w:t>医保局、公安局、税务局、住建局、教育局</w:t>
            </w:r>
          </w:p>
        </w:tc>
      </w:tr>
      <w:tr w14:paraId="6CB0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325" w:type="dxa"/>
            <w:gridSpan w:val="5"/>
            <w:noWrap w:val="0"/>
            <w:vAlign w:val="center"/>
          </w:tcPr>
          <w:p w14:paraId="5B98DA64">
            <w:pPr>
              <w:widowControl/>
              <w:jc w:val="left"/>
              <w:rPr>
                <w:rFonts w:ascii="Times New Roman" w:hAnsi="Times New Roman"/>
                <w:color w:val="auto"/>
                <w:kern w:val="0"/>
                <w:sz w:val="24"/>
                <w:highlight w:val="none"/>
              </w:rPr>
            </w:pPr>
            <w:r>
              <w:rPr>
                <w:rFonts w:ascii="Times New Roman" w:hAnsi="Times New Roman"/>
                <w:color w:val="auto"/>
                <w:kern w:val="0"/>
                <w:sz w:val="24"/>
                <w:highlight w:val="none"/>
              </w:rPr>
              <w:t>二、营造便捷高效的一流政务环境</w:t>
            </w:r>
          </w:p>
        </w:tc>
      </w:tr>
      <w:tr w14:paraId="57A7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677" w:type="dxa"/>
            <w:noWrap w:val="0"/>
            <w:vAlign w:val="center"/>
          </w:tcPr>
          <w:p w14:paraId="1E496EAC">
            <w:pPr>
              <w:widowControl/>
              <w:jc w:val="center"/>
              <w:rPr>
                <w:rFonts w:hint="default" w:ascii="Times New Roman" w:hAnsi="Times New Roman" w:eastAsia="仿宋_GB2312"/>
                <w:color w:val="auto"/>
                <w:kern w:val="0"/>
                <w:sz w:val="24"/>
                <w:highlight w:val="none"/>
                <w:lang w:val="en-US" w:eastAsia="zh-CN"/>
              </w:rPr>
            </w:pPr>
            <w:r>
              <w:rPr>
                <w:rFonts w:hint="eastAsia" w:ascii="Times New Roman" w:hAnsi="Times New Roman" w:eastAsia="仿宋_GB2312"/>
                <w:color w:val="auto"/>
                <w:kern w:val="0"/>
                <w:sz w:val="24"/>
                <w:highlight w:val="none"/>
                <w:lang w:val="en-US" w:eastAsia="zh-CN"/>
              </w:rPr>
              <w:t>69</w:t>
            </w:r>
          </w:p>
        </w:tc>
        <w:tc>
          <w:tcPr>
            <w:tcW w:w="1559" w:type="dxa"/>
            <w:vMerge w:val="restart"/>
            <w:noWrap w:val="0"/>
            <w:vAlign w:val="center"/>
          </w:tcPr>
          <w:p w14:paraId="3FA4CB90">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深化“六个通办”</w:t>
            </w:r>
          </w:p>
        </w:tc>
        <w:tc>
          <w:tcPr>
            <w:tcW w:w="6095" w:type="dxa"/>
            <w:noWrap w:val="0"/>
            <w:vAlign w:val="center"/>
          </w:tcPr>
          <w:p w14:paraId="58DBDDD6">
            <w:pPr>
              <w:widowControl/>
              <w:jc w:val="left"/>
              <w:rPr>
                <w:rFonts w:ascii="Times New Roman" w:hAnsi="Times New Roman" w:eastAsia="仿宋_GB2312"/>
                <w:color w:val="auto"/>
                <w:kern w:val="0"/>
                <w:sz w:val="24"/>
                <w:highlight w:val="none"/>
              </w:rPr>
            </w:pPr>
            <w:r>
              <w:rPr>
                <w:rFonts w:hint="default" w:ascii="Times New Roman" w:hAnsi="Times New Roman" w:eastAsia="仿宋_GB2312" w:cs="Times New Roman"/>
                <w:color w:val="auto"/>
                <w:kern w:val="0"/>
                <w:sz w:val="24"/>
                <w:szCs w:val="24"/>
                <w:highlight w:val="none"/>
              </w:rPr>
              <w:t>完善</w:t>
            </w:r>
            <w:r>
              <w:rPr>
                <w:rFonts w:hint="default" w:ascii="Times New Roman" w:hAnsi="Times New Roman" w:eastAsia="仿宋_GB2312" w:cs="Times New Roman"/>
                <w:color w:val="auto"/>
                <w:kern w:val="0"/>
                <w:sz w:val="24"/>
                <w:szCs w:val="24"/>
                <w:highlight w:val="none"/>
                <w:lang w:val="en-US" w:eastAsia="zh-CN"/>
              </w:rPr>
              <w:t>政务服务</w:t>
            </w:r>
            <w:r>
              <w:rPr>
                <w:rFonts w:hint="default" w:ascii="Times New Roman" w:hAnsi="Times New Roman" w:eastAsia="仿宋_GB2312" w:cs="Times New Roman"/>
                <w:color w:val="auto"/>
                <w:kern w:val="0"/>
                <w:sz w:val="24"/>
                <w:szCs w:val="24"/>
                <w:highlight w:val="none"/>
              </w:rPr>
              <w:t>大厅</w:t>
            </w:r>
            <w:r>
              <w:rPr>
                <w:rFonts w:hint="default" w:ascii="Times New Roman" w:hAnsi="Times New Roman" w:eastAsia="仿宋_GB2312" w:cs="Times New Roman"/>
                <w:color w:val="auto"/>
                <w:kern w:val="0"/>
                <w:sz w:val="24"/>
                <w:szCs w:val="24"/>
                <w:highlight w:val="none"/>
                <w:lang w:val="en-US" w:eastAsia="zh-CN"/>
              </w:rPr>
              <w:t>建设</w:t>
            </w:r>
            <w:r>
              <w:rPr>
                <w:rFonts w:ascii="Times New Roman" w:hAnsi="Times New Roman" w:eastAsia="仿宋_GB2312"/>
                <w:color w:val="auto"/>
                <w:kern w:val="0"/>
                <w:sz w:val="24"/>
                <w:highlight w:val="none"/>
              </w:rPr>
              <w:t>，推进“四统一”进一步延伸，规范审批进驻管理。</w:t>
            </w:r>
          </w:p>
        </w:tc>
        <w:tc>
          <w:tcPr>
            <w:tcW w:w="1559" w:type="dxa"/>
            <w:noWrap w:val="0"/>
            <w:vAlign w:val="center"/>
          </w:tcPr>
          <w:p w14:paraId="2E24C8C0">
            <w:pPr>
              <w:widowControl/>
              <w:jc w:val="left"/>
              <w:rPr>
                <w:rFonts w:hint="default" w:ascii="Times New Roman" w:hAnsi="Times New Roman" w:eastAsia="仿宋_GB2312"/>
                <w:color w:val="auto"/>
                <w:kern w:val="0"/>
                <w:sz w:val="24"/>
                <w:highlight w:val="none"/>
                <w:lang w:val="en-US" w:eastAsia="zh-CN"/>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政数局</w:t>
            </w:r>
            <w:r>
              <w:rPr>
                <w:rFonts w:hint="eastAsia" w:ascii="Times New Roman" w:hAnsi="Times New Roman" w:eastAsia="仿宋_GB2312"/>
                <w:color w:val="auto"/>
                <w:kern w:val="0"/>
                <w:sz w:val="24"/>
                <w:highlight w:val="none"/>
                <w:lang w:eastAsia="zh-CN"/>
              </w:rPr>
              <w:t>、</w:t>
            </w:r>
            <w:r>
              <w:rPr>
                <w:rFonts w:hint="eastAsia" w:ascii="Times New Roman" w:hAnsi="Times New Roman" w:eastAsia="仿宋_GB2312"/>
                <w:color w:val="auto"/>
                <w:kern w:val="0"/>
                <w:sz w:val="24"/>
                <w:highlight w:val="none"/>
                <w:lang w:val="en-US" w:eastAsia="zh-CN"/>
              </w:rPr>
              <w:t>县政务服务中心</w:t>
            </w:r>
          </w:p>
        </w:tc>
        <w:tc>
          <w:tcPr>
            <w:tcW w:w="3435" w:type="dxa"/>
            <w:noWrap w:val="0"/>
            <w:vAlign w:val="center"/>
          </w:tcPr>
          <w:p w14:paraId="6094B416">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28CFD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77" w:type="dxa"/>
            <w:noWrap w:val="0"/>
            <w:vAlign w:val="center"/>
          </w:tcPr>
          <w:p w14:paraId="5D55E32B">
            <w:pPr>
              <w:widowControl/>
              <w:jc w:val="center"/>
              <w:rPr>
                <w:rFonts w:hint="eastAsia" w:ascii="Times New Roman" w:hAnsi="Times New Roman" w:eastAsia="仿宋_GB2312"/>
                <w:color w:val="auto"/>
                <w:kern w:val="0"/>
                <w:sz w:val="24"/>
                <w:highlight w:val="none"/>
                <w:lang w:eastAsia="zh-CN"/>
              </w:rPr>
            </w:pPr>
            <w:r>
              <w:rPr>
                <w:rFonts w:ascii="Times New Roman" w:hAnsi="Times New Roman" w:eastAsia="仿宋_GB2312"/>
                <w:color w:val="auto"/>
                <w:kern w:val="0"/>
                <w:sz w:val="24"/>
                <w:highlight w:val="none"/>
              </w:rPr>
              <w:t>7</w:t>
            </w:r>
            <w:r>
              <w:rPr>
                <w:rFonts w:hint="eastAsia" w:ascii="Times New Roman" w:hAnsi="Times New Roman" w:eastAsia="仿宋_GB2312"/>
                <w:color w:val="auto"/>
                <w:kern w:val="0"/>
                <w:sz w:val="24"/>
                <w:highlight w:val="none"/>
                <w:lang w:val="en-US" w:eastAsia="zh-CN"/>
              </w:rPr>
              <w:t>0</w:t>
            </w:r>
          </w:p>
        </w:tc>
        <w:tc>
          <w:tcPr>
            <w:tcW w:w="1559" w:type="dxa"/>
            <w:vMerge w:val="continue"/>
            <w:noWrap w:val="0"/>
            <w:vAlign w:val="center"/>
          </w:tcPr>
          <w:p w14:paraId="670437CA">
            <w:pPr>
              <w:widowControl/>
              <w:jc w:val="left"/>
              <w:rPr>
                <w:rFonts w:ascii="Times New Roman" w:hAnsi="Times New Roman" w:eastAsia="仿宋_GB2312"/>
                <w:color w:val="auto"/>
                <w:kern w:val="0"/>
                <w:sz w:val="24"/>
                <w:highlight w:val="none"/>
              </w:rPr>
            </w:pPr>
          </w:p>
        </w:tc>
        <w:tc>
          <w:tcPr>
            <w:tcW w:w="6095" w:type="dxa"/>
            <w:noWrap w:val="0"/>
            <w:vAlign w:val="center"/>
          </w:tcPr>
          <w:p w14:paraId="6A5C9CE8">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推动政府服务自助机自助服务实现全市行政村100%全覆盖，打造高质量的公共服务体系，构建“15分钟公共服务圈”，方便群众在家门口就近办理。</w:t>
            </w:r>
          </w:p>
        </w:tc>
        <w:tc>
          <w:tcPr>
            <w:tcW w:w="1559" w:type="dxa"/>
            <w:noWrap w:val="0"/>
            <w:vAlign w:val="center"/>
          </w:tcPr>
          <w:p w14:paraId="1B2EEC0F">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政数局、</w:t>
            </w:r>
            <w:r>
              <w:rPr>
                <w:rFonts w:hint="eastAsia" w:ascii="Times New Roman" w:hAnsi="Times New Roman" w:eastAsia="仿宋_GB2312"/>
                <w:color w:val="auto"/>
                <w:kern w:val="0"/>
                <w:sz w:val="24"/>
                <w:highlight w:val="none"/>
                <w:lang w:val="en-US" w:eastAsia="zh-CN"/>
              </w:rPr>
              <w:t>海丰</w:t>
            </w:r>
            <w:r>
              <w:rPr>
                <w:rFonts w:ascii="Times New Roman" w:hAnsi="Times New Roman" w:eastAsia="仿宋_GB2312"/>
                <w:color w:val="auto"/>
                <w:kern w:val="0"/>
                <w:sz w:val="24"/>
                <w:highlight w:val="none"/>
              </w:rPr>
              <w:t>农商行</w:t>
            </w:r>
          </w:p>
        </w:tc>
        <w:tc>
          <w:tcPr>
            <w:tcW w:w="3435" w:type="dxa"/>
            <w:noWrap w:val="0"/>
            <w:vAlign w:val="center"/>
          </w:tcPr>
          <w:p w14:paraId="60E409CE">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5E24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7" w:type="dxa"/>
            <w:noWrap w:val="0"/>
            <w:vAlign w:val="center"/>
          </w:tcPr>
          <w:p w14:paraId="79DE1460">
            <w:pPr>
              <w:widowControl/>
              <w:jc w:val="center"/>
              <w:rPr>
                <w:rFonts w:hint="eastAsia" w:ascii="Times New Roman" w:hAnsi="Times New Roman" w:eastAsia="仿宋_GB2312"/>
                <w:color w:val="auto"/>
                <w:kern w:val="0"/>
                <w:sz w:val="24"/>
                <w:highlight w:val="none"/>
                <w:lang w:val="en-US" w:eastAsia="zh-CN"/>
              </w:rPr>
            </w:pPr>
            <w:r>
              <w:rPr>
                <w:rFonts w:hint="default" w:ascii="Times New Roman" w:hAnsi="Times New Roman" w:eastAsia="仿宋_GB2312"/>
                <w:color w:val="auto"/>
                <w:kern w:val="0"/>
                <w:sz w:val="24"/>
                <w:highlight w:val="none"/>
                <w:lang w:val="en-US"/>
              </w:rPr>
              <w:t>7</w:t>
            </w:r>
            <w:r>
              <w:rPr>
                <w:rFonts w:hint="eastAsia" w:ascii="Times New Roman" w:hAnsi="Times New Roman" w:eastAsia="仿宋_GB2312"/>
                <w:color w:val="auto"/>
                <w:kern w:val="0"/>
                <w:sz w:val="24"/>
                <w:highlight w:val="none"/>
                <w:lang w:val="en-US" w:eastAsia="zh-CN"/>
              </w:rPr>
              <w:t>1</w:t>
            </w:r>
          </w:p>
        </w:tc>
        <w:tc>
          <w:tcPr>
            <w:tcW w:w="1559" w:type="dxa"/>
            <w:vMerge w:val="continue"/>
            <w:noWrap w:val="0"/>
            <w:vAlign w:val="center"/>
          </w:tcPr>
          <w:p w14:paraId="63C545C8">
            <w:pPr>
              <w:widowControl/>
              <w:jc w:val="left"/>
              <w:rPr>
                <w:rFonts w:ascii="Times New Roman" w:hAnsi="Times New Roman" w:eastAsia="仿宋_GB2312"/>
                <w:color w:val="auto"/>
                <w:kern w:val="0"/>
                <w:sz w:val="24"/>
                <w:highlight w:val="none"/>
              </w:rPr>
            </w:pPr>
          </w:p>
        </w:tc>
        <w:tc>
          <w:tcPr>
            <w:tcW w:w="6095" w:type="dxa"/>
            <w:noWrap w:val="0"/>
            <w:vAlign w:val="center"/>
          </w:tcPr>
          <w:p w14:paraId="476F701C">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建立网上办事指南动态管理制度，推动各地各有关单位校准事项实施清单要素内容，修正各政务服务事项办理条件、流程等关键信息，着力规范各政务服务事项网上办事指南。</w:t>
            </w:r>
          </w:p>
        </w:tc>
        <w:tc>
          <w:tcPr>
            <w:tcW w:w="1559" w:type="dxa"/>
            <w:noWrap w:val="0"/>
            <w:vAlign w:val="center"/>
          </w:tcPr>
          <w:p w14:paraId="69385004">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政数局</w:t>
            </w:r>
          </w:p>
        </w:tc>
        <w:tc>
          <w:tcPr>
            <w:tcW w:w="3435" w:type="dxa"/>
            <w:noWrap w:val="0"/>
            <w:vAlign w:val="center"/>
          </w:tcPr>
          <w:p w14:paraId="31D668D9">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46BE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677" w:type="dxa"/>
            <w:noWrap w:val="0"/>
            <w:vAlign w:val="center"/>
          </w:tcPr>
          <w:p w14:paraId="685D68FA">
            <w:pPr>
              <w:widowControl/>
              <w:jc w:val="center"/>
              <w:rPr>
                <w:rFonts w:hint="eastAsia" w:ascii="Times New Roman" w:hAnsi="Times New Roman" w:eastAsia="仿宋_GB2312"/>
                <w:color w:val="auto"/>
                <w:kern w:val="0"/>
                <w:sz w:val="24"/>
                <w:highlight w:val="none"/>
                <w:lang w:val="en-US" w:eastAsia="zh-CN"/>
              </w:rPr>
            </w:pPr>
            <w:r>
              <w:rPr>
                <w:rFonts w:hint="default" w:ascii="Times New Roman" w:hAnsi="Times New Roman" w:eastAsia="仿宋_GB2312"/>
                <w:color w:val="auto"/>
                <w:kern w:val="0"/>
                <w:sz w:val="24"/>
                <w:highlight w:val="none"/>
                <w:lang w:val="en-US"/>
              </w:rPr>
              <w:t>7</w:t>
            </w:r>
            <w:r>
              <w:rPr>
                <w:rFonts w:hint="eastAsia" w:ascii="Times New Roman" w:hAnsi="Times New Roman" w:eastAsia="仿宋_GB2312"/>
                <w:color w:val="auto"/>
                <w:kern w:val="0"/>
                <w:sz w:val="24"/>
                <w:highlight w:val="none"/>
                <w:lang w:val="en-US" w:eastAsia="zh-CN"/>
              </w:rPr>
              <w:t>2</w:t>
            </w:r>
          </w:p>
        </w:tc>
        <w:tc>
          <w:tcPr>
            <w:tcW w:w="1559" w:type="dxa"/>
            <w:vMerge w:val="continue"/>
            <w:noWrap w:val="0"/>
            <w:vAlign w:val="center"/>
          </w:tcPr>
          <w:p w14:paraId="1B5B5546">
            <w:pPr>
              <w:widowControl/>
              <w:jc w:val="left"/>
              <w:rPr>
                <w:rFonts w:ascii="Times New Roman" w:hAnsi="Times New Roman" w:eastAsia="仿宋_GB2312"/>
                <w:color w:val="auto"/>
                <w:kern w:val="0"/>
                <w:sz w:val="24"/>
                <w:highlight w:val="none"/>
              </w:rPr>
            </w:pPr>
          </w:p>
        </w:tc>
        <w:tc>
          <w:tcPr>
            <w:tcW w:w="6095" w:type="dxa"/>
            <w:noWrap w:val="0"/>
            <w:vAlign w:val="center"/>
          </w:tcPr>
          <w:p w14:paraId="607BA7FA">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深入推进政务服务全市通办，2022年底前深化政务服务事项标准化，实现政务事项100%标准统一、网上可办，探索“全市通办”服务向基层延伸。</w:t>
            </w:r>
          </w:p>
        </w:tc>
        <w:tc>
          <w:tcPr>
            <w:tcW w:w="1559" w:type="dxa"/>
            <w:noWrap w:val="0"/>
            <w:vAlign w:val="center"/>
          </w:tcPr>
          <w:p w14:paraId="7BBF7958">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政数局</w:t>
            </w:r>
          </w:p>
        </w:tc>
        <w:tc>
          <w:tcPr>
            <w:tcW w:w="3435" w:type="dxa"/>
            <w:noWrap w:val="0"/>
            <w:vAlign w:val="center"/>
          </w:tcPr>
          <w:p w14:paraId="38448C20">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0F575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77" w:type="dxa"/>
            <w:noWrap w:val="0"/>
            <w:vAlign w:val="center"/>
          </w:tcPr>
          <w:p w14:paraId="70432636">
            <w:pPr>
              <w:widowControl/>
              <w:jc w:val="center"/>
              <w:rPr>
                <w:rFonts w:hint="eastAsia" w:ascii="Times New Roman" w:hAnsi="Times New Roman" w:eastAsia="仿宋_GB2312"/>
                <w:color w:val="auto"/>
                <w:kern w:val="0"/>
                <w:sz w:val="24"/>
                <w:highlight w:val="none"/>
                <w:lang w:val="en-US" w:eastAsia="zh-CN"/>
              </w:rPr>
            </w:pPr>
            <w:r>
              <w:rPr>
                <w:rFonts w:hint="default" w:ascii="Times New Roman" w:hAnsi="Times New Roman" w:eastAsia="仿宋_GB2312"/>
                <w:color w:val="auto"/>
                <w:kern w:val="0"/>
                <w:sz w:val="24"/>
                <w:highlight w:val="none"/>
                <w:lang w:val="en-US"/>
              </w:rPr>
              <w:t>7</w:t>
            </w:r>
            <w:r>
              <w:rPr>
                <w:rFonts w:hint="eastAsia" w:ascii="Times New Roman" w:hAnsi="Times New Roman" w:eastAsia="仿宋_GB2312"/>
                <w:color w:val="auto"/>
                <w:kern w:val="0"/>
                <w:sz w:val="24"/>
                <w:highlight w:val="none"/>
                <w:lang w:val="en-US" w:eastAsia="zh-CN"/>
              </w:rPr>
              <w:t>3</w:t>
            </w:r>
          </w:p>
        </w:tc>
        <w:tc>
          <w:tcPr>
            <w:tcW w:w="1559" w:type="dxa"/>
            <w:vMerge w:val="continue"/>
            <w:noWrap w:val="0"/>
            <w:vAlign w:val="center"/>
          </w:tcPr>
          <w:p w14:paraId="48530EFA">
            <w:pPr>
              <w:widowControl/>
              <w:jc w:val="left"/>
              <w:rPr>
                <w:rFonts w:ascii="Times New Roman" w:hAnsi="Times New Roman" w:eastAsia="仿宋_GB2312"/>
                <w:color w:val="auto"/>
                <w:kern w:val="0"/>
                <w:sz w:val="24"/>
                <w:highlight w:val="none"/>
              </w:rPr>
            </w:pPr>
          </w:p>
        </w:tc>
        <w:tc>
          <w:tcPr>
            <w:tcW w:w="6095" w:type="dxa"/>
            <w:noWrap w:val="0"/>
            <w:vAlign w:val="center"/>
          </w:tcPr>
          <w:p w14:paraId="00A2D26F">
            <w:pPr>
              <w:widowControl/>
              <w:jc w:val="left"/>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配合市完成</w:t>
            </w:r>
            <w:r>
              <w:rPr>
                <w:rFonts w:ascii="Times New Roman" w:hAnsi="Times New Roman" w:eastAsia="仿宋_GB2312"/>
                <w:color w:val="auto"/>
                <w:kern w:val="0"/>
                <w:sz w:val="24"/>
                <w:highlight w:val="none"/>
              </w:rPr>
              <w:t>“省内通办”</w:t>
            </w:r>
            <w:r>
              <w:rPr>
                <w:rFonts w:hint="eastAsia" w:ascii="Times New Roman" w:hAnsi="Times New Roman" w:eastAsia="仿宋_GB2312"/>
                <w:color w:val="auto"/>
                <w:kern w:val="0"/>
                <w:sz w:val="24"/>
                <w:highlight w:val="none"/>
                <w:lang w:val="en-US" w:eastAsia="zh-CN"/>
              </w:rPr>
              <w:t>工作落地</w:t>
            </w:r>
            <w:r>
              <w:rPr>
                <w:rFonts w:ascii="Times New Roman" w:hAnsi="Times New Roman" w:eastAsia="仿宋_GB2312"/>
                <w:color w:val="auto"/>
                <w:kern w:val="0"/>
                <w:sz w:val="24"/>
                <w:highlight w:val="none"/>
              </w:rPr>
              <w:t>，围绕教育、就业、社保、医疗、养老、居住、婚育出行等与群众生活密切相关的异地办事需求，推动实现多地联办。</w:t>
            </w:r>
          </w:p>
        </w:tc>
        <w:tc>
          <w:tcPr>
            <w:tcW w:w="1559" w:type="dxa"/>
            <w:noWrap w:val="0"/>
            <w:vAlign w:val="center"/>
          </w:tcPr>
          <w:p w14:paraId="2C38C85B">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政数局</w:t>
            </w:r>
          </w:p>
        </w:tc>
        <w:tc>
          <w:tcPr>
            <w:tcW w:w="3435" w:type="dxa"/>
            <w:noWrap w:val="0"/>
            <w:vAlign w:val="center"/>
          </w:tcPr>
          <w:p w14:paraId="27EAC5EB">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5FD1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7" w:type="dxa"/>
            <w:noWrap w:val="0"/>
            <w:vAlign w:val="center"/>
          </w:tcPr>
          <w:p w14:paraId="31398285">
            <w:pPr>
              <w:widowControl/>
              <w:jc w:val="center"/>
              <w:rPr>
                <w:rFonts w:hint="eastAsia" w:ascii="Times New Roman" w:hAnsi="Times New Roman" w:eastAsia="仿宋_GB2312"/>
                <w:color w:val="auto"/>
                <w:kern w:val="0"/>
                <w:sz w:val="24"/>
                <w:highlight w:val="none"/>
                <w:lang w:val="en-US" w:eastAsia="zh-CN"/>
              </w:rPr>
            </w:pPr>
            <w:r>
              <w:rPr>
                <w:rFonts w:hint="default" w:ascii="Times New Roman" w:hAnsi="Times New Roman" w:eastAsia="仿宋_GB2312"/>
                <w:color w:val="auto"/>
                <w:kern w:val="0"/>
                <w:sz w:val="24"/>
                <w:highlight w:val="none"/>
                <w:lang w:val="en-US"/>
              </w:rPr>
              <w:t>7</w:t>
            </w:r>
            <w:r>
              <w:rPr>
                <w:rFonts w:hint="eastAsia" w:ascii="Times New Roman" w:hAnsi="Times New Roman" w:eastAsia="仿宋_GB2312"/>
                <w:color w:val="auto"/>
                <w:kern w:val="0"/>
                <w:sz w:val="24"/>
                <w:highlight w:val="none"/>
                <w:lang w:val="en-US" w:eastAsia="zh-CN"/>
              </w:rPr>
              <w:t>4</w:t>
            </w:r>
          </w:p>
        </w:tc>
        <w:tc>
          <w:tcPr>
            <w:tcW w:w="1559" w:type="dxa"/>
            <w:vMerge w:val="continue"/>
            <w:noWrap w:val="0"/>
            <w:vAlign w:val="center"/>
          </w:tcPr>
          <w:p w14:paraId="42F3A7FD">
            <w:pPr>
              <w:widowControl/>
              <w:jc w:val="left"/>
              <w:rPr>
                <w:rFonts w:ascii="Times New Roman" w:hAnsi="Times New Roman" w:eastAsia="仿宋_GB2312"/>
                <w:color w:val="auto"/>
                <w:kern w:val="0"/>
                <w:sz w:val="24"/>
                <w:highlight w:val="none"/>
              </w:rPr>
            </w:pPr>
          </w:p>
        </w:tc>
        <w:tc>
          <w:tcPr>
            <w:tcW w:w="6095" w:type="dxa"/>
            <w:noWrap w:val="0"/>
            <w:vAlign w:val="center"/>
          </w:tcPr>
          <w:p w14:paraId="2D64B551">
            <w:pPr>
              <w:widowControl/>
              <w:jc w:val="left"/>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县、镇</w:t>
            </w:r>
            <w:r>
              <w:rPr>
                <w:rFonts w:ascii="Times New Roman" w:hAnsi="Times New Roman" w:eastAsia="仿宋_GB2312"/>
                <w:color w:val="auto"/>
                <w:kern w:val="0"/>
                <w:sz w:val="24"/>
                <w:highlight w:val="none"/>
              </w:rPr>
              <w:t>政务服务大厅设置“一件事”综合窗口，推动3</w:t>
            </w:r>
            <w:r>
              <w:rPr>
                <w:rFonts w:hint="eastAsia" w:ascii="Times New Roman" w:hAnsi="Times New Roman" w:eastAsia="仿宋_GB2312"/>
                <w:color w:val="auto"/>
                <w:kern w:val="0"/>
                <w:sz w:val="24"/>
                <w:highlight w:val="none"/>
                <w:lang w:val="en-US" w:eastAsia="zh-CN"/>
              </w:rPr>
              <w:t>0</w:t>
            </w:r>
            <w:r>
              <w:rPr>
                <w:rFonts w:ascii="Times New Roman" w:hAnsi="Times New Roman" w:eastAsia="仿宋_GB2312"/>
                <w:color w:val="auto"/>
                <w:kern w:val="0"/>
                <w:sz w:val="24"/>
                <w:highlight w:val="none"/>
              </w:rPr>
              <w:t>项高频“一件事”主题服务</w:t>
            </w:r>
            <w:r>
              <w:rPr>
                <w:rFonts w:hint="eastAsia" w:ascii="Times New Roman" w:hAnsi="Times New Roman" w:eastAsia="仿宋_GB2312"/>
                <w:color w:val="auto"/>
                <w:kern w:val="0"/>
                <w:sz w:val="24"/>
                <w:highlight w:val="none"/>
                <w:lang w:val="en-US" w:eastAsia="zh-CN"/>
              </w:rPr>
              <w:t>落地</w:t>
            </w:r>
            <w:r>
              <w:rPr>
                <w:rFonts w:ascii="Times New Roman" w:hAnsi="Times New Roman" w:eastAsia="仿宋_GB2312"/>
                <w:color w:val="auto"/>
                <w:kern w:val="0"/>
                <w:sz w:val="24"/>
                <w:highlight w:val="none"/>
              </w:rPr>
              <w:t>推广。</w:t>
            </w:r>
          </w:p>
        </w:tc>
        <w:tc>
          <w:tcPr>
            <w:tcW w:w="1559" w:type="dxa"/>
            <w:noWrap w:val="0"/>
            <w:vAlign w:val="center"/>
          </w:tcPr>
          <w:p w14:paraId="145F2C7D">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政数局</w:t>
            </w:r>
          </w:p>
        </w:tc>
        <w:tc>
          <w:tcPr>
            <w:tcW w:w="3435" w:type="dxa"/>
            <w:noWrap w:val="0"/>
            <w:vAlign w:val="center"/>
          </w:tcPr>
          <w:p w14:paraId="22945648">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各镇人民政府，县</w:t>
            </w:r>
            <w:r>
              <w:rPr>
                <w:rFonts w:ascii="Times New Roman" w:hAnsi="Times New Roman" w:eastAsia="仿宋_GB2312"/>
                <w:color w:val="auto"/>
                <w:kern w:val="0"/>
                <w:sz w:val="24"/>
                <w:highlight w:val="none"/>
              </w:rPr>
              <w:t>直各有关单位</w:t>
            </w:r>
          </w:p>
        </w:tc>
      </w:tr>
      <w:tr w14:paraId="3C6A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677" w:type="dxa"/>
            <w:noWrap w:val="0"/>
            <w:vAlign w:val="center"/>
          </w:tcPr>
          <w:p w14:paraId="1B8F117C">
            <w:pPr>
              <w:widowControl/>
              <w:jc w:val="center"/>
              <w:rPr>
                <w:rFonts w:hint="eastAsia" w:ascii="Times New Roman" w:hAnsi="Times New Roman" w:eastAsia="仿宋_GB2312"/>
                <w:color w:val="auto"/>
                <w:kern w:val="0"/>
                <w:sz w:val="24"/>
                <w:highlight w:val="none"/>
                <w:lang w:eastAsia="zh-CN"/>
              </w:rPr>
            </w:pPr>
            <w:r>
              <w:rPr>
                <w:rFonts w:ascii="Times New Roman" w:hAnsi="Times New Roman" w:eastAsia="仿宋_GB2312"/>
                <w:color w:val="auto"/>
                <w:kern w:val="0"/>
                <w:sz w:val="24"/>
                <w:highlight w:val="none"/>
              </w:rPr>
              <w:t>7</w:t>
            </w:r>
            <w:r>
              <w:rPr>
                <w:rFonts w:hint="eastAsia" w:ascii="Times New Roman" w:hAnsi="Times New Roman" w:eastAsia="仿宋_GB2312"/>
                <w:color w:val="auto"/>
                <w:kern w:val="0"/>
                <w:sz w:val="24"/>
                <w:highlight w:val="none"/>
                <w:lang w:val="en-US" w:eastAsia="zh-CN"/>
              </w:rPr>
              <w:t>5</w:t>
            </w:r>
          </w:p>
        </w:tc>
        <w:tc>
          <w:tcPr>
            <w:tcW w:w="1559" w:type="dxa"/>
            <w:vMerge w:val="continue"/>
            <w:noWrap w:val="0"/>
            <w:vAlign w:val="center"/>
          </w:tcPr>
          <w:p w14:paraId="125D21FC">
            <w:pPr>
              <w:widowControl/>
              <w:jc w:val="left"/>
              <w:rPr>
                <w:rFonts w:ascii="Times New Roman" w:hAnsi="Times New Roman" w:eastAsia="仿宋_GB2312"/>
                <w:color w:val="auto"/>
                <w:kern w:val="0"/>
                <w:sz w:val="24"/>
                <w:highlight w:val="none"/>
              </w:rPr>
            </w:pPr>
          </w:p>
        </w:tc>
        <w:tc>
          <w:tcPr>
            <w:tcW w:w="6095" w:type="dxa"/>
            <w:noWrap w:val="0"/>
            <w:vAlign w:val="center"/>
          </w:tcPr>
          <w:p w14:paraId="4ECB9B3A">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推进“一证通办”“一码通办”，实现办事人免带免交纸质证照材料，2022年底前，除经本级政府批准的事项外，县级政务服务事项真正实现群众企业办事“免证办”不少于</w:t>
            </w:r>
            <w:r>
              <w:rPr>
                <w:rFonts w:hint="eastAsia" w:ascii="Times New Roman" w:hAnsi="Times New Roman" w:eastAsia="仿宋_GB2312"/>
                <w:color w:val="auto"/>
                <w:kern w:val="0"/>
                <w:sz w:val="24"/>
                <w:highlight w:val="none"/>
                <w:lang w:val="en-US" w:eastAsia="zh-CN"/>
              </w:rPr>
              <w:t>800</w:t>
            </w:r>
            <w:r>
              <w:rPr>
                <w:rFonts w:ascii="Times New Roman" w:hAnsi="Times New Roman" w:eastAsia="仿宋_GB2312"/>
                <w:color w:val="auto"/>
                <w:kern w:val="0"/>
                <w:sz w:val="24"/>
                <w:highlight w:val="none"/>
              </w:rPr>
              <w:t>项，实现政务服务向“快办”“好办”转变。</w:t>
            </w:r>
          </w:p>
        </w:tc>
        <w:tc>
          <w:tcPr>
            <w:tcW w:w="1559" w:type="dxa"/>
            <w:noWrap w:val="0"/>
            <w:vAlign w:val="center"/>
          </w:tcPr>
          <w:p w14:paraId="3C96F182">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政数局</w:t>
            </w:r>
          </w:p>
        </w:tc>
        <w:tc>
          <w:tcPr>
            <w:tcW w:w="3435" w:type="dxa"/>
            <w:noWrap w:val="0"/>
            <w:vAlign w:val="center"/>
          </w:tcPr>
          <w:p w14:paraId="70437863">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182D1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7" w:type="dxa"/>
            <w:noWrap w:val="0"/>
            <w:vAlign w:val="center"/>
          </w:tcPr>
          <w:p w14:paraId="6D37C57C">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7</w:t>
            </w:r>
            <w:r>
              <w:rPr>
                <w:rFonts w:hint="eastAsia" w:ascii="Times New Roman" w:hAnsi="Times New Roman" w:eastAsia="仿宋_GB2312"/>
                <w:color w:val="auto"/>
                <w:kern w:val="0"/>
                <w:sz w:val="24"/>
                <w:highlight w:val="none"/>
                <w:lang w:val="en-US" w:eastAsia="zh-CN"/>
              </w:rPr>
              <w:t>6</w:t>
            </w:r>
          </w:p>
        </w:tc>
        <w:tc>
          <w:tcPr>
            <w:tcW w:w="1559" w:type="dxa"/>
            <w:vMerge w:val="restart"/>
            <w:noWrap w:val="0"/>
            <w:vAlign w:val="center"/>
          </w:tcPr>
          <w:p w14:paraId="4081DF3B">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加快公共资源交易便利化</w:t>
            </w:r>
          </w:p>
        </w:tc>
        <w:tc>
          <w:tcPr>
            <w:tcW w:w="6095" w:type="dxa"/>
            <w:noWrap w:val="0"/>
            <w:vAlign w:val="center"/>
          </w:tcPr>
          <w:p w14:paraId="4BFA5181">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加快</w:t>
            </w:r>
            <w:r>
              <w:rPr>
                <w:rFonts w:hint="eastAsia" w:ascii="Times New Roman" w:hAnsi="Times New Roman" w:eastAsia="仿宋_GB2312"/>
                <w:color w:val="auto"/>
                <w:kern w:val="0"/>
                <w:sz w:val="24"/>
                <w:highlight w:val="none"/>
                <w:lang w:val="en-US" w:eastAsia="zh-CN"/>
              </w:rPr>
              <w:t>承接市</w:t>
            </w:r>
            <w:r>
              <w:rPr>
                <w:rFonts w:ascii="Times New Roman" w:hAnsi="Times New Roman" w:eastAsia="仿宋_GB2312"/>
                <w:color w:val="auto"/>
                <w:kern w:val="0"/>
                <w:sz w:val="24"/>
                <w:highlight w:val="none"/>
              </w:rPr>
              <w:t>公共资源交易平台</w:t>
            </w:r>
            <w:r>
              <w:rPr>
                <w:rFonts w:hint="eastAsia" w:ascii="Times New Roman" w:hAnsi="Times New Roman" w:eastAsia="仿宋_GB2312"/>
                <w:color w:val="auto"/>
                <w:kern w:val="0"/>
                <w:sz w:val="24"/>
                <w:highlight w:val="none"/>
                <w:lang w:val="en-US" w:eastAsia="zh-CN"/>
              </w:rPr>
              <w:t>系统延伸</w:t>
            </w:r>
            <w:r>
              <w:rPr>
                <w:rFonts w:ascii="Times New Roman" w:hAnsi="Times New Roman" w:eastAsia="仿宋_GB2312"/>
                <w:color w:val="auto"/>
                <w:kern w:val="0"/>
                <w:sz w:val="24"/>
                <w:highlight w:val="none"/>
              </w:rPr>
              <w:t>，并制定相应业务的操作手册，实现从招标项目进场到发布招标公告公示、下载招标文件、提交投标文件、开标、评标、异议澄清补正、合同签订、递交和公布中标合同履约信息和公布项目完成质量、期限、结算金额等合同履行情况信息等全流程的电子化。</w:t>
            </w:r>
          </w:p>
        </w:tc>
        <w:tc>
          <w:tcPr>
            <w:tcW w:w="1559" w:type="dxa"/>
            <w:noWrap w:val="0"/>
            <w:vAlign w:val="center"/>
          </w:tcPr>
          <w:p w14:paraId="6E95DDEF">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政数局</w:t>
            </w:r>
            <w:r>
              <w:rPr>
                <w:rFonts w:hint="eastAsia" w:ascii="Times New Roman" w:hAnsi="Times New Roman" w:eastAsia="仿宋_GB2312"/>
                <w:color w:val="auto"/>
                <w:kern w:val="0"/>
                <w:sz w:val="24"/>
                <w:highlight w:val="none"/>
                <w:lang w:eastAsia="zh-CN"/>
              </w:rPr>
              <w:t>、</w:t>
            </w:r>
            <w:r>
              <w:rPr>
                <w:rFonts w:hint="eastAsia" w:ascii="Times New Roman" w:hAnsi="Times New Roman" w:eastAsia="仿宋_GB2312"/>
                <w:color w:val="auto"/>
                <w:kern w:val="0"/>
                <w:sz w:val="24"/>
                <w:highlight w:val="none"/>
              </w:rPr>
              <w:t>市</w:t>
            </w:r>
            <w:r>
              <w:rPr>
                <w:rFonts w:hint="eastAsia" w:ascii="Times New Roman" w:hAnsi="Times New Roman" w:eastAsia="仿宋_GB2312"/>
                <w:color w:val="auto"/>
                <w:kern w:val="0"/>
                <w:sz w:val="24"/>
                <w:highlight w:val="none"/>
                <w:lang w:eastAsia="zh-CN"/>
              </w:rPr>
              <w:t>公共资源</w:t>
            </w:r>
            <w:r>
              <w:rPr>
                <w:rFonts w:hint="eastAsia" w:ascii="Times New Roman" w:hAnsi="Times New Roman" w:eastAsia="仿宋_GB2312"/>
                <w:color w:val="auto"/>
                <w:kern w:val="0"/>
                <w:sz w:val="24"/>
                <w:highlight w:val="none"/>
              </w:rPr>
              <w:t>交易中心</w:t>
            </w:r>
            <w:r>
              <w:rPr>
                <w:rFonts w:hint="eastAsia" w:ascii="Times New Roman" w:hAnsi="Times New Roman" w:eastAsia="仿宋_GB2312"/>
                <w:color w:val="auto"/>
                <w:kern w:val="0"/>
                <w:sz w:val="24"/>
                <w:highlight w:val="none"/>
                <w:lang w:val="en-US" w:eastAsia="zh-CN"/>
              </w:rPr>
              <w:t>海丰分中心</w:t>
            </w:r>
          </w:p>
        </w:tc>
        <w:tc>
          <w:tcPr>
            <w:tcW w:w="3435" w:type="dxa"/>
            <w:noWrap w:val="0"/>
            <w:vAlign w:val="center"/>
          </w:tcPr>
          <w:p w14:paraId="079429FC">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hint="eastAsia" w:ascii="Times New Roman" w:hAnsi="Times New Roman" w:eastAsia="仿宋_GB2312"/>
                <w:color w:val="auto"/>
                <w:kern w:val="0"/>
                <w:sz w:val="24"/>
                <w:highlight w:val="none"/>
              </w:rPr>
              <w:t>财政局</w:t>
            </w:r>
            <w:r>
              <w:rPr>
                <w:rFonts w:hint="eastAsia" w:ascii="Times New Roman" w:hAnsi="Times New Roman" w:eastAsia="仿宋_GB2312"/>
                <w:color w:val="auto"/>
                <w:kern w:val="0"/>
                <w:sz w:val="24"/>
                <w:highlight w:val="none"/>
                <w:lang w:val="en-US" w:eastAsia="zh-CN"/>
              </w:rPr>
              <w:t>，</w:t>
            </w:r>
            <w:r>
              <w:rPr>
                <w:rFonts w:hint="eastAsia" w:ascii="Times New Roman" w:hAnsi="Times New Roman" w:eastAsia="仿宋_GB2312"/>
                <w:color w:val="auto"/>
                <w:kern w:val="0"/>
                <w:sz w:val="24"/>
                <w:highlight w:val="none"/>
              </w:rPr>
              <w:t>各行业行政主管部门</w:t>
            </w:r>
          </w:p>
        </w:tc>
      </w:tr>
      <w:tr w14:paraId="58081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7" w:type="dxa"/>
            <w:noWrap w:val="0"/>
            <w:vAlign w:val="center"/>
          </w:tcPr>
          <w:p w14:paraId="30C129A8">
            <w:pPr>
              <w:widowControl/>
              <w:jc w:val="center"/>
              <w:rPr>
                <w:rFonts w:hint="default" w:ascii="Times New Roman" w:hAnsi="Times New Roman" w:eastAsia="仿宋_GB2312"/>
                <w:color w:val="auto"/>
                <w:kern w:val="0"/>
                <w:sz w:val="24"/>
                <w:highlight w:val="none"/>
                <w:lang w:val="en-US" w:eastAsia="zh-CN"/>
              </w:rPr>
            </w:pPr>
            <w:r>
              <w:rPr>
                <w:rFonts w:hint="eastAsia" w:ascii="Times New Roman" w:hAnsi="Times New Roman" w:eastAsia="仿宋_GB2312"/>
                <w:color w:val="auto"/>
                <w:kern w:val="0"/>
                <w:sz w:val="24"/>
                <w:highlight w:val="none"/>
                <w:lang w:val="en-US" w:eastAsia="zh-CN"/>
              </w:rPr>
              <w:t>77</w:t>
            </w:r>
          </w:p>
        </w:tc>
        <w:tc>
          <w:tcPr>
            <w:tcW w:w="1559" w:type="dxa"/>
            <w:vMerge w:val="continue"/>
            <w:noWrap w:val="0"/>
            <w:vAlign w:val="center"/>
          </w:tcPr>
          <w:p w14:paraId="5CF7D777">
            <w:pPr>
              <w:widowControl/>
              <w:jc w:val="left"/>
              <w:rPr>
                <w:rFonts w:ascii="Times New Roman" w:hAnsi="Times New Roman" w:eastAsia="仿宋_GB2312"/>
                <w:color w:val="auto"/>
                <w:kern w:val="0"/>
                <w:sz w:val="24"/>
                <w:highlight w:val="none"/>
              </w:rPr>
            </w:pPr>
          </w:p>
        </w:tc>
        <w:tc>
          <w:tcPr>
            <w:tcW w:w="6095" w:type="dxa"/>
            <w:noWrap w:val="0"/>
            <w:vAlign w:val="center"/>
          </w:tcPr>
          <w:p w14:paraId="24C496EB">
            <w:pPr>
              <w:widowControl/>
              <w:jc w:val="left"/>
              <w:rPr>
                <w:rFonts w:ascii="Times New Roman" w:hAnsi="Times New Roman" w:eastAsia="仿宋_GB2312"/>
                <w:color w:val="auto"/>
                <w:kern w:val="0"/>
                <w:sz w:val="24"/>
                <w:highlight w:val="none"/>
              </w:rPr>
            </w:pPr>
            <w:r>
              <w:rPr>
                <w:rFonts w:hint="default" w:ascii="Times New Roman" w:hAnsi="Times New Roman" w:eastAsia="仿宋_GB2312"/>
                <w:color w:val="auto"/>
                <w:kern w:val="0"/>
                <w:sz w:val="24"/>
                <w:highlight w:val="none"/>
                <w:lang w:val="en-US" w:eastAsia="zh-CN"/>
              </w:rPr>
              <w:t>配合市做好</w:t>
            </w:r>
            <w:r>
              <w:rPr>
                <w:rFonts w:ascii="Times New Roman" w:hAnsi="Times New Roman" w:eastAsia="仿宋_GB2312"/>
                <w:color w:val="auto"/>
                <w:kern w:val="0"/>
                <w:sz w:val="24"/>
                <w:highlight w:val="none"/>
              </w:rPr>
              <w:t>制定配套招标文件范本。</w:t>
            </w:r>
            <w:r>
              <w:rPr>
                <w:rFonts w:hint="default" w:ascii="Times New Roman" w:hAnsi="Times New Roman" w:eastAsia="仿宋_GB2312"/>
                <w:color w:val="auto"/>
                <w:kern w:val="0"/>
                <w:sz w:val="24"/>
                <w:highlight w:val="none"/>
                <w:lang w:val="en-US" w:eastAsia="zh-CN"/>
              </w:rPr>
              <w:t>贯彻落实各</w:t>
            </w:r>
            <w:r>
              <w:rPr>
                <w:rFonts w:ascii="Times New Roman" w:hAnsi="Times New Roman" w:eastAsia="仿宋_GB2312"/>
                <w:color w:val="auto"/>
                <w:kern w:val="0"/>
                <w:sz w:val="24"/>
                <w:highlight w:val="none"/>
              </w:rPr>
              <w:t>行业编制勘察、设计、施工、监理、重要设备和材料等类型电子招标文件范本，</w:t>
            </w:r>
            <w:r>
              <w:rPr>
                <w:rFonts w:hint="default" w:ascii="Times New Roman" w:hAnsi="Times New Roman" w:eastAsia="仿宋_GB2312"/>
                <w:color w:val="auto"/>
                <w:kern w:val="0"/>
                <w:sz w:val="24"/>
                <w:highlight w:val="none"/>
                <w:lang w:val="en-US" w:eastAsia="zh-CN"/>
              </w:rPr>
              <w:t>对标</w:t>
            </w:r>
            <w:r>
              <w:rPr>
                <w:rFonts w:ascii="Times New Roman" w:hAnsi="Times New Roman" w:eastAsia="仿宋_GB2312"/>
                <w:color w:val="auto"/>
                <w:kern w:val="0"/>
                <w:sz w:val="24"/>
                <w:highlight w:val="none"/>
              </w:rPr>
              <w:t>招标文件编写要求，为实施全流程电子化招标投标提供制度保障。</w:t>
            </w:r>
          </w:p>
        </w:tc>
        <w:tc>
          <w:tcPr>
            <w:tcW w:w="1559" w:type="dxa"/>
            <w:noWrap w:val="0"/>
            <w:vAlign w:val="center"/>
          </w:tcPr>
          <w:p w14:paraId="0E8684D1">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hint="eastAsia" w:ascii="Times New Roman" w:hAnsi="Times New Roman" w:eastAsia="仿宋_GB2312"/>
                <w:color w:val="auto"/>
                <w:kern w:val="0"/>
                <w:sz w:val="24"/>
                <w:highlight w:val="none"/>
              </w:rPr>
              <w:t>发改局</w:t>
            </w:r>
          </w:p>
        </w:tc>
        <w:tc>
          <w:tcPr>
            <w:tcW w:w="3435" w:type="dxa"/>
            <w:noWrap w:val="0"/>
            <w:vAlign w:val="center"/>
          </w:tcPr>
          <w:p w14:paraId="1B83B49D">
            <w:pPr>
              <w:keepNext w:val="0"/>
              <w:keepLines w:val="0"/>
              <w:widowControl/>
              <w:suppressLineNumbers w:val="0"/>
              <w:jc w:val="both"/>
              <w:textAlignment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hint="eastAsia" w:ascii="仿宋_GB2312" w:hAnsi="等线" w:eastAsia="仿宋_GB2312" w:cs="仿宋_GB2312"/>
                <w:i w:val="0"/>
                <w:color w:val="auto"/>
                <w:kern w:val="0"/>
                <w:sz w:val="24"/>
                <w:szCs w:val="24"/>
                <w:highlight w:val="none"/>
                <w:u w:val="none"/>
                <w:lang w:val="en-US" w:eastAsia="zh-CN" w:bidi="ar"/>
              </w:rPr>
              <w:t>住建局、交通运输局、水务局、政数局</w:t>
            </w:r>
          </w:p>
        </w:tc>
      </w:tr>
      <w:tr w14:paraId="61F5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7" w:type="dxa"/>
            <w:noWrap w:val="0"/>
            <w:vAlign w:val="center"/>
          </w:tcPr>
          <w:p w14:paraId="61AA51CA">
            <w:pPr>
              <w:widowControl/>
              <w:jc w:val="center"/>
              <w:rPr>
                <w:rFonts w:hint="default" w:ascii="Times New Roman" w:hAnsi="Times New Roman" w:eastAsia="仿宋_GB2312"/>
                <w:color w:val="auto"/>
                <w:kern w:val="0"/>
                <w:sz w:val="24"/>
                <w:highlight w:val="none"/>
                <w:lang w:val="en-US" w:eastAsia="zh-CN"/>
              </w:rPr>
            </w:pPr>
            <w:r>
              <w:rPr>
                <w:rFonts w:hint="eastAsia" w:ascii="Times New Roman" w:hAnsi="Times New Roman" w:eastAsia="仿宋_GB2312"/>
                <w:color w:val="auto"/>
                <w:kern w:val="0"/>
                <w:sz w:val="24"/>
                <w:highlight w:val="none"/>
                <w:lang w:val="en-US" w:eastAsia="zh-CN"/>
              </w:rPr>
              <w:t>78</w:t>
            </w:r>
          </w:p>
        </w:tc>
        <w:tc>
          <w:tcPr>
            <w:tcW w:w="1559" w:type="dxa"/>
            <w:vMerge w:val="continue"/>
            <w:noWrap w:val="0"/>
            <w:vAlign w:val="center"/>
          </w:tcPr>
          <w:p w14:paraId="675B4739">
            <w:pPr>
              <w:widowControl/>
              <w:jc w:val="left"/>
              <w:rPr>
                <w:rFonts w:ascii="Times New Roman" w:hAnsi="Times New Roman" w:eastAsia="仿宋_GB2312"/>
                <w:color w:val="auto"/>
                <w:kern w:val="0"/>
                <w:sz w:val="24"/>
                <w:highlight w:val="none"/>
              </w:rPr>
            </w:pPr>
          </w:p>
        </w:tc>
        <w:tc>
          <w:tcPr>
            <w:tcW w:w="6095" w:type="dxa"/>
            <w:noWrap w:val="0"/>
            <w:vAlign w:val="center"/>
          </w:tcPr>
          <w:p w14:paraId="7902B0F3">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健全信用监管体系。积极</w:t>
            </w:r>
            <w:r>
              <w:rPr>
                <w:rFonts w:hint="default" w:ascii="Times New Roman" w:hAnsi="Times New Roman" w:eastAsia="仿宋_GB2312"/>
                <w:color w:val="auto"/>
                <w:kern w:val="0"/>
                <w:sz w:val="24"/>
                <w:highlight w:val="none"/>
                <w:lang w:val="en-US" w:eastAsia="zh-CN"/>
              </w:rPr>
              <w:t>配合市推动</w:t>
            </w:r>
            <w:r>
              <w:rPr>
                <w:rFonts w:ascii="Times New Roman" w:hAnsi="Times New Roman" w:eastAsia="仿宋_GB2312"/>
                <w:color w:val="auto"/>
                <w:kern w:val="0"/>
                <w:sz w:val="24"/>
                <w:highlight w:val="none"/>
              </w:rPr>
              <w:t>工程建设项目招标投标领域信用评价体系建设，</w:t>
            </w:r>
            <w:r>
              <w:rPr>
                <w:rFonts w:hint="default" w:ascii="Times New Roman" w:hAnsi="Times New Roman" w:eastAsia="仿宋_GB2312"/>
                <w:color w:val="auto"/>
                <w:kern w:val="0"/>
                <w:sz w:val="24"/>
                <w:highlight w:val="none"/>
                <w:lang w:val="en-US" w:eastAsia="zh-CN"/>
              </w:rPr>
              <w:t>贯彻落实</w:t>
            </w:r>
            <w:r>
              <w:rPr>
                <w:rFonts w:ascii="Times New Roman" w:hAnsi="Times New Roman" w:eastAsia="仿宋_GB2312"/>
                <w:color w:val="auto"/>
                <w:kern w:val="0"/>
                <w:sz w:val="24"/>
                <w:highlight w:val="none"/>
              </w:rPr>
              <w:t>信用评价机制，完善信用评价指标和标准，</w:t>
            </w:r>
            <w:r>
              <w:rPr>
                <w:rFonts w:hint="default" w:ascii="Times New Roman" w:hAnsi="Times New Roman" w:eastAsia="仿宋_GB2312"/>
                <w:color w:val="auto"/>
                <w:kern w:val="0"/>
                <w:sz w:val="24"/>
                <w:highlight w:val="none"/>
                <w:lang w:val="en-US" w:eastAsia="zh-CN"/>
              </w:rPr>
              <w:t>配合市</w:t>
            </w:r>
            <w:r>
              <w:rPr>
                <w:rFonts w:ascii="Times New Roman" w:hAnsi="Times New Roman" w:eastAsia="仿宋_GB2312"/>
                <w:color w:val="auto"/>
                <w:kern w:val="0"/>
                <w:sz w:val="24"/>
                <w:highlight w:val="none"/>
              </w:rPr>
              <w:t>建立招标人、投标人、招标代理机构、评标专家等市场主体信用档案，实现信用信息分级管理，推动信用评价结果规范应用。</w:t>
            </w:r>
          </w:p>
        </w:tc>
        <w:tc>
          <w:tcPr>
            <w:tcW w:w="1559" w:type="dxa"/>
            <w:noWrap w:val="0"/>
            <w:vAlign w:val="center"/>
          </w:tcPr>
          <w:p w14:paraId="553DE722">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发改局</w:t>
            </w:r>
          </w:p>
        </w:tc>
        <w:tc>
          <w:tcPr>
            <w:tcW w:w="3435" w:type="dxa"/>
            <w:noWrap w:val="0"/>
            <w:vAlign w:val="center"/>
          </w:tcPr>
          <w:p w14:paraId="758DFED2">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hint="eastAsia" w:ascii="仿宋_GB2312" w:hAnsi="等线" w:eastAsia="仿宋_GB2312" w:cs="仿宋_GB2312"/>
                <w:i w:val="0"/>
                <w:color w:val="auto"/>
                <w:kern w:val="0"/>
                <w:sz w:val="24"/>
                <w:szCs w:val="24"/>
                <w:highlight w:val="none"/>
                <w:u w:val="none"/>
                <w:lang w:val="en-US" w:eastAsia="zh-CN" w:bidi="ar"/>
              </w:rPr>
              <w:t>住建局、交通运输局、水务局、政数局</w:t>
            </w:r>
          </w:p>
        </w:tc>
      </w:tr>
      <w:tr w14:paraId="54512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7" w:type="dxa"/>
            <w:noWrap w:val="0"/>
            <w:vAlign w:val="center"/>
          </w:tcPr>
          <w:p w14:paraId="3226148C">
            <w:pPr>
              <w:widowControl/>
              <w:jc w:val="center"/>
              <w:rPr>
                <w:rFonts w:hint="default" w:ascii="Times New Roman" w:hAnsi="Times New Roman" w:eastAsia="仿宋_GB2312"/>
                <w:color w:val="auto"/>
                <w:kern w:val="0"/>
                <w:sz w:val="24"/>
                <w:highlight w:val="none"/>
                <w:lang w:val="en-US" w:eastAsia="zh-CN"/>
              </w:rPr>
            </w:pPr>
            <w:r>
              <w:rPr>
                <w:rFonts w:hint="eastAsia" w:ascii="Times New Roman" w:hAnsi="Times New Roman" w:eastAsia="仿宋_GB2312"/>
                <w:color w:val="auto"/>
                <w:kern w:val="0"/>
                <w:sz w:val="24"/>
                <w:highlight w:val="none"/>
                <w:lang w:val="en-US" w:eastAsia="zh-CN"/>
              </w:rPr>
              <w:t>79</w:t>
            </w:r>
          </w:p>
        </w:tc>
        <w:tc>
          <w:tcPr>
            <w:tcW w:w="1559" w:type="dxa"/>
            <w:vMerge w:val="continue"/>
            <w:noWrap w:val="0"/>
            <w:vAlign w:val="center"/>
          </w:tcPr>
          <w:p w14:paraId="6FE90169">
            <w:pPr>
              <w:widowControl/>
              <w:jc w:val="left"/>
              <w:rPr>
                <w:rFonts w:ascii="Times New Roman" w:hAnsi="Times New Roman" w:eastAsia="仿宋_GB2312"/>
                <w:color w:val="auto"/>
                <w:kern w:val="0"/>
                <w:sz w:val="24"/>
                <w:highlight w:val="none"/>
              </w:rPr>
            </w:pPr>
          </w:p>
        </w:tc>
        <w:tc>
          <w:tcPr>
            <w:tcW w:w="6095" w:type="dxa"/>
            <w:noWrap w:val="0"/>
            <w:vAlign w:val="center"/>
          </w:tcPr>
          <w:p w14:paraId="45CADDE2">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降低企业制度性交易成本。鼓励政府采购领域逐步取消投标保证金，对履约好、信用佳的中小企业降低或减免履约保证金；招投标领域鼓励采用电子保函等非现金形式提交投标和履约保证金。</w:t>
            </w:r>
          </w:p>
        </w:tc>
        <w:tc>
          <w:tcPr>
            <w:tcW w:w="1559" w:type="dxa"/>
            <w:noWrap w:val="0"/>
            <w:vAlign w:val="center"/>
          </w:tcPr>
          <w:p w14:paraId="7B9B3514">
            <w:pPr>
              <w:keepNext w:val="0"/>
              <w:keepLines w:val="0"/>
              <w:widowControl/>
              <w:suppressLineNumbers w:val="0"/>
              <w:jc w:val="center"/>
              <w:textAlignment w:val="auto"/>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hint="eastAsia" w:ascii="仿宋_GB2312" w:hAnsi="等线" w:eastAsia="仿宋_GB2312" w:cs="仿宋_GB2312"/>
                <w:i w:val="0"/>
                <w:color w:val="auto"/>
                <w:kern w:val="0"/>
                <w:sz w:val="24"/>
                <w:szCs w:val="24"/>
                <w:highlight w:val="none"/>
                <w:u w:val="none"/>
                <w:lang w:val="en-US" w:eastAsia="zh-CN" w:bidi="ar"/>
              </w:rPr>
              <w:t>财政局</w:t>
            </w:r>
          </w:p>
        </w:tc>
        <w:tc>
          <w:tcPr>
            <w:tcW w:w="3435" w:type="dxa"/>
            <w:noWrap w:val="0"/>
            <w:vAlign w:val="center"/>
          </w:tcPr>
          <w:p w14:paraId="6DBDB34D">
            <w:pPr>
              <w:keepNext w:val="0"/>
              <w:keepLines w:val="0"/>
              <w:widowControl/>
              <w:suppressLineNumbers w:val="0"/>
              <w:jc w:val="both"/>
              <w:textAlignment w:val="auto"/>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hint="eastAsia" w:ascii="仿宋_GB2312" w:hAnsi="等线" w:eastAsia="仿宋_GB2312" w:cs="仿宋_GB2312"/>
                <w:i w:val="0"/>
                <w:color w:val="auto"/>
                <w:kern w:val="0"/>
                <w:sz w:val="24"/>
                <w:szCs w:val="24"/>
                <w:highlight w:val="none"/>
                <w:u w:val="none"/>
                <w:lang w:val="en-US" w:eastAsia="zh-CN" w:bidi="ar"/>
              </w:rPr>
              <w:t>发改局、政数局、住建局、交通运输局、水务局等</w:t>
            </w:r>
            <w:r>
              <w:rPr>
                <w:rFonts w:hint="eastAsia" w:ascii="Times New Roman" w:hAnsi="Times New Roman" w:eastAsia="仿宋_GB2312"/>
                <w:color w:val="auto"/>
                <w:kern w:val="0"/>
                <w:sz w:val="24"/>
                <w:highlight w:val="none"/>
                <w:lang w:val="en-US" w:eastAsia="zh-CN"/>
              </w:rPr>
              <w:t>县</w:t>
            </w:r>
            <w:r>
              <w:rPr>
                <w:rFonts w:hint="eastAsia" w:ascii="仿宋_GB2312" w:hAnsi="等线" w:eastAsia="仿宋_GB2312" w:cs="仿宋_GB2312"/>
                <w:i w:val="0"/>
                <w:color w:val="auto"/>
                <w:kern w:val="0"/>
                <w:sz w:val="24"/>
                <w:szCs w:val="24"/>
                <w:highlight w:val="none"/>
                <w:u w:val="none"/>
                <w:lang w:val="en-US" w:eastAsia="zh-CN" w:bidi="ar"/>
              </w:rPr>
              <w:t>直有关单位</w:t>
            </w:r>
          </w:p>
        </w:tc>
      </w:tr>
      <w:tr w14:paraId="6BB9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7" w:type="dxa"/>
            <w:noWrap w:val="0"/>
            <w:vAlign w:val="center"/>
          </w:tcPr>
          <w:p w14:paraId="11E0824C">
            <w:pPr>
              <w:widowControl/>
              <w:jc w:val="center"/>
              <w:rPr>
                <w:rFonts w:ascii="Times New Roman" w:hAnsi="Times New Roman" w:eastAsia="仿宋_GB2312"/>
                <w:color w:val="auto"/>
                <w:kern w:val="0"/>
                <w:sz w:val="24"/>
                <w:highlight w:val="none"/>
              </w:rPr>
            </w:pPr>
            <w:r>
              <w:rPr>
                <w:rFonts w:hint="default" w:ascii="Times New Roman" w:hAnsi="Times New Roman" w:eastAsia="仿宋_GB2312"/>
                <w:color w:val="auto"/>
                <w:kern w:val="0"/>
                <w:sz w:val="24"/>
                <w:highlight w:val="none"/>
                <w:lang w:val="en-US"/>
              </w:rPr>
              <w:t>8</w:t>
            </w:r>
            <w:r>
              <w:rPr>
                <w:rFonts w:hint="eastAsia" w:ascii="Times New Roman" w:hAnsi="Times New Roman" w:eastAsia="仿宋_GB2312"/>
                <w:color w:val="auto"/>
                <w:kern w:val="0"/>
                <w:sz w:val="24"/>
                <w:highlight w:val="none"/>
                <w:lang w:val="en-US" w:eastAsia="zh-CN"/>
              </w:rPr>
              <w:t>0</w:t>
            </w:r>
          </w:p>
        </w:tc>
        <w:tc>
          <w:tcPr>
            <w:tcW w:w="1559" w:type="dxa"/>
            <w:vMerge w:val="continue"/>
            <w:noWrap w:val="0"/>
            <w:vAlign w:val="center"/>
          </w:tcPr>
          <w:p w14:paraId="46EC1940">
            <w:pPr>
              <w:widowControl/>
              <w:jc w:val="left"/>
              <w:rPr>
                <w:rFonts w:ascii="Times New Roman" w:hAnsi="Times New Roman" w:eastAsia="仿宋_GB2312"/>
                <w:color w:val="auto"/>
                <w:kern w:val="0"/>
                <w:sz w:val="24"/>
                <w:highlight w:val="none"/>
              </w:rPr>
            </w:pPr>
          </w:p>
        </w:tc>
        <w:tc>
          <w:tcPr>
            <w:tcW w:w="6095" w:type="dxa"/>
            <w:noWrap w:val="0"/>
            <w:vAlign w:val="center"/>
          </w:tcPr>
          <w:p w14:paraId="5D5621CD">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严格落实《政府采购促进中小企业发展管理办法》，引导金融机构为供应商提供政府采购合同融资服务，拓宽中小企业融资渠道，降低融资成本。</w:t>
            </w:r>
          </w:p>
        </w:tc>
        <w:tc>
          <w:tcPr>
            <w:tcW w:w="1559" w:type="dxa"/>
            <w:noWrap w:val="0"/>
            <w:vAlign w:val="center"/>
          </w:tcPr>
          <w:p w14:paraId="0FADC468">
            <w:pPr>
              <w:keepNext w:val="0"/>
              <w:keepLines w:val="0"/>
              <w:widowControl/>
              <w:suppressLineNumbers w:val="0"/>
              <w:jc w:val="center"/>
              <w:textAlignment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hint="eastAsia" w:ascii="仿宋_GB2312" w:hAnsi="等线" w:eastAsia="仿宋_GB2312" w:cs="仿宋_GB2312"/>
                <w:i w:val="0"/>
                <w:color w:val="auto"/>
                <w:kern w:val="0"/>
                <w:sz w:val="24"/>
                <w:szCs w:val="24"/>
                <w:highlight w:val="none"/>
                <w:u w:val="none"/>
                <w:lang w:val="en-US" w:eastAsia="zh-CN" w:bidi="ar"/>
              </w:rPr>
              <w:t>财政局</w:t>
            </w:r>
          </w:p>
        </w:tc>
        <w:tc>
          <w:tcPr>
            <w:tcW w:w="3435" w:type="dxa"/>
            <w:noWrap w:val="0"/>
            <w:vAlign w:val="center"/>
          </w:tcPr>
          <w:p w14:paraId="32EA19B8">
            <w:pPr>
              <w:keepNext w:val="0"/>
              <w:keepLines w:val="0"/>
              <w:widowControl/>
              <w:suppressLineNumbers w:val="0"/>
              <w:jc w:val="both"/>
              <w:textAlignment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hint="eastAsia" w:ascii="仿宋_GB2312" w:hAnsi="等线" w:eastAsia="仿宋_GB2312" w:cs="仿宋_GB2312"/>
                <w:i w:val="0"/>
                <w:color w:val="auto"/>
                <w:kern w:val="0"/>
                <w:sz w:val="22"/>
                <w:szCs w:val="22"/>
                <w:highlight w:val="none"/>
                <w:u w:val="none"/>
                <w:lang w:val="en-US" w:eastAsia="zh-CN" w:bidi="ar"/>
              </w:rPr>
              <w:t>金融局、</w:t>
            </w:r>
            <w:r>
              <w:rPr>
                <w:rFonts w:ascii="Times New Roman" w:hAnsi="Times New Roman" w:eastAsia="仿宋_GB2312"/>
                <w:color w:val="auto"/>
                <w:kern w:val="0"/>
                <w:sz w:val="24"/>
                <w:highlight w:val="none"/>
              </w:rPr>
              <w:t>中国人民银行海丰县支行</w:t>
            </w:r>
            <w:r>
              <w:rPr>
                <w:rFonts w:hint="eastAsia" w:ascii="仿宋_GB2312" w:hAnsi="等线" w:eastAsia="仿宋_GB2312" w:cs="仿宋_GB2312"/>
                <w:i w:val="0"/>
                <w:color w:val="auto"/>
                <w:kern w:val="0"/>
                <w:sz w:val="22"/>
                <w:szCs w:val="22"/>
                <w:highlight w:val="none"/>
                <w:u w:val="none"/>
                <w:lang w:val="en-US" w:eastAsia="zh-CN" w:bidi="ar"/>
              </w:rPr>
              <w:t>、市公共资源交易中心</w:t>
            </w:r>
            <w:r>
              <w:rPr>
                <w:rFonts w:hint="eastAsia" w:ascii="Times New Roman" w:hAnsi="Times New Roman" w:eastAsia="仿宋_GB2312"/>
                <w:color w:val="auto"/>
                <w:kern w:val="0"/>
                <w:sz w:val="24"/>
                <w:highlight w:val="none"/>
                <w:lang w:val="en-US" w:eastAsia="zh-CN"/>
              </w:rPr>
              <w:t>海丰分中心</w:t>
            </w:r>
          </w:p>
        </w:tc>
      </w:tr>
      <w:tr w14:paraId="7A3D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7" w:type="dxa"/>
            <w:noWrap w:val="0"/>
            <w:vAlign w:val="center"/>
          </w:tcPr>
          <w:p w14:paraId="30139A0F">
            <w:pPr>
              <w:keepNext w:val="0"/>
              <w:keepLines w:val="0"/>
              <w:widowControl/>
              <w:suppressLineNumbers w:val="0"/>
              <w:jc w:val="center"/>
              <w:textAlignment w:val="auto"/>
              <w:rPr>
                <w:rFonts w:ascii="Times New Roman" w:hAnsi="Times New Roman" w:eastAsia="仿宋_GB2312" w:cs="Times New Roman"/>
                <w:color w:val="auto"/>
                <w:kern w:val="0"/>
                <w:sz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8</w:t>
            </w:r>
            <w:r>
              <w:rPr>
                <w:rFonts w:hint="eastAsia" w:ascii="Times New Roman" w:hAnsi="Times New Roman" w:eastAsia="仿宋_GB2312" w:cs="Times New Roman"/>
                <w:i w:val="0"/>
                <w:color w:val="auto"/>
                <w:kern w:val="0"/>
                <w:sz w:val="24"/>
                <w:szCs w:val="24"/>
                <w:highlight w:val="none"/>
                <w:u w:val="none"/>
                <w:lang w:val="en-US" w:eastAsia="zh-CN" w:bidi="ar"/>
              </w:rPr>
              <w:t>1</w:t>
            </w:r>
          </w:p>
        </w:tc>
        <w:tc>
          <w:tcPr>
            <w:tcW w:w="1559" w:type="dxa"/>
            <w:vMerge w:val="continue"/>
            <w:noWrap w:val="0"/>
            <w:vAlign w:val="center"/>
          </w:tcPr>
          <w:p w14:paraId="6D9C13DE">
            <w:pPr>
              <w:widowControl/>
              <w:jc w:val="left"/>
              <w:rPr>
                <w:rFonts w:ascii="Times New Roman" w:hAnsi="Times New Roman" w:eastAsia="仿宋_GB2312"/>
                <w:color w:val="auto"/>
                <w:kern w:val="0"/>
                <w:sz w:val="24"/>
                <w:highlight w:val="none"/>
              </w:rPr>
            </w:pPr>
          </w:p>
        </w:tc>
        <w:tc>
          <w:tcPr>
            <w:tcW w:w="6095" w:type="dxa"/>
            <w:noWrap w:val="0"/>
            <w:vAlign w:val="center"/>
          </w:tcPr>
          <w:p w14:paraId="27E97727">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开展招投标和政府采购专项治理，全面排查事先确定供应商、采用随机方式确定供应商等排斥潜在投标人行为。</w:t>
            </w:r>
          </w:p>
        </w:tc>
        <w:tc>
          <w:tcPr>
            <w:tcW w:w="1559" w:type="dxa"/>
            <w:noWrap w:val="0"/>
            <w:vAlign w:val="center"/>
          </w:tcPr>
          <w:p w14:paraId="6DF26E04">
            <w:pPr>
              <w:keepNext w:val="0"/>
              <w:keepLines w:val="0"/>
              <w:widowControl/>
              <w:suppressLineNumbers w:val="0"/>
              <w:jc w:val="center"/>
              <w:textAlignment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县发改局、</w:t>
            </w:r>
            <w:r>
              <w:rPr>
                <w:rFonts w:hint="eastAsia" w:ascii="仿宋_GB2312" w:hAnsi="等线" w:eastAsia="仿宋_GB2312" w:cs="仿宋_GB2312"/>
                <w:i w:val="0"/>
                <w:color w:val="auto"/>
                <w:kern w:val="0"/>
                <w:sz w:val="24"/>
                <w:szCs w:val="24"/>
                <w:highlight w:val="none"/>
                <w:u w:val="none"/>
                <w:lang w:val="en-US" w:eastAsia="zh-CN" w:bidi="ar"/>
              </w:rPr>
              <w:t>财政局、住建局、交通运输局、水务局</w:t>
            </w:r>
          </w:p>
        </w:tc>
        <w:tc>
          <w:tcPr>
            <w:tcW w:w="3435" w:type="dxa"/>
            <w:noWrap w:val="0"/>
            <w:vAlign w:val="center"/>
          </w:tcPr>
          <w:p w14:paraId="5DDAF491">
            <w:pPr>
              <w:keepNext w:val="0"/>
              <w:keepLines w:val="0"/>
              <w:widowControl/>
              <w:suppressLineNumbers w:val="0"/>
              <w:jc w:val="both"/>
              <w:textAlignment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hint="eastAsia" w:ascii="仿宋_GB2312" w:hAnsi="等线" w:eastAsia="仿宋_GB2312" w:cs="仿宋_GB2312"/>
                <w:i w:val="0"/>
                <w:color w:val="auto"/>
                <w:kern w:val="0"/>
                <w:sz w:val="24"/>
                <w:szCs w:val="24"/>
                <w:highlight w:val="none"/>
                <w:u w:val="none"/>
                <w:lang w:val="en-US" w:eastAsia="zh-CN" w:bidi="ar"/>
              </w:rPr>
              <w:t>政数局</w:t>
            </w:r>
          </w:p>
        </w:tc>
      </w:tr>
      <w:tr w14:paraId="04C1B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7" w:type="dxa"/>
            <w:noWrap w:val="0"/>
            <w:vAlign w:val="center"/>
          </w:tcPr>
          <w:p w14:paraId="4D339988">
            <w:pPr>
              <w:keepNext w:val="0"/>
              <w:keepLines w:val="0"/>
              <w:widowControl/>
              <w:suppressLineNumbers w:val="0"/>
              <w:jc w:val="center"/>
              <w:textAlignment w:val="auto"/>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i w:val="0"/>
                <w:color w:val="auto"/>
                <w:kern w:val="0"/>
                <w:sz w:val="24"/>
                <w:szCs w:val="24"/>
                <w:highlight w:val="none"/>
                <w:u w:val="none"/>
                <w:lang w:val="en-US" w:eastAsia="zh-CN" w:bidi="ar"/>
              </w:rPr>
              <w:t>8</w:t>
            </w:r>
            <w:r>
              <w:rPr>
                <w:rFonts w:hint="eastAsia" w:ascii="Times New Roman" w:hAnsi="Times New Roman" w:eastAsia="仿宋_GB2312" w:cs="Times New Roman"/>
                <w:i w:val="0"/>
                <w:color w:val="auto"/>
                <w:kern w:val="0"/>
                <w:sz w:val="24"/>
                <w:szCs w:val="24"/>
                <w:highlight w:val="none"/>
                <w:u w:val="none"/>
                <w:lang w:val="en-US" w:eastAsia="zh-CN" w:bidi="ar"/>
              </w:rPr>
              <w:t>2</w:t>
            </w:r>
          </w:p>
        </w:tc>
        <w:tc>
          <w:tcPr>
            <w:tcW w:w="1559" w:type="dxa"/>
            <w:noWrap w:val="0"/>
            <w:vAlign w:val="center"/>
          </w:tcPr>
          <w:p w14:paraId="4894C13A">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创新投资项目全代办服务体系</w:t>
            </w:r>
          </w:p>
        </w:tc>
        <w:tc>
          <w:tcPr>
            <w:tcW w:w="6095" w:type="dxa"/>
            <w:noWrap w:val="0"/>
            <w:vAlign w:val="center"/>
          </w:tcPr>
          <w:p w14:paraId="3ECE9523">
            <w:pPr>
              <w:widowControl/>
              <w:jc w:val="left"/>
              <w:rPr>
                <w:rFonts w:hint="eastAsia" w:ascii="Times New Roman" w:hAnsi="Times New Roman" w:eastAsia="仿宋_GB2312" w:cs="Times New Roman"/>
                <w:color w:val="auto"/>
                <w:kern w:val="0"/>
                <w:sz w:val="24"/>
                <w:highlight w:val="none"/>
              </w:rPr>
            </w:pPr>
            <w:r>
              <w:rPr>
                <w:rFonts w:hint="eastAsia" w:ascii="Times New Roman" w:hAnsi="Times New Roman" w:eastAsia="仿宋_GB2312" w:cs="Times New Roman"/>
                <w:color w:val="auto"/>
                <w:kern w:val="0"/>
                <w:sz w:val="24"/>
                <w:highlight w:val="none"/>
              </w:rPr>
              <w:t>建立健全企业投资项目全代办服务工作机制，通过购买服务形式建设专业化代办队伍，规范接受委托、开展代办、服务中止与续办、服务交付等流程，提供企业开办、项目立项、建设许可、施工许可、竣工验收等全程免费代办服务，提升“点对点”“面对面”专属服务体验。</w:t>
            </w:r>
          </w:p>
          <w:p w14:paraId="4B23F892">
            <w:pPr>
              <w:widowControl/>
              <w:jc w:val="left"/>
              <w:rPr>
                <w:rFonts w:ascii="Times New Roman" w:hAnsi="Times New Roman" w:eastAsia="仿宋_GB2312"/>
                <w:color w:val="auto"/>
                <w:kern w:val="0"/>
                <w:sz w:val="24"/>
                <w:highlight w:val="none"/>
              </w:rPr>
            </w:pPr>
          </w:p>
        </w:tc>
        <w:tc>
          <w:tcPr>
            <w:tcW w:w="1559" w:type="dxa"/>
            <w:noWrap w:val="0"/>
            <w:vAlign w:val="center"/>
          </w:tcPr>
          <w:p w14:paraId="226B6680">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县投资促进中心</w:t>
            </w:r>
          </w:p>
        </w:tc>
        <w:tc>
          <w:tcPr>
            <w:tcW w:w="3435" w:type="dxa"/>
            <w:noWrap w:val="0"/>
            <w:vAlign w:val="center"/>
          </w:tcPr>
          <w:p w14:paraId="20FCF23A">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委统战部，</w:t>
            </w: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住建局、发改局、自然资源局、政数局、生态局、水务局、应急局、</w:t>
            </w:r>
            <w:r>
              <w:rPr>
                <w:rFonts w:hint="eastAsia" w:ascii="Times New Roman" w:hAnsi="Times New Roman" w:eastAsia="仿宋_GB2312"/>
                <w:color w:val="auto"/>
                <w:kern w:val="0"/>
                <w:sz w:val="24"/>
                <w:highlight w:val="none"/>
                <w:lang w:eastAsia="zh-CN"/>
              </w:rPr>
              <w:t>交通运输局</w:t>
            </w:r>
            <w:r>
              <w:rPr>
                <w:rFonts w:ascii="Times New Roman" w:hAnsi="Times New Roman" w:eastAsia="仿宋_GB2312"/>
                <w:color w:val="auto"/>
                <w:kern w:val="0"/>
                <w:sz w:val="24"/>
                <w:highlight w:val="none"/>
              </w:rPr>
              <w:t>、气象局、林业局、文广旅体局、国安</w:t>
            </w:r>
            <w:r>
              <w:rPr>
                <w:rFonts w:hint="eastAsia" w:ascii="Times New Roman" w:hAnsi="Times New Roman" w:eastAsia="仿宋_GB2312"/>
                <w:color w:val="auto"/>
                <w:kern w:val="0"/>
                <w:sz w:val="24"/>
                <w:highlight w:val="none"/>
                <w:lang w:val="en-US" w:eastAsia="zh-CN"/>
              </w:rPr>
              <w:t>办</w:t>
            </w:r>
            <w:r>
              <w:rPr>
                <w:rFonts w:ascii="Times New Roman" w:hAnsi="Times New Roman" w:eastAsia="仿宋_GB2312"/>
                <w:color w:val="auto"/>
                <w:kern w:val="0"/>
                <w:sz w:val="24"/>
                <w:highlight w:val="none"/>
              </w:rPr>
              <w:t>、通信办、供电局、</w:t>
            </w:r>
            <w:r>
              <w:rPr>
                <w:rFonts w:hint="eastAsia" w:ascii="Times New Roman" w:hAnsi="Times New Roman" w:eastAsia="仿宋_GB2312"/>
                <w:color w:val="auto"/>
                <w:kern w:val="0"/>
                <w:sz w:val="24"/>
                <w:highlight w:val="none"/>
                <w:lang w:val="en-US" w:eastAsia="zh-CN"/>
              </w:rPr>
              <w:t>县水务集团</w:t>
            </w:r>
            <w:r>
              <w:rPr>
                <w:rFonts w:ascii="Times New Roman" w:hAnsi="Times New Roman" w:eastAsia="仿宋_GB2312"/>
                <w:color w:val="auto"/>
                <w:kern w:val="0"/>
                <w:sz w:val="24"/>
                <w:highlight w:val="none"/>
              </w:rPr>
              <w:t>，</w:t>
            </w:r>
            <w:r>
              <w:rPr>
                <w:rFonts w:hint="eastAsia" w:ascii="Times New Roman" w:hAnsi="Times New Roman" w:eastAsia="仿宋_GB2312"/>
                <w:color w:val="auto"/>
                <w:kern w:val="0"/>
                <w:sz w:val="24"/>
                <w:highlight w:val="none"/>
                <w:lang w:val="en-US" w:eastAsia="zh-CN"/>
              </w:rPr>
              <w:t>海丰深燃</w:t>
            </w:r>
            <w:r>
              <w:rPr>
                <w:rFonts w:ascii="Times New Roman" w:hAnsi="Times New Roman" w:eastAsia="仿宋_GB2312"/>
                <w:color w:val="auto"/>
                <w:kern w:val="0"/>
                <w:sz w:val="24"/>
                <w:highlight w:val="none"/>
              </w:rPr>
              <w:t>公司、广东广电</w:t>
            </w:r>
            <w:r>
              <w:rPr>
                <w:rFonts w:hint="eastAsia" w:ascii="Times New Roman" w:hAnsi="Times New Roman" w:eastAsia="仿宋_GB2312"/>
                <w:color w:val="auto"/>
                <w:kern w:val="0"/>
                <w:sz w:val="24"/>
                <w:highlight w:val="none"/>
                <w:lang w:val="en-US" w:eastAsia="zh-CN"/>
              </w:rPr>
              <w:t>网络海丰</w:t>
            </w:r>
            <w:r>
              <w:rPr>
                <w:rFonts w:ascii="Times New Roman" w:hAnsi="Times New Roman" w:eastAsia="仿宋_GB2312"/>
                <w:color w:val="auto"/>
                <w:kern w:val="0"/>
                <w:sz w:val="24"/>
                <w:highlight w:val="none"/>
              </w:rPr>
              <w:t>分公司</w:t>
            </w:r>
          </w:p>
        </w:tc>
      </w:tr>
      <w:tr w14:paraId="2F49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7" w:type="dxa"/>
            <w:noWrap w:val="0"/>
            <w:vAlign w:val="center"/>
          </w:tcPr>
          <w:p w14:paraId="72975A11">
            <w:pPr>
              <w:keepNext w:val="0"/>
              <w:keepLines w:val="0"/>
              <w:widowControl/>
              <w:suppressLineNumbers w:val="0"/>
              <w:jc w:val="center"/>
              <w:textAlignment w:val="auto"/>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i w:val="0"/>
                <w:color w:val="auto"/>
                <w:kern w:val="0"/>
                <w:sz w:val="24"/>
                <w:szCs w:val="24"/>
                <w:highlight w:val="none"/>
                <w:u w:val="none"/>
                <w:lang w:val="en-US" w:eastAsia="zh-CN" w:bidi="ar"/>
              </w:rPr>
              <w:t>8</w:t>
            </w:r>
            <w:r>
              <w:rPr>
                <w:rFonts w:hint="eastAsia" w:ascii="Times New Roman" w:hAnsi="Times New Roman" w:eastAsia="仿宋_GB2312" w:cs="Times New Roman"/>
                <w:i w:val="0"/>
                <w:color w:val="auto"/>
                <w:kern w:val="0"/>
                <w:sz w:val="24"/>
                <w:szCs w:val="24"/>
                <w:highlight w:val="none"/>
                <w:u w:val="none"/>
                <w:lang w:val="en-US" w:eastAsia="zh-CN" w:bidi="ar"/>
              </w:rPr>
              <w:t>3</w:t>
            </w:r>
          </w:p>
        </w:tc>
        <w:tc>
          <w:tcPr>
            <w:tcW w:w="1559" w:type="dxa"/>
            <w:vMerge w:val="restart"/>
            <w:noWrap w:val="0"/>
            <w:vAlign w:val="center"/>
          </w:tcPr>
          <w:p w14:paraId="77EB7B73">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深化“善美店小二”应用</w:t>
            </w:r>
          </w:p>
        </w:tc>
        <w:tc>
          <w:tcPr>
            <w:tcW w:w="6095" w:type="dxa"/>
            <w:noWrap w:val="0"/>
            <w:vAlign w:val="center"/>
          </w:tcPr>
          <w:p w14:paraId="647C52BA">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深化和丰富企业服务功能，推动企业消防设备安全检查等更多数字赋能新场景上线。</w:t>
            </w:r>
          </w:p>
        </w:tc>
        <w:tc>
          <w:tcPr>
            <w:tcW w:w="1559" w:type="dxa"/>
            <w:noWrap w:val="0"/>
            <w:vAlign w:val="center"/>
          </w:tcPr>
          <w:p w14:paraId="1DDF3496">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政数局</w:t>
            </w:r>
          </w:p>
        </w:tc>
        <w:tc>
          <w:tcPr>
            <w:tcW w:w="3435" w:type="dxa"/>
            <w:noWrap w:val="0"/>
            <w:vAlign w:val="center"/>
          </w:tcPr>
          <w:p w14:paraId="1329F92B">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hint="eastAsia" w:ascii="Times New Roman" w:hAnsi="Times New Roman" w:eastAsia="仿宋_GB2312"/>
                <w:color w:val="auto"/>
                <w:kern w:val="0"/>
                <w:sz w:val="24"/>
                <w:highlight w:val="none"/>
                <w:lang w:eastAsia="zh-CN"/>
              </w:rPr>
              <w:t>消防</w:t>
            </w:r>
            <w:r>
              <w:rPr>
                <w:rFonts w:hint="eastAsia" w:ascii="Times New Roman" w:hAnsi="Times New Roman" w:eastAsia="仿宋_GB2312"/>
                <w:color w:val="auto"/>
                <w:kern w:val="0"/>
                <w:sz w:val="24"/>
                <w:highlight w:val="none"/>
                <w:lang w:val="en-US" w:eastAsia="zh-CN"/>
              </w:rPr>
              <w:t>大</w:t>
            </w:r>
            <w:r>
              <w:rPr>
                <w:rFonts w:hint="eastAsia" w:ascii="Times New Roman" w:hAnsi="Times New Roman" w:eastAsia="仿宋_GB2312"/>
                <w:color w:val="auto"/>
                <w:kern w:val="0"/>
                <w:sz w:val="24"/>
                <w:highlight w:val="none"/>
                <w:lang w:eastAsia="zh-CN"/>
              </w:rPr>
              <w:t>队、市监局、</w:t>
            </w:r>
            <w:r>
              <w:rPr>
                <w:rFonts w:hint="eastAsia" w:ascii="Times New Roman" w:hAnsi="Times New Roman" w:eastAsia="仿宋_GB2312"/>
                <w:color w:val="auto"/>
                <w:kern w:val="0"/>
                <w:sz w:val="24"/>
                <w:highlight w:val="none"/>
                <w:lang w:val="en-US" w:eastAsia="zh-CN"/>
              </w:rPr>
              <w:t>投资促进中心</w:t>
            </w:r>
            <w:r>
              <w:rPr>
                <w:rFonts w:hint="eastAsia" w:ascii="Times New Roman" w:hAnsi="Times New Roman" w:eastAsia="仿宋_GB2312"/>
                <w:color w:val="auto"/>
                <w:kern w:val="0"/>
                <w:sz w:val="24"/>
                <w:highlight w:val="none"/>
                <w:lang w:eastAsia="zh-CN"/>
              </w:rPr>
              <w:t>、</w:t>
            </w:r>
            <w:r>
              <w:rPr>
                <w:rFonts w:hint="eastAsia" w:ascii="Times New Roman" w:hAnsi="Times New Roman" w:eastAsia="仿宋_GB2312"/>
                <w:color w:val="auto"/>
                <w:kern w:val="0"/>
                <w:sz w:val="24"/>
                <w:highlight w:val="none"/>
                <w:lang w:val="en-US" w:eastAsia="zh-CN"/>
              </w:rPr>
              <w:t>科工局、</w:t>
            </w:r>
            <w:r>
              <w:rPr>
                <w:rFonts w:hint="eastAsia" w:ascii="Times New Roman" w:hAnsi="Times New Roman" w:eastAsia="仿宋_GB2312"/>
                <w:color w:val="auto"/>
                <w:kern w:val="0"/>
                <w:sz w:val="24"/>
                <w:highlight w:val="none"/>
                <w:lang w:eastAsia="zh-CN"/>
              </w:rPr>
              <w:t>人社局、财政局等</w:t>
            </w:r>
            <w:r>
              <w:rPr>
                <w:rFonts w:hint="eastAsia" w:ascii="Times New Roman" w:hAnsi="Times New Roman" w:eastAsia="仿宋_GB2312"/>
                <w:color w:val="auto"/>
                <w:kern w:val="0"/>
                <w:sz w:val="24"/>
                <w:highlight w:val="none"/>
                <w:lang w:val="en-US" w:eastAsia="zh-CN"/>
              </w:rPr>
              <w:t>县</w:t>
            </w:r>
            <w:r>
              <w:rPr>
                <w:rFonts w:hint="eastAsia" w:ascii="Times New Roman" w:hAnsi="Times New Roman" w:eastAsia="仿宋_GB2312"/>
                <w:color w:val="auto"/>
                <w:kern w:val="0"/>
                <w:sz w:val="24"/>
                <w:highlight w:val="none"/>
                <w:lang w:eastAsia="zh-CN"/>
              </w:rPr>
              <w:t>直有关单位</w:t>
            </w:r>
          </w:p>
        </w:tc>
      </w:tr>
      <w:tr w14:paraId="1DBD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77" w:type="dxa"/>
            <w:noWrap w:val="0"/>
            <w:vAlign w:val="center"/>
          </w:tcPr>
          <w:p w14:paraId="29B4801B">
            <w:pPr>
              <w:keepNext w:val="0"/>
              <w:keepLines w:val="0"/>
              <w:widowControl/>
              <w:suppressLineNumbers w:val="0"/>
              <w:jc w:val="center"/>
              <w:textAlignment w:val="auto"/>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i w:val="0"/>
                <w:color w:val="auto"/>
                <w:kern w:val="0"/>
                <w:sz w:val="24"/>
                <w:szCs w:val="24"/>
                <w:highlight w:val="none"/>
                <w:u w:val="none"/>
                <w:lang w:val="en-US" w:eastAsia="zh-CN" w:bidi="ar"/>
              </w:rPr>
              <w:t>8</w:t>
            </w:r>
            <w:r>
              <w:rPr>
                <w:rFonts w:hint="eastAsia" w:ascii="Times New Roman" w:hAnsi="Times New Roman" w:eastAsia="仿宋_GB2312" w:cs="Times New Roman"/>
                <w:i w:val="0"/>
                <w:color w:val="auto"/>
                <w:kern w:val="0"/>
                <w:sz w:val="24"/>
                <w:szCs w:val="24"/>
                <w:highlight w:val="none"/>
                <w:u w:val="none"/>
                <w:lang w:val="en-US" w:eastAsia="zh-CN" w:bidi="ar"/>
              </w:rPr>
              <w:t>4</w:t>
            </w:r>
          </w:p>
        </w:tc>
        <w:tc>
          <w:tcPr>
            <w:tcW w:w="1559" w:type="dxa"/>
            <w:vMerge w:val="continue"/>
            <w:noWrap w:val="0"/>
            <w:vAlign w:val="center"/>
          </w:tcPr>
          <w:p w14:paraId="3763B13C">
            <w:pPr>
              <w:widowControl/>
              <w:jc w:val="left"/>
              <w:rPr>
                <w:rFonts w:ascii="Times New Roman" w:hAnsi="Times New Roman" w:eastAsia="仿宋_GB2312"/>
                <w:color w:val="auto"/>
                <w:kern w:val="0"/>
                <w:sz w:val="24"/>
                <w:highlight w:val="none"/>
              </w:rPr>
            </w:pPr>
          </w:p>
        </w:tc>
        <w:tc>
          <w:tcPr>
            <w:tcW w:w="6095" w:type="dxa"/>
            <w:noWrap w:val="0"/>
            <w:vAlign w:val="center"/>
          </w:tcPr>
          <w:p w14:paraId="7583FAD8">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推动工建项目审批靠前服务，重点推进工建项目电子化监测，深化“善美店小二”应用，推动市场主体认证用户数突破</w:t>
            </w:r>
            <w:r>
              <w:rPr>
                <w:rFonts w:hint="eastAsia" w:ascii="Times New Roman" w:hAnsi="Times New Roman" w:eastAsia="仿宋_GB2312"/>
                <w:color w:val="auto"/>
                <w:kern w:val="0"/>
                <w:sz w:val="24"/>
                <w:highlight w:val="none"/>
                <w:lang w:val="en-US" w:eastAsia="zh-CN"/>
              </w:rPr>
              <w:t>3</w:t>
            </w:r>
            <w:r>
              <w:rPr>
                <w:rFonts w:ascii="Times New Roman" w:hAnsi="Times New Roman" w:eastAsia="仿宋_GB2312"/>
                <w:color w:val="auto"/>
                <w:kern w:val="0"/>
                <w:sz w:val="24"/>
                <w:highlight w:val="none"/>
              </w:rPr>
              <w:t>万。</w:t>
            </w:r>
          </w:p>
        </w:tc>
        <w:tc>
          <w:tcPr>
            <w:tcW w:w="1559" w:type="dxa"/>
            <w:noWrap w:val="0"/>
            <w:vAlign w:val="center"/>
          </w:tcPr>
          <w:p w14:paraId="14EF2162">
            <w:pPr>
              <w:widowControl/>
              <w:jc w:val="center"/>
              <w:rPr>
                <w:rFonts w:hint="eastAsia" w:ascii="Times New Roman" w:hAnsi="Times New Roman" w:eastAsia="仿宋_GB2312"/>
                <w:color w:val="auto"/>
                <w:kern w:val="0"/>
                <w:sz w:val="24"/>
                <w:highlight w:val="none"/>
                <w:lang w:eastAsia="zh-CN"/>
              </w:rPr>
            </w:pPr>
            <w:r>
              <w:rPr>
                <w:rFonts w:hint="eastAsia" w:ascii="Times New Roman" w:hAnsi="Times New Roman" w:eastAsia="仿宋_GB2312"/>
                <w:color w:val="auto"/>
                <w:kern w:val="0"/>
                <w:sz w:val="24"/>
                <w:highlight w:val="none"/>
                <w:lang w:val="en-US" w:eastAsia="zh-CN"/>
              </w:rPr>
              <w:t>县</w:t>
            </w:r>
            <w:r>
              <w:rPr>
                <w:rFonts w:hint="eastAsia" w:ascii="Times New Roman" w:hAnsi="Times New Roman" w:eastAsia="仿宋_GB2312"/>
                <w:color w:val="auto"/>
                <w:kern w:val="0"/>
                <w:sz w:val="24"/>
                <w:highlight w:val="none"/>
                <w:lang w:eastAsia="zh-CN"/>
              </w:rPr>
              <w:t>市</w:t>
            </w:r>
            <w:r>
              <w:rPr>
                <w:rFonts w:hint="eastAsia" w:ascii="Times New Roman" w:hAnsi="Times New Roman" w:eastAsia="仿宋_GB2312"/>
                <w:color w:val="auto"/>
                <w:kern w:val="0"/>
                <w:sz w:val="24"/>
                <w:highlight w:val="none"/>
                <w:lang w:val="en-US" w:eastAsia="zh-CN"/>
              </w:rPr>
              <w:t>监</w:t>
            </w:r>
            <w:r>
              <w:rPr>
                <w:rFonts w:hint="eastAsia" w:ascii="Times New Roman" w:hAnsi="Times New Roman" w:eastAsia="仿宋_GB2312"/>
                <w:color w:val="auto"/>
                <w:kern w:val="0"/>
                <w:sz w:val="24"/>
                <w:highlight w:val="none"/>
                <w:lang w:eastAsia="zh-CN"/>
              </w:rPr>
              <w:t>局、</w:t>
            </w:r>
            <w:r>
              <w:rPr>
                <w:rFonts w:ascii="Times New Roman" w:hAnsi="Times New Roman" w:eastAsia="仿宋_GB2312"/>
                <w:color w:val="auto"/>
                <w:kern w:val="0"/>
                <w:sz w:val="24"/>
                <w:highlight w:val="none"/>
              </w:rPr>
              <w:t>政数局</w:t>
            </w:r>
          </w:p>
        </w:tc>
        <w:tc>
          <w:tcPr>
            <w:tcW w:w="3435" w:type="dxa"/>
            <w:noWrap w:val="0"/>
            <w:vAlign w:val="center"/>
          </w:tcPr>
          <w:p w14:paraId="602D8363">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hint="eastAsia" w:ascii="Times New Roman" w:hAnsi="Times New Roman" w:eastAsia="仿宋_GB2312"/>
                <w:color w:val="auto"/>
                <w:kern w:val="0"/>
                <w:sz w:val="24"/>
                <w:highlight w:val="none"/>
                <w:lang w:eastAsia="zh-CN"/>
              </w:rPr>
              <w:t>住建局、发改局、自然资源局、人社局、住建局、</w:t>
            </w:r>
            <w:r>
              <w:rPr>
                <w:rFonts w:hint="eastAsia" w:ascii="Times New Roman" w:hAnsi="Times New Roman" w:eastAsia="仿宋_GB2312"/>
                <w:color w:val="auto"/>
                <w:kern w:val="0"/>
                <w:sz w:val="24"/>
                <w:highlight w:val="none"/>
                <w:lang w:val="en-US" w:eastAsia="zh-CN"/>
              </w:rPr>
              <w:t>投资促进中心</w:t>
            </w:r>
            <w:r>
              <w:rPr>
                <w:rFonts w:hint="eastAsia" w:ascii="Times New Roman" w:hAnsi="Times New Roman" w:eastAsia="仿宋_GB2312"/>
                <w:color w:val="auto"/>
                <w:kern w:val="0"/>
                <w:sz w:val="24"/>
                <w:highlight w:val="none"/>
                <w:lang w:eastAsia="zh-CN"/>
              </w:rPr>
              <w:t>、</w:t>
            </w:r>
            <w:r>
              <w:rPr>
                <w:rFonts w:hint="eastAsia" w:ascii="Times New Roman" w:hAnsi="Times New Roman" w:eastAsia="仿宋_GB2312"/>
                <w:color w:val="auto"/>
                <w:kern w:val="0"/>
                <w:sz w:val="24"/>
                <w:highlight w:val="none"/>
                <w:lang w:val="en-US" w:eastAsia="zh-CN"/>
              </w:rPr>
              <w:t>科工</w:t>
            </w:r>
            <w:r>
              <w:rPr>
                <w:rFonts w:hint="eastAsia" w:ascii="Times New Roman" w:hAnsi="Times New Roman" w:eastAsia="仿宋_GB2312"/>
                <w:color w:val="auto"/>
                <w:kern w:val="0"/>
                <w:sz w:val="24"/>
                <w:highlight w:val="none"/>
                <w:lang w:eastAsia="zh-CN"/>
              </w:rPr>
              <w:t>局、金融局、自然资源局等</w:t>
            </w:r>
            <w:r>
              <w:rPr>
                <w:rFonts w:hint="eastAsia" w:ascii="Times New Roman" w:hAnsi="Times New Roman" w:eastAsia="仿宋_GB2312"/>
                <w:color w:val="auto"/>
                <w:kern w:val="0"/>
                <w:sz w:val="24"/>
                <w:highlight w:val="none"/>
                <w:lang w:val="en-US" w:eastAsia="zh-CN"/>
              </w:rPr>
              <w:t>县</w:t>
            </w:r>
            <w:r>
              <w:rPr>
                <w:rFonts w:hint="eastAsia" w:ascii="Times New Roman" w:hAnsi="Times New Roman" w:eastAsia="仿宋_GB2312"/>
                <w:color w:val="auto"/>
                <w:kern w:val="0"/>
                <w:sz w:val="24"/>
                <w:highlight w:val="none"/>
                <w:lang w:eastAsia="zh-CN"/>
              </w:rPr>
              <w:t>直有关单位</w:t>
            </w:r>
          </w:p>
        </w:tc>
      </w:tr>
      <w:tr w14:paraId="118C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677" w:type="dxa"/>
            <w:noWrap w:val="0"/>
            <w:vAlign w:val="center"/>
          </w:tcPr>
          <w:p w14:paraId="5554EB90">
            <w:pPr>
              <w:keepNext w:val="0"/>
              <w:keepLines w:val="0"/>
              <w:widowControl/>
              <w:suppressLineNumbers w:val="0"/>
              <w:jc w:val="center"/>
              <w:textAlignment w:val="auto"/>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i w:val="0"/>
                <w:color w:val="auto"/>
                <w:kern w:val="0"/>
                <w:sz w:val="24"/>
                <w:szCs w:val="24"/>
                <w:highlight w:val="none"/>
                <w:u w:val="none"/>
                <w:lang w:val="en-US" w:eastAsia="zh-CN" w:bidi="ar"/>
              </w:rPr>
              <w:t>8</w:t>
            </w:r>
            <w:r>
              <w:rPr>
                <w:rFonts w:hint="eastAsia" w:ascii="Times New Roman" w:hAnsi="Times New Roman" w:eastAsia="仿宋_GB2312" w:cs="Times New Roman"/>
                <w:i w:val="0"/>
                <w:color w:val="auto"/>
                <w:kern w:val="0"/>
                <w:sz w:val="24"/>
                <w:szCs w:val="24"/>
                <w:highlight w:val="none"/>
                <w:u w:val="none"/>
                <w:lang w:val="en-US" w:eastAsia="zh-CN" w:bidi="ar"/>
              </w:rPr>
              <w:t>5</w:t>
            </w:r>
          </w:p>
        </w:tc>
        <w:tc>
          <w:tcPr>
            <w:tcW w:w="1559" w:type="dxa"/>
            <w:vMerge w:val="restart"/>
            <w:noWrap w:val="0"/>
            <w:vAlign w:val="center"/>
          </w:tcPr>
          <w:p w14:paraId="5DB6AC29">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推动投诉闭环管理</w:t>
            </w:r>
          </w:p>
        </w:tc>
        <w:tc>
          <w:tcPr>
            <w:tcW w:w="6095" w:type="dxa"/>
            <w:noWrap w:val="0"/>
            <w:vAlign w:val="center"/>
          </w:tcPr>
          <w:p w14:paraId="6190228E">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建立健全沟通反馈机制，推动各地各部门落实整改，推动整改成效与“好差评”评价相结合，实现全</w:t>
            </w: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好评率达90%以上。</w:t>
            </w:r>
          </w:p>
        </w:tc>
        <w:tc>
          <w:tcPr>
            <w:tcW w:w="1559" w:type="dxa"/>
            <w:noWrap w:val="0"/>
            <w:vAlign w:val="center"/>
          </w:tcPr>
          <w:p w14:paraId="77DC5406">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政数局</w:t>
            </w:r>
          </w:p>
        </w:tc>
        <w:tc>
          <w:tcPr>
            <w:tcW w:w="3435" w:type="dxa"/>
            <w:noWrap w:val="0"/>
            <w:vAlign w:val="center"/>
          </w:tcPr>
          <w:p w14:paraId="634E8C4A">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275FE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7" w:type="dxa"/>
            <w:noWrap w:val="0"/>
            <w:vAlign w:val="center"/>
          </w:tcPr>
          <w:p w14:paraId="22E9D2A7">
            <w:pPr>
              <w:keepNext w:val="0"/>
              <w:keepLines w:val="0"/>
              <w:widowControl/>
              <w:suppressLineNumbers w:val="0"/>
              <w:jc w:val="center"/>
              <w:textAlignment w:val="auto"/>
              <w:rPr>
                <w:rFonts w:hint="default" w:ascii="Times New Roman" w:hAnsi="Times New Roman" w:eastAsia="仿宋_GB2312" w:cs="Times New Roman"/>
                <w:color w:val="auto"/>
                <w:kern w:val="0"/>
                <w:sz w:val="24"/>
                <w:highlight w:val="none"/>
                <w:lang w:val="en-US" w:eastAsia="zh-CN"/>
              </w:rPr>
            </w:pPr>
            <w:r>
              <w:rPr>
                <w:rFonts w:hint="eastAsia" w:ascii="Times New Roman" w:hAnsi="Times New Roman" w:eastAsia="仿宋_GB2312" w:cs="Times New Roman"/>
                <w:i w:val="0"/>
                <w:color w:val="auto"/>
                <w:kern w:val="0"/>
                <w:sz w:val="24"/>
                <w:szCs w:val="24"/>
                <w:highlight w:val="none"/>
                <w:u w:val="none"/>
                <w:lang w:val="en-US" w:eastAsia="zh-CN" w:bidi="ar"/>
              </w:rPr>
              <w:t>86</w:t>
            </w:r>
          </w:p>
        </w:tc>
        <w:tc>
          <w:tcPr>
            <w:tcW w:w="1559" w:type="dxa"/>
            <w:vMerge w:val="continue"/>
            <w:noWrap w:val="0"/>
            <w:vAlign w:val="center"/>
          </w:tcPr>
          <w:p w14:paraId="747988EB">
            <w:pPr>
              <w:widowControl/>
              <w:jc w:val="left"/>
              <w:rPr>
                <w:rFonts w:ascii="Times New Roman" w:hAnsi="Times New Roman" w:eastAsia="仿宋_GB2312"/>
                <w:color w:val="auto"/>
                <w:kern w:val="0"/>
                <w:sz w:val="24"/>
                <w:highlight w:val="none"/>
              </w:rPr>
            </w:pPr>
          </w:p>
        </w:tc>
        <w:tc>
          <w:tcPr>
            <w:tcW w:w="6095" w:type="dxa"/>
            <w:noWrap w:val="0"/>
            <w:vAlign w:val="center"/>
          </w:tcPr>
          <w:p w14:paraId="45D3B37C">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依托12345政府服务热线平台，</w:t>
            </w:r>
            <w:r>
              <w:rPr>
                <w:rFonts w:hint="eastAsia" w:ascii="Times New Roman" w:hAnsi="Times New Roman" w:eastAsia="仿宋_GB2312"/>
                <w:color w:val="auto"/>
                <w:kern w:val="0"/>
                <w:sz w:val="24"/>
                <w:highlight w:val="none"/>
                <w:lang w:val="en-US" w:eastAsia="zh-CN"/>
              </w:rPr>
              <w:t>利用</w:t>
            </w:r>
            <w:r>
              <w:rPr>
                <w:rFonts w:ascii="Times New Roman" w:hAnsi="Times New Roman" w:eastAsia="仿宋_GB2312"/>
                <w:color w:val="auto"/>
                <w:kern w:val="0"/>
                <w:sz w:val="24"/>
                <w:highlight w:val="none"/>
              </w:rPr>
              <w:t>企业服务专线，为企业提供更快更精准的办事咨询、政策解读、诉求联动办理“绿色通道”。</w:t>
            </w:r>
          </w:p>
        </w:tc>
        <w:tc>
          <w:tcPr>
            <w:tcW w:w="1559" w:type="dxa"/>
            <w:noWrap w:val="0"/>
            <w:vAlign w:val="center"/>
          </w:tcPr>
          <w:p w14:paraId="36793AB1">
            <w:pPr>
              <w:widowControl/>
              <w:jc w:val="center"/>
              <w:rPr>
                <w:rFonts w:hint="default" w:ascii="Times New Roman" w:hAnsi="Times New Roman" w:eastAsia="仿宋_GB2312"/>
                <w:color w:val="auto"/>
                <w:kern w:val="0"/>
                <w:sz w:val="24"/>
                <w:highlight w:val="none"/>
                <w:lang w:val="en-US" w:eastAsia="zh-CN"/>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政数局</w:t>
            </w:r>
            <w:r>
              <w:rPr>
                <w:rFonts w:hint="eastAsia" w:ascii="Times New Roman" w:hAnsi="Times New Roman" w:eastAsia="仿宋_GB2312"/>
                <w:color w:val="auto"/>
                <w:kern w:val="0"/>
                <w:sz w:val="24"/>
                <w:highlight w:val="none"/>
                <w:lang w:eastAsia="zh-CN"/>
              </w:rPr>
              <w:t>、</w:t>
            </w:r>
            <w:r>
              <w:rPr>
                <w:rFonts w:hint="eastAsia" w:ascii="Times New Roman" w:hAnsi="Times New Roman" w:eastAsia="仿宋_GB2312"/>
                <w:color w:val="auto"/>
                <w:kern w:val="0"/>
                <w:sz w:val="24"/>
                <w:highlight w:val="none"/>
                <w:lang w:val="en-US" w:eastAsia="zh-CN"/>
              </w:rPr>
              <w:t>政务服务中心</w:t>
            </w:r>
          </w:p>
        </w:tc>
        <w:tc>
          <w:tcPr>
            <w:tcW w:w="3435" w:type="dxa"/>
            <w:noWrap w:val="0"/>
            <w:vAlign w:val="center"/>
          </w:tcPr>
          <w:p w14:paraId="4C8170EC">
            <w:pPr>
              <w:widowControl/>
              <w:jc w:val="both"/>
              <w:rPr>
                <w:rFonts w:hint="eastAsia" w:ascii="Times New Roman" w:hAnsi="Times New Roman" w:eastAsia="仿宋_GB2312"/>
                <w:color w:val="auto"/>
                <w:kern w:val="0"/>
                <w:sz w:val="24"/>
                <w:highlight w:val="none"/>
                <w:lang w:eastAsia="zh-CN"/>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2564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77" w:type="dxa"/>
            <w:noWrap w:val="0"/>
            <w:vAlign w:val="center"/>
          </w:tcPr>
          <w:p w14:paraId="417ACE76">
            <w:pPr>
              <w:keepNext w:val="0"/>
              <w:keepLines w:val="0"/>
              <w:widowControl/>
              <w:suppressLineNumbers w:val="0"/>
              <w:jc w:val="center"/>
              <w:textAlignment w:val="auto"/>
              <w:rPr>
                <w:rFonts w:hint="default" w:ascii="Times New Roman" w:hAnsi="Times New Roman" w:eastAsia="仿宋_GB2312" w:cs="Times New Roman"/>
                <w:color w:val="auto"/>
                <w:kern w:val="0"/>
                <w:sz w:val="24"/>
                <w:highlight w:val="none"/>
                <w:lang w:val="en-US" w:eastAsia="zh-CN"/>
              </w:rPr>
            </w:pPr>
            <w:r>
              <w:rPr>
                <w:rFonts w:hint="eastAsia" w:ascii="Times New Roman" w:hAnsi="Times New Roman" w:eastAsia="仿宋_GB2312" w:cs="Times New Roman"/>
                <w:i w:val="0"/>
                <w:color w:val="auto"/>
                <w:kern w:val="0"/>
                <w:sz w:val="24"/>
                <w:szCs w:val="24"/>
                <w:highlight w:val="none"/>
                <w:u w:val="none"/>
                <w:lang w:val="en-US" w:eastAsia="zh-CN" w:bidi="ar"/>
              </w:rPr>
              <w:t>87</w:t>
            </w:r>
          </w:p>
        </w:tc>
        <w:tc>
          <w:tcPr>
            <w:tcW w:w="1559" w:type="dxa"/>
            <w:vMerge w:val="continue"/>
            <w:noWrap w:val="0"/>
            <w:vAlign w:val="center"/>
          </w:tcPr>
          <w:p w14:paraId="2F2983C2">
            <w:pPr>
              <w:widowControl/>
              <w:jc w:val="left"/>
              <w:rPr>
                <w:rFonts w:ascii="Times New Roman" w:hAnsi="Times New Roman" w:eastAsia="仿宋_GB2312"/>
                <w:color w:val="auto"/>
                <w:kern w:val="0"/>
                <w:sz w:val="24"/>
                <w:highlight w:val="none"/>
              </w:rPr>
            </w:pPr>
          </w:p>
        </w:tc>
        <w:tc>
          <w:tcPr>
            <w:tcW w:w="6095" w:type="dxa"/>
            <w:noWrap w:val="0"/>
            <w:vAlign w:val="center"/>
          </w:tcPr>
          <w:p w14:paraId="0A396059">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仿宋_GB2312" w:cs="Times New Roman"/>
                <w:color w:val="auto"/>
                <w:kern w:val="0"/>
                <w:sz w:val="24"/>
                <w:szCs w:val="24"/>
                <w:highlight w:val="none"/>
              </w:rPr>
            </w:pPr>
            <w:r>
              <w:rPr>
                <w:rFonts w:ascii="Times New Roman" w:hAnsi="Times New Roman" w:eastAsia="仿宋_GB2312"/>
                <w:color w:val="auto"/>
                <w:kern w:val="0"/>
                <w:sz w:val="24"/>
                <w:highlight w:val="none"/>
              </w:rPr>
              <w:t>提升12345政务服务热线能力，</w:t>
            </w:r>
            <w:r>
              <w:rPr>
                <w:rFonts w:hint="default" w:ascii="Times New Roman" w:hAnsi="Times New Roman" w:eastAsia="仿宋_GB2312" w:cs="Times New Roman"/>
                <w:color w:val="auto"/>
                <w:kern w:val="0"/>
                <w:sz w:val="24"/>
                <w:szCs w:val="24"/>
                <w:highlight w:val="none"/>
              </w:rPr>
              <w:t>修改完善《海丰县“12345”工单办理效能的工作意见》，</w:t>
            </w:r>
            <w:r>
              <w:rPr>
                <w:rFonts w:hint="default" w:ascii="Times New Roman" w:hAnsi="Times New Roman" w:eastAsia="仿宋_GB2312" w:cs="Times New Roman"/>
                <w:color w:val="auto"/>
                <w:kern w:val="0"/>
                <w:sz w:val="24"/>
                <w:szCs w:val="24"/>
                <w:highlight w:val="none"/>
                <w:lang w:val="en-US" w:eastAsia="zh-CN"/>
              </w:rPr>
              <w:t>提高工单办理效率，</w:t>
            </w:r>
            <w:r>
              <w:rPr>
                <w:rFonts w:hint="default" w:ascii="Times New Roman" w:hAnsi="Times New Roman" w:eastAsia="仿宋_GB2312" w:cs="Times New Roman"/>
                <w:color w:val="auto"/>
                <w:kern w:val="0"/>
                <w:sz w:val="24"/>
                <w:szCs w:val="24"/>
                <w:highlight w:val="none"/>
              </w:rPr>
              <w:t>切实解决和维护群众</w:t>
            </w:r>
            <w:r>
              <w:rPr>
                <w:rFonts w:hint="default" w:ascii="Times New Roman" w:hAnsi="Times New Roman" w:eastAsia="仿宋_GB2312" w:cs="Times New Roman"/>
                <w:color w:val="auto"/>
                <w:kern w:val="0"/>
                <w:sz w:val="24"/>
                <w:szCs w:val="24"/>
                <w:highlight w:val="none"/>
                <w:lang w:val="en-US" w:eastAsia="zh-CN"/>
              </w:rPr>
              <w:t>合法</w:t>
            </w:r>
            <w:r>
              <w:rPr>
                <w:rFonts w:hint="default" w:ascii="Times New Roman" w:hAnsi="Times New Roman" w:eastAsia="仿宋_GB2312" w:cs="Times New Roman"/>
                <w:color w:val="auto"/>
                <w:kern w:val="0"/>
                <w:sz w:val="24"/>
                <w:szCs w:val="24"/>
                <w:highlight w:val="none"/>
              </w:rPr>
              <w:t>权益。</w:t>
            </w:r>
          </w:p>
          <w:p w14:paraId="21D30159">
            <w:pPr>
              <w:widowControl/>
              <w:jc w:val="left"/>
              <w:rPr>
                <w:rFonts w:ascii="Times New Roman" w:hAnsi="Times New Roman" w:eastAsia="仿宋_GB2312"/>
                <w:color w:val="auto"/>
                <w:kern w:val="0"/>
                <w:sz w:val="24"/>
                <w:highlight w:val="none"/>
              </w:rPr>
            </w:pPr>
          </w:p>
        </w:tc>
        <w:tc>
          <w:tcPr>
            <w:tcW w:w="1559" w:type="dxa"/>
            <w:noWrap w:val="0"/>
            <w:vAlign w:val="center"/>
          </w:tcPr>
          <w:p w14:paraId="0055992E">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政数局</w:t>
            </w:r>
            <w:r>
              <w:rPr>
                <w:rFonts w:hint="eastAsia" w:ascii="Times New Roman" w:hAnsi="Times New Roman" w:eastAsia="仿宋_GB2312"/>
                <w:color w:val="auto"/>
                <w:kern w:val="0"/>
                <w:sz w:val="24"/>
                <w:highlight w:val="none"/>
                <w:lang w:eastAsia="zh-CN"/>
              </w:rPr>
              <w:t>、</w:t>
            </w:r>
            <w:r>
              <w:rPr>
                <w:rFonts w:hint="eastAsia" w:ascii="Times New Roman" w:hAnsi="Times New Roman" w:eastAsia="仿宋_GB2312"/>
                <w:color w:val="auto"/>
                <w:kern w:val="0"/>
                <w:sz w:val="24"/>
                <w:highlight w:val="none"/>
                <w:lang w:val="en-US" w:eastAsia="zh-CN"/>
              </w:rPr>
              <w:t>政务服务中心</w:t>
            </w:r>
          </w:p>
        </w:tc>
        <w:tc>
          <w:tcPr>
            <w:tcW w:w="3435" w:type="dxa"/>
            <w:noWrap w:val="0"/>
            <w:vAlign w:val="center"/>
          </w:tcPr>
          <w:p w14:paraId="15EFDF27">
            <w:pPr>
              <w:widowControl/>
              <w:jc w:val="both"/>
              <w:rPr>
                <w:rFonts w:hint="eastAsia" w:ascii="Times New Roman" w:hAnsi="Times New Roman" w:eastAsia="仿宋_GB2312"/>
                <w:color w:val="auto"/>
                <w:kern w:val="0"/>
                <w:sz w:val="24"/>
                <w:highlight w:val="none"/>
                <w:lang w:eastAsia="zh-CN"/>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7CAA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7" w:type="dxa"/>
            <w:noWrap w:val="0"/>
            <w:vAlign w:val="center"/>
          </w:tcPr>
          <w:p w14:paraId="48961C13">
            <w:pPr>
              <w:keepNext w:val="0"/>
              <w:keepLines w:val="0"/>
              <w:widowControl/>
              <w:suppressLineNumbers w:val="0"/>
              <w:jc w:val="center"/>
              <w:textAlignment w:val="auto"/>
              <w:rPr>
                <w:rFonts w:hint="default" w:ascii="Times New Roman" w:hAnsi="Times New Roman" w:eastAsia="仿宋_GB2312" w:cs="Times New Roman"/>
                <w:color w:val="auto"/>
                <w:kern w:val="0"/>
                <w:sz w:val="24"/>
                <w:highlight w:val="none"/>
                <w:lang w:val="en-US" w:eastAsia="zh-CN"/>
              </w:rPr>
            </w:pPr>
            <w:r>
              <w:rPr>
                <w:rFonts w:hint="eastAsia" w:ascii="Times New Roman" w:hAnsi="Times New Roman" w:eastAsia="仿宋_GB2312" w:cs="Times New Roman"/>
                <w:i w:val="0"/>
                <w:color w:val="auto"/>
                <w:kern w:val="0"/>
                <w:sz w:val="24"/>
                <w:szCs w:val="24"/>
                <w:highlight w:val="none"/>
                <w:u w:val="none"/>
                <w:lang w:val="en-US" w:eastAsia="zh-CN" w:bidi="ar"/>
              </w:rPr>
              <w:t>88</w:t>
            </w:r>
          </w:p>
        </w:tc>
        <w:tc>
          <w:tcPr>
            <w:tcW w:w="1559" w:type="dxa"/>
            <w:vMerge w:val="restart"/>
            <w:noWrap w:val="0"/>
            <w:vAlign w:val="center"/>
          </w:tcPr>
          <w:p w14:paraId="7D5C7FFF">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健全政企互动沟通机制</w:t>
            </w:r>
          </w:p>
        </w:tc>
        <w:tc>
          <w:tcPr>
            <w:tcW w:w="6095" w:type="dxa"/>
            <w:noWrap w:val="0"/>
            <w:vAlign w:val="center"/>
          </w:tcPr>
          <w:p w14:paraId="53817CC2">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完善政企常态化沟通协商机制，建立健全企业服务专员机制，加强与企业、行业协会的常态化联系，完善企业服务体系，建立营商环境诉求受理和分级办理“一张网”，及时听取市场主体的反映和诉求，回应和解决企业痛难问题。</w:t>
            </w:r>
          </w:p>
        </w:tc>
        <w:tc>
          <w:tcPr>
            <w:tcW w:w="1559" w:type="dxa"/>
            <w:noWrap w:val="0"/>
            <w:vAlign w:val="center"/>
          </w:tcPr>
          <w:p w14:paraId="55FCF3DA">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市监局、</w:t>
            </w:r>
            <w:r>
              <w:rPr>
                <w:rFonts w:hint="eastAsia" w:ascii="Times New Roman" w:hAnsi="Times New Roman" w:eastAsia="仿宋_GB2312"/>
                <w:color w:val="auto"/>
                <w:kern w:val="0"/>
                <w:sz w:val="24"/>
                <w:highlight w:val="none"/>
                <w:lang w:val="en-US" w:eastAsia="zh-CN"/>
              </w:rPr>
              <w:t>科工</w:t>
            </w:r>
            <w:r>
              <w:rPr>
                <w:rFonts w:ascii="Times New Roman" w:hAnsi="Times New Roman" w:eastAsia="仿宋_GB2312"/>
                <w:color w:val="auto"/>
                <w:kern w:val="0"/>
                <w:sz w:val="24"/>
                <w:highlight w:val="none"/>
              </w:rPr>
              <w:t>局、发改局、政数局、工商联</w:t>
            </w:r>
          </w:p>
        </w:tc>
        <w:tc>
          <w:tcPr>
            <w:tcW w:w="3435" w:type="dxa"/>
            <w:noWrap w:val="0"/>
            <w:vAlign w:val="center"/>
          </w:tcPr>
          <w:p w14:paraId="32C6B0E1">
            <w:pPr>
              <w:widowControl/>
              <w:jc w:val="both"/>
              <w:rPr>
                <w:rFonts w:ascii="仿宋_GB2312" w:hAnsi="等线" w:eastAsia="仿宋_GB2312" w:cs="仿宋_GB2312"/>
                <w:i w:val="0"/>
                <w:color w:val="auto"/>
                <w:kern w:val="2"/>
                <w:sz w:val="24"/>
                <w:szCs w:val="24"/>
                <w:highlight w:val="none"/>
                <w:u w:val="none"/>
                <w:lang w:val="en-US" w:eastAsia="zh-CN" w:bidi="ar-SA"/>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44CE3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677" w:type="dxa"/>
            <w:noWrap w:val="0"/>
            <w:vAlign w:val="center"/>
          </w:tcPr>
          <w:p w14:paraId="66622A83">
            <w:pPr>
              <w:keepNext w:val="0"/>
              <w:keepLines w:val="0"/>
              <w:widowControl/>
              <w:suppressLineNumbers w:val="0"/>
              <w:jc w:val="center"/>
              <w:textAlignment w:val="auto"/>
              <w:rPr>
                <w:rFonts w:hint="default" w:ascii="Times New Roman" w:hAnsi="Times New Roman" w:eastAsia="仿宋_GB2312" w:cs="Times New Roman"/>
                <w:color w:val="auto"/>
                <w:kern w:val="0"/>
                <w:sz w:val="24"/>
                <w:highlight w:val="none"/>
                <w:lang w:val="en-US"/>
              </w:rPr>
            </w:pPr>
            <w:r>
              <w:rPr>
                <w:rFonts w:hint="eastAsia" w:ascii="Times New Roman" w:hAnsi="Times New Roman" w:eastAsia="仿宋_GB2312" w:cs="Times New Roman"/>
                <w:i w:val="0"/>
                <w:color w:val="auto"/>
                <w:kern w:val="0"/>
                <w:sz w:val="24"/>
                <w:szCs w:val="24"/>
                <w:highlight w:val="none"/>
                <w:u w:val="none"/>
                <w:lang w:val="en-US" w:eastAsia="zh-CN" w:bidi="ar"/>
              </w:rPr>
              <w:t>89</w:t>
            </w:r>
          </w:p>
        </w:tc>
        <w:tc>
          <w:tcPr>
            <w:tcW w:w="1559" w:type="dxa"/>
            <w:vMerge w:val="continue"/>
            <w:noWrap w:val="0"/>
            <w:vAlign w:val="center"/>
          </w:tcPr>
          <w:p w14:paraId="6A74DE5E">
            <w:pPr>
              <w:widowControl/>
              <w:jc w:val="left"/>
              <w:rPr>
                <w:rFonts w:ascii="Times New Roman" w:hAnsi="Times New Roman" w:eastAsia="仿宋_GB2312"/>
                <w:color w:val="auto"/>
                <w:kern w:val="0"/>
                <w:sz w:val="24"/>
                <w:highlight w:val="none"/>
              </w:rPr>
            </w:pPr>
          </w:p>
        </w:tc>
        <w:tc>
          <w:tcPr>
            <w:tcW w:w="6095" w:type="dxa"/>
            <w:noWrap w:val="0"/>
            <w:vAlign w:val="center"/>
          </w:tcPr>
          <w:p w14:paraId="43072032">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提升对企业服务水平，不断推动“个转企”“小升规”工作，增强培育“四上”企业能力。</w:t>
            </w:r>
          </w:p>
        </w:tc>
        <w:tc>
          <w:tcPr>
            <w:tcW w:w="1559" w:type="dxa"/>
            <w:noWrap w:val="0"/>
            <w:vAlign w:val="center"/>
          </w:tcPr>
          <w:p w14:paraId="01FDF54A">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发改局、</w:t>
            </w:r>
            <w:r>
              <w:rPr>
                <w:rFonts w:hint="eastAsia" w:ascii="Times New Roman" w:hAnsi="Times New Roman" w:eastAsia="仿宋_GB2312"/>
                <w:color w:val="auto"/>
                <w:kern w:val="0"/>
                <w:sz w:val="24"/>
                <w:highlight w:val="none"/>
                <w:lang w:val="en-US" w:eastAsia="zh-CN"/>
              </w:rPr>
              <w:t>科工局</w:t>
            </w:r>
            <w:r>
              <w:rPr>
                <w:rFonts w:ascii="Times New Roman" w:hAnsi="Times New Roman" w:eastAsia="仿宋_GB2312"/>
                <w:color w:val="auto"/>
                <w:kern w:val="0"/>
                <w:sz w:val="24"/>
                <w:highlight w:val="none"/>
              </w:rPr>
              <w:t>、市监局、住建局</w:t>
            </w:r>
          </w:p>
        </w:tc>
        <w:tc>
          <w:tcPr>
            <w:tcW w:w="3435" w:type="dxa"/>
            <w:noWrap w:val="0"/>
            <w:vAlign w:val="center"/>
          </w:tcPr>
          <w:p w14:paraId="5B444DD9">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s="Times New Roman"/>
                <w:color w:val="auto"/>
                <w:kern w:val="0"/>
                <w:sz w:val="24"/>
                <w:szCs w:val="24"/>
                <w:highlight w:val="none"/>
              </w:rPr>
              <w:t>直各有关单位</w:t>
            </w:r>
          </w:p>
        </w:tc>
      </w:tr>
      <w:tr w14:paraId="7C10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677" w:type="dxa"/>
            <w:noWrap w:val="0"/>
            <w:vAlign w:val="center"/>
          </w:tcPr>
          <w:p w14:paraId="2C280254">
            <w:pPr>
              <w:keepNext w:val="0"/>
              <w:keepLines w:val="0"/>
              <w:widowControl/>
              <w:suppressLineNumbers w:val="0"/>
              <w:jc w:val="center"/>
              <w:textAlignment w:val="auto"/>
              <w:rPr>
                <w:rFonts w:hint="default" w:ascii="Times New Roman" w:hAnsi="Times New Roman" w:eastAsia="仿宋_GB2312" w:cs="Times New Roman"/>
                <w:color w:val="auto"/>
                <w:kern w:val="0"/>
                <w:sz w:val="24"/>
                <w:highlight w:val="none"/>
                <w:lang w:val="en-US"/>
              </w:rPr>
            </w:pPr>
            <w:r>
              <w:rPr>
                <w:rFonts w:hint="default" w:ascii="Times New Roman" w:hAnsi="Times New Roman" w:eastAsia="仿宋_GB2312" w:cs="Times New Roman"/>
                <w:i w:val="0"/>
                <w:color w:val="auto"/>
                <w:kern w:val="0"/>
                <w:sz w:val="24"/>
                <w:szCs w:val="24"/>
                <w:highlight w:val="none"/>
                <w:u w:val="none"/>
                <w:lang w:val="en-US" w:eastAsia="zh-CN" w:bidi="ar"/>
              </w:rPr>
              <w:t>9</w:t>
            </w:r>
            <w:r>
              <w:rPr>
                <w:rFonts w:hint="eastAsia" w:ascii="Times New Roman" w:hAnsi="Times New Roman" w:eastAsia="仿宋_GB2312" w:cs="Times New Roman"/>
                <w:i w:val="0"/>
                <w:color w:val="auto"/>
                <w:kern w:val="0"/>
                <w:sz w:val="24"/>
                <w:szCs w:val="24"/>
                <w:highlight w:val="none"/>
                <w:u w:val="none"/>
                <w:lang w:val="en-US" w:eastAsia="zh-CN" w:bidi="ar"/>
              </w:rPr>
              <w:t>0</w:t>
            </w:r>
          </w:p>
        </w:tc>
        <w:tc>
          <w:tcPr>
            <w:tcW w:w="1559" w:type="dxa"/>
            <w:vMerge w:val="continue"/>
            <w:noWrap w:val="0"/>
            <w:vAlign w:val="center"/>
          </w:tcPr>
          <w:p w14:paraId="6502E201">
            <w:pPr>
              <w:widowControl/>
              <w:jc w:val="left"/>
              <w:rPr>
                <w:rFonts w:ascii="Times New Roman" w:hAnsi="Times New Roman" w:eastAsia="仿宋_GB2312"/>
                <w:color w:val="auto"/>
                <w:kern w:val="0"/>
                <w:sz w:val="24"/>
                <w:highlight w:val="none"/>
              </w:rPr>
            </w:pPr>
          </w:p>
        </w:tc>
        <w:tc>
          <w:tcPr>
            <w:tcW w:w="6095" w:type="dxa"/>
            <w:noWrap w:val="0"/>
            <w:vAlign w:val="center"/>
          </w:tcPr>
          <w:p w14:paraId="3717923A">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完善涉及市场主体的政策信息公开发布制度，通过全市统一的汕尾市企业诉求响应平台、粤商通、广东政务服务网等渠道予以公开，不断弘扬企业家精神，全力构建亲清新型政商关系。</w:t>
            </w:r>
          </w:p>
        </w:tc>
        <w:tc>
          <w:tcPr>
            <w:tcW w:w="1559" w:type="dxa"/>
            <w:noWrap w:val="0"/>
            <w:vAlign w:val="center"/>
          </w:tcPr>
          <w:p w14:paraId="140E7A6F">
            <w:pPr>
              <w:widowControl/>
              <w:jc w:val="center"/>
              <w:rPr>
                <w:rFonts w:hint="eastAsia" w:ascii="仿宋_GB2312" w:hAnsi="等线" w:eastAsia="仿宋_GB2312" w:cs="仿宋_GB2312"/>
                <w:color w:val="auto"/>
                <w:kern w:val="0"/>
                <w:sz w:val="24"/>
                <w:highlight w:val="none"/>
                <w:lang w:bidi="ar"/>
              </w:rPr>
            </w:pPr>
            <w:r>
              <w:rPr>
                <w:rFonts w:ascii="Times New Roman" w:hAnsi="Times New Roman" w:eastAsia="仿宋_GB2312" w:cs="Times New Roman"/>
                <w:color w:val="auto"/>
                <w:kern w:val="0"/>
                <w:sz w:val="24"/>
                <w:szCs w:val="24"/>
                <w:highlight w:val="none"/>
              </w:rPr>
              <w:t>县</w:t>
            </w:r>
            <w:r>
              <w:rPr>
                <w:rFonts w:hint="eastAsia" w:ascii="Times New Roman" w:hAnsi="Times New Roman" w:eastAsia="仿宋_GB2312"/>
                <w:color w:val="auto"/>
                <w:kern w:val="0"/>
                <w:sz w:val="24"/>
                <w:highlight w:val="none"/>
                <w:lang w:val="en-US" w:eastAsia="zh-CN"/>
              </w:rPr>
              <w:t>科工</w:t>
            </w:r>
            <w:r>
              <w:rPr>
                <w:rFonts w:ascii="Times New Roman" w:hAnsi="Times New Roman" w:eastAsia="仿宋_GB2312"/>
                <w:color w:val="auto"/>
                <w:kern w:val="0"/>
                <w:sz w:val="24"/>
                <w:highlight w:val="none"/>
              </w:rPr>
              <w:t>局、市监局、政数局、发改局</w:t>
            </w:r>
          </w:p>
        </w:tc>
        <w:tc>
          <w:tcPr>
            <w:tcW w:w="3435" w:type="dxa"/>
            <w:noWrap w:val="0"/>
            <w:vAlign w:val="center"/>
          </w:tcPr>
          <w:p w14:paraId="005384F5">
            <w:pPr>
              <w:widowControl/>
              <w:jc w:val="both"/>
              <w:rPr>
                <w:rFonts w:hint="eastAsia" w:ascii="仿宋_GB2312" w:hAnsi="等线" w:eastAsia="仿宋_GB2312" w:cs="仿宋_GB2312"/>
                <w:color w:val="auto"/>
                <w:kern w:val="0"/>
                <w:sz w:val="24"/>
                <w:highlight w:val="none"/>
                <w:lang w:bidi="ar"/>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s="Times New Roman"/>
                <w:color w:val="auto"/>
                <w:kern w:val="0"/>
                <w:sz w:val="24"/>
                <w:szCs w:val="24"/>
                <w:highlight w:val="none"/>
              </w:rPr>
              <w:t>直各有关单位</w:t>
            </w:r>
          </w:p>
        </w:tc>
      </w:tr>
      <w:tr w14:paraId="4C0E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325" w:type="dxa"/>
            <w:gridSpan w:val="5"/>
            <w:noWrap w:val="0"/>
            <w:vAlign w:val="center"/>
          </w:tcPr>
          <w:p w14:paraId="39A387C7">
            <w:pPr>
              <w:widowControl/>
              <w:jc w:val="left"/>
              <w:rPr>
                <w:rFonts w:ascii="Times New Roman" w:hAnsi="Times New Roman" w:eastAsia="仿宋_GB2312" w:cs="Times New Roman"/>
                <w:color w:val="auto"/>
                <w:kern w:val="0"/>
                <w:sz w:val="24"/>
                <w:highlight w:val="none"/>
              </w:rPr>
            </w:pPr>
            <w:r>
              <w:rPr>
                <w:rFonts w:ascii="Times New Roman" w:hAnsi="Times New Roman" w:eastAsia="仿宋_GB2312" w:cs="Times New Roman"/>
                <w:color w:val="auto"/>
                <w:kern w:val="0"/>
                <w:sz w:val="24"/>
                <w:highlight w:val="none"/>
              </w:rPr>
              <w:t>三、营造公平正义的一流法治环境</w:t>
            </w:r>
          </w:p>
        </w:tc>
      </w:tr>
      <w:tr w14:paraId="65746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677" w:type="dxa"/>
            <w:noWrap w:val="0"/>
            <w:vAlign w:val="center"/>
          </w:tcPr>
          <w:p w14:paraId="3351CCE4">
            <w:pPr>
              <w:keepNext w:val="0"/>
              <w:keepLines w:val="0"/>
              <w:widowControl/>
              <w:suppressLineNumbers w:val="0"/>
              <w:jc w:val="center"/>
              <w:textAlignment w:val="auto"/>
              <w:rPr>
                <w:rFonts w:ascii="Times New Roman" w:hAnsi="Times New Roman" w:eastAsia="仿宋_GB2312" w:cs="Times New Roman"/>
                <w:color w:val="auto"/>
                <w:kern w:val="0"/>
                <w:sz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9</w:t>
            </w:r>
            <w:r>
              <w:rPr>
                <w:rFonts w:hint="eastAsia" w:ascii="Times New Roman" w:hAnsi="Times New Roman" w:eastAsia="仿宋_GB2312" w:cs="Times New Roman"/>
                <w:i w:val="0"/>
                <w:color w:val="auto"/>
                <w:kern w:val="0"/>
                <w:sz w:val="24"/>
                <w:szCs w:val="24"/>
                <w:highlight w:val="none"/>
                <w:u w:val="none"/>
                <w:lang w:val="en-US" w:eastAsia="zh-CN" w:bidi="ar"/>
              </w:rPr>
              <w:t>1</w:t>
            </w:r>
          </w:p>
        </w:tc>
        <w:tc>
          <w:tcPr>
            <w:tcW w:w="1559" w:type="dxa"/>
            <w:vMerge w:val="restart"/>
            <w:noWrap w:val="0"/>
            <w:vAlign w:val="center"/>
          </w:tcPr>
          <w:p w14:paraId="30AA681C">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强化民商事案件司法保障</w:t>
            </w:r>
          </w:p>
        </w:tc>
        <w:tc>
          <w:tcPr>
            <w:tcW w:w="6095" w:type="dxa"/>
            <w:noWrap w:val="0"/>
            <w:vAlign w:val="center"/>
          </w:tcPr>
          <w:p w14:paraId="14371017">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深化网上立案，对买卖合同、金融借款合同和委托合同等商事案件，实行以网上立案为主、线下立案为辅的立案模式</w:t>
            </w:r>
            <w:r>
              <w:rPr>
                <w:rFonts w:hint="eastAsia" w:ascii="Times New Roman" w:hAnsi="Times New Roman" w:eastAsia="仿宋_GB2312"/>
                <w:color w:val="auto"/>
                <w:kern w:val="0"/>
                <w:sz w:val="24"/>
                <w:highlight w:val="none"/>
                <w:lang w:eastAsia="zh-CN"/>
              </w:rPr>
              <w:t>，完善网上立案容缺受理机制、网上立案一次性告知机制，民商事案件网上立案率达到55%。</w:t>
            </w:r>
          </w:p>
        </w:tc>
        <w:tc>
          <w:tcPr>
            <w:tcW w:w="1559" w:type="dxa"/>
            <w:noWrap w:val="0"/>
            <w:vAlign w:val="center"/>
          </w:tcPr>
          <w:p w14:paraId="1DE04732">
            <w:pPr>
              <w:widowControl/>
              <w:jc w:val="center"/>
              <w:rPr>
                <w:rFonts w:ascii="Times New Roman" w:hAnsi="Times New Roman" w:eastAsia="仿宋_GB2312"/>
                <w:color w:val="auto"/>
                <w:kern w:val="0"/>
                <w:sz w:val="24"/>
                <w:highlight w:val="none"/>
              </w:rPr>
            </w:pPr>
            <w:r>
              <w:rPr>
                <w:rFonts w:ascii="Times New Roman" w:hAnsi="Times New Roman" w:eastAsia="仿宋_GB2312" w:cs="Times New Roman"/>
                <w:color w:val="auto"/>
                <w:kern w:val="0"/>
                <w:sz w:val="24"/>
                <w:szCs w:val="24"/>
                <w:highlight w:val="none"/>
              </w:rPr>
              <w:t>县</w:t>
            </w:r>
            <w:r>
              <w:rPr>
                <w:rFonts w:ascii="Times New Roman" w:hAnsi="Times New Roman" w:eastAsia="仿宋_GB2312"/>
                <w:color w:val="auto"/>
                <w:kern w:val="0"/>
                <w:sz w:val="24"/>
                <w:highlight w:val="none"/>
              </w:rPr>
              <w:t>法院</w:t>
            </w:r>
          </w:p>
        </w:tc>
        <w:tc>
          <w:tcPr>
            <w:tcW w:w="3435" w:type="dxa"/>
            <w:noWrap w:val="0"/>
            <w:vAlign w:val="center"/>
          </w:tcPr>
          <w:p w14:paraId="66A252A2">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5BF6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677" w:type="dxa"/>
            <w:noWrap w:val="0"/>
            <w:vAlign w:val="center"/>
          </w:tcPr>
          <w:p w14:paraId="59D1C0DB">
            <w:pPr>
              <w:keepNext w:val="0"/>
              <w:keepLines w:val="0"/>
              <w:widowControl/>
              <w:suppressLineNumbers w:val="0"/>
              <w:jc w:val="center"/>
              <w:textAlignment w:val="auto"/>
              <w:rPr>
                <w:rFonts w:ascii="Times New Roman" w:hAnsi="Times New Roman" w:eastAsia="仿宋_GB2312" w:cs="Times New Roman"/>
                <w:color w:val="auto"/>
                <w:kern w:val="0"/>
                <w:sz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9</w:t>
            </w:r>
            <w:r>
              <w:rPr>
                <w:rFonts w:hint="eastAsia" w:ascii="Times New Roman" w:hAnsi="Times New Roman" w:eastAsia="仿宋_GB2312" w:cs="Times New Roman"/>
                <w:i w:val="0"/>
                <w:color w:val="auto"/>
                <w:kern w:val="0"/>
                <w:sz w:val="24"/>
                <w:szCs w:val="24"/>
                <w:highlight w:val="none"/>
                <w:u w:val="none"/>
                <w:lang w:val="en-US" w:eastAsia="zh-CN" w:bidi="ar"/>
              </w:rPr>
              <w:t>2</w:t>
            </w:r>
          </w:p>
        </w:tc>
        <w:tc>
          <w:tcPr>
            <w:tcW w:w="1559" w:type="dxa"/>
            <w:vMerge w:val="continue"/>
            <w:noWrap w:val="0"/>
            <w:vAlign w:val="center"/>
          </w:tcPr>
          <w:p w14:paraId="41F70045">
            <w:pPr>
              <w:widowControl/>
              <w:jc w:val="left"/>
              <w:rPr>
                <w:rFonts w:ascii="Times New Roman" w:hAnsi="Times New Roman" w:eastAsia="仿宋_GB2312"/>
                <w:color w:val="auto"/>
                <w:kern w:val="0"/>
                <w:sz w:val="24"/>
                <w:highlight w:val="none"/>
              </w:rPr>
            </w:pPr>
          </w:p>
        </w:tc>
        <w:tc>
          <w:tcPr>
            <w:tcW w:w="6095" w:type="dxa"/>
            <w:noWrap w:val="0"/>
            <w:vAlign w:val="center"/>
          </w:tcPr>
          <w:p w14:paraId="0887468C">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全面深化案件繁简分流机制改革</w:t>
            </w:r>
            <w:r>
              <w:rPr>
                <w:rFonts w:hint="eastAsia" w:ascii="Times New Roman" w:hAnsi="Times New Roman" w:eastAsia="仿宋_GB2312"/>
                <w:color w:val="auto"/>
                <w:kern w:val="0"/>
                <w:sz w:val="24"/>
                <w:highlight w:val="none"/>
              </w:rPr>
              <w:t>，民商事一审案件平均审理周期不超过100天，速裁快审一审结案数占案件总结案数的53%。</w:t>
            </w:r>
          </w:p>
        </w:tc>
        <w:tc>
          <w:tcPr>
            <w:tcW w:w="1559" w:type="dxa"/>
            <w:noWrap w:val="0"/>
            <w:vAlign w:val="center"/>
          </w:tcPr>
          <w:p w14:paraId="365A0EF2">
            <w:pPr>
              <w:widowControl/>
              <w:jc w:val="center"/>
              <w:rPr>
                <w:rFonts w:ascii="Times New Roman" w:hAnsi="Times New Roman" w:eastAsia="仿宋_GB2312"/>
                <w:color w:val="auto"/>
                <w:kern w:val="0"/>
                <w:sz w:val="24"/>
                <w:highlight w:val="none"/>
              </w:rPr>
            </w:pPr>
            <w:r>
              <w:rPr>
                <w:rFonts w:ascii="Times New Roman" w:hAnsi="Times New Roman" w:eastAsia="仿宋_GB2312" w:cs="Times New Roman"/>
                <w:color w:val="auto"/>
                <w:kern w:val="0"/>
                <w:sz w:val="24"/>
                <w:szCs w:val="24"/>
                <w:highlight w:val="none"/>
              </w:rPr>
              <w:t>县</w:t>
            </w:r>
            <w:r>
              <w:rPr>
                <w:rFonts w:ascii="Times New Roman" w:hAnsi="Times New Roman" w:eastAsia="仿宋_GB2312"/>
                <w:color w:val="auto"/>
                <w:kern w:val="0"/>
                <w:sz w:val="24"/>
                <w:highlight w:val="none"/>
              </w:rPr>
              <w:t>法院</w:t>
            </w:r>
          </w:p>
        </w:tc>
        <w:tc>
          <w:tcPr>
            <w:tcW w:w="3435" w:type="dxa"/>
            <w:noWrap w:val="0"/>
            <w:vAlign w:val="center"/>
          </w:tcPr>
          <w:p w14:paraId="341ECD44">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12903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77" w:type="dxa"/>
            <w:noWrap w:val="0"/>
            <w:vAlign w:val="center"/>
          </w:tcPr>
          <w:p w14:paraId="19D679A8">
            <w:pPr>
              <w:keepNext w:val="0"/>
              <w:keepLines w:val="0"/>
              <w:widowControl/>
              <w:suppressLineNumbers w:val="0"/>
              <w:jc w:val="center"/>
              <w:textAlignment w:val="auto"/>
              <w:rPr>
                <w:rFonts w:ascii="Times New Roman" w:hAnsi="Times New Roman" w:eastAsia="仿宋_GB2312" w:cs="Times New Roman"/>
                <w:color w:val="auto"/>
                <w:kern w:val="0"/>
                <w:sz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9</w:t>
            </w:r>
            <w:r>
              <w:rPr>
                <w:rFonts w:hint="eastAsia" w:ascii="Times New Roman" w:hAnsi="Times New Roman" w:eastAsia="仿宋_GB2312" w:cs="Times New Roman"/>
                <w:i w:val="0"/>
                <w:color w:val="auto"/>
                <w:kern w:val="0"/>
                <w:sz w:val="24"/>
                <w:szCs w:val="24"/>
                <w:highlight w:val="none"/>
                <w:u w:val="none"/>
                <w:lang w:val="en-US" w:eastAsia="zh-CN" w:bidi="ar"/>
              </w:rPr>
              <w:t>3</w:t>
            </w:r>
          </w:p>
        </w:tc>
        <w:tc>
          <w:tcPr>
            <w:tcW w:w="1559" w:type="dxa"/>
            <w:vMerge w:val="continue"/>
            <w:noWrap w:val="0"/>
            <w:vAlign w:val="center"/>
          </w:tcPr>
          <w:p w14:paraId="24413B98">
            <w:pPr>
              <w:widowControl/>
              <w:jc w:val="left"/>
              <w:rPr>
                <w:rFonts w:ascii="Times New Roman" w:hAnsi="Times New Roman" w:eastAsia="仿宋_GB2312"/>
                <w:color w:val="auto"/>
                <w:kern w:val="0"/>
                <w:sz w:val="24"/>
                <w:highlight w:val="none"/>
              </w:rPr>
            </w:pPr>
          </w:p>
        </w:tc>
        <w:tc>
          <w:tcPr>
            <w:tcW w:w="6095" w:type="dxa"/>
            <w:noWrap w:val="0"/>
            <w:vAlign w:val="center"/>
          </w:tcPr>
          <w:p w14:paraId="018BE763">
            <w:pPr>
              <w:widowControl/>
              <w:jc w:val="left"/>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rPr>
              <w:t>建立健全便民立案机制，诉前调解案件数占一审立案数的50%，法院调解成功率为60%。</w:t>
            </w:r>
          </w:p>
        </w:tc>
        <w:tc>
          <w:tcPr>
            <w:tcW w:w="1559" w:type="dxa"/>
            <w:noWrap w:val="0"/>
            <w:vAlign w:val="center"/>
          </w:tcPr>
          <w:p w14:paraId="1726FAE4">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法院</w:t>
            </w:r>
          </w:p>
        </w:tc>
        <w:tc>
          <w:tcPr>
            <w:tcW w:w="3435" w:type="dxa"/>
            <w:noWrap w:val="0"/>
            <w:vAlign w:val="center"/>
          </w:tcPr>
          <w:p w14:paraId="2A6EE3C5">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民政局等有关部门</w:t>
            </w:r>
          </w:p>
        </w:tc>
      </w:tr>
      <w:tr w14:paraId="2717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7" w:type="dxa"/>
            <w:noWrap w:val="0"/>
            <w:vAlign w:val="center"/>
          </w:tcPr>
          <w:p w14:paraId="163FE2FA">
            <w:pPr>
              <w:keepNext w:val="0"/>
              <w:keepLines w:val="0"/>
              <w:widowControl/>
              <w:suppressLineNumbers w:val="0"/>
              <w:jc w:val="center"/>
              <w:textAlignment w:val="auto"/>
              <w:rPr>
                <w:rFonts w:ascii="Times New Roman" w:hAnsi="Times New Roman" w:eastAsia="仿宋_GB2312" w:cs="Times New Roman"/>
                <w:color w:val="auto"/>
                <w:kern w:val="0"/>
                <w:sz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9</w:t>
            </w:r>
            <w:r>
              <w:rPr>
                <w:rFonts w:hint="eastAsia" w:ascii="Times New Roman" w:hAnsi="Times New Roman" w:eastAsia="仿宋_GB2312" w:cs="Times New Roman"/>
                <w:i w:val="0"/>
                <w:color w:val="auto"/>
                <w:kern w:val="0"/>
                <w:sz w:val="24"/>
                <w:szCs w:val="24"/>
                <w:highlight w:val="none"/>
                <w:u w:val="none"/>
                <w:lang w:val="en-US" w:eastAsia="zh-CN" w:bidi="ar"/>
              </w:rPr>
              <w:t>4</w:t>
            </w:r>
          </w:p>
        </w:tc>
        <w:tc>
          <w:tcPr>
            <w:tcW w:w="1559" w:type="dxa"/>
            <w:vMerge w:val="continue"/>
            <w:noWrap w:val="0"/>
            <w:vAlign w:val="center"/>
          </w:tcPr>
          <w:p w14:paraId="712EF93A">
            <w:pPr>
              <w:widowControl/>
              <w:jc w:val="left"/>
              <w:rPr>
                <w:rFonts w:ascii="Times New Roman" w:hAnsi="Times New Roman" w:eastAsia="仿宋_GB2312"/>
                <w:color w:val="auto"/>
                <w:kern w:val="0"/>
                <w:sz w:val="24"/>
                <w:highlight w:val="none"/>
              </w:rPr>
            </w:pPr>
          </w:p>
        </w:tc>
        <w:tc>
          <w:tcPr>
            <w:tcW w:w="6095" w:type="dxa"/>
            <w:noWrap w:val="0"/>
            <w:vAlign w:val="center"/>
          </w:tcPr>
          <w:p w14:paraId="63736CCA">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健全法律服务体系，深入推进“诉源治理”，拓展多元解纷渠道，制定“无讼乡村（社区）”建设工作方案，明确无讼社区标准，促进矛盾纠纷在基层化解。</w:t>
            </w:r>
          </w:p>
        </w:tc>
        <w:tc>
          <w:tcPr>
            <w:tcW w:w="1559" w:type="dxa"/>
            <w:noWrap w:val="0"/>
            <w:vAlign w:val="center"/>
          </w:tcPr>
          <w:p w14:paraId="320FB628">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法院</w:t>
            </w:r>
          </w:p>
        </w:tc>
        <w:tc>
          <w:tcPr>
            <w:tcW w:w="3435" w:type="dxa"/>
            <w:noWrap w:val="0"/>
            <w:vAlign w:val="center"/>
          </w:tcPr>
          <w:p w14:paraId="107E6C14">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513D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7" w:type="dxa"/>
            <w:noWrap w:val="0"/>
            <w:vAlign w:val="center"/>
          </w:tcPr>
          <w:p w14:paraId="2A1ED28B">
            <w:pPr>
              <w:keepNext w:val="0"/>
              <w:keepLines w:val="0"/>
              <w:widowControl/>
              <w:suppressLineNumbers w:val="0"/>
              <w:jc w:val="center"/>
              <w:textAlignment w:val="auto"/>
              <w:rPr>
                <w:rFonts w:ascii="Times New Roman" w:hAnsi="Times New Roman" w:eastAsia="仿宋_GB2312" w:cs="Times New Roman"/>
                <w:color w:val="auto"/>
                <w:kern w:val="0"/>
                <w:sz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9</w:t>
            </w:r>
            <w:r>
              <w:rPr>
                <w:rFonts w:hint="eastAsia" w:ascii="Times New Roman" w:hAnsi="Times New Roman" w:eastAsia="仿宋_GB2312" w:cs="Times New Roman"/>
                <w:i w:val="0"/>
                <w:color w:val="auto"/>
                <w:kern w:val="0"/>
                <w:sz w:val="24"/>
                <w:szCs w:val="24"/>
                <w:highlight w:val="none"/>
                <w:u w:val="none"/>
                <w:lang w:val="en-US" w:eastAsia="zh-CN" w:bidi="ar"/>
              </w:rPr>
              <w:t>5</w:t>
            </w:r>
          </w:p>
        </w:tc>
        <w:tc>
          <w:tcPr>
            <w:tcW w:w="1559" w:type="dxa"/>
            <w:vMerge w:val="continue"/>
            <w:noWrap w:val="0"/>
            <w:vAlign w:val="center"/>
          </w:tcPr>
          <w:p w14:paraId="44EBDEC2">
            <w:pPr>
              <w:widowControl/>
              <w:jc w:val="left"/>
              <w:rPr>
                <w:rFonts w:ascii="Times New Roman" w:hAnsi="Times New Roman" w:eastAsia="仿宋_GB2312"/>
                <w:color w:val="auto"/>
                <w:kern w:val="0"/>
                <w:sz w:val="24"/>
                <w:highlight w:val="none"/>
              </w:rPr>
            </w:pPr>
          </w:p>
        </w:tc>
        <w:tc>
          <w:tcPr>
            <w:tcW w:w="6095" w:type="dxa"/>
            <w:noWrap w:val="0"/>
            <w:vAlign w:val="center"/>
          </w:tcPr>
          <w:p w14:paraId="077E90E8">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推动设立人民调解员协会，对调解员进行分类分级分层管理，制定调解员管理、培训及等级评定规则。</w:t>
            </w:r>
          </w:p>
        </w:tc>
        <w:tc>
          <w:tcPr>
            <w:tcW w:w="1559" w:type="dxa"/>
            <w:noWrap w:val="0"/>
            <w:vAlign w:val="center"/>
          </w:tcPr>
          <w:p w14:paraId="677C1F15">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法院</w:t>
            </w:r>
          </w:p>
        </w:tc>
        <w:tc>
          <w:tcPr>
            <w:tcW w:w="3435" w:type="dxa"/>
            <w:noWrap w:val="0"/>
            <w:vAlign w:val="center"/>
          </w:tcPr>
          <w:p w14:paraId="5C54A10A">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5FD9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77" w:type="dxa"/>
            <w:noWrap w:val="0"/>
            <w:vAlign w:val="center"/>
          </w:tcPr>
          <w:p w14:paraId="49453498">
            <w:pPr>
              <w:keepNext w:val="0"/>
              <w:keepLines w:val="0"/>
              <w:widowControl/>
              <w:suppressLineNumbers w:val="0"/>
              <w:jc w:val="center"/>
              <w:textAlignment w:val="auto"/>
              <w:rPr>
                <w:rFonts w:hint="default" w:ascii="Times New Roman" w:hAnsi="Times New Roman" w:eastAsia="仿宋_GB2312" w:cs="Times New Roman"/>
                <w:color w:val="auto"/>
                <w:kern w:val="0"/>
                <w:sz w:val="24"/>
                <w:highlight w:val="none"/>
                <w:lang w:val="en-US"/>
              </w:rPr>
            </w:pPr>
            <w:r>
              <w:rPr>
                <w:rFonts w:hint="eastAsia" w:ascii="Times New Roman" w:hAnsi="Times New Roman" w:eastAsia="仿宋_GB2312" w:cs="Times New Roman"/>
                <w:i w:val="0"/>
                <w:color w:val="auto"/>
                <w:kern w:val="0"/>
                <w:sz w:val="24"/>
                <w:szCs w:val="24"/>
                <w:highlight w:val="none"/>
                <w:u w:val="none"/>
                <w:lang w:val="en-US" w:eastAsia="zh-CN" w:bidi="ar"/>
              </w:rPr>
              <w:t>96</w:t>
            </w:r>
          </w:p>
        </w:tc>
        <w:tc>
          <w:tcPr>
            <w:tcW w:w="1559" w:type="dxa"/>
            <w:vMerge w:val="continue"/>
            <w:noWrap w:val="0"/>
            <w:vAlign w:val="center"/>
          </w:tcPr>
          <w:p w14:paraId="24E77E7E">
            <w:pPr>
              <w:widowControl/>
              <w:jc w:val="left"/>
              <w:rPr>
                <w:rFonts w:ascii="Times New Roman" w:hAnsi="Times New Roman" w:eastAsia="仿宋_GB2312"/>
                <w:color w:val="auto"/>
                <w:kern w:val="0"/>
                <w:sz w:val="24"/>
                <w:highlight w:val="none"/>
              </w:rPr>
            </w:pPr>
          </w:p>
        </w:tc>
        <w:tc>
          <w:tcPr>
            <w:tcW w:w="6095" w:type="dxa"/>
            <w:noWrap w:val="0"/>
            <w:vAlign w:val="center"/>
          </w:tcPr>
          <w:p w14:paraId="1A5F485F">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狠抓庭审直播工作能力和水平建设，建立有效庭审直播管理机制，做好工作评查，力争实现庭审直播收案比30%的目标。</w:t>
            </w:r>
          </w:p>
        </w:tc>
        <w:tc>
          <w:tcPr>
            <w:tcW w:w="1559" w:type="dxa"/>
            <w:noWrap w:val="0"/>
            <w:vAlign w:val="center"/>
          </w:tcPr>
          <w:p w14:paraId="23B32C8D">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法院</w:t>
            </w:r>
          </w:p>
        </w:tc>
        <w:tc>
          <w:tcPr>
            <w:tcW w:w="3435" w:type="dxa"/>
            <w:noWrap w:val="0"/>
            <w:vAlign w:val="center"/>
          </w:tcPr>
          <w:p w14:paraId="790F3475">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1CA8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7" w:type="dxa"/>
            <w:noWrap w:val="0"/>
            <w:vAlign w:val="center"/>
          </w:tcPr>
          <w:p w14:paraId="7DE12ECC">
            <w:pPr>
              <w:keepNext w:val="0"/>
              <w:keepLines w:val="0"/>
              <w:widowControl/>
              <w:suppressLineNumbers w:val="0"/>
              <w:jc w:val="center"/>
              <w:textAlignment w:val="auto"/>
              <w:rPr>
                <w:rFonts w:hint="default" w:ascii="Times New Roman" w:hAnsi="Times New Roman" w:eastAsia="仿宋_GB2312" w:cs="Times New Roman"/>
                <w:color w:val="auto"/>
                <w:kern w:val="0"/>
                <w:sz w:val="24"/>
                <w:highlight w:val="none"/>
                <w:lang w:val="en-US"/>
              </w:rPr>
            </w:pPr>
            <w:r>
              <w:rPr>
                <w:rFonts w:hint="eastAsia" w:ascii="Times New Roman" w:hAnsi="Times New Roman" w:eastAsia="仿宋_GB2312" w:cs="Times New Roman"/>
                <w:i w:val="0"/>
                <w:color w:val="auto"/>
                <w:kern w:val="0"/>
                <w:sz w:val="24"/>
                <w:szCs w:val="24"/>
                <w:highlight w:val="none"/>
                <w:u w:val="none"/>
                <w:lang w:val="en-US" w:eastAsia="zh-CN" w:bidi="ar"/>
              </w:rPr>
              <w:t>97</w:t>
            </w:r>
          </w:p>
        </w:tc>
        <w:tc>
          <w:tcPr>
            <w:tcW w:w="1559" w:type="dxa"/>
            <w:vMerge w:val="continue"/>
            <w:noWrap w:val="0"/>
            <w:vAlign w:val="center"/>
          </w:tcPr>
          <w:p w14:paraId="0C6F4CCB">
            <w:pPr>
              <w:widowControl/>
              <w:jc w:val="left"/>
              <w:rPr>
                <w:rFonts w:ascii="Times New Roman" w:hAnsi="Times New Roman" w:eastAsia="仿宋_GB2312"/>
                <w:color w:val="auto"/>
                <w:kern w:val="0"/>
                <w:sz w:val="24"/>
                <w:highlight w:val="none"/>
              </w:rPr>
            </w:pPr>
          </w:p>
        </w:tc>
        <w:tc>
          <w:tcPr>
            <w:tcW w:w="6095" w:type="dxa"/>
            <w:noWrap w:val="0"/>
            <w:vAlign w:val="center"/>
          </w:tcPr>
          <w:p w14:paraId="60BDFD7B">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制定《法官审判执行权力和责任清单》，研究建立发回重审、改判案件“预瑕疵”评定处理机制，完善法律分歧识别、解决和防范机制，有效规范法官裁量权行使，</w:t>
            </w:r>
            <w:r>
              <w:rPr>
                <w:rFonts w:hint="eastAsia" w:ascii="Times New Roman" w:hAnsi="Times New Roman" w:eastAsia="仿宋_GB2312"/>
                <w:color w:val="auto"/>
                <w:kern w:val="0"/>
                <w:sz w:val="24"/>
                <w:highlight w:val="none"/>
              </w:rPr>
              <w:t>降低法院一审判决发改率，民商事案件一审服判息诉率同比上升2%。</w:t>
            </w:r>
          </w:p>
        </w:tc>
        <w:tc>
          <w:tcPr>
            <w:tcW w:w="1559" w:type="dxa"/>
            <w:noWrap w:val="0"/>
            <w:vAlign w:val="center"/>
          </w:tcPr>
          <w:p w14:paraId="409199A0">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法院</w:t>
            </w:r>
          </w:p>
        </w:tc>
        <w:tc>
          <w:tcPr>
            <w:tcW w:w="3435" w:type="dxa"/>
            <w:noWrap w:val="0"/>
            <w:vAlign w:val="center"/>
          </w:tcPr>
          <w:p w14:paraId="527E5BD8">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03E48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77" w:type="dxa"/>
            <w:noWrap w:val="0"/>
            <w:vAlign w:val="center"/>
          </w:tcPr>
          <w:p w14:paraId="58CA0901">
            <w:pPr>
              <w:keepNext w:val="0"/>
              <w:keepLines w:val="0"/>
              <w:widowControl/>
              <w:suppressLineNumbers w:val="0"/>
              <w:jc w:val="center"/>
              <w:textAlignment w:val="auto"/>
              <w:rPr>
                <w:rFonts w:hint="default" w:ascii="Times New Roman" w:hAnsi="Times New Roman" w:eastAsia="仿宋_GB2312" w:cs="Times New Roman"/>
                <w:color w:val="auto"/>
                <w:kern w:val="0"/>
                <w:sz w:val="24"/>
                <w:highlight w:val="none"/>
                <w:lang w:val="en-US"/>
              </w:rPr>
            </w:pPr>
            <w:r>
              <w:rPr>
                <w:rFonts w:hint="eastAsia" w:ascii="Times New Roman" w:hAnsi="Times New Roman" w:eastAsia="仿宋_GB2312" w:cs="Times New Roman"/>
                <w:i w:val="0"/>
                <w:color w:val="auto"/>
                <w:kern w:val="0"/>
                <w:sz w:val="24"/>
                <w:szCs w:val="24"/>
                <w:highlight w:val="none"/>
                <w:u w:val="none"/>
                <w:lang w:val="en-US" w:eastAsia="zh-CN" w:bidi="ar"/>
              </w:rPr>
              <w:t>98</w:t>
            </w:r>
          </w:p>
        </w:tc>
        <w:tc>
          <w:tcPr>
            <w:tcW w:w="1559" w:type="dxa"/>
            <w:vMerge w:val="continue"/>
            <w:noWrap w:val="0"/>
            <w:vAlign w:val="center"/>
          </w:tcPr>
          <w:p w14:paraId="6FCF2043">
            <w:pPr>
              <w:widowControl/>
              <w:jc w:val="left"/>
              <w:rPr>
                <w:rFonts w:ascii="Times New Roman" w:hAnsi="Times New Roman" w:eastAsia="仿宋_GB2312"/>
                <w:color w:val="auto"/>
                <w:kern w:val="0"/>
                <w:sz w:val="24"/>
                <w:highlight w:val="none"/>
              </w:rPr>
            </w:pPr>
          </w:p>
        </w:tc>
        <w:tc>
          <w:tcPr>
            <w:tcW w:w="6095" w:type="dxa"/>
            <w:noWrap w:val="0"/>
            <w:vAlign w:val="center"/>
          </w:tcPr>
          <w:p w14:paraId="595F2026">
            <w:pPr>
              <w:widowControl/>
              <w:jc w:val="left"/>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rPr>
              <w:t>与房管、市场监管、民政、人社、公安等部门建立“点对点”网络执行查控机制，执行网络查控措施期限内发起率不低于90%，法院执行平均用时不超过100天。</w:t>
            </w:r>
          </w:p>
        </w:tc>
        <w:tc>
          <w:tcPr>
            <w:tcW w:w="1559" w:type="dxa"/>
            <w:noWrap w:val="0"/>
            <w:vAlign w:val="center"/>
          </w:tcPr>
          <w:p w14:paraId="2A591940">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法院</w:t>
            </w:r>
          </w:p>
        </w:tc>
        <w:tc>
          <w:tcPr>
            <w:tcW w:w="3435" w:type="dxa"/>
            <w:noWrap w:val="0"/>
            <w:vAlign w:val="center"/>
          </w:tcPr>
          <w:p w14:paraId="2D947947">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68D9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7" w:type="dxa"/>
            <w:noWrap w:val="0"/>
            <w:vAlign w:val="center"/>
          </w:tcPr>
          <w:p w14:paraId="7D3F499B">
            <w:pPr>
              <w:keepNext w:val="0"/>
              <w:keepLines w:val="0"/>
              <w:widowControl/>
              <w:suppressLineNumbers w:val="0"/>
              <w:jc w:val="center"/>
              <w:textAlignment w:val="auto"/>
              <w:rPr>
                <w:rFonts w:hint="default" w:ascii="Times New Roman" w:hAnsi="Times New Roman" w:eastAsia="仿宋_GB2312" w:cs="Times New Roman"/>
                <w:color w:val="auto"/>
                <w:kern w:val="0"/>
                <w:sz w:val="24"/>
                <w:highlight w:val="none"/>
                <w:lang w:val="en-US"/>
              </w:rPr>
            </w:pPr>
            <w:r>
              <w:rPr>
                <w:rFonts w:hint="eastAsia" w:ascii="Times New Roman" w:hAnsi="Times New Roman" w:eastAsia="仿宋_GB2312" w:cs="Times New Roman"/>
                <w:i w:val="0"/>
                <w:color w:val="auto"/>
                <w:kern w:val="0"/>
                <w:sz w:val="24"/>
                <w:szCs w:val="24"/>
                <w:highlight w:val="none"/>
                <w:u w:val="none"/>
                <w:lang w:val="en-US" w:eastAsia="zh-CN" w:bidi="ar"/>
              </w:rPr>
              <w:t>99</w:t>
            </w:r>
          </w:p>
        </w:tc>
        <w:tc>
          <w:tcPr>
            <w:tcW w:w="1559" w:type="dxa"/>
            <w:vMerge w:val="continue"/>
            <w:noWrap w:val="0"/>
            <w:vAlign w:val="center"/>
          </w:tcPr>
          <w:p w14:paraId="43D24DFE">
            <w:pPr>
              <w:widowControl/>
              <w:jc w:val="left"/>
              <w:rPr>
                <w:rFonts w:ascii="Times New Roman" w:hAnsi="Times New Roman" w:eastAsia="仿宋_GB2312"/>
                <w:color w:val="auto"/>
                <w:kern w:val="0"/>
                <w:sz w:val="24"/>
                <w:highlight w:val="none"/>
              </w:rPr>
            </w:pPr>
          </w:p>
        </w:tc>
        <w:tc>
          <w:tcPr>
            <w:tcW w:w="6095" w:type="dxa"/>
            <w:noWrap w:val="0"/>
            <w:vAlign w:val="center"/>
          </w:tcPr>
          <w:p w14:paraId="44B8BAC5">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推进基层执行工作网格化管理，依托基层综治中心，将执行工作纳入基层社会治理网格化服务管理，推动实现综治平台与法院执行指挥、办案平台互联互通。</w:t>
            </w:r>
          </w:p>
        </w:tc>
        <w:tc>
          <w:tcPr>
            <w:tcW w:w="1559" w:type="dxa"/>
            <w:noWrap w:val="0"/>
            <w:vAlign w:val="center"/>
          </w:tcPr>
          <w:p w14:paraId="22A7B420">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法院</w:t>
            </w:r>
          </w:p>
        </w:tc>
        <w:tc>
          <w:tcPr>
            <w:tcW w:w="3435" w:type="dxa"/>
            <w:noWrap w:val="0"/>
            <w:vAlign w:val="center"/>
          </w:tcPr>
          <w:p w14:paraId="3530B890">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6DB4C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7" w:type="dxa"/>
            <w:noWrap w:val="0"/>
            <w:vAlign w:val="center"/>
          </w:tcPr>
          <w:p w14:paraId="3C8685FB">
            <w:pPr>
              <w:keepNext w:val="0"/>
              <w:keepLines w:val="0"/>
              <w:widowControl/>
              <w:suppressLineNumbers w:val="0"/>
              <w:jc w:val="center"/>
              <w:textAlignment w:val="auto"/>
              <w:rPr>
                <w:rFonts w:ascii="Times New Roman" w:hAnsi="Times New Roman" w:eastAsia="仿宋_GB2312" w:cs="Times New Roman"/>
                <w:color w:val="auto"/>
                <w:kern w:val="0"/>
                <w:sz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10</w:t>
            </w:r>
            <w:r>
              <w:rPr>
                <w:rFonts w:hint="eastAsia" w:ascii="Times New Roman" w:hAnsi="Times New Roman" w:eastAsia="仿宋_GB2312" w:cs="Times New Roman"/>
                <w:i w:val="0"/>
                <w:color w:val="auto"/>
                <w:kern w:val="0"/>
                <w:sz w:val="24"/>
                <w:szCs w:val="24"/>
                <w:highlight w:val="none"/>
                <w:u w:val="none"/>
                <w:lang w:val="en-US" w:eastAsia="zh-CN" w:bidi="ar"/>
              </w:rPr>
              <w:t>0</w:t>
            </w:r>
          </w:p>
        </w:tc>
        <w:tc>
          <w:tcPr>
            <w:tcW w:w="1559" w:type="dxa"/>
            <w:vMerge w:val="continue"/>
            <w:noWrap w:val="0"/>
            <w:vAlign w:val="center"/>
          </w:tcPr>
          <w:p w14:paraId="34CFE72F">
            <w:pPr>
              <w:widowControl/>
              <w:jc w:val="left"/>
              <w:rPr>
                <w:rFonts w:ascii="Times New Roman" w:hAnsi="Times New Roman" w:eastAsia="仿宋_GB2312"/>
                <w:color w:val="auto"/>
                <w:kern w:val="0"/>
                <w:sz w:val="24"/>
                <w:highlight w:val="none"/>
              </w:rPr>
            </w:pPr>
          </w:p>
        </w:tc>
        <w:tc>
          <w:tcPr>
            <w:tcW w:w="6095" w:type="dxa"/>
            <w:noWrap w:val="0"/>
            <w:vAlign w:val="center"/>
          </w:tcPr>
          <w:p w14:paraId="78F1DD1F">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建立企业送达地址（含电子送达地址）登记承诺制度，将企业登记的住所以默示方式承诺为法律文书送达地址，提高法律文书送达效率。</w:t>
            </w:r>
          </w:p>
        </w:tc>
        <w:tc>
          <w:tcPr>
            <w:tcW w:w="1559" w:type="dxa"/>
            <w:noWrap w:val="0"/>
            <w:vAlign w:val="center"/>
          </w:tcPr>
          <w:p w14:paraId="32BCD3BD">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法院、市监局</w:t>
            </w:r>
          </w:p>
        </w:tc>
        <w:tc>
          <w:tcPr>
            <w:tcW w:w="3435" w:type="dxa"/>
            <w:noWrap w:val="0"/>
            <w:vAlign w:val="center"/>
          </w:tcPr>
          <w:p w14:paraId="1EBCA273">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7304E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7" w:type="dxa"/>
            <w:noWrap w:val="0"/>
            <w:vAlign w:val="center"/>
          </w:tcPr>
          <w:p w14:paraId="385361AF">
            <w:pPr>
              <w:keepNext w:val="0"/>
              <w:keepLines w:val="0"/>
              <w:widowControl/>
              <w:suppressLineNumbers w:val="0"/>
              <w:jc w:val="center"/>
              <w:textAlignment w:val="auto"/>
              <w:rPr>
                <w:rFonts w:hint="default" w:ascii="Times New Roman" w:hAnsi="Times New Roman" w:eastAsia="仿宋_GB2312" w:cs="Times New Roman"/>
                <w:color w:val="auto"/>
                <w:kern w:val="0"/>
                <w:sz w:val="24"/>
                <w:highlight w:val="none"/>
                <w:lang w:val="en-US"/>
              </w:rPr>
            </w:pPr>
            <w:r>
              <w:rPr>
                <w:rFonts w:hint="default" w:ascii="Times New Roman" w:hAnsi="Times New Roman" w:eastAsia="仿宋_GB2312" w:cs="Times New Roman"/>
                <w:i w:val="0"/>
                <w:color w:val="auto"/>
                <w:kern w:val="0"/>
                <w:sz w:val="24"/>
                <w:szCs w:val="24"/>
                <w:highlight w:val="none"/>
                <w:u w:val="none"/>
                <w:lang w:val="en-US" w:eastAsia="zh-CN" w:bidi="ar"/>
              </w:rPr>
              <w:t>1</w:t>
            </w:r>
            <w:r>
              <w:rPr>
                <w:rFonts w:hint="eastAsia" w:ascii="Times New Roman" w:hAnsi="Times New Roman" w:eastAsia="仿宋_GB2312" w:cs="Times New Roman"/>
                <w:i w:val="0"/>
                <w:color w:val="auto"/>
                <w:kern w:val="0"/>
                <w:sz w:val="24"/>
                <w:szCs w:val="24"/>
                <w:highlight w:val="none"/>
                <w:u w:val="none"/>
                <w:lang w:val="en-US" w:eastAsia="zh-CN" w:bidi="ar"/>
              </w:rPr>
              <w:t>01</w:t>
            </w:r>
          </w:p>
        </w:tc>
        <w:tc>
          <w:tcPr>
            <w:tcW w:w="1559" w:type="dxa"/>
            <w:vMerge w:val="restart"/>
            <w:noWrap w:val="0"/>
            <w:vAlign w:val="center"/>
          </w:tcPr>
          <w:p w14:paraId="5BEA7EB2">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持续</w:t>
            </w:r>
            <w:r>
              <w:rPr>
                <w:rFonts w:ascii="Times New Roman" w:hAnsi="Times New Roman" w:eastAsia="仿宋_GB2312"/>
                <w:color w:val="auto"/>
                <w:kern w:val="0"/>
                <w:sz w:val="24"/>
                <w:highlight w:val="none"/>
              </w:rPr>
              <w:t>加强知识产权创造、运用和保护</w:t>
            </w:r>
          </w:p>
        </w:tc>
        <w:tc>
          <w:tcPr>
            <w:tcW w:w="6095" w:type="dxa"/>
            <w:noWrap w:val="0"/>
            <w:vAlign w:val="center"/>
          </w:tcPr>
          <w:p w14:paraId="03DA65DC">
            <w:pPr>
              <w:widowControl/>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强化高价值知识产权培育,实施高价值专利培育工程，围绕我</w:t>
            </w: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战略性产业的重点领域和关键环节，形成一批引领和支撑产业发展，创新水平高、权利状态稳定、市场竞争力强的高价值专利和专利组合。</w:t>
            </w:r>
          </w:p>
        </w:tc>
        <w:tc>
          <w:tcPr>
            <w:tcW w:w="1559" w:type="dxa"/>
            <w:noWrap w:val="0"/>
            <w:vAlign w:val="center"/>
          </w:tcPr>
          <w:p w14:paraId="08CDCE36">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县市监局</w:t>
            </w:r>
            <w:r>
              <w:rPr>
                <w:rFonts w:ascii="Times New Roman" w:hAnsi="Times New Roman" w:eastAsia="仿宋_GB2312"/>
                <w:color w:val="auto"/>
                <w:kern w:val="0"/>
                <w:sz w:val="24"/>
                <w:highlight w:val="none"/>
              </w:rPr>
              <w:t>、司法局</w:t>
            </w:r>
          </w:p>
        </w:tc>
        <w:tc>
          <w:tcPr>
            <w:tcW w:w="3435" w:type="dxa"/>
            <w:noWrap w:val="0"/>
            <w:vAlign w:val="center"/>
          </w:tcPr>
          <w:p w14:paraId="08D622DB">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429FD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77" w:type="dxa"/>
            <w:noWrap w:val="0"/>
            <w:vAlign w:val="center"/>
          </w:tcPr>
          <w:p w14:paraId="67375078">
            <w:pPr>
              <w:keepNext w:val="0"/>
              <w:keepLines w:val="0"/>
              <w:widowControl/>
              <w:suppressLineNumbers w:val="0"/>
              <w:jc w:val="center"/>
              <w:textAlignment w:val="auto"/>
              <w:rPr>
                <w:rFonts w:ascii="Times New Roman" w:hAnsi="Times New Roman" w:eastAsia="仿宋_GB2312" w:cs="Times New Roman"/>
                <w:color w:val="auto"/>
                <w:kern w:val="0"/>
                <w:sz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1</w:t>
            </w:r>
            <w:r>
              <w:rPr>
                <w:rFonts w:hint="eastAsia" w:ascii="Times New Roman" w:hAnsi="Times New Roman" w:eastAsia="仿宋_GB2312" w:cs="Times New Roman"/>
                <w:i w:val="0"/>
                <w:color w:val="auto"/>
                <w:kern w:val="0"/>
                <w:sz w:val="24"/>
                <w:szCs w:val="24"/>
                <w:highlight w:val="none"/>
                <w:u w:val="none"/>
                <w:lang w:val="en-US" w:eastAsia="zh-CN" w:bidi="ar"/>
              </w:rPr>
              <w:t>02</w:t>
            </w:r>
          </w:p>
        </w:tc>
        <w:tc>
          <w:tcPr>
            <w:tcW w:w="1559" w:type="dxa"/>
            <w:vMerge w:val="continue"/>
            <w:noWrap w:val="0"/>
            <w:vAlign w:val="center"/>
          </w:tcPr>
          <w:p w14:paraId="32D9A709">
            <w:pPr>
              <w:widowControl/>
              <w:jc w:val="left"/>
              <w:rPr>
                <w:rFonts w:ascii="Times New Roman" w:hAnsi="Times New Roman" w:eastAsia="仿宋_GB2312"/>
                <w:color w:val="auto"/>
                <w:kern w:val="0"/>
                <w:sz w:val="24"/>
                <w:highlight w:val="none"/>
              </w:rPr>
            </w:pPr>
          </w:p>
        </w:tc>
        <w:tc>
          <w:tcPr>
            <w:tcW w:w="6095" w:type="dxa"/>
            <w:noWrap w:val="0"/>
            <w:vAlign w:val="center"/>
          </w:tcPr>
          <w:p w14:paraId="27FC7A47">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进一步优化知识产权金融服务，鼓励和支持金融机构开展知识产权质押融资业务，为企业提供多元化知识产权质押融资产品。</w:t>
            </w:r>
          </w:p>
        </w:tc>
        <w:tc>
          <w:tcPr>
            <w:tcW w:w="1559" w:type="dxa"/>
            <w:noWrap w:val="0"/>
            <w:vAlign w:val="center"/>
          </w:tcPr>
          <w:p w14:paraId="1E07CEFD">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县市监局</w:t>
            </w:r>
            <w:r>
              <w:rPr>
                <w:rFonts w:ascii="Times New Roman" w:hAnsi="Times New Roman" w:eastAsia="仿宋_GB2312"/>
                <w:color w:val="auto"/>
                <w:kern w:val="0"/>
                <w:sz w:val="24"/>
                <w:highlight w:val="none"/>
              </w:rPr>
              <w:t>、司法局</w:t>
            </w:r>
          </w:p>
        </w:tc>
        <w:tc>
          <w:tcPr>
            <w:tcW w:w="3435" w:type="dxa"/>
            <w:noWrap w:val="0"/>
            <w:vAlign w:val="center"/>
          </w:tcPr>
          <w:p w14:paraId="63FB560C">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0DE7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77" w:type="dxa"/>
            <w:noWrap w:val="0"/>
            <w:vAlign w:val="center"/>
          </w:tcPr>
          <w:p w14:paraId="342EBD16">
            <w:pPr>
              <w:keepNext w:val="0"/>
              <w:keepLines w:val="0"/>
              <w:widowControl/>
              <w:suppressLineNumbers w:val="0"/>
              <w:jc w:val="center"/>
              <w:textAlignment w:val="auto"/>
              <w:rPr>
                <w:rFonts w:hint="default" w:ascii="Times New Roman" w:hAnsi="Times New Roman" w:eastAsia="仿宋_GB2312" w:cs="Times New Roman"/>
                <w:color w:val="auto"/>
                <w:kern w:val="0"/>
                <w:sz w:val="24"/>
                <w:highlight w:val="none"/>
                <w:lang w:val="en-US"/>
              </w:rPr>
            </w:pPr>
            <w:r>
              <w:rPr>
                <w:rFonts w:hint="default" w:ascii="Times New Roman" w:hAnsi="Times New Roman" w:eastAsia="仿宋_GB2312" w:cs="Times New Roman"/>
                <w:i w:val="0"/>
                <w:color w:val="auto"/>
                <w:kern w:val="0"/>
                <w:sz w:val="24"/>
                <w:szCs w:val="24"/>
                <w:highlight w:val="none"/>
                <w:u w:val="none"/>
                <w:lang w:val="en-US" w:eastAsia="zh-CN" w:bidi="ar"/>
              </w:rPr>
              <w:t>1</w:t>
            </w:r>
            <w:r>
              <w:rPr>
                <w:rFonts w:hint="eastAsia" w:ascii="Times New Roman" w:hAnsi="Times New Roman" w:eastAsia="仿宋_GB2312" w:cs="Times New Roman"/>
                <w:i w:val="0"/>
                <w:color w:val="auto"/>
                <w:kern w:val="0"/>
                <w:sz w:val="24"/>
                <w:szCs w:val="24"/>
                <w:highlight w:val="none"/>
                <w:u w:val="none"/>
                <w:lang w:val="en-US" w:eastAsia="zh-CN" w:bidi="ar"/>
              </w:rPr>
              <w:t>03</w:t>
            </w:r>
          </w:p>
        </w:tc>
        <w:tc>
          <w:tcPr>
            <w:tcW w:w="1559" w:type="dxa"/>
            <w:vMerge w:val="continue"/>
            <w:noWrap w:val="0"/>
            <w:vAlign w:val="center"/>
          </w:tcPr>
          <w:p w14:paraId="3B27FFAE">
            <w:pPr>
              <w:widowControl/>
              <w:jc w:val="left"/>
              <w:rPr>
                <w:rFonts w:ascii="Times New Roman" w:hAnsi="Times New Roman" w:eastAsia="仿宋_GB2312"/>
                <w:color w:val="auto"/>
                <w:kern w:val="0"/>
                <w:sz w:val="24"/>
                <w:highlight w:val="none"/>
              </w:rPr>
            </w:pPr>
          </w:p>
        </w:tc>
        <w:tc>
          <w:tcPr>
            <w:tcW w:w="6095" w:type="dxa"/>
            <w:noWrap w:val="0"/>
            <w:vAlign w:val="center"/>
          </w:tcPr>
          <w:p w14:paraId="178EE4E7">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推动建立知识产权维权援助机构,建设全</w:t>
            </w: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知识产权维权援助“一张网”。</w:t>
            </w:r>
          </w:p>
        </w:tc>
        <w:tc>
          <w:tcPr>
            <w:tcW w:w="1559" w:type="dxa"/>
            <w:noWrap w:val="0"/>
            <w:vAlign w:val="center"/>
          </w:tcPr>
          <w:p w14:paraId="34CE06DA">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县市监局</w:t>
            </w:r>
            <w:r>
              <w:rPr>
                <w:rFonts w:ascii="Times New Roman" w:hAnsi="Times New Roman" w:eastAsia="仿宋_GB2312"/>
                <w:color w:val="auto"/>
                <w:kern w:val="0"/>
                <w:sz w:val="24"/>
                <w:highlight w:val="none"/>
              </w:rPr>
              <w:t>、司法局</w:t>
            </w:r>
          </w:p>
        </w:tc>
        <w:tc>
          <w:tcPr>
            <w:tcW w:w="3435" w:type="dxa"/>
            <w:noWrap w:val="0"/>
            <w:vAlign w:val="center"/>
          </w:tcPr>
          <w:p w14:paraId="6FFAB702">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1F72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7" w:type="dxa"/>
            <w:noWrap w:val="0"/>
            <w:vAlign w:val="center"/>
          </w:tcPr>
          <w:p w14:paraId="47032AF5">
            <w:pPr>
              <w:keepNext w:val="0"/>
              <w:keepLines w:val="0"/>
              <w:widowControl/>
              <w:suppressLineNumbers w:val="0"/>
              <w:jc w:val="center"/>
              <w:textAlignment w:val="auto"/>
              <w:rPr>
                <w:rFonts w:hint="default"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104</w:t>
            </w:r>
          </w:p>
        </w:tc>
        <w:tc>
          <w:tcPr>
            <w:tcW w:w="1559" w:type="dxa"/>
            <w:vMerge w:val="continue"/>
            <w:noWrap w:val="0"/>
            <w:vAlign w:val="center"/>
          </w:tcPr>
          <w:p w14:paraId="35CF1D16">
            <w:pPr>
              <w:widowControl/>
              <w:jc w:val="left"/>
              <w:rPr>
                <w:rFonts w:ascii="Times New Roman" w:hAnsi="Times New Roman" w:eastAsia="仿宋_GB2312"/>
                <w:color w:val="auto"/>
                <w:kern w:val="0"/>
                <w:sz w:val="24"/>
                <w:highlight w:val="none"/>
              </w:rPr>
            </w:pPr>
          </w:p>
        </w:tc>
        <w:tc>
          <w:tcPr>
            <w:tcW w:w="6095" w:type="dxa"/>
            <w:noWrap w:val="0"/>
            <w:vAlign w:val="center"/>
          </w:tcPr>
          <w:p w14:paraId="6B8D8F89">
            <w:pPr>
              <w:keepNext w:val="0"/>
              <w:keepLines w:val="0"/>
              <w:widowControl/>
              <w:suppressLineNumbers w:val="0"/>
              <w:jc w:val="left"/>
              <w:rPr>
                <w:rFonts w:ascii="Times New Roman" w:hAnsi="Times New Roman" w:eastAsia="仿宋_GB2312"/>
                <w:color w:val="auto"/>
                <w:kern w:val="0"/>
                <w:sz w:val="24"/>
                <w:highlight w:val="none"/>
              </w:rPr>
            </w:pPr>
            <w:r>
              <w:rPr>
                <w:rFonts w:hint="eastAsia" w:ascii="仿宋_GB2312" w:hAnsi="宋体" w:eastAsia="仿宋_GB2312" w:cs="仿宋_GB2312"/>
                <w:color w:val="000000"/>
                <w:kern w:val="0"/>
                <w:sz w:val="24"/>
                <w:szCs w:val="24"/>
                <w:lang w:val="en-US" w:eastAsia="zh-CN" w:bidi="ar"/>
              </w:rPr>
              <w:t>配合市开展跨区域知识产权执法维权协作、推动知识产权资源共享、加强知识产权信息交流沟通。</w:t>
            </w:r>
          </w:p>
        </w:tc>
        <w:tc>
          <w:tcPr>
            <w:tcW w:w="1559" w:type="dxa"/>
            <w:noWrap w:val="0"/>
            <w:vAlign w:val="center"/>
          </w:tcPr>
          <w:p w14:paraId="74BBB56C">
            <w:pPr>
              <w:widowControl/>
              <w:jc w:val="center"/>
              <w:rPr>
                <w:rFonts w:hint="default" w:ascii="Times New Roman" w:hAnsi="Times New Roman" w:eastAsia="仿宋_GB2312"/>
                <w:color w:val="auto"/>
                <w:kern w:val="0"/>
                <w:sz w:val="24"/>
                <w:highlight w:val="none"/>
                <w:lang w:val="en-US" w:eastAsia="zh-CN"/>
              </w:rPr>
            </w:pPr>
            <w:r>
              <w:rPr>
                <w:rFonts w:hint="eastAsia" w:ascii="Times New Roman" w:hAnsi="Times New Roman" w:eastAsia="仿宋_GB2312"/>
                <w:color w:val="auto"/>
                <w:kern w:val="0"/>
                <w:sz w:val="24"/>
                <w:highlight w:val="none"/>
                <w:lang w:val="en-US" w:eastAsia="zh-CN"/>
              </w:rPr>
              <w:t>县市监局、司法局</w:t>
            </w:r>
          </w:p>
        </w:tc>
        <w:tc>
          <w:tcPr>
            <w:tcW w:w="3435" w:type="dxa"/>
            <w:noWrap w:val="0"/>
            <w:vAlign w:val="center"/>
          </w:tcPr>
          <w:p w14:paraId="5696EC2A">
            <w:pPr>
              <w:widowControl/>
              <w:jc w:val="both"/>
              <w:rPr>
                <w:rFonts w:hint="eastAsia" w:ascii="Times New Roman" w:hAnsi="Times New Roman" w:eastAsia="仿宋_GB2312"/>
                <w:color w:val="auto"/>
                <w:kern w:val="0"/>
                <w:sz w:val="24"/>
                <w:highlight w:val="none"/>
                <w:lang w:val="en-US" w:eastAsia="zh-CN"/>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687B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7" w:type="dxa"/>
            <w:noWrap w:val="0"/>
            <w:vAlign w:val="center"/>
          </w:tcPr>
          <w:p w14:paraId="11813C9F">
            <w:pPr>
              <w:keepNext w:val="0"/>
              <w:keepLines w:val="0"/>
              <w:widowControl/>
              <w:suppressLineNumbers w:val="0"/>
              <w:jc w:val="center"/>
              <w:textAlignment w:val="auto"/>
              <w:rPr>
                <w:rFonts w:hint="default"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105</w:t>
            </w:r>
          </w:p>
        </w:tc>
        <w:tc>
          <w:tcPr>
            <w:tcW w:w="1559" w:type="dxa"/>
            <w:vMerge w:val="continue"/>
            <w:noWrap w:val="0"/>
            <w:vAlign w:val="center"/>
          </w:tcPr>
          <w:p w14:paraId="0ECA3435">
            <w:pPr>
              <w:widowControl/>
              <w:jc w:val="left"/>
              <w:rPr>
                <w:rFonts w:ascii="Times New Roman" w:hAnsi="Times New Roman" w:eastAsia="仿宋_GB2312"/>
                <w:color w:val="auto"/>
                <w:kern w:val="0"/>
                <w:sz w:val="24"/>
                <w:highlight w:val="none"/>
              </w:rPr>
            </w:pPr>
          </w:p>
        </w:tc>
        <w:tc>
          <w:tcPr>
            <w:tcW w:w="6095" w:type="dxa"/>
            <w:noWrap w:val="0"/>
            <w:vAlign w:val="center"/>
          </w:tcPr>
          <w:p w14:paraId="54F04E33">
            <w:pPr>
              <w:keepNext w:val="0"/>
              <w:keepLines w:val="0"/>
              <w:widowControl/>
              <w:suppressLineNumbers w:val="0"/>
              <w:jc w:val="left"/>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lang w:val="en-US" w:eastAsia="zh-CN" w:bidi="ar"/>
              </w:rPr>
              <w:t>配合市</w:t>
            </w:r>
            <w:r>
              <w:rPr>
                <w:rFonts w:ascii="仿宋_GB2312" w:hAnsi="宋体" w:eastAsia="仿宋_GB2312" w:cs="仿宋_GB2312"/>
                <w:color w:val="000000"/>
                <w:kern w:val="0"/>
                <w:sz w:val="24"/>
                <w:szCs w:val="24"/>
                <w:lang w:val="en-US" w:eastAsia="zh-CN" w:bidi="ar"/>
              </w:rPr>
              <w:t>培育和引进优质行业资源和专家资源，围绕服务政府、</w:t>
            </w:r>
            <w:r>
              <w:rPr>
                <w:rFonts w:hint="eastAsia" w:ascii="仿宋_GB2312" w:hAnsi="宋体" w:eastAsia="仿宋_GB2312" w:cs="仿宋_GB2312"/>
                <w:color w:val="000000"/>
                <w:kern w:val="0"/>
                <w:sz w:val="24"/>
                <w:szCs w:val="24"/>
                <w:lang w:val="en-US" w:eastAsia="zh-CN" w:bidi="ar"/>
              </w:rPr>
              <w:t>服务企业、服务社会的工作定位，建立行政执法、司法保护、仲裁调解、维权援助、行业自律等知识产权保护协调机制。</w:t>
            </w:r>
          </w:p>
        </w:tc>
        <w:tc>
          <w:tcPr>
            <w:tcW w:w="1559" w:type="dxa"/>
            <w:noWrap w:val="0"/>
            <w:vAlign w:val="center"/>
          </w:tcPr>
          <w:p w14:paraId="238EF2FE">
            <w:pPr>
              <w:widowControl/>
              <w:jc w:val="center"/>
              <w:rPr>
                <w:rFonts w:hint="eastAsia" w:ascii="Times New Roman" w:hAnsi="Times New Roman" w:eastAsia="仿宋_GB2312"/>
                <w:color w:val="auto"/>
                <w:kern w:val="0"/>
                <w:sz w:val="24"/>
                <w:highlight w:val="none"/>
                <w:lang w:val="en-US" w:eastAsia="zh-CN"/>
              </w:rPr>
            </w:pPr>
            <w:r>
              <w:rPr>
                <w:rFonts w:hint="eastAsia" w:ascii="Times New Roman" w:hAnsi="Times New Roman" w:eastAsia="仿宋_GB2312"/>
                <w:color w:val="auto"/>
                <w:kern w:val="0"/>
                <w:sz w:val="24"/>
                <w:highlight w:val="none"/>
                <w:lang w:val="en-US" w:eastAsia="zh-CN"/>
              </w:rPr>
              <w:t>县市监局、司法局</w:t>
            </w:r>
          </w:p>
        </w:tc>
        <w:tc>
          <w:tcPr>
            <w:tcW w:w="3435" w:type="dxa"/>
            <w:noWrap w:val="0"/>
            <w:vAlign w:val="center"/>
          </w:tcPr>
          <w:p w14:paraId="58D3B6CB">
            <w:pPr>
              <w:widowControl/>
              <w:jc w:val="both"/>
              <w:rPr>
                <w:rFonts w:hint="eastAsia" w:ascii="Times New Roman" w:hAnsi="Times New Roman" w:eastAsia="仿宋_GB2312"/>
                <w:color w:val="auto"/>
                <w:kern w:val="0"/>
                <w:sz w:val="24"/>
                <w:highlight w:val="none"/>
                <w:lang w:val="en-US" w:eastAsia="zh-CN"/>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5A04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7" w:type="dxa"/>
            <w:noWrap w:val="0"/>
            <w:vAlign w:val="center"/>
          </w:tcPr>
          <w:p w14:paraId="0441E377">
            <w:pPr>
              <w:keepNext w:val="0"/>
              <w:keepLines w:val="0"/>
              <w:widowControl/>
              <w:suppressLineNumbers w:val="0"/>
              <w:jc w:val="center"/>
              <w:textAlignment w:val="auto"/>
              <w:rPr>
                <w:rFonts w:hint="default"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106</w:t>
            </w:r>
          </w:p>
        </w:tc>
        <w:tc>
          <w:tcPr>
            <w:tcW w:w="1559" w:type="dxa"/>
            <w:vMerge w:val="continue"/>
            <w:noWrap w:val="0"/>
            <w:vAlign w:val="center"/>
          </w:tcPr>
          <w:p w14:paraId="69F5BCB7">
            <w:pPr>
              <w:widowControl/>
              <w:jc w:val="left"/>
              <w:rPr>
                <w:rFonts w:ascii="Times New Roman" w:hAnsi="Times New Roman" w:eastAsia="仿宋_GB2312"/>
                <w:color w:val="auto"/>
                <w:kern w:val="0"/>
                <w:sz w:val="24"/>
                <w:highlight w:val="none"/>
              </w:rPr>
            </w:pPr>
          </w:p>
        </w:tc>
        <w:tc>
          <w:tcPr>
            <w:tcW w:w="6095" w:type="dxa"/>
            <w:noWrap w:val="0"/>
            <w:vAlign w:val="center"/>
          </w:tcPr>
          <w:p w14:paraId="4377BE10">
            <w:pPr>
              <w:keepNext w:val="0"/>
              <w:keepLines w:val="0"/>
              <w:widowControl/>
              <w:suppressLineNumbers w:val="0"/>
              <w:jc w:val="left"/>
              <w:rPr>
                <w:rFonts w:ascii="Times New Roman" w:hAnsi="Times New Roman" w:eastAsia="仿宋_GB2312"/>
                <w:color w:val="auto"/>
                <w:kern w:val="0"/>
                <w:sz w:val="24"/>
                <w:highlight w:val="none"/>
              </w:rPr>
            </w:pPr>
            <w:r>
              <w:rPr>
                <w:rFonts w:hint="eastAsia" w:ascii="仿宋_GB2312" w:hAnsi="宋体" w:eastAsia="仿宋_GB2312" w:cs="仿宋_GB2312"/>
                <w:color w:val="000000"/>
                <w:kern w:val="0"/>
                <w:sz w:val="24"/>
                <w:szCs w:val="24"/>
                <w:lang w:val="en-US" w:eastAsia="zh-CN" w:bidi="ar"/>
              </w:rPr>
              <w:t>配合市</w:t>
            </w:r>
            <w:r>
              <w:rPr>
                <w:rFonts w:ascii="仿宋_GB2312" w:hAnsi="宋体" w:eastAsia="仿宋_GB2312" w:cs="仿宋_GB2312"/>
                <w:color w:val="000000"/>
                <w:kern w:val="0"/>
                <w:sz w:val="24"/>
                <w:szCs w:val="24"/>
                <w:lang w:val="en-US" w:eastAsia="zh-CN" w:bidi="ar"/>
              </w:rPr>
              <w:t>推动知识产权服务品牌机构培育，扶持一批专业化、市</w:t>
            </w:r>
            <w:r>
              <w:rPr>
                <w:rFonts w:hint="eastAsia" w:ascii="仿宋_GB2312" w:hAnsi="宋体" w:eastAsia="仿宋_GB2312" w:cs="仿宋_GB2312"/>
                <w:color w:val="000000"/>
                <w:kern w:val="0"/>
                <w:sz w:val="24"/>
                <w:szCs w:val="24"/>
                <w:lang w:val="en-US" w:eastAsia="zh-CN" w:bidi="ar"/>
              </w:rPr>
              <w:t>场化、复合型的知识产权服务机构，引导服务机构持续提升代理、法律等服务质量，向价值链高端延伸。</w:t>
            </w:r>
          </w:p>
        </w:tc>
        <w:tc>
          <w:tcPr>
            <w:tcW w:w="1559" w:type="dxa"/>
            <w:noWrap w:val="0"/>
            <w:vAlign w:val="center"/>
          </w:tcPr>
          <w:p w14:paraId="2C5DF61C">
            <w:pPr>
              <w:widowControl/>
              <w:jc w:val="center"/>
              <w:rPr>
                <w:rFonts w:hint="eastAsia" w:ascii="Times New Roman" w:hAnsi="Times New Roman" w:eastAsia="仿宋_GB2312"/>
                <w:color w:val="auto"/>
                <w:kern w:val="0"/>
                <w:sz w:val="24"/>
                <w:highlight w:val="none"/>
                <w:lang w:val="en-US" w:eastAsia="zh-CN"/>
              </w:rPr>
            </w:pPr>
            <w:r>
              <w:rPr>
                <w:rFonts w:hint="eastAsia" w:ascii="Times New Roman" w:hAnsi="Times New Roman" w:eastAsia="仿宋_GB2312"/>
                <w:color w:val="auto"/>
                <w:kern w:val="0"/>
                <w:sz w:val="24"/>
                <w:highlight w:val="none"/>
                <w:lang w:val="en-US" w:eastAsia="zh-CN"/>
              </w:rPr>
              <w:t>县市监局、司法局</w:t>
            </w:r>
          </w:p>
        </w:tc>
        <w:tc>
          <w:tcPr>
            <w:tcW w:w="3435" w:type="dxa"/>
            <w:noWrap w:val="0"/>
            <w:vAlign w:val="center"/>
          </w:tcPr>
          <w:p w14:paraId="624E55F4">
            <w:pPr>
              <w:widowControl/>
              <w:jc w:val="both"/>
              <w:rPr>
                <w:rFonts w:hint="eastAsia" w:ascii="Times New Roman" w:hAnsi="Times New Roman" w:eastAsia="仿宋_GB2312"/>
                <w:color w:val="auto"/>
                <w:kern w:val="0"/>
                <w:sz w:val="24"/>
                <w:highlight w:val="none"/>
                <w:lang w:val="en-US" w:eastAsia="zh-CN"/>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763B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7" w:type="dxa"/>
            <w:noWrap w:val="0"/>
            <w:vAlign w:val="center"/>
          </w:tcPr>
          <w:p w14:paraId="3B83ADE6">
            <w:pPr>
              <w:keepNext w:val="0"/>
              <w:keepLines w:val="0"/>
              <w:widowControl/>
              <w:suppressLineNumbers w:val="0"/>
              <w:jc w:val="center"/>
              <w:textAlignment w:val="auto"/>
              <w:rPr>
                <w:rFonts w:hint="default" w:ascii="Times New Roman" w:hAnsi="Times New Roman" w:eastAsia="仿宋_GB2312" w:cs="Times New Roman"/>
                <w:color w:val="auto"/>
                <w:kern w:val="0"/>
                <w:sz w:val="24"/>
                <w:highlight w:val="none"/>
                <w:lang w:val="en-US"/>
              </w:rPr>
            </w:pPr>
            <w:r>
              <w:rPr>
                <w:rFonts w:hint="default" w:ascii="Times New Roman" w:hAnsi="Times New Roman" w:eastAsia="仿宋_GB2312" w:cs="Times New Roman"/>
                <w:i w:val="0"/>
                <w:color w:val="auto"/>
                <w:kern w:val="0"/>
                <w:sz w:val="24"/>
                <w:szCs w:val="24"/>
                <w:highlight w:val="none"/>
                <w:u w:val="none"/>
                <w:lang w:val="en-US" w:eastAsia="zh-CN" w:bidi="ar"/>
              </w:rPr>
              <w:t>1</w:t>
            </w:r>
            <w:r>
              <w:rPr>
                <w:rFonts w:hint="eastAsia" w:ascii="Times New Roman" w:hAnsi="Times New Roman" w:eastAsia="仿宋_GB2312" w:cs="Times New Roman"/>
                <w:i w:val="0"/>
                <w:color w:val="auto"/>
                <w:kern w:val="0"/>
                <w:sz w:val="24"/>
                <w:szCs w:val="24"/>
                <w:highlight w:val="none"/>
                <w:u w:val="none"/>
                <w:lang w:val="en-US" w:eastAsia="zh-CN" w:bidi="ar"/>
              </w:rPr>
              <w:t>07</w:t>
            </w:r>
          </w:p>
        </w:tc>
        <w:tc>
          <w:tcPr>
            <w:tcW w:w="1559" w:type="dxa"/>
            <w:vMerge w:val="continue"/>
            <w:noWrap w:val="0"/>
            <w:vAlign w:val="center"/>
          </w:tcPr>
          <w:p w14:paraId="6A131238">
            <w:pPr>
              <w:widowControl/>
              <w:jc w:val="left"/>
              <w:rPr>
                <w:rFonts w:ascii="Times New Roman" w:hAnsi="Times New Roman" w:eastAsia="仿宋_GB2312"/>
                <w:color w:val="auto"/>
                <w:kern w:val="0"/>
                <w:sz w:val="24"/>
                <w:highlight w:val="none"/>
              </w:rPr>
            </w:pPr>
          </w:p>
        </w:tc>
        <w:tc>
          <w:tcPr>
            <w:tcW w:w="6095" w:type="dxa"/>
            <w:noWrap w:val="0"/>
            <w:vAlign w:val="center"/>
          </w:tcPr>
          <w:p w14:paraId="3BB1A6B8">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部署开展各重点领域、关键环节知识产权保护专项行动，加大知识产权保护宣传力度，推动我</w:t>
            </w: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知识产权保护工作迈上新台阶。</w:t>
            </w:r>
          </w:p>
        </w:tc>
        <w:tc>
          <w:tcPr>
            <w:tcW w:w="1559" w:type="dxa"/>
            <w:noWrap w:val="0"/>
            <w:vAlign w:val="center"/>
          </w:tcPr>
          <w:p w14:paraId="38C37951">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县市监局</w:t>
            </w:r>
            <w:r>
              <w:rPr>
                <w:rFonts w:ascii="Times New Roman" w:hAnsi="Times New Roman" w:eastAsia="仿宋_GB2312"/>
                <w:color w:val="auto"/>
                <w:kern w:val="0"/>
                <w:sz w:val="24"/>
                <w:highlight w:val="none"/>
              </w:rPr>
              <w:t>、司法局</w:t>
            </w:r>
          </w:p>
        </w:tc>
        <w:tc>
          <w:tcPr>
            <w:tcW w:w="3435" w:type="dxa"/>
            <w:noWrap w:val="0"/>
            <w:vAlign w:val="center"/>
          </w:tcPr>
          <w:p w14:paraId="73040E1F">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5173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77" w:type="dxa"/>
            <w:noWrap w:val="0"/>
            <w:vAlign w:val="center"/>
          </w:tcPr>
          <w:p w14:paraId="4D4910DC">
            <w:pPr>
              <w:keepNext w:val="0"/>
              <w:keepLines w:val="0"/>
              <w:widowControl/>
              <w:suppressLineNumbers w:val="0"/>
              <w:jc w:val="center"/>
              <w:textAlignment w:val="auto"/>
              <w:rPr>
                <w:rFonts w:hint="default" w:ascii="Times New Roman" w:hAnsi="Times New Roman" w:eastAsia="仿宋_GB2312" w:cs="Times New Roman"/>
                <w:color w:val="auto"/>
                <w:kern w:val="0"/>
                <w:sz w:val="24"/>
                <w:highlight w:val="none"/>
                <w:lang w:val="en-US"/>
              </w:rPr>
            </w:pPr>
            <w:r>
              <w:rPr>
                <w:rFonts w:hint="default" w:ascii="Times New Roman" w:hAnsi="Times New Roman" w:eastAsia="仿宋_GB2312" w:cs="Times New Roman"/>
                <w:i w:val="0"/>
                <w:color w:val="auto"/>
                <w:kern w:val="0"/>
                <w:sz w:val="24"/>
                <w:szCs w:val="24"/>
                <w:highlight w:val="none"/>
                <w:u w:val="none"/>
                <w:lang w:val="en-US" w:eastAsia="zh-CN" w:bidi="ar"/>
              </w:rPr>
              <w:t>1</w:t>
            </w:r>
            <w:r>
              <w:rPr>
                <w:rFonts w:hint="eastAsia" w:ascii="Times New Roman" w:hAnsi="Times New Roman" w:eastAsia="仿宋_GB2312" w:cs="Times New Roman"/>
                <w:i w:val="0"/>
                <w:color w:val="auto"/>
                <w:kern w:val="0"/>
                <w:sz w:val="24"/>
                <w:szCs w:val="24"/>
                <w:highlight w:val="none"/>
                <w:u w:val="none"/>
                <w:lang w:val="en-US" w:eastAsia="zh-CN" w:bidi="ar"/>
              </w:rPr>
              <w:t>08</w:t>
            </w:r>
          </w:p>
        </w:tc>
        <w:tc>
          <w:tcPr>
            <w:tcW w:w="1559" w:type="dxa"/>
            <w:vMerge w:val="continue"/>
            <w:noWrap w:val="0"/>
            <w:vAlign w:val="center"/>
          </w:tcPr>
          <w:p w14:paraId="026E7814">
            <w:pPr>
              <w:widowControl/>
              <w:jc w:val="left"/>
              <w:rPr>
                <w:rFonts w:ascii="Times New Roman" w:hAnsi="Times New Roman" w:eastAsia="仿宋_GB2312"/>
                <w:color w:val="auto"/>
                <w:kern w:val="0"/>
                <w:sz w:val="24"/>
                <w:highlight w:val="none"/>
              </w:rPr>
            </w:pPr>
          </w:p>
        </w:tc>
        <w:tc>
          <w:tcPr>
            <w:tcW w:w="6095" w:type="dxa"/>
            <w:noWrap w:val="0"/>
            <w:vAlign w:val="center"/>
          </w:tcPr>
          <w:p w14:paraId="3625DEB1">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立足刑事检察职能，依法打击涉知识产权犯罪。</w:t>
            </w:r>
          </w:p>
        </w:tc>
        <w:tc>
          <w:tcPr>
            <w:tcW w:w="1559" w:type="dxa"/>
            <w:noWrap w:val="0"/>
            <w:vAlign w:val="center"/>
          </w:tcPr>
          <w:p w14:paraId="1D20C9AF">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检察院</w:t>
            </w:r>
          </w:p>
        </w:tc>
        <w:tc>
          <w:tcPr>
            <w:tcW w:w="3435" w:type="dxa"/>
            <w:noWrap w:val="0"/>
            <w:vAlign w:val="center"/>
          </w:tcPr>
          <w:p w14:paraId="394B969A">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6475F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7" w:type="dxa"/>
            <w:noWrap w:val="0"/>
            <w:vAlign w:val="center"/>
          </w:tcPr>
          <w:p w14:paraId="0AC280A9">
            <w:pPr>
              <w:keepNext w:val="0"/>
              <w:keepLines w:val="0"/>
              <w:widowControl/>
              <w:suppressLineNumbers w:val="0"/>
              <w:jc w:val="center"/>
              <w:textAlignment w:val="auto"/>
              <w:rPr>
                <w:rFonts w:hint="default" w:ascii="Times New Roman" w:hAnsi="Times New Roman" w:eastAsia="仿宋_GB2312" w:cs="Times New Roman"/>
                <w:color w:val="auto"/>
                <w:kern w:val="0"/>
                <w:sz w:val="24"/>
                <w:highlight w:val="none"/>
                <w:lang w:val="en-US"/>
              </w:rPr>
            </w:pPr>
            <w:r>
              <w:rPr>
                <w:rFonts w:hint="default" w:ascii="Times New Roman" w:hAnsi="Times New Roman" w:eastAsia="仿宋_GB2312" w:cs="Times New Roman"/>
                <w:i w:val="0"/>
                <w:color w:val="auto"/>
                <w:kern w:val="0"/>
                <w:sz w:val="24"/>
                <w:szCs w:val="24"/>
                <w:highlight w:val="none"/>
                <w:u w:val="none"/>
                <w:lang w:val="en-US" w:eastAsia="zh-CN" w:bidi="ar"/>
              </w:rPr>
              <w:t>1</w:t>
            </w:r>
            <w:r>
              <w:rPr>
                <w:rFonts w:hint="eastAsia" w:ascii="Times New Roman" w:hAnsi="Times New Roman" w:eastAsia="仿宋_GB2312" w:cs="Times New Roman"/>
                <w:i w:val="0"/>
                <w:color w:val="auto"/>
                <w:kern w:val="0"/>
                <w:sz w:val="24"/>
                <w:szCs w:val="24"/>
                <w:highlight w:val="none"/>
                <w:u w:val="none"/>
                <w:lang w:val="en-US" w:eastAsia="zh-CN" w:bidi="ar"/>
              </w:rPr>
              <w:t>09</w:t>
            </w:r>
          </w:p>
        </w:tc>
        <w:tc>
          <w:tcPr>
            <w:tcW w:w="1559" w:type="dxa"/>
            <w:vMerge w:val="restart"/>
            <w:noWrap w:val="0"/>
            <w:vAlign w:val="center"/>
          </w:tcPr>
          <w:p w14:paraId="302B55B6">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推进社会信用体系建设</w:t>
            </w:r>
          </w:p>
        </w:tc>
        <w:tc>
          <w:tcPr>
            <w:tcW w:w="6095" w:type="dxa"/>
            <w:noWrap w:val="0"/>
            <w:vAlign w:val="center"/>
          </w:tcPr>
          <w:p w14:paraId="60422FEA">
            <w:pPr>
              <w:widowControl/>
              <w:jc w:val="left"/>
              <w:rPr>
                <w:rFonts w:ascii="Times New Roman" w:hAnsi="Times New Roman" w:eastAsia="仿宋_GB2312"/>
                <w:color w:val="auto"/>
                <w:kern w:val="0"/>
                <w:sz w:val="24"/>
                <w:highlight w:val="none"/>
              </w:rPr>
            </w:pPr>
            <w:r>
              <w:rPr>
                <w:rFonts w:hint="default" w:ascii="Times New Roman" w:hAnsi="Times New Roman" w:eastAsia="仿宋_GB2312"/>
                <w:color w:val="auto"/>
                <w:kern w:val="0"/>
                <w:sz w:val="24"/>
                <w:highlight w:val="none"/>
                <w:lang w:val="en-US" w:eastAsia="zh-CN"/>
              </w:rPr>
              <w:t>配合市</w:t>
            </w:r>
            <w:r>
              <w:rPr>
                <w:rFonts w:ascii="Times New Roman" w:hAnsi="Times New Roman" w:eastAsia="仿宋_GB2312"/>
                <w:color w:val="auto"/>
                <w:kern w:val="0"/>
                <w:sz w:val="24"/>
                <w:highlight w:val="none"/>
              </w:rPr>
              <w:t>制定市公共信用信息补充目录，</w:t>
            </w:r>
            <w:r>
              <w:rPr>
                <w:rFonts w:hint="default" w:ascii="Times New Roman" w:hAnsi="Times New Roman" w:eastAsia="仿宋_GB2312"/>
                <w:color w:val="auto"/>
                <w:kern w:val="0"/>
                <w:sz w:val="24"/>
                <w:highlight w:val="none"/>
                <w:lang w:val="en-US" w:eastAsia="zh-CN"/>
              </w:rPr>
              <w:t>贯彻落实</w:t>
            </w:r>
            <w:r>
              <w:rPr>
                <w:rFonts w:ascii="Times New Roman" w:hAnsi="Times New Roman" w:eastAsia="仿宋_GB2312"/>
                <w:color w:val="auto"/>
                <w:kern w:val="0"/>
                <w:sz w:val="24"/>
                <w:highlight w:val="none"/>
              </w:rPr>
              <w:t>公共信用信息归集共享和数据治理机制。</w:t>
            </w:r>
          </w:p>
        </w:tc>
        <w:tc>
          <w:tcPr>
            <w:tcW w:w="1559" w:type="dxa"/>
            <w:noWrap w:val="0"/>
            <w:vAlign w:val="center"/>
          </w:tcPr>
          <w:p w14:paraId="7066C754">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发改局</w:t>
            </w:r>
          </w:p>
        </w:tc>
        <w:tc>
          <w:tcPr>
            <w:tcW w:w="3435" w:type="dxa"/>
            <w:noWrap w:val="0"/>
            <w:vAlign w:val="center"/>
          </w:tcPr>
          <w:p w14:paraId="1D0D0D25">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税务局、司法局、科技局、住建局、消防</w:t>
            </w:r>
            <w:r>
              <w:rPr>
                <w:rFonts w:hint="eastAsia" w:ascii="Times New Roman" w:hAnsi="Times New Roman" w:eastAsia="仿宋_GB2312"/>
                <w:color w:val="auto"/>
                <w:kern w:val="0"/>
                <w:sz w:val="24"/>
                <w:highlight w:val="none"/>
                <w:lang w:val="en-US" w:eastAsia="zh-CN"/>
              </w:rPr>
              <w:t>大</w:t>
            </w:r>
            <w:r>
              <w:rPr>
                <w:rFonts w:ascii="Times New Roman" w:hAnsi="Times New Roman" w:eastAsia="仿宋_GB2312"/>
                <w:color w:val="auto"/>
                <w:kern w:val="0"/>
                <w:sz w:val="24"/>
                <w:highlight w:val="none"/>
              </w:rPr>
              <w:t>队、</w:t>
            </w:r>
            <w:r>
              <w:rPr>
                <w:rFonts w:hint="eastAsia" w:ascii="Times New Roman" w:hAnsi="Times New Roman" w:eastAsia="仿宋_GB2312"/>
                <w:color w:val="auto"/>
                <w:kern w:val="0"/>
                <w:sz w:val="24"/>
                <w:highlight w:val="none"/>
                <w:lang w:eastAsia="zh-CN"/>
              </w:rPr>
              <w:t>交通运输局</w:t>
            </w:r>
            <w:r>
              <w:rPr>
                <w:rFonts w:ascii="Times New Roman" w:hAnsi="Times New Roman" w:eastAsia="仿宋_GB2312"/>
                <w:color w:val="auto"/>
                <w:kern w:val="0"/>
                <w:sz w:val="24"/>
                <w:highlight w:val="none"/>
              </w:rPr>
              <w:t>、</w:t>
            </w:r>
            <w:r>
              <w:rPr>
                <w:rFonts w:hint="eastAsia" w:ascii="Times New Roman" w:hAnsi="Times New Roman" w:eastAsia="仿宋_GB2312"/>
                <w:color w:val="auto"/>
                <w:kern w:val="0"/>
                <w:sz w:val="24"/>
                <w:highlight w:val="none"/>
                <w:lang w:val="en-US" w:eastAsia="zh-CN"/>
              </w:rPr>
              <w:t>市</w:t>
            </w:r>
            <w:r>
              <w:rPr>
                <w:rFonts w:ascii="Times New Roman" w:hAnsi="Times New Roman" w:eastAsia="仿宋_GB2312"/>
                <w:color w:val="auto"/>
                <w:kern w:val="0"/>
                <w:sz w:val="24"/>
                <w:highlight w:val="none"/>
              </w:rPr>
              <w:t>生态</w:t>
            </w:r>
            <w:r>
              <w:rPr>
                <w:rFonts w:hint="eastAsia" w:ascii="Times New Roman" w:hAnsi="Times New Roman" w:eastAsia="仿宋_GB2312"/>
                <w:color w:val="auto"/>
                <w:kern w:val="0"/>
                <w:sz w:val="24"/>
                <w:highlight w:val="none"/>
                <w:lang w:val="en-US" w:eastAsia="zh-CN"/>
              </w:rPr>
              <w:t>环境海丰分</w:t>
            </w:r>
            <w:r>
              <w:rPr>
                <w:rFonts w:ascii="Times New Roman" w:hAnsi="Times New Roman" w:eastAsia="仿宋_GB2312"/>
                <w:color w:val="auto"/>
                <w:kern w:val="0"/>
                <w:sz w:val="24"/>
                <w:highlight w:val="none"/>
              </w:rPr>
              <w:t>局、水务局、农业局、市监局、人社局、民政局、</w:t>
            </w:r>
            <w:r>
              <w:rPr>
                <w:rFonts w:hint="eastAsia" w:ascii="Times New Roman" w:hAnsi="Times New Roman" w:eastAsia="仿宋_GB2312"/>
                <w:color w:val="auto"/>
                <w:kern w:val="0"/>
                <w:sz w:val="24"/>
                <w:highlight w:val="none"/>
                <w:lang w:val="en-US" w:eastAsia="zh-CN"/>
              </w:rPr>
              <w:t>科工</w:t>
            </w:r>
            <w:r>
              <w:rPr>
                <w:rFonts w:ascii="Times New Roman" w:hAnsi="Times New Roman" w:eastAsia="仿宋_GB2312"/>
                <w:color w:val="auto"/>
                <w:kern w:val="0"/>
                <w:sz w:val="24"/>
                <w:highlight w:val="none"/>
              </w:rPr>
              <w:t>局、医保局、文广旅体局、公安局、卫健局、金融局、政数局、邮政</w:t>
            </w:r>
            <w:r>
              <w:rPr>
                <w:rFonts w:hint="eastAsia" w:ascii="Times New Roman" w:hAnsi="Times New Roman" w:eastAsia="仿宋_GB2312"/>
                <w:color w:val="auto"/>
                <w:kern w:val="0"/>
                <w:sz w:val="24"/>
                <w:highlight w:val="none"/>
                <w:lang w:val="en-US" w:eastAsia="zh-CN"/>
              </w:rPr>
              <w:t>办公室</w:t>
            </w:r>
            <w:r>
              <w:rPr>
                <w:rFonts w:ascii="Times New Roman" w:hAnsi="Times New Roman" w:eastAsia="仿宋_GB2312"/>
                <w:color w:val="auto"/>
                <w:kern w:val="0"/>
                <w:sz w:val="24"/>
                <w:highlight w:val="none"/>
              </w:rPr>
              <w:t>，</w:t>
            </w:r>
          </w:p>
        </w:tc>
      </w:tr>
      <w:tr w14:paraId="559F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7" w:type="dxa"/>
            <w:noWrap w:val="0"/>
            <w:vAlign w:val="center"/>
          </w:tcPr>
          <w:p w14:paraId="4C0984CF">
            <w:pPr>
              <w:keepNext w:val="0"/>
              <w:keepLines w:val="0"/>
              <w:widowControl/>
              <w:suppressLineNumbers w:val="0"/>
              <w:jc w:val="center"/>
              <w:textAlignment w:val="auto"/>
              <w:rPr>
                <w:rFonts w:hint="default" w:ascii="Times New Roman" w:hAnsi="Times New Roman" w:eastAsia="仿宋_GB2312" w:cs="Times New Roman"/>
                <w:color w:val="auto"/>
                <w:kern w:val="0"/>
                <w:sz w:val="24"/>
                <w:highlight w:val="none"/>
                <w:lang w:val="en-US"/>
              </w:rPr>
            </w:pPr>
            <w:r>
              <w:rPr>
                <w:rFonts w:hint="default" w:ascii="Times New Roman" w:hAnsi="Times New Roman" w:eastAsia="仿宋_GB2312" w:cs="Times New Roman"/>
                <w:i w:val="0"/>
                <w:color w:val="auto"/>
                <w:kern w:val="0"/>
                <w:sz w:val="24"/>
                <w:szCs w:val="24"/>
                <w:highlight w:val="none"/>
                <w:u w:val="none"/>
                <w:lang w:val="en-US" w:eastAsia="zh-CN" w:bidi="ar"/>
              </w:rPr>
              <w:t>1</w:t>
            </w:r>
            <w:r>
              <w:rPr>
                <w:rFonts w:hint="eastAsia" w:ascii="Times New Roman" w:hAnsi="Times New Roman" w:eastAsia="仿宋_GB2312" w:cs="Times New Roman"/>
                <w:i w:val="0"/>
                <w:color w:val="auto"/>
                <w:kern w:val="0"/>
                <w:sz w:val="24"/>
                <w:szCs w:val="24"/>
                <w:highlight w:val="none"/>
                <w:u w:val="none"/>
                <w:lang w:val="en-US" w:eastAsia="zh-CN" w:bidi="ar"/>
              </w:rPr>
              <w:t>10</w:t>
            </w:r>
          </w:p>
        </w:tc>
        <w:tc>
          <w:tcPr>
            <w:tcW w:w="1559" w:type="dxa"/>
            <w:vMerge w:val="continue"/>
            <w:noWrap w:val="0"/>
            <w:vAlign w:val="center"/>
          </w:tcPr>
          <w:p w14:paraId="7646DC66">
            <w:pPr>
              <w:widowControl/>
              <w:jc w:val="left"/>
              <w:rPr>
                <w:rFonts w:ascii="Times New Roman" w:hAnsi="Times New Roman" w:eastAsia="仿宋_GB2312"/>
                <w:color w:val="auto"/>
                <w:kern w:val="0"/>
                <w:sz w:val="24"/>
                <w:highlight w:val="none"/>
              </w:rPr>
            </w:pPr>
          </w:p>
        </w:tc>
        <w:tc>
          <w:tcPr>
            <w:tcW w:w="6095" w:type="dxa"/>
            <w:noWrap w:val="0"/>
            <w:vAlign w:val="center"/>
          </w:tcPr>
          <w:p w14:paraId="5BFFE826">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强化信用承诺履行跟踪监督,加强守信激励和失信惩戒。</w:t>
            </w:r>
          </w:p>
        </w:tc>
        <w:tc>
          <w:tcPr>
            <w:tcW w:w="1559" w:type="dxa"/>
            <w:noWrap w:val="0"/>
            <w:vAlign w:val="center"/>
          </w:tcPr>
          <w:p w14:paraId="39DB10EB">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发改局</w:t>
            </w:r>
          </w:p>
        </w:tc>
        <w:tc>
          <w:tcPr>
            <w:tcW w:w="3435" w:type="dxa"/>
            <w:noWrap w:val="0"/>
            <w:vAlign w:val="center"/>
          </w:tcPr>
          <w:p w14:paraId="0747546B">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税务局、司法局、科技局、住建局、消防</w:t>
            </w:r>
            <w:r>
              <w:rPr>
                <w:rFonts w:hint="eastAsia" w:ascii="Times New Roman" w:hAnsi="Times New Roman" w:eastAsia="仿宋_GB2312"/>
                <w:color w:val="auto"/>
                <w:kern w:val="0"/>
                <w:sz w:val="24"/>
                <w:highlight w:val="none"/>
                <w:lang w:val="en-US" w:eastAsia="zh-CN"/>
              </w:rPr>
              <w:t>大</w:t>
            </w:r>
            <w:r>
              <w:rPr>
                <w:rFonts w:ascii="Times New Roman" w:hAnsi="Times New Roman" w:eastAsia="仿宋_GB2312"/>
                <w:color w:val="auto"/>
                <w:kern w:val="0"/>
                <w:sz w:val="24"/>
                <w:highlight w:val="none"/>
              </w:rPr>
              <w:t>队、</w:t>
            </w:r>
            <w:r>
              <w:rPr>
                <w:rFonts w:hint="eastAsia" w:ascii="Times New Roman" w:hAnsi="Times New Roman" w:eastAsia="仿宋_GB2312"/>
                <w:color w:val="auto"/>
                <w:kern w:val="0"/>
                <w:sz w:val="24"/>
                <w:highlight w:val="none"/>
                <w:lang w:eastAsia="zh-CN"/>
              </w:rPr>
              <w:t>交通运输局</w:t>
            </w:r>
            <w:r>
              <w:rPr>
                <w:rFonts w:ascii="Times New Roman" w:hAnsi="Times New Roman" w:eastAsia="仿宋_GB2312"/>
                <w:color w:val="auto"/>
                <w:kern w:val="0"/>
                <w:sz w:val="24"/>
                <w:highlight w:val="none"/>
              </w:rPr>
              <w:t>、</w:t>
            </w:r>
            <w:r>
              <w:rPr>
                <w:rFonts w:hint="eastAsia" w:ascii="Times New Roman" w:hAnsi="Times New Roman" w:eastAsia="仿宋_GB2312"/>
                <w:color w:val="auto"/>
                <w:kern w:val="0"/>
                <w:sz w:val="24"/>
                <w:highlight w:val="none"/>
                <w:lang w:val="en-US" w:eastAsia="zh-CN"/>
              </w:rPr>
              <w:t>市</w:t>
            </w:r>
            <w:r>
              <w:rPr>
                <w:rFonts w:ascii="Times New Roman" w:hAnsi="Times New Roman" w:eastAsia="仿宋_GB2312"/>
                <w:color w:val="auto"/>
                <w:kern w:val="0"/>
                <w:sz w:val="24"/>
                <w:highlight w:val="none"/>
              </w:rPr>
              <w:t>生态</w:t>
            </w:r>
            <w:r>
              <w:rPr>
                <w:rFonts w:hint="eastAsia" w:ascii="Times New Roman" w:hAnsi="Times New Roman" w:eastAsia="仿宋_GB2312"/>
                <w:color w:val="auto"/>
                <w:kern w:val="0"/>
                <w:sz w:val="24"/>
                <w:highlight w:val="none"/>
                <w:lang w:val="en-US" w:eastAsia="zh-CN"/>
              </w:rPr>
              <w:t>环境海丰分</w:t>
            </w:r>
            <w:r>
              <w:rPr>
                <w:rFonts w:ascii="Times New Roman" w:hAnsi="Times New Roman" w:eastAsia="仿宋_GB2312"/>
                <w:color w:val="auto"/>
                <w:kern w:val="0"/>
                <w:sz w:val="24"/>
                <w:highlight w:val="none"/>
              </w:rPr>
              <w:t>局、水务局、农业局、市监局、人社局、民政局、</w:t>
            </w:r>
            <w:r>
              <w:rPr>
                <w:rFonts w:hint="eastAsia" w:ascii="Times New Roman" w:hAnsi="Times New Roman" w:eastAsia="仿宋_GB2312"/>
                <w:color w:val="auto"/>
                <w:kern w:val="0"/>
                <w:sz w:val="24"/>
                <w:highlight w:val="none"/>
                <w:lang w:val="en-US" w:eastAsia="zh-CN"/>
              </w:rPr>
              <w:t>科工</w:t>
            </w:r>
            <w:r>
              <w:rPr>
                <w:rFonts w:ascii="Times New Roman" w:hAnsi="Times New Roman" w:eastAsia="仿宋_GB2312"/>
                <w:color w:val="auto"/>
                <w:kern w:val="0"/>
                <w:sz w:val="24"/>
                <w:highlight w:val="none"/>
              </w:rPr>
              <w:t>局、医保局、文广旅体局、公安局、卫健局、金融局、政数局、邮政</w:t>
            </w:r>
            <w:r>
              <w:rPr>
                <w:rFonts w:hint="eastAsia" w:ascii="Times New Roman" w:hAnsi="Times New Roman" w:eastAsia="仿宋_GB2312"/>
                <w:color w:val="auto"/>
                <w:kern w:val="0"/>
                <w:sz w:val="24"/>
                <w:highlight w:val="none"/>
                <w:lang w:val="en-US" w:eastAsia="zh-CN"/>
              </w:rPr>
              <w:t>办公室</w:t>
            </w:r>
          </w:p>
        </w:tc>
      </w:tr>
      <w:tr w14:paraId="1BF3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7" w:type="dxa"/>
            <w:noWrap w:val="0"/>
            <w:vAlign w:val="center"/>
          </w:tcPr>
          <w:p w14:paraId="14B2BD3A">
            <w:pPr>
              <w:keepNext w:val="0"/>
              <w:keepLines w:val="0"/>
              <w:widowControl/>
              <w:suppressLineNumbers w:val="0"/>
              <w:jc w:val="center"/>
              <w:textAlignment w:val="auto"/>
              <w:rPr>
                <w:rFonts w:hint="default" w:ascii="Times New Roman" w:hAnsi="Times New Roman" w:eastAsia="仿宋_GB2312" w:cs="Times New Roman"/>
                <w:color w:val="auto"/>
                <w:kern w:val="0"/>
                <w:sz w:val="24"/>
                <w:highlight w:val="none"/>
                <w:lang w:val="en-US"/>
              </w:rPr>
            </w:pPr>
            <w:r>
              <w:rPr>
                <w:rFonts w:hint="default" w:ascii="Times New Roman" w:hAnsi="Times New Roman" w:eastAsia="仿宋_GB2312" w:cs="Times New Roman"/>
                <w:i w:val="0"/>
                <w:color w:val="auto"/>
                <w:kern w:val="0"/>
                <w:sz w:val="24"/>
                <w:szCs w:val="24"/>
                <w:highlight w:val="none"/>
                <w:u w:val="none"/>
                <w:lang w:val="en-US" w:eastAsia="zh-CN" w:bidi="ar"/>
              </w:rPr>
              <w:t>1</w:t>
            </w:r>
            <w:r>
              <w:rPr>
                <w:rFonts w:hint="eastAsia" w:ascii="Times New Roman" w:hAnsi="Times New Roman" w:eastAsia="仿宋_GB2312" w:cs="Times New Roman"/>
                <w:i w:val="0"/>
                <w:color w:val="auto"/>
                <w:kern w:val="0"/>
                <w:sz w:val="24"/>
                <w:szCs w:val="24"/>
                <w:highlight w:val="none"/>
                <w:u w:val="none"/>
                <w:lang w:val="en-US" w:eastAsia="zh-CN" w:bidi="ar"/>
              </w:rPr>
              <w:t>11</w:t>
            </w:r>
          </w:p>
        </w:tc>
        <w:tc>
          <w:tcPr>
            <w:tcW w:w="1559" w:type="dxa"/>
            <w:vMerge w:val="continue"/>
            <w:noWrap w:val="0"/>
            <w:vAlign w:val="center"/>
          </w:tcPr>
          <w:p w14:paraId="0D5AA4A9">
            <w:pPr>
              <w:widowControl/>
              <w:jc w:val="left"/>
              <w:rPr>
                <w:rFonts w:ascii="Times New Roman" w:hAnsi="Times New Roman" w:eastAsia="仿宋_GB2312"/>
                <w:color w:val="auto"/>
                <w:kern w:val="0"/>
                <w:sz w:val="24"/>
                <w:highlight w:val="none"/>
              </w:rPr>
            </w:pPr>
          </w:p>
        </w:tc>
        <w:tc>
          <w:tcPr>
            <w:tcW w:w="6095" w:type="dxa"/>
            <w:noWrap w:val="0"/>
            <w:vAlign w:val="center"/>
          </w:tcPr>
          <w:p w14:paraId="2443A7D8">
            <w:pPr>
              <w:widowControl/>
              <w:jc w:val="left"/>
              <w:rPr>
                <w:rFonts w:ascii="Times New Roman" w:hAnsi="Times New Roman" w:eastAsia="仿宋_GB2312"/>
                <w:color w:val="auto"/>
                <w:kern w:val="0"/>
                <w:sz w:val="24"/>
                <w:highlight w:val="none"/>
              </w:rPr>
            </w:pPr>
            <w:r>
              <w:rPr>
                <w:rFonts w:hint="default" w:ascii="Times New Roman" w:hAnsi="Times New Roman" w:eastAsia="仿宋_GB2312"/>
                <w:color w:val="auto"/>
                <w:kern w:val="0"/>
                <w:sz w:val="24"/>
                <w:highlight w:val="none"/>
                <w:lang w:val="en-US" w:eastAsia="zh-CN"/>
              </w:rPr>
              <w:t>配合市</w:t>
            </w:r>
            <w:r>
              <w:rPr>
                <w:rFonts w:ascii="Times New Roman" w:hAnsi="Times New Roman" w:eastAsia="仿宋_GB2312"/>
                <w:color w:val="auto"/>
                <w:kern w:val="0"/>
                <w:sz w:val="24"/>
                <w:highlight w:val="none"/>
              </w:rPr>
              <w:t>建立公务员诚信档案，推进重点领域政务诚信建设，完善政府采购、政府和社会资本合作、招标投标、招商引资等领域政务诚信管理运行机制，持续开展政府机构失信问题专项治理工作。</w:t>
            </w:r>
          </w:p>
        </w:tc>
        <w:tc>
          <w:tcPr>
            <w:tcW w:w="1559" w:type="dxa"/>
            <w:noWrap/>
            <w:vAlign w:val="center"/>
          </w:tcPr>
          <w:p w14:paraId="56B4E2C9">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发改局、</w:t>
            </w: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委组织部</w:t>
            </w:r>
          </w:p>
        </w:tc>
        <w:tc>
          <w:tcPr>
            <w:tcW w:w="3435" w:type="dxa"/>
            <w:noWrap w:val="0"/>
            <w:vAlign w:val="center"/>
          </w:tcPr>
          <w:p w14:paraId="3BC22F99">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税务局、司法局、住建局、消防</w:t>
            </w:r>
            <w:r>
              <w:rPr>
                <w:rFonts w:hint="eastAsia" w:ascii="Times New Roman" w:hAnsi="Times New Roman" w:eastAsia="仿宋_GB2312"/>
                <w:color w:val="auto"/>
                <w:kern w:val="0"/>
                <w:sz w:val="24"/>
                <w:highlight w:val="none"/>
                <w:lang w:val="en-US" w:eastAsia="zh-CN"/>
              </w:rPr>
              <w:t>大</w:t>
            </w:r>
            <w:r>
              <w:rPr>
                <w:rFonts w:ascii="Times New Roman" w:hAnsi="Times New Roman" w:eastAsia="仿宋_GB2312"/>
                <w:color w:val="auto"/>
                <w:kern w:val="0"/>
                <w:sz w:val="24"/>
                <w:highlight w:val="none"/>
              </w:rPr>
              <w:t>队、</w:t>
            </w:r>
            <w:r>
              <w:rPr>
                <w:rFonts w:hint="eastAsia" w:ascii="Times New Roman" w:hAnsi="Times New Roman" w:eastAsia="仿宋_GB2312"/>
                <w:color w:val="auto"/>
                <w:kern w:val="0"/>
                <w:sz w:val="24"/>
                <w:highlight w:val="none"/>
                <w:lang w:eastAsia="zh-CN"/>
              </w:rPr>
              <w:t>交通运输局</w:t>
            </w:r>
            <w:r>
              <w:rPr>
                <w:rFonts w:ascii="Times New Roman" w:hAnsi="Times New Roman" w:eastAsia="仿宋_GB2312"/>
                <w:color w:val="auto"/>
                <w:kern w:val="0"/>
                <w:sz w:val="24"/>
                <w:highlight w:val="none"/>
              </w:rPr>
              <w:t>、</w:t>
            </w:r>
            <w:r>
              <w:rPr>
                <w:rFonts w:hint="eastAsia" w:ascii="Times New Roman" w:hAnsi="Times New Roman" w:eastAsia="仿宋_GB2312"/>
                <w:color w:val="auto"/>
                <w:kern w:val="0"/>
                <w:sz w:val="24"/>
                <w:highlight w:val="none"/>
                <w:lang w:val="en-US" w:eastAsia="zh-CN"/>
              </w:rPr>
              <w:t>市</w:t>
            </w:r>
            <w:r>
              <w:rPr>
                <w:rFonts w:ascii="Times New Roman" w:hAnsi="Times New Roman" w:eastAsia="仿宋_GB2312"/>
                <w:color w:val="auto"/>
                <w:kern w:val="0"/>
                <w:sz w:val="24"/>
                <w:highlight w:val="none"/>
              </w:rPr>
              <w:t>生态</w:t>
            </w:r>
            <w:r>
              <w:rPr>
                <w:rFonts w:hint="eastAsia" w:ascii="Times New Roman" w:hAnsi="Times New Roman" w:eastAsia="仿宋_GB2312"/>
                <w:color w:val="auto"/>
                <w:kern w:val="0"/>
                <w:sz w:val="24"/>
                <w:highlight w:val="none"/>
                <w:lang w:val="en-US" w:eastAsia="zh-CN"/>
              </w:rPr>
              <w:t>环境海丰分</w:t>
            </w:r>
            <w:r>
              <w:rPr>
                <w:rFonts w:ascii="Times New Roman" w:hAnsi="Times New Roman" w:eastAsia="仿宋_GB2312"/>
                <w:color w:val="auto"/>
                <w:kern w:val="0"/>
                <w:sz w:val="24"/>
                <w:highlight w:val="none"/>
              </w:rPr>
              <w:t>局、水务局、农业局、市监局、人社局、民政局、</w:t>
            </w:r>
            <w:r>
              <w:rPr>
                <w:rFonts w:hint="eastAsia" w:ascii="Times New Roman" w:hAnsi="Times New Roman" w:eastAsia="仿宋_GB2312"/>
                <w:color w:val="auto"/>
                <w:kern w:val="0"/>
                <w:sz w:val="24"/>
                <w:highlight w:val="none"/>
                <w:lang w:val="en-US" w:eastAsia="zh-CN"/>
              </w:rPr>
              <w:t>科工</w:t>
            </w:r>
            <w:r>
              <w:rPr>
                <w:rFonts w:ascii="Times New Roman" w:hAnsi="Times New Roman" w:eastAsia="仿宋_GB2312"/>
                <w:color w:val="auto"/>
                <w:kern w:val="0"/>
                <w:sz w:val="24"/>
                <w:highlight w:val="none"/>
              </w:rPr>
              <w:t>局、医保局、文广旅体局、公安局、卫健局、金融局、政数局、邮政</w:t>
            </w:r>
            <w:r>
              <w:rPr>
                <w:rFonts w:hint="eastAsia" w:ascii="Times New Roman" w:hAnsi="Times New Roman" w:eastAsia="仿宋_GB2312"/>
                <w:color w:val="auto"/>
                <w:kern w:val="0"/>
                <w:sz w:val="24"/>
                <w:highlight w:val="none"/>
                <w:lang w:val="en-US" w:eastAsia="zh-CN"/>
              </w:rPr>
              <w:t>办公室</w:t>
            </w:r>
          </w:p>
        </w:tc>
      </w:tr>
      <w:tr w14:paraId="043D0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7" w:type="dxa"/>
            <w:noWrap w:val="0"/>
            <w:vAlign w:val="center"/>
          </w:tcPr>
          <w:p w14:paraId="05AFC0E1">
            <w:pPr>
              <w:keepNext w:val="0"/>
              <w:keepLines w:val="0"/>
              <w:widowControl/>
              <w:suppressLineNumbers w:val="0"/>
              <w:jc w:val="center"/>
              <w:textAlignment w:val="auto"/>
              <w:rPr>
                <w:rFonts w:hint="default" w:ascii="Times New Roman" w:hAnsi="Times New Roman" w:eastAsia="仿宋_GB2312" w:cs="Times New Roman"/>
                <w:color w:val="auto"/>
                <w:kern w:val="0"/>
                <w:sz w:val="24"/>
                <w:highlight w:val="none"/>
                <w:lang w:val="en-US"/>
              </w:rPr>
            </w:pPr>
            <w:r>
              <w:rPr>
                <w:rFonts w:hint="default" w:ascii="Times New Roman" w:hAnsi="Times New Roman" w:eastAsia="仿宋_GB2312" w:cs="Times New Roman"/>
                <w:i w:val="0"/>
                <w:color w:val="auto"/>
                <w:kern w:val="0"/>
                <w:sz w:val="24"/>
                <w:szCs w:val="24"/>
                <w:highlight w:val="none"/>
                <w:u w:val="none"/>
                <w:lang w:val="en-US" w:eastAsia="zh-CN" w:bidi="ar"/>
              </w:rPr>
              <w:t>1</w:t>
            </w:r>
            <w:r>
              <w:rPr>
                <w:rFonts w:hint="eastAsia" w:ascii="Times New Roman" w:hAnsi="Times New Roman" w:eastAsia="仿宋_GB2312" w:cs="Times New Roman"/>
                <w:i w:val="0"/>
                <w:color w:val="auto"/>
                <w:kern w:val="0"/>
                <w:sz w:val="24"/>
                <w:szCs w:val="24"/>
                <w:highlight w:val="none"/>
                <w:u w:val="none"/>
                <w:lang w:val="en-US" w:eastAsia="zh-CN" w:bidi="ar"/>
              </w:rPr>
              <w:t>12</w:t>
            </w:r>
          </w:p>
        </w:tc>
        <w:tc>
          <w:tcPr>
            <w:tcW w:w="1559" w:type="dxa"/>
            <w:vMerge w:val="continue"/>
            <w:noWrap w:val="0"/>
            <w:vAlign w:val="center"/>
          </w:tcPr>
          <w:p w14:paraId="4113388C">
            <w:pPr>
              <w:widowControl/>
              <w:jc w:val="left"/>
              <w:rPr>
                <w:rFonts w:ascii="Times New Roman" w:hAnsi="Times New Roman" w:eastAsia="仿宋_GB2312"/>
                <w:color w:val="auto"/>
                <w:kern w:val="0"/>
                <w:sz w:val="24"/>
                <w:highlight w:val="none"/>
              </w:rPr>
            </w:pPr>
          </w:p>
        </w:tc>
        <w:tc>
          <w:tcPr>
            <w:tcW w:w="6095" w:type="dxa"/>
            <w:noWrap w:val="0"/>
            <w:vAlign w:val="center"/>
          </w:tcPr>
          <w:p w14:paraId="4AB057B7">
            <w:pPr>
              <w:widowControl/>
              <w:jc w:val="left"/>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rPr>
              <w:t>健全中小微企业信用评价体系，至少推动</w:t>
            </w:r>
            <w:r>
              <w:rPr>
                <w:rFonts w:hint="default" w:ascii="Times New Roman" w:hAnsi="Times New Roman" w:eastAsia="仿宋_GB2312"/>
                <w:color w:val="auto"/>
                <w:kern w:val="0"/>
                <w:sz w:val="24"/>
                <w:highlight w:val="none"/>
                <w:lang w:val="en-US" w:eastAsia="zh-CN"/>
              </w:rPr>
              <w:t>1</w:t>
            </w:r>
            <w:r>
              <w:rPr>
                <w:rFonts w:hint="eastAsia" w:ascii="Times New Roman" w:hAnsi="Times New Roman" w:eastAsia="仿宋_GB2312"/>
                <w:color w:val="auto"/>
                <w:kern w:val="0"/>
                <w:sz w:val="24"/>
                <w:highlight w:val="none"/>
              </w:rPr>
              <w:t>个“信易+”场景上线应用，</w:t>
            </w:r>
            <w:r>
              <w:rPr>
                <w:rFonts w:hint="default" w:ascii="Times New Roman" w:hAnsi="Times New Roman" w:eastAsia="仿宋_GB2312"/>
                <w:color w:val="auto"/>
                <w:kern w:val="0"/>
                <w:sz w:val="24"/>
                <w:highlight w:val="none"/>
                <w:lang w:val="en-US" w:eastAsia="zh-CN"/>
              </w:rPr>
              <w:t>配合市推动</w:t>
            </w:r>
            <w:r>
              <w:rPr>
                <w:rFonts w:hint="eastAsia" w:ascii="Times New Roman" w:hAnsi="Times New Roman" w:eastAsia="仿宋_GB2312"/>
                <w:color w:val="auto"/>
                <w:kern w:val="0"/>
                <w:sz w:val="24"/>
                <w:highlight w:val="none"/>
              </w:rPr>
              <w:t>“信易+信贷”“信易+市场监管”等场景</w:t>
            </w:r>
            <w:r>
              <w:rPr>
                <w:rFonts w:hint="default" w:ascii="Times New Roman" w:hAnsi="Times New Roman" w:eastAsia="仿宋_GB2312"/>
                <w:color w:val="auto"/>
                <w:kern w:val="0"/>
                <w:sz w:val="24"/>
                <w:highlight w:val="none"/>
                <w:lang w:val="en-US" w:eastAsia="zh-CN"/>
              </w:rPr>
              <w:t>工作</w:t>
            </w:r>
            <w:r>
              <w:rPr>
                <w:rFonts w:hint="eastAsia" w:ascii="Times New Roman" w:hAnsi="Times New Roman" w:eastAsia="仿宋_GB2312"/>
                <w:color w:val="auto"/>
                <w:kern w:val="0"/>
                <w:sz w:val="24"/>
                <w:highlight w:val="none"/>
              </w:rPr>
              <w:t>，根据企业信用风险分类结果，为信用优、记录好的企业获得信贷增信护航，对信用好、风险低的企业试行免检、少检。</w:t>
            </w:r>
          </w:p>
        </w:tc>
        <w:tc>
          <w:tcPr>
            <w:tcW w:w="1559" w:type="dxa"/>
            <w:noWrap w:val="0"/>
            <w:vAlign w:val="center"/>
          </w:tcPr>
          <w:p w14:paraId="263813B0">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发改局</w:t>
            </w:r>
          </w:p>
        </w:tc>
        <w:tc>
          <w:tcPr>
            <w:tcW w:w="3435" w:type="dxa"/>
            <w:noWrap w:val="0"/>
            <w:vAlign w:val="center"/>
          </w:tcPr>
          <w:p w14:paraId="1F4B9643">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税务局、司法局、住建局、消防</w:t>
            </w:r>
            <w:r>
              <w:rPr>
                <w:rFonts w:hint="eastAsia" w:ascii="Times New Roman" w:hAnsi="Times New Roman" w:eastAsia="仿宋_GB2312"/>
                <w:color w:val="auto"/>
                <w:kern w:val="0"/>
                <w:sz w:val="24"/>
                <w:highlight w:val="none"/>
                <w:lang w:val="en-US" w:eastAsia="zh-CN"/>
              </w:rPr>
              <w:t>大</w:t>
            </w:r>
            <w:r>
              <w:rPr>
                <w:rFonts w:ascii="Times New Roman" w:hAnsi="Times New Roman" w:eastAsia="仿宋_GB2312"/>
                <w:color w:val="auto"/>
                <w:kern w:val="0"/>
                <w:sz w:val="24"/>
                <w:highlight w:val="none"/>
              </w:rPr>
              <w:t>队、</w:t>
            </w:r>
            <w:r>
              <w:rPr>
                <w:rFonts w:hint="eastAsia" w:ascii="Times New Roman" w:hAnsi="Times New Roman" w:eastAsia="仿宋_GB2312"/>
                <w:color w:val="auto"/>
                <w:kern w:val="0"/>
                <w:sz w:val="24"/>
                <w:highlight w:val="none"/>
                <w:lang w:eastAsia="zh-CN"/>
              </w:rPr>
              <w:t>交通运输局</w:t>
            </w:r>
            <w:r>
              <w:rPr>
                <w:rFonts w:ascii="Times New Roman" w:hAnsi="Times New Roman" w:eastAsia="仿宋_GB2312"/>
                <w:color w:val="auto"/>
                <w:kern w:val="0"/>
                <w:sz w:val="24"/>
                <w:highlight w:val="none"/>
              </w:rPr>
              <w:t>、</w:t>
            </w:r>
            <w:r>
              <w:rPr>
                <w:rFonts w:hint="eastAsia" w:ascii="Times New Roman" w:hAnsi="Times New Roman" w:eastAsia="仿宋_GB2312"/>
                <w:color w:val="auto"/>
                <w:kern w:val="0"/>
                <w:sz w:val="24"/>
                <w:highlight w:val="none"/>
                <w:lang w:val="en-US" w:eastAsia="zh-CN"/>
              </w:rPr>
              <w:t>市</w:t>
            </w:r>
            <w:r>
              <w:rPr>
                <w:rFonts w:ascii="Times New Roman" w:hAnsi="Times New Roman" w:eastAsia="仿宋_GB2312"/>
                <w:color w:val="auto"/>
                <w:kern w:val="0"/>
                <w:sz w:val="24"/>
                <w:highlight w:val="none"/>
              </w:rPr>
              <w:t>生态</w:t>
            </w:r>
            <w:r>
              <w:rPr>
                <w:rFonts w:hint="eastAsia" w:ascii="Times New Roman" w:hAnsi="Times New Roman" w:eastAsia="仿宋_GB2312"/>
                <w:color w:val="auto"/>
                <w:kern w:val="0"/>
                <w:sz w:val="24"/>
                <w:highlight w:val="none"/>
                <w:lang w:val="en-US" w:eastAsia="zh-CN"/>
              </w:rPr>
              <w:t>环境海丰分</w:t>
            </w:r>
            <w:r>
              <w:rPr>
                <w:rFonts w:ascii="Times New Roman" w:hAnsi="Times New Roman" w:eastAsia="仿宋_GB2312"/>
                <w:color w:val="auto"/>
                <w:kern w:val="0"/>
                <w:sz w:val="24"/>
                <w:highlight w:val="none"/>
              </w:rPr>
              <w:t>局、水务局、农业局、市监局、人社局、民政局、</w:t>
            </w:r>
            <w:r>
              <w:rPr>
                <w:rFonts w:hint="eastAsia" w:ascii="Times New Roman" w:hAnsi="Times New Roman" w:eastAsia="仿宋_GB2312"/>
                <w:color w:val="auto"/>
                <w:kern w:val="0"/>
                <w:sz w:val="24"/>
                <w:highlight w:val="none"/>
                <w:lang w:val="en-US" w:eastAsia="zh-CN"/>
              </w:rPr>
              <w:t>科工</w:t>
            </w:r>
            <w:r>
              <w:rPr>
                <w:rFonts w:ascii="Times New Roman" w:hAnsi="Times New Roman" w:eastAsia="仿宋_GB2312"/>
                <w:color w:val="auto"/>
                <w:kern w:val="0"/>
                <w:sz w:val="24"/>
                <w:highlight w:val="none"/>
              </w:rPr>
              <w:t>局、医保局、文广旅体局、公安局、卫健局、金融局、政数局、邮政</w:t>
            </w:r>
            <w:r>
              <w:rPr>
                <w:rFonts w:hint="eastAsia" w:ascii="Times New Roman" w:hAnsi="Times New Roman" w:eastAsia="仿宋_GB2312"/>
                <w:color w:val="auto"/>
                <w:kern w:val="0"/>
                <w:sz w:val="24"/>
                <w:highlight w:val="none"/>
                <w:lang w:val="en-US" w:eastAsia="zh-CN"/>
              </w:rPr>
              <w:t>办公室</w:t>
            </w:r>
          </w:p>
        </w:tc>
      </w:tr>
      <w:tr w14:paraId="66DE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7" w:type="dxa"/>
            <w:noWrap w:val="0"/>
            <w:vAlign w:val="center"/>
          </w:tcPr>
          <w:p w14:paraId="37E0C7F8">
            <w:pPr>
              <w:keepNext w:val="0"/>
              <w:keepLines w:val="0"/>
              <w:widowControl/>
              <w:suppressLineNumbers w:val="0"/>
              <w:jc w:val="center"/>
              <w:textAlignment w:val="auto"/>
              <w:rPr>
                <w:rFonts w:hint="default" w:ascii="Times New Roman" w:hAnsi="Times New Roman" w:eastAsia="仿宋_GB2312" w:cs="Times New Roman"/>
                <w:color w:val="auto"/>
                <w:kern w:val="0"/>
                <w:sz w:val="24"/>
                <w:highlight w:val="none"/>
                <w:lang w:val="en-US"/>
              </w:rPr>
            </w:pPr>
            <w:r>
              <w:rPr>
                <w:rFonts w:hint="default" w:ascii="Times New Roman" w:hAnsi="Times New Roman" w:eastAsia="仿宋_GB2312" w:cs="Times New Roman"/>
                <w:i w:val="0"/>
                <w:color w:val="auto"/>
                <w:kern w:val="0"/>
                <w:sz w:val="24"/>
                <w:szCs w:val="24"/>
                <w:highlight w:val="none"/>
                <w:u w:val="none"/>
                <w:lang w:val="en-US" w:eastAsia="zh-CN" w:bidi="ar"/>
              </w:rPr>
              <w:t>1</w:t>
            </w:r>
            <w:r>
              <w:rPr>
                <w:rFonts w:hint="eastAsia" w:ascii="Times New Roman" w:hAnsi="Times New Roman" w:eastAsia="仿宋_GB2312" w:cs="Times New Roman"/>
                <w:i w:val="0"/>
                <w:color w:val="auto"/>
                <w:kern w:val="0"/>
                <w:sz w:val="24"/>
                <w:szCs w:val="24"/>
                <w:highlight w:val="none"/>
                <w:u w:val="none"/>
                <w:lang w:val="en-US" w:eastAsia="zh-CN" w:bidi="ar"/>
              </w:rPr>
              <w:t>13</w:t>
            </w:r>
          </w:p>
        </w:tc>
        <w:tc>
          <w:tcPr>
            <w:tcW w:w="1559" w:type="dxa"/>
            <w:vMerge w:val="continue"/>
            <w:noWrap w:val="0"/>
            <w:vAlign w:val="center"/>
          </w:tcPr>
          <w:p w14:paraId="7C618120">
            <w:pPr>
              <w:widowControl/>
              <w:jc w:val="left"/>
              <w:rPr>
                <w:rFonts w:ascii="Times New Roman" w:hAnsi="Times New Roman" w:eastAsia="仿宋_GB2312"/>
                <w:color w:val="auto"/>
                <w:kern w:val="0"/>
                <w:sz w:val="24"/>
                <w:highlight w:val="none"/>
              </w:rPr>
            </w:pPr>
          </w:p>
        </w:tc>
        <w:tc>
          <w:tcPr>
            <w:tcW w:w="6095" w:type="dxa"/>
            <w:noWrap w:val="0"/>
            <w:vAlign w:val="center"/>
          </w:tcPr>
          <w:p w14:paraId="390358D7">
            <w:pPr>
              <w:widowControl/>
              <w:jc w:val="left"/>
              <w:rPr>
                <w:rFonts w:ascii="Times New Roman" w:hAnsi="Times New Roman" w:eastAsia="仿宋_GB2312"/>
                <w:color w:val="auto"/>
                <w:kern w:val="0"/>
                <w:sz w:val="24"/>
                <w:highlight w:val="none"/>
              </w:rPr>
            </w:pPr>
            <w:r>
              <w:rPr>
                <w:rFonts w:hint="default" w:ascii="Times New Roman" w:hAnsi="Times New Roman" w:eastAsia="仿宋_GB2312"/>
                <w:color w:val="auto"/>
                <w:kern w:val="0"/>
                <w:sz w:val="24"/>
                <w:highlight w:val="none"/>
                <w:lang w:val="en-US" w:eastAsia="zh-CN"/>
              </w:rPr>
              <w:t>配合市</w:t>
            </w:r>
            <w:r>
              <w:rPr>
                <w:rFonts w:ascii="Times New Roman" w:hAnsi="Times New Roman" w:eastAsia="仿宋_GB2312"/>
                <w:color w:val="auto"/>
                <w:kern w:val="0"/>
                <w:sz w:val="24"/>
                <w:highlight w:val="none"/>
              </w:rPr>
              <w:t>开展“信用+大数据”精准监管综合评价，全面推进信用分级分类监管，推动相关行业主管部门充分应用公共信用评价结果，对市场主体实行差异化管理，</w:t>
            </w:r>
            <w:r>
              <w:rPr>
                <w:rFonts w:hint="default" w:ascii="Times New Roman" w:hAnsi="Times New Roman" w:eastAsia="仿宋_GB2312"/>
                <w:color w:val="auto"/>
                <w:kern w:val="0"/>
                <w:sz w:val="24"/>
                <w:highlight w:val="none"/>
                <w:lang w:val="en-US" w:eastAsia="zh-CN"/>
              </w:rPr>
              <w:t>配合市</w:t>
            </w:r>
            <w:r>
              <w:rPr>
                <w:rFonts w:ascii="Times New Roman" w:hAnsi="Times New Roman" w:eastAsia="仿宋_GB2312"/>
                <w:color w:val="auto"/>
                <w:kern w:val="0"/>
                <w:sz w:val="24"/>
                <w:highlight w:val="none"/>
              </w:rPr>
              <w:t>在不少于28个重点领域深入推进信用监管，构建以信用为基础的新型监管机制。</w:t>
            </w:r>
          </w:p>
        </w:tc>
        <w:tc>
          <w:tcPr>
            <w:tcW w:w="1559" w:type="dxa"/>
            <w:noWrap w:val="0"/>
            <w:vAlign w:val="center"/>
          </w:tcPr>
          <w:p w14:paraId="75CFCFED">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发改局</w:t>
            </w:r>
          </w:p>
        </w:tc>
        <w:tc>
          <w:tcPr>
            <w:tcW w:w="3435" w:type="dxa"/>
            <w:noWrap w:val="0"/>
            <w:vAlign w:val="center"/>
          </w:tcPr>
          <w:p w14:paraId="4C27B65D">
            <w:pPr>
              <w:widowControl/>
              <w:jc w:val="both"/>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市税务局、司法局、住建局、消防</w:t>
            </w:r>
            <w:r>
              <w:rPr>
                <w:rFonts w:hint="eastAsia" w:ascii="Times New Roman" w:hAnsi="Times New Roman" w:eastAsia="仿宋_GB2312"/>
                <w:color w:val="auto"/>
                <w:kern w:val="0"/>
                <w:sz w:val="24"/>
                <w:highlight w:val="none"/>
                <w:lang w:val="en-US" w:eastAsia="zh-CN"/>
              </w:rPr>
              <w:t>大</w:t>
            </w:r>
            <w:r>
              <w:rPr>
                <w:rFonts w:ascii="Times New Roman" w:hAnsi="Times New Roman" w:eastAsia="仿宋_GB2312"/>
                <w:color w:val="auto"/>
                <w:kern w:val="0"/>
                <w:sz w:val="24"/>
                <w:highlight w:val="none"/>
              </w:rPr>
              <w:t>队、</w:t>
            </w:r>
            <w:r>
              <w:rPr>
                <w:rFonts w:hint="eastAsia" w:ascii="Times New Roman" w:hAnsi="Times New Roman" w:eastAsia="仿宋_GB2312"/>
                <w:color w:val="auto"/>
                <w:kern w:val="0"/>
                <w:sz w:val="24"/>
                <w:highlight w:val="none"/>
                <w:lang w:eastAsia="zh-CN"/>
              </w:rPr>
              <w:t>交通运输局</w:t>
            </w:r>
            <w:r>
              <w:rPr>
                <w:rFonts w:ascii="Times New Roman" w:hAnsi="Times New Roman" w:eastAsia="仿宋_GB2312"/>
                <w:color w:val="auto"/>
                <w:kern w:val="0"/>
                <w:sz w:val="24"/>
                <w:highlight w:val="none"/>
              </w:rPr>
              <w:t>、</w:t>
            </w:r>
            <w:r>
              <w:rPr>
                <w:rFonts w:hint="eastAsia" w:ascii="Times New Roman" w:hAnsi="Times New Roman" w:eastAsia="仿宋_GB2312"/>
                <w:color w:val="auto"/>
                <w:kern w:val="0"/>
                <w:sz w:val="24"/>
                <w:highlight w:val="none"/>
                <w:lang w:val="en-US" w:eastAsia="zh-CN"/>
              </w:rPr>
              <w:t>市</w:t>
            </w:r>
            <w:r>
              <w:rPr>
                <w:rFonts w:ascii="Times New Roman" w:hAnsi="Times New Roman" w:eastAsia="仿宋_GB2312"/>
                <w:color w:val="auto"/>
                <w:kern w:val="0"/>
                <w:sz w:val="24"/>
                <w:highlight w:val="none"/>
              </w:rPr>
              <w:t>生态</w:t>
            </w:r>
            <w:r>
              <w:rPr>
                <w:rFonts w:hint="eastAsia" w:ascii="Times New Roman" w:hAnsi="Times New Roman" w:eastAsia="仿宋_GB2312"/>
                <w:color w:val="auto"/>
                <w:kern w:val="0"/>
                <w:sz w:val="24"/>
                <w:highlight w:val="none"/>
                <w:lang w:val="en-US" w:eastAsia="zh-CN"/>
              </w:rPr>
              <w:t>环境海丰分</w:t>
            </w:r>
            <w:r>
              <w:rPr>
                <w:rFonts w:ascii="Times New Roman" w:hAnsi="Times New Roman" w:eastAsia="仿宋_GB2312"/>
                <w:color w:val="auto"/>
                <w:kern w:val="0"/>
                <w:sz w:val="24"/>
                <w:highlight w:val="none"/>
              </w:rPr>
              <w:t>局、水务局、农业局、市监局、人社局、民政局、</w:t>
            </w:r>
            <w:r>
              <w:rPr>
                <w:rFonts w:hint="eastAsia" w:ascii="Times New Roman" w:hAnsi="Times New Roman" w:eastAsia="仿宋_GB2312"/>
                <w:color w:val="auto"/>
                <w:kern w:val="0"/>
                <w:sz w:val="24"/>
                <w:highlight w:val="none"/>
                <w:lang w:val="en-US" w:eastAsia="zh-CN"/>
              </w:rPr>
              <w:t>科工</w:t>
            </w:r>
            <w:r>
              <w:rPr>
                <w:rFonts w:ascii="Times New Roman" w:hAnsi="Times New Roman" w:eastAsia="仿宋_GB2312"/>
                <w:color w:val="auto"/>
                <w:kern w:val="0"/>
                <w:sz w:val="24"/>
                <w:highlight w:val="none"/>
              </w:rPr>
              <w:t>局、医保局、文广旅体局、公安局、卫健局、金融局、政数局、邮政</w:t>
            </w:r>
            <w:r>
              <w:rPr>
                <w:rFonts w:hint="eastAsia" w:ascii="Times New Roman" w:hAnsi="Times New Roman" w:eastAsia="仿宋_GB2312"/>
                <w:color w:val="auto"/>
                <w:kern w:val="0"/>
                <w:sz w:val="24"/>
                <w:highlight w:val="none"/>
                <w:lang w:val="en-US" w:eastAsia="zh-CN"/>
              </w:rPr>
              <w:t>办公室</w:t>
            </w:r>
          </w:p>
        </w:tc>
      </w:tr>
      <w:tr w14:paraId="3259F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7" w:type="dxa"/>
            <w:noWrap w:val="0"/>
            <w:vAlign w:val="center"/>
          </w:tcPr>
          <w:p w14:paraId="528B7E07">
            <w:pPr>
              <w:keepNext w:val="0"/>
              <w:keepLines w:val="0"/>
              <w:widowControl/>
              <w:suppressLineNumbers w:val="0"/>
              <w:jc w:val="center"/>
              <w:textAlignment w:val="auto"/>
              <w:rPr>
                <w:rFonts w:hint="default" w:ascii="Times New Roman" w:hAnsi="Times New Roman" w:eastAsia="仿宋_GB2312" w:cs="Times New Roman"/>
                <w:color w:val="auto"/>
                <w:kern w:val="0"/>
                <w:sz w:val="24"/>
                <w:highlight w:val="none"/>
                <w:lang w:val="en-US"/>
              </w:rPr>
            </w:pPr>
            <w:r>
              <w:rPr>
                <w:rFonts w:hint="default" w:ascii="Times New Roman" w:hAnsi="Times New Roman" w:eastAsia="仿宋_GB2312" w:cs="Times New Roman"/>
                <w:i w:val="0"/>
                <w:color w:val="auto"/>
                <w:kern w:val="0"/>
                <w:sz w:val="24"/>
                <w:szCs w:val="24"/>
                <w:highlight w:val="none"/>
                <w:u w:val="none"/>
                <w:lang w:val="en-US" w:eastAsia="zh-CN" w:bidi="ar"/>
              </w:rPr>
              <w:t>1</w:t>
            </w:r>
            <w:r>
              <w:rPr>
                <w:rFonts w:hint="eastAsia" w:ascii="Times New Roman" w:hAnsi="Times New Roman" w:eastAsia="仿宋_GB2312" w:cs="Times New Roman"/>
                <w:i w:val="0"/>
                <w:color w:val="auto"/>
                <w:kern w:val="0"/>
                <w:sz w:val="24"/>
                <w:szCs w:val="24"/>
                <w:highlight w:val="none"/>
                <w:u w:val="none"/>
                <w:lang w:val="en-US" w:eastAsia="zh-CN" w:bidi="ar"/>
              </w:rPr>
              <w:t>14</w:t>
            </w:r>
          </w:p>
        </w:tc>
        <w:tc>
          <w:tcPr>
            <w:tcW w:w="1559" w:type="dxa"/>
            <w:vMerge w:val="restart"/>
            <w:noWrap w:val="0"/>
            <w:vAlign w:val="center"/>
          </w:tcPr>
          <w:p w14:paraId="2EE17C74">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推进“双随机、一公开”监管</w:t>
            </w:r>
          </w:p>
        </w:tc>
        <w:tc>
          <w:tcPr>
            <w:tcW w:w="6095" w:type="dxa"/>
            <w:noWrap w:val="0"/>
            <w:vAlign w:val="center"/>
          </w:tcPr>
          <w:p w14:paraId="606F475C">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依托广东省“双随机、一公开”综合监管平台，制定年度计划，组织开展跨部门联合抽查工作。</w:t>
            </w:r>
          </w:p>
        </w:tc>
        <w:tc>
          <w:tcPr>
            <w:tcW w:w="1559" w:type="dxa"/>
            <w:noWrap w:val="0"/>
            <w:vAlign w:val="center"/>
          </w:tcPr>
          <w:p w14:paraId="779DB6C5">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市监局</w:t>
            </w:r>
          </w:p>
        </w:tc>
        <w:tc>
          <w:tcPr>
            <w:tcW w:w="3435" w:type="dxa"/>
            <w:noWrap w:val="0"/>
            <w:vAlign w:val="center"/>
          </w:tcPr>
          <w:p w14:paraId="7F3B3444">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“双随机、一公开”监管工作联席会议各成员单位</w:t>
            </w:r>
          </w:p>
        </w:tc>
      </w:tr>
      <w:tr w14:paraId="193F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677" w:type="dxa"/>
            <w:noWrap w:val="0"/>
            <w:vAlign w:val="center"/>
          </w:tcPr>
          <w:p w14:paraId="14727906">
            <w:pPr>
              <w:keepNext w:val="0"/>
              <w:keepLines w:val="0"/>
              <w:widowControl/>
              <w:suppressLineNumbers w:val="0"/>
              <w:jc w:val="center"/>
              <w:textAlignment w:val="auto"/>
              <w:rPr>
                <w:rFonts w:hint="default" w:ascii="Times New Roman" w:hAnsi="Times New Roman" w:eastAsia="仿宋_GB2312" w:cs="Times New Roman"/>
                <w:color w:val="auto"/>
                <w:kern w:val="0"/>
                <w:sz w:val="24"/>
                <w:highlight w:val="none"/>
                <w:lang w:val="en-US"/>
              </w:rPr>
            </w:pPr>
            <w:r>
              <w:rPr>
                <w:rFonts w:hint="default" w:ascii="Times New Roman" w:hAnsi="Times New Roman" w:eastAsia="仿宋_GB2312" w:cs="Times New Roman"/>
                <w:i w:val="0"/>
                <w:color w:val="auto"/>
                <w:kern w:val="0"/>
                <w:sz w:val="24"/>
                <w:szCs w:val="24"/>
                <w:highlight w:val="none"/>
                <w:u w:val="none"/>
                <w:lang w:val="en-US" w:eastAsia="zh-CN" w:bidi="ar"/>
              </w:rPr>
              <w:t>1</w:t>
            </w:r>
            <w:r>
              <w:rPr>
                <w:rFonts w:hint="eastAsia" w:ascii="Times New Roman" w:hAnsi="Times New Roman" w:eastAsia="仿宋_GB2312" w:cs="Times New Roman"/>
                <w:i w:val="0"/>
                <w:color w:val="auto"/>
                <w:kern w:val="0"/>
                <w:sz w:val="24"/>
                <w:szCs w:val="24"/>
                <w:highlight w:val="none"/>
                <w:u w:val="none"/>
                <w:lang w:val="en-US" w:eastAsia="zh-CN" w:bidi="ar"/>
              </w:rPr>
              <w:t>15</w:t>
            </w:r>
          </w:p>
        </w:tc>
        <w:tc>
          <w:tcPr>
            <w:tcW w:w="1559" w:type="dxa"/>
            <w:vMerge w:val="continue"/>
            <w:noWrap w:val="0"/>
            <w:vAlign w:val="center"/>
          </w:tcPr>
          <w:p w14:paraId="500B104A">
            <w:pPr>
              <w:widowControl/>
              <w:jc w:val="left"/>
              <w:rPr>
                <w:rFonts w:ascii="Times New Roman" w:hAnsi="Times New Roman" w:eastAsia="仿宋_GB2312"/>
                <w:color w:val="auto"/>
                <w:kern w:val="0"/>
                <w:sz w:val="24"/>
                <w:highlight w:val="none"/>
              </w:rPr>
            </w:pPr>
          </w:p>
        </w:tc>
        <w:tc>
          <w:tcPr>
            <w:tcW w:w="6095" w:type="dxa"/>
            <w:noWrap w:val="0"/>
            <w:vAlign w:val="center"/>
          </w:tcPr>
          <w:p w14:paraId="51523AF2">
            <w:pPr>
              <w:widowControl/>
              <w:jc w:val="left"/>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rPr>
              <w:t>探索实现“双随机”监管与企业信用风险分类管理相结合，根据企业信用风险分类结果，实行差异化的监管。对信用风险低（A类）企业，原则上一年不超过1次的抽查频次；信用风险一般（B类）企业，原则上一年不超过2次的抽查频次；信用风险较高、信用风险高的企业依法依规增加抽查频次;每季度抽查1次。</w:t>
            </w:r>
            <w:r>
              <w:rPr>
                <w:rFonts w:hint="eastAsia" w:ascii="Times New Roman" w:hAnsi="Times New Roman" w:eastAsia="仿宋_GB2312"/>
                <w:color w:val="auto"/>
                <w:kern w:val="0"/>
                <w:sz w:val="24"/>
                <w:highlight w:val="none"/>
                <w:lang w:eastAsia="zh-CN"/>
              </w:rPr>
              <w:t>，</w:t>
            </w:r>
            <w:r>
              <w:rPr>
                <w:rFonts w:ascii="Times New Roman" w:hAnsi="Times New Roman" w:eastAsia="仿宋_GB2312"/>
                <w:color w:val="auto"/>
                <w:kern w:val="0"/>
                <w:sz w:val="24"/>
                <w:highlight w:val="none"/>
              </w:rPr>
              <w:t>进一步减轻企业负担，提高监管精准性，实现有效监管、精准监管。</w:t>
            </w:r>
          </w:p>
        </w:tc>
        <w:tc>
          <w:tcPr>
            <w:tcW w:w="1559" w:type="dxa"/>
            <w:noWrap w:val="0"/>
            <w:vAlign w:val="center"/>
          </w:tcPr>
          <w:p w14:paraId="08C21145">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市监局</w:t>
            </w:r>
          </w:p>
        </w:tc>
        <w:tc>
          <w:tcPr>
            <w:tcW w:w="3435" w:type="dxa"/>
            <w:noWrap w:val="0"/>
            <w:vAlign w:val="center"/>
          </w:tcPr>
          <w:p w14:paraId="08281D39">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“双随机、一公开”监管工作联席会议各成员单位</w:t>
            </w:r>
          </w:p>
        </w:tc>
      </w:tr>
      <w:tr w14:paraId="10D84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77" w:type="dxa"/>
            <w:noWrap w:val="0"/>
            <w:vAlign w:val="center"/>
          </w:tcPr>
          <w:p w14:paraId="0C354750">
            <w:pPr>
              <w:keepNext w:val="0"/>
              <w:keepLines w:val="0"/>
              <w:widowControl/>
              <w:suppressLineNumbers w:val="0"/>
              <w:jc w:val="center"/>
              <w:textAlignment w:val="auto"/>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1</w:t>
            </w:r>
            <w:r>
              <w:rPr>
                <w:rFonts w:hint="eastAsia" w:ascii="Times New Roman" w:hAnsi="Times New Roman" w:eastAsia="仿宋_GB2312" w:cs="Times New Roman"/>
                <w:i w:val="0"/>
                <w:color w:val="auto"/>
                <w:kern w:val="0"/>
                <w:sz w:val="24"/>
                <w:szCs w:val="24"/>
                <w:highlight w:val="none"/>
                <w:u w:val="none"/>
                <w:lang w:val="en-US" w:eastAsia="zh-CN" w:bidi="ar"/>
              </w:rPr>
              <w:t>16</w:t>
            </w:r>
          </w:p>
        </w:tc>
        <w:tc>
          <w:tcPr>
            <w:tcW w:w="1559" w:type="dxa"/>
            <w:vMerge w:val="restart"/>
            <w:noWrap w:val="0"/>
            <w:vAlign w:val="center"/>
          </w:tcPr>
          <w:p w14:paraId="1E57E029">
            <w:pPr>
              <w:widowControl/>
              <w:jc w:val="center"/>
              <w:rPr>
                <w:rFonts w:ascii="Times New Roman" w:hAnsi="Times New Roman" w:eastAsia="仿宋_GB2312"/>
                <w:color w:val="auto"/>
                <w:kern w:val="0"/>
                <w:sz w:val="24"/>
                <w:highlight w:val="none"/>
              </w:rPr>
            </w:pPr>
            <w:r>
              <w:rPr>
                <w:rFonts w:ascii="Times New Roman" w:hAnsi="Times New Roman" w:eastAsia="仿宋_GB2312" w:cs="Times New Roman"/>
                <w:color w:val="auto"/>
                <w:kern w:val="0"/>
                <w:sz w:val="24"/>
                <w:highlight w:val="none"/>
              </w:rPr>
              <w:t>完善劳动力市场监管和服务</w:t>
            </w:r>
          </w:p>
        </w:tc>
        <w:tc>
          <w:tcPr>
            <w:tcW w:w="6095" w:type="dxa"/>
            <w:noWrap w:val="0"/>
            <w:vAlign w:val="center"/>
          </w:tcPr>
          <w:p w14:paraId="0EDB414D">
            <w:pPr>
              <w:widowControl/>
              <w:jc w:val="left"/>
              <w:rPr>
                <w:rFonts w:hint="eastAsia"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rPr>
              <w:t>提高公共就业服务便利化水平，推动公共就业服务事项全流程网上办理</w:t>
            </w:r>
            <w:r>
              <w:rPr>
                <w:rFonts w:hint="eastAsia" w:ascii="Times New Roman" w:hAnsi="Times New Roman" w:eastAsia="仿宋_GB2312"/>
                <w:color w:val="auto"/>
                <w:kern w:val="0"/>
                <w:sz w:val="24"/>
                <w:highlight w:val="none"/>
                <w:lang w:eastAsia="zh-CN"/>
              </w:rPr>
              <w:t>，创新服务模式，组织开展“抖音直播带岗”、“善美村居+云招聘”等线上线下招聘活动</w:t>
            </w:r>
            <w:r>
              <w:rPr>
                <w:rFonts w:hint="eastAsia" w:ascii="Times New Roman" w:hAnsi="Times New Roman" w:eastAsia="仿宋_GB2312"/>
                <w:color w:val="auto"/>
                <w:kern w:val="0"/>
                <w:sz w:val="24"/>
                <w:highlight w:val="none"/>
                <w:lang w:val="en-US" w:eastAsia="zh-CN"/>
              </w:rPr>
              <w:t>30</w:t>
            </w:r>
            <w:r>
              <w:rPr>
                <w:rFonts w:hint="eastAsia" w:ascii="Times New Roman" w:hAnsi="Times New Roman" w:eastAsia="仿宋_GB2312"/>
                <w:color w:val="auto"/>
                <w:kern w:val="0"/>
                <w:sz w:val="24"/>
                <w:highlight w:val="none"/>
                <w:lang w:eastAsia="zh-CN"/>
              </w:rPr>
              <w:t>场次，解决企业用工</w:t>
            </w:r>
            <w:r>
              <w:rPr>
                <w:rFonts w:hint="eastAsia" w:ascii="Times New Roman" w:hAnsi="Times New Roman" w:eastAsia="仿宋_GB2312"/>
                <w:color w:val="auto"/>
                <w:kern w:val="0"/>
                <w:sz w:val="24"/>
                <w:highlight w:val="none"/>
                <w:lang w:val="en-US" w:eastAsia="zh-CN"/>
              </w:rPr>
              <w:t>1300</w:t>
            </w:r>
            <w:r>
              <w:rPr>
                <w:rFonts w:hint="eastAsia" w:ascii="Times New Roman" w:hAnsi="Times New Roman" w:eastAsia="仿宋_GB2312"/>
                <w:color w:val="auto"/>
                <w:kern w:val="0"/>
                <w:sz w:val="24"/>
                <w:highlight w:val="none"/>
                <w:lang w:eastAsia="zh-CN"/>
              </w:rPr>
              <w:t>人</w:t>
            </w:r>
            <w:r>
              <w:rPr>
                <w:rFonts w:hint="eastAsia" w:ascii="Times New Roman" w:hAnsi="Times New Roman" w:eastAsia="仿宋_GB2312"/>
                <w:b w:val="0"/>
                <w:bCs w:val="0"/>
                <w:color w:val="auto"/>
                <w:kern w:val="0"/>
                <w:sz w:val="24"/>
                <w:highlight w:val="none"/>
              </w:rPr>
              <w:t>；</w:t>
            </w:r>
            <w:r>
              <w:rPr>
                <w:rFonts w:hint="eastAsia" w:ascii="Times New Roman" w:hAnsi="Times New Roman" w:eastAsia="仿宋_GB2312"/>
                <w:color w:val="auto"/>
                <w:kern w:val="0"/>
                <w:sz w:val="24"/>
                <w:highlight w:val="none"/>
              </w:rPr>
              <w:t>制定人社领域政务服务容缺受理事项清单。</w:t>
            </w:r>
          </w:p>
        </w:tc>
        <w:tc>
          <w:tcPr>
            <w:tcW w:w="1559" w:type="dxa"/>
            <w:noWrap w:val="0"/>
            <w:vAlign w:val="center"/>
          </w:tcPr>
          <w:p w14:paraId="7DCA0BAE">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人社局</w:t>
            </w:r>
          </w:p>
        </w:tc>
        <w:tc>
          <w:tcPr>
            <w:tcW w:w="3435" w:type="dxa"/>
            <w:noWrap w:val="0"/>
            <w:vAlign w:val="center"/>
          </w:tcPr>
          <w:p w14:paraId="463CC147">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0A1C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77" w:type="dxa"/>
            <w:noWrap w:val="0"/>
            <w:vAlign w:val="center"/>
          </w:tcPr>
          <w:p w14:paraId="48097D89">
            <w:pPr>
              <w:keepNext w:val="0"/>
              <w:keepLines w:val="0"/>
              <w:widowControl/>
              <w:suppressLineNumbers w:val="0"/>
              <w:jc w:val="center"/>
              <w:textAlignment w:val="auto"/>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1</w:t>
            </w:r>
            <w:r>
              <w:rPr>
                <w:rFonts w:hint="eastAsia" w:ascii="Times New Roman" w:hAnsi="Times New Roman" w:eastAsia="仿宋_GB2312" w:cs="Times New Roman"/>
                <w:i w:val="0"/>
                <w:color w:val="auto"/>
                <w:kern w:val="0"/>
                <w:sz w:val="24"/>
                <w:szCs w:val="24"/>
                <w:highlight w:val="none"/>
                <w:u w:val="none"/>
                <w:lang w:val="en-US" w:eastAsia="zh-CN" w:bidi="ar"/>
              </w:rPr>
              <w:t>17</w:t>
            </w:r>
          </w:p>
        </w:tc>
        <w:tc>
          <w:tcPr>
            <w:tcW w:w="1559" w:type="dxa"/>
            <w:vMerge w:val="continue"/>
            <w:noWrap w:val="0"/>
            <w:vAlign w:val="center"/>
          </w:tcPr>
          <w:p w14:paraId="74EC9D1D">
            <w:pPr>
              <w:widowControl/>
              <w:jc w:val="left"/>
              <w:rPr>
                <w:rFonts w:ascii="Times New Roman" w:hAnsi="Times New Roman" w:eastAsia="仿宋_GB2312"/>
                <w:color w:val="auto"/>
                <w:kern w:val="0"/>
                <w:sz w:val="24"/>
                <w:highlight w:val="none"/>
              </w:rPr>
            </w:pPr>
          </w:p>
        </w:tc>
        <w:tc>
          <w:tcPr>
            <w:tcW w:w="6095" w:type="dxa"/>
            <w:noWrap w:val="0"/>
            <w:vAlign w:val="center"/>
          </w:tcPr>
          <w:p w14:paraId="4B40265B">
            <w:pPr>
              <w:widowControl/>
              <w:jc w:val="left"/>
              <w:rPr>
                <w:rFonts w:hint="eastAsia"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rPr>
              <w:t>加强人社与税务、银行、市场监管、供水、供电、供气等单位的信息共享，研究建立劳动关系风险监控管理系统。</w:t>
            </w:r>
          </w:p>
        </w:tc>
        <w:tc>
          <w:tcPr>
            <w:tcW w:w="1559" w:type="dxa"/>
            <w:noWrap w:val="0"/>
            <w:vAlign w:val="center"/>
          </w:tcPr>
          <w:p w14:paraId="6FEFFC18">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人社局</w:t>
            </w:r>
          </w:p>
        </w:tc>
        <w:tc>
          <w:tcPr>
            <w:tcW w:w="3435" w:type="dxa"/>
            <w:noWrap w:val="0"/>
            <w:vAlign w:val="center"/>
          </w:tcPr>
          <w:p w14:paraId="2E9D6DFF">
            <w:pPr>
              <w:keepNext w:val="0"/>
              <w:keepLines w:val="0"/>
              <w:widowControl/>
              <w:suppressLineNumbers w:val="0"/>
              <w:jc w:val="both"/>
              <w:textAlignment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hint="eastAsia" w:ascii="仿宋_GB2312" w:hAnsi="等线" w:eastAsia="仿宋_GB2312" w:cs="仿宋_GB2312"/>
                <w:i w:val="0"/>
                <w:color w:val="auto"/>
                <w:kern w:val="0"/>
                <w:sz w:val="24"/>
                <w:szCs w:val="24"/>
                <w:highlight w:val="none"/>
                <w:u w:val="none"/>
                <w:lang w:val="en-US" w:eastAsia="zh-CN" w:bidi="ar"/>
              </w:rPr>
              <w:t>住建局、交通运输局、水务局、</w:t>
            </w:r>
            <w:r>
              <w:rPr>
                <w:rFonts w:ascii="Times New Roman" w:hAnsi="Times New Roman" w:eastAsia="仿宋_GB2312"/>
                <w:color w:val="auto"/>
                <w:kern w:val="0"/>
                <w:sz w:val="24"/>
                <w:highlight w:val="none"/>
              </w:rPr>
              <w:t>中国人民银行海丰县支行</w:t>
            </w:r>
          </w:p>
        </w:tc>
      </w:tr>
      <w:tr w14:paraId="29769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77" w:type="dxa"/>
            <w:noWrap w:val="0"/>
            <w:vAlign w:val="center"/>
          </w:tcPr>
          <w:p w14:paraId="0D22CED1">
            <w:pPr>
              <w:keepNext w:val="0"/>
              <w:keepLines w:val="0"/>
              <w:widowControl/>
              <w:suppressLineNumbers w:val="0"/>
              <w:jc w:val="center"/>
              <w:textAlignment w:val="auto"/>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1</w:t>
            </w:r>
            <w:r>
              <w:rPr>
                <w:rFonts w:hint="eastAsia" w:ascii="Times New Roman" w:hAnsi="Times New Roman" w:eastAsia="仿宋_GB2312" w:cs="Times New Roman"/>
                <w:i w:val="0"/>
                <w:color w:val="auto"/>
                <w:kern w:val="0"/>
                <w:sz w:val="24"/>
                <w:szCs w:val="24"/>
                <w:highlight w:val="none"/>
                <w:u w:val="none"/>
                <w:lang w:val="en-US" w:eastAsia="zh-CN" w:bidi="ar"/>
              </w:rPr>
              <w:t>18</w:t>
            </w:r>
          </w:p>
        </w:tc>
        <w:tc>
          <w:tcPr>
            <w:tcW w:w="1559" w:type="dxa"/>
            <w:vMerge w:val="continue"/>
            <w:noWrap w:val="0"/>
            <w:vAlign w:val="center"/>
          </w:tcPr>
          <w:p w14:paraId="4A07534D">
            <w:pPr>
              <w:widowControl/>
              <w:jc w:val="left"/>
              <w:rPr>
                <w:rFonts w:ascii="Times New Roman" w:hAnsi="Times New Roman" w:eastAsia="仿宋_GB2312"/>
                <w:color w:val="auto"/>
                <w:kern w:val="0"/>
                <w:sz w:val="24"/>
                <w:highlight w:val="none"/>
              </w:rPr>
            </w:pPr>
          </w:p>
        </w:tc>
        <w:tc>
          <w:tcPr>
            <w:tcW w:w="6095" w:type="dxa"/>
            <w:noWrap w:val="0"/>
            <w:vAlign w:val="center"/>
          </w:tcPr>
          <w:p w14:paraId="356369A8">
            <w:pPr>
              <w:widowControl/>
              <w:jc w:val="left"/>
              <w:rPr>
                <w:rFonts w:hint="eastAsia" w:ascii="Times New Roman" w:hAnsi="Times New Roman" w:eastAsia="仿宋_GB2312"/>
                <w:color w:val="auto"/>
                <w:kern w:val="0"/>
                <w:sz w:val="24"/>
                <w:highlight w:val="none"/>
                <w:lang w:eastAsia="zh-CN"/>
              </w:rPr>
            </w:pPr>
            <w:r>
              <w:rPr>
                <w:rFonts w:hint="eastAsia" w:ascii="Times New Roman" w:hAnsi="Times New Roman" w:eastAsia="仿宋_GB2312"/>
                <w:color w:val="auto"/>
                <w:kern w:val="0"/>
                <w:sz w:val="24"/>
                <w:highlight w:val="none"/>
              </w:rPr>
              <w:t>建立市场化服务平台，引导有需求的企业开展“共享用工”，把企业间共享用工岗位供求信息纳入公共就业服务范围，免费为有用工余缺的企业发布供求信息，按需组织专场对接活动。</w:t>
            </w:r>
          </w:p>
        </w:tc>
        <w:tc>
          <w:tcPr>
            <w:tcW w:w="1559" w:type="dxa"/>
            <w:noWrap w:val="0"/>
            <w:vAlign w:val="center"/>
          </w:tcPr>
          <w:p w14:paraId="7EAFEA57">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人社局</w:t>
            </w:r>
          </w:p>
        </w:tc>
        <w:tc>
          <w:tcPr>
            <w:tcW w:w="3435" w:type="dxa"/>
            <w:noWrap w:val="0"/>
            <w:vAlign w:val="center"/>
          </w:tcPr>
          <w:p w14:paraId="10BAA560">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647B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77" w:type="dxa"/>
            <w:noWrap w:val="0"/>
            <w:vAlign w:val="center"/>
          </w:tcPr>
          <w:p w14:paraId="118F683D">
            <w:pPr>
              <w:keepNext w:val="0"/>
              <w:keepLines w:val="0"/>
              <w:widowControl/>
              <w:suppressLineNumbers w:val="0"/>
              <w:jc w:val="center"/>
              <w:textAlignment w:val="auto"/>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1</w:t>
            </w:r>
            <w:r>
              <w:rPr>
                <w:rFonts w:hint="eastAsia" w:ascii="Times New Roman" w:hAnsi="Times New Roman" w:eastAsia="仿宋_GB2312" w:cs="Times New Roman"/>
                <w:i w:val="0"/>
                <w:color w:val="auto"/>
                <w:kern w:val="0"/>
                <w:sz w:val="24"/>
                <w:szCs w:val="24"/>
                <w:highlight w:val="none"/>
                <w:u w:val="none"/>
                <w:lang w:val="en-US" w:eastAsia="zh-CN" w:bidi="ar"/>
              </w:rPr>
              <w:t>19</w:t>
            </w:r>
          </w:p>
        </w:tc>
        <w:tc>
          <w:tcPr>
            <w:tcW w:w="1559" w:type="dxa"/>
            <w:vMerge w:val="continue"/>
            <w:noWrap w:val="0"/>
            <w:vAlign w:val="center"/>
          </w:tcPr>
          <w:p w14:paraId="34495AA7">
            <w:pPr>
              <w:widowControl/>
              <w:jc w:val="left"/>
              <w:rPr>
                <w:rFonts w:ascii="Times New Roman" w:hAnsi="Times New Roman" w:eastAsia="仿宋_GB2312"/>
                <w:color w:val="auto"/>
                <w:kern w:val="0"/>
                <w:sz w:val="24"/>
                <w:highlight w:val="none"/>
              </w:rPr>
            </w:pPr>
          </w:p>
        </w:tc>
        <w:tc>
          <w:tcPr>
            <w:tcW w:w="6095" w:type="dxa"/>
            <w:noWrap w:val="0"/>
            <w:vAlign w:val="center"/>
          </w:tcPr>
          <w:p w14:paraId="5EFEA2E8">
            <w:pPr>
              <w:widowControl/>
              <w:jc w:val="left"/>
              <w:rPr>
                <w:rFonts w:hint="eastAsia"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rPr>
              <w:t>贯彻落实《</w:t>
            </w:r>
            <w:r>
              <w:rPr>
                <w:rFonts w:hint="eastAsia" w:ascii="Times New Roman" w:hAnsi="Times New Roman" w:eastAsia="仿宋_GB2312"/>
                <w:color w:val="auto"/>
                <w:kern w:val="0"/>
                <w:sz w:val="24"/>
                <w:highlight w:val="none"/>
                <w:lang w:val="en-US" w:eastAsia="zh-CN"/>
              </w:rPr>
              <w:t>海丰县“海纳英才”</w:t>
            </w:r>
            <w:r>
              <w:rPr>
                <w:rFonts w:hint="eastAsia" w:ascii="Times New Roman" w:hAnsi="Times New Roman" w:eastAsia="仿宋_GB2312"/>
                <w:color w:val="auto"/>
                <w:kern w:val="0"/>
                <w:sz w:val="24"/>
                <w:highlight w:val="none"/>
              </w:rPr>
              <w:t>人才计划》</w:t>
            </w:r>
            <w:r>
              <w:rPr>
                <w:rFonts w:hint="eastAsia" w:ascii="Times New Roman" w:hAnsi="Times New Roman" w:eastAsia="仿宋_GB2312"/>
                <w:color w:val="auto"/>
                <w:kern w:val="0"/>
                <w:sz w:val="24"/>
                <w:highlight w:val="none"/>
                <w:lang w:eastAsia="zh-CN"/>
              </w:rPr>
              <w:t>，推动全</w:t>
            </w:r>
            <w:r>
              <w:rPr>
                <w:rFonts w:hint="eastAsia" w:ascii="Times New Roman" w:hAnsi="Times New Roman" w:eastAsia="仿宋_GB2312"/>
                <w:color w:val="auto"/>
                <w:kern w:val="0"/>
                <w:sz w:val="24"/>
                <w:highlight w:val="none"/>
                <w:lang w:val="en-US" w:eastAsia="zh-CN"/>
              </w:rPr>
              <w:t>县</w:t>
            </w:r>
            <w:r>
              <w:rPr>
                <w:rFonts w:hint="eastAsia" w:ascii="Times New Roman" w:hAnsi="Times New Roman" w:eastAsia="仿宋_GB2312"/>
                <w:color w:val="auto"/>
                <w:kern w:val="0"/>
                <w:sz w:val="24"/>
                <w:highlight w:val="none"/>
                <w:lang w:eastAsia="zh-CN"/>
              </w:rPr>
              <w:t>引进硕士、博士共</w:t>
            </w:r>
            <w:r>
              <w:rPr>
                <w:rFonts w:hint="eastAsia" w:ascii="Times New Roman" w:hAnsi="Times New Roman" w:eastAsia="仿宋_GB2312"/>
                <w:color w:val="auto"/>
                <w:kern w:val="0"/>
                <w:sz w:val="24"/>
                <w:highlight w:val="none"/>
                <w:lang w:val="en-US" w:eastAsia="zh-CN"/>
              </w:rPr>
              <w:t>55</w:t>
            </w:r>
            <w:r>
              <w:rPr>
                <w:rFonts w:hint="eastAsia" w:ascii="Times New Roman" w:hAnsi="Times New Roman" w:eastAsia="仿宋_GB2312"/>
                <w:color w:val="auto"/>
                <w:kern w:val="0"/>
                <w:sz w:val="24"/>
                <w:highlight w:val="none"/>
                <w:lang w:eastAsia="zh-CN"/>
              </w:rPr>
              <w:t>名，大学生</w:t>
            </w:r>
            <w:r>
              <w:rPr>
                <w:rFonts w:hint="eastAsia" w:ascii="Times New Roman" w:hAnsi="Times New Roman" w:eastAsia="仿宋_GB2312"/>
                <w:color w:val="auto"/>
                <w:kern w:val="0"/>
                <w:sz w:val="24"/>
                <w:highlight w:val="none"/>
                <w:lang w:val="en-US" w:eastAsia="zh-CN"/>
              </w:rPr>
              <w:t>3100</w:t>
            </w:r>
            <w:r>
              <w:rPr>
                <w:rFonts w:hint="eastAsia" w:ascii="Times New Roman" w:hAnsi="Times New Roman" w:eastAsia="仿宋_GB2312"/>
                <w:color w:val="auto"/>
                <w:kern w:val="0"/>
                <w:sz w:val="24"/>
                <w:highlight w:val="none"/>
                <w:lang w:eastAsia="zh-CN"/>
              </w:rPr>
              <w:t>名</w:t>
            </w:r>
            <w:r>
              <w:rPr>
                <w:rFonts w:hint="eastAsia" w:ascii="Times New Roman" w:hAnsi="Times New Roman" w:eastAsia="仿宋_GB2312"/>
                <w:color w:val="auto"/>
                <w:kern w:val="0"/>
                <w:sz w:val="24"/>
                <w:highlight w:val="none"/>
              </w:rPr>
              <w:t>。</w:t>
            </w:r>
          </w:p>
        </w:tc>
        <w:tc>
          <w:tcPr>
            <w:tcW w:w="1559" w:type="dxa"/>
            <w:noWrap w:val="0"/>
            <w:vAlign w:val="center"/>
          </w:tcPr>
          <w:p w14:paraId="70F440C1">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人社局</w:t>
            </w:r>
          </w:p>
        </w:tc>
        <w:tc>
          <w:tcPr>
            <w:tcW w:w="3435" w:type="dxa"/>
            <w:noWrap w:val="0"/>
            <w:vAlign w:val="center"/>
          </w:tcPr>
          <w:p w14:paraId="3CCC6433">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hint="eastAsia" w:ascii="Times New Roman" w:hAnsi="Times New Roman" w:eastAsia="仿宋_GB2312"/>
                <w:color w:val="auto"/>
                <w:kern w:val="0"/>
                <w:sz w:val="24"/>
                <w:highlight w:val="none"/>
              </w:rPr>
              <w:t>直各有关单位、企业</w:t>
            </w:r>
          </w:p>
        </w:tc>
      </w:tr>
      <w:tr w14:paraId="2AAE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77" w:type="dxa"/>
            <w:noWrap w:val="0"/>
            <w:vAlign w:val="center"/>
          </w:tcPr>
          <w:p w14:paraId="4A6A9C0E">
            <w:pPr>
              <w:keepNext w:val="0"/>
              <w:keepLines w:val="0"/>
              <w:widowControl/>
              <w:suppressLineNumbers w:val="0"/>
              <w:jc w:val="center"/>
              <w:textAlignment w:val="auto"/>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1</w:t>
            </w:r>
            <w:r>
              <w:rPr>
                <w:rFonts w:hint="eastAsia" w:ascii="Times New Roman" w:hAnsi="Times New Roman" w:eastAsia="仿宋_GB2312" w:cs="Times New Roman"/>
                <w:i w:val="0"/>
                <w:color w:val="auto"/>
                <w:kern w:val="0"/>
                <w:sz w:val="24"/>
                <w:szCs w:val="24"/>
                <w:highlight w:val="none"/>
                <w:u w:val="none"/>
                <w:lang w:val="en-US" w:eastAsia="zh-CN" w:bidi="ar"/>
              </w:rPr>
              <w:t>20</w:t>
            </w:r>
          </w:p>
        </w:tc>
        <w:tc>
          <w:tcPr>
            <w:tcW w:w="1559" w:type="dxa"/>
            <w:vMerge w:val="continue"/>
            <w:noWrap w:val="0"/>
            <w:vAlign w:val="center"/>
          </w:tcPr>
          <w:p w14:paraId="1878351C">
            <w:pPr>
              <w:widowControl/>
              <w:jc w:val="left"/>
              <w:rPr>
                <w:rFonts w:ascii="Times New Roman" w:hAnsi="Times New Roman" w:eastAsia="仿宋_GB2312"/>
                <w:color w:val="auto"/>
                <w:kern w:val="0"/>
                <w:sz w:val="24"/>
                <w:highlight w:val="none"/>
              </w:rPr>
            </w:pPr>
          </w:p>
        </w:tc>
        <w:tc>
          <w:tcPr>
            <w:tcW w:w="6095" w:type="dxa"/>
            <w:noWrap w:val="0"/>
            <w:vAlign w:val="center"/>
          </w:tcPr>
          <w:p w14:paraId="06E655E3">
            <w:pPr>
              <w:widowControl/>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制定人社领域包容审慎监管清单，梳理易发、多发问题，提前对劳动密集型企业开展政策宣讲和隐患排查，对因暂时经营困难、非主观故意、首次违法违规或轻微违法企业予以书面警示、避免直接处罚。</w:t>
            </w:r>
          </w:p>
        </w:tc>
        <w:tc>
          <w:tcPr>
            <w:tcW w:w="1559" w:type="dxa"/>
            <w:noWrap w:val="0"/>
            <w:vAlign w:val="center"/>
          </w:tcPr>
          <w:p w14:paraId="11E185CA">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人社局</w:t>
            </w:r>
          </w:p>
        </w:tc>
        <w:tc>
          <w:tcPr>
            <w:tcW w:w="3435" w:type="dxa"/>
            <w:noWrap w:val="0"/>
            <w:vAlign w:val="center"/>
          </w:tcPr>
          <w:p w14:paraId="2169692B">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02AC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77" w:type="dxa"/>
            <w:noWrap w:val="0"/>
            <w:vAlign w:val="center"/>
          </w:tcPr>
          <w:p w14:paraId="11BC2119">
            <w:pPr>
              <w:keepNext w:val="0"/>
              <w:keepLines w:val="0"/>
              <w:widowControl/>
              <w:suppressLineNumbers w:val="0"/>
              <w:jc w:val="center"/>
              <w:textAlignment w:val="auto"/>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1</w:t>
            </w:r>
            <w:r>
              <w:rPr>
                <w:rFonts w:hint="eastAsia" w:ascii="Times New Roman" w:hAnsi="Times New Roman" w:eastAsia="仿宋_GB2312" w:cs="Times New Roman"/>
                <w:i w:val="0"/>
                <w:color w:val="auto"/>
                <w:kern w:val="0"/>
                <w:sz w:val="24"/>
                <w:szCs w:val="24"/>
                <w:highlight w:val="none"/>
                <w:u w:val="none"/>
                <w:lang w:val="en-US" w:eastAsia="zh-CN" w:bidi="ar"/>
              </w:rPr>
              <w:t>21</w:t>
            </w:r>
          </w:p>
        </w:tc>
        <w:tc>
          <w:tcPr>
            <w:tcW w:w="1559" w:type="dxa"/>
            <w:vMerge w:val="continue"/>
            <w:noWrap w:val="0"/>
            <w:vAlign w:val="center"/>
          </w:tcPr>
          <w:p w14:paraId="5B06F423">
            <w:pPr>
              <w:widowControl/>
              <w:jc w:val="left"/>
              <w:rPr>
                <w:rFonts w:ascii="Times New Roman" w:hAnsi="Times New Roman" w:eastAsia="仿宋_GB2312"/>
                <w:color w:val="auto"/>
                <w:kern w:val="0"/>
                <w:sz w:val="24"/>
                <w:highlight w:val="none"/>
              </w:rPr>
            </w:pPr>
          </w:p>
        </w:tc>
        <w:tc>
          <w:tcPr>
            <w:tcW w:w="6095" w:type="dxa"/>
            <w:noWrap w:val="0"/>
            <w:vAlign w:val="center"/>
          </w:tcPr>
          <w:p w14:paraId="40A0019C">
            <w:pPr>
              <w:widowControl/>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开展和谐企业培育、评优工作</w:t>
            </w:r>
            <w:r>
              <w:rPr>
                <w:rFonts w:hint="eastAsia" w:ascii="Times New Roman" w:hAnsi="Times New Roman" w:eastAsia="仿宋_GB2312"/>
                <w:color w:val="auto"/>
                <w:kern w:val="0"/>
                <w:sz w:val="24"/>
                <w:highlight w:val="none"/>
              </w:rPr>
              <w:t>，劳动保障守法诚信A级企业占比达95%以上，劳动人事争议调解争取仲裁结案率达到95%以上、仲裁调解率达到75%以上。</w:t>
            </w:r>
            <w:r>
              <w:rPr>
                <w:rFonts w:ascii="Times New Roman" w:hAnsi="Times New Roman" w:eastAsia="仿宋_GB2312"/>
                <w:color w:val="auto"/>
                <w:kern w:val="0"/>
                <w:sz w:val="24"/>
                <w:highlight w:val="none"/>
              </w:rPr>
              <w:t>。</w:t>
            </w:r>
          </w:p>
        </w:tc>
        <w:tc>
          <w:tcPr>
            <w:tcW w:w="1559" w:type="dxa"/>
            <w:noWrap w:val="0"/>
            <w:vAlign w:val="center"/>
          </w:tcPr>
          <w:p w14:paraId="62A8AAE4">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人社局</w:t>
            </w:r>
          </w:p>
        </w:tc>
        <w:tc>
          <w:tcPr>
            <w:tcW w:w="3435" w:type="dxa"/>
            <w:noWrap w:val="0"/>
            <w:vAlign w:val="center"/>
          </w:tcPr>
          <w:p w14:paraId="15F02113">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hint="eastAsia" w:ascii="Times New Roman" w:hAnsi="Times New Roman" w:eastAsia="仿宋_GB2312"/>
                <w:color w:val="auto"/>
                <w:kern w:val="0"/>
                <w:sz w:val="24"/>
                <w:highlight w:val="none"/>
              </w:rPr>
              <w:t>工商联、总工会</w:t>
            </w:r>
          </w:p>
        </w:tc>
      </w:tr>
      <w:tr w14:paraId="3A231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77" w:type="dxa"/>
            <w:noWrap w:val="0"/>
            <w:vAlign w:val="center"/>
          </w:tcPr>
          <w:p w14:paraId="4BCBFA65">
            <w:pPr>
              <w:keepNext w:val="0"/>
              <w:keepLines w:val="0"/>
              <w:widowControl/>
              <w:suppressLineNumbers w:val="0"/>
              <w:jc w:val="center"/>
              <w:textAlignment w:val="auto"/>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1</w:t>
            </w:r>
            <w:r>
              <w:rPr>
                <w:rFonts w:hint="eastAsia" w:ascii="Times New Roman" w:hAnsi="Times New Roman" w:eastAsia="仿宋_GB2312" w:cs="Times New Roman"/>
                <w:i w:val="0"/>
                <w:color w:val="auto"/>
                <w:kern w:val="0"/>
                <w:sz w:val="24"/>
                <w:szCs w:val="24"/>
                <w:highlight w:val="none"/>
                <w:u w:val="none"/>
                <w:lang w:val="en-US" w:eastAsia="zh-CN" w:bidi="ar"/>
              </w:rPr>
              <w:t>22</w:t>
            </w:r>
          </w:p>
        </w:tc>
        <w:tc>
          <w:tcPr>
            <w:tcW w:w="1559" w:type="dxa"/>
            <w:vMerge w:val="continue"/>
            <w:noWrap w:val="0"/>
            <w:vAlign w:val="center"/>
          </w:tcPr>
          <w:p w14:paraId="78A17B90">
            <w:pPr>
              <w:widowControl/>
              <w:jc w:val="left"/>
              <w:rPr>
                <w:rFonts w:ascii="Times New Roman" w:hAnsi="Times New Roman" w:eastAsia="仿宋_GB2312"/>
                <w:color w:val="auto"/>
                <w:kern w:val="0"/>
                <w:sz w:val="24"/>
                <w:highlight w:val="none"/>
              </w:rPr>
            </w:pPr>
          </w:p>
        </w:tc>
        <w:tc>
          <w:tcPr>
            <w:tcW w:w="6095" w:type="dxa"/>
            <w:noWrap w:val="0"/>
            <w:vAlign w:val="center"/>
          </w:tcPr>
          <w:p w14:paraId="437003C9">
            <w:pPr>
              <w:widowControl/>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提高中央</w:t>
            </w:r>
            <w:r>
              <w:rPr>
                <w:rFonts w:hint="eastAsia" w:ascii="Times New Roman" w:hAnsi="Times New Roman" w:eastAsia="仿宋_GB2312"/>
                <w:color w:val="auto"/>
                <w:kern w:val="0"/>
                <w:sz w:val="24"/>
                <w:highlight w:val="none"/>
                <w:lang w:eastAsia="zh-CN"/>
              </w:rPr>
              <w:t>、</w:t>
            </w:r>
            <w:r>
              <w:rPr>
                <w:rFonts w:ascii="Times New Roman" w:hAnsi="Times New Roman" w:eastAsia="仿宋_GB2312"/>
                <w:color w:val="auto"/>
                <w:kern w:val="0"/>
                <w:sz w:val="24"/>
                <w:highlight w:val="none"/>
              </w:rPr>
              <w:t>省</w:t>
            </w:r>
            <w:r>
              <w:rPr>
                <w:rFonts w:hint="eastAsia" w:ascii="Times New Roman" w:hAnsi="Times New Roman" w:eastAsia="仿宋_GB2312"/>
                <w:color w:val="auto"/>
                <w:kern w:val="0"/>
                <w:sz w:val="24"/>
                <w:highlight w:val="none"/>
                <w:lang w:val="en-US" w:eastAsia="zh-CN"/>
              </w:rPr>
              <w:t>和市</w:t>
            </w:r>
            <w:r>
              <w:rPr>
                <w:rFonts w:ascii="Times New Roman" w:hAnsi="Times New Roman" w:eastAsia="仿宋_GB2312"/>
                <w:color w:val="auto"/>
                <w:kern w:val="0"/>
                <w:sz w:val="24"/>
                <w:highlight w:val="none"/>
              </w:rPr>
              <w:t>就业创业政策性补贴资金支出率达90%。</w:t>
            </w:r>
          </w:p>
        </w:tc>
        <w:tc>
          <w:tcPr>
            <w:tcW w:w="1559" w:type="dxa"/>
            <w:noWrap w:val="0"/>
            <w:vAlign w:val="center"/>
          </w:tcPr>
          <w:p w14:paraId="491501B7">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人社局</w:t>
            </w:r>
          </w:p>
        </w:tc>
        <w:tc>
          <w:tcPr>
            <w:tcW w:w="3435" w:type="dxa"/>
            <w:noWrap w:val="0"/>
            <w:vAlign w:val="center"/>
          </w:tcPr>
          <w:p w14:paraId="38CD87E5">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hint="eastAsia" w:ascii="Times New Roman" w:hAnsi="Times New Roman" w:eastAsia="仿宋_GB2312"/>
                <w:color w:val="auto"/>
                <w:kern w:val="0"/>
                <w:sz w:val="24"/>
                <w:highlight w:val="none"/>
                <w:lang w:eastAsia="zh-CN"/>
              </w:rPr>
              <w:t>财政局</w:t>
            </w:r>
          </w:p>
        </w:tc>
      </w:tr>
      <w:tr w14:paraId="09D7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77" w:type="dxa"/>
            <w:noWrap w:val="0"/>
            <w:vAlign w:val="center"/>
          </w:tcPr>
          <w:p w14:paraId="1F5F2927">
            <w:pPr>
              <w:keepNext w:val="0"/>
              <w:keepLines w:val="0"/>
              <w:widowControl/>
              <w:suppressLineNumbers w:val="0"/>
              <w:jc w:val="center"/>
              <w:textAlignment w:val="auto"/>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1</w:t>
            </w:r>
            <w:r>
              <w:rPr>
                <w:rFonts w:hint="eastAsia" w:ascii="Times New Roman" w:hAnsi="Times New Roman" w:eastAsia="仿宋_GB2312" w:cs="Times New Roman"/>
                <w:i w:val="0"/>
                <w:color w:val="auto"/>
                <w:kern w:val="0"/>
                <w:sz w:val="24"/>
                <w:szCs w:val="24"/>
                <w:highlight w:val="none"/>
                <w:u w:val="none"/>
                <w:lang w:val="en-US" w:eastAsia="zh-CN" w:bidi="ar"/>
              </w:rPr>
              <w:t>23</w:t>
            </w:r>
          </w:p>
        </w:tc>
        <w:tc>
          <w:tcPr>
            <w:tcW w:w="1559" w:type="dxa"/>
            <w:vMerge w:val="continue"/>
            <w:noWrap w:val="0"/>
            <w:vAlign w:val="center"/>
          </w:tcPr>
          <w:p w14:paraId="46DD56B6">
            <w:pPr>
              <w:widowControl/>
              <w:jc w:val="left"/>
              <w:rPr>
                <w:rFonts w:ascii="Times New Roman" w:hAnsi="Times New Roman" w:eastAsia="仿宋_GB2312"/>
                <w:color w:val="auto"/>
                <w:kern w:val="0"/>
                <w:sz w:val="24"/>
                <w:highlight w:val="none"/>
              </w:rPr>
            </w:pPr>
          </w:p>
        </w:tc>
        <w:tc>
          <w:tcPr>
            <w:tcW w:w="6095" w:type="dxa"/>
            <w:noWrap w:val="0"/>
            <w:vAlign w:val="center"/>
          </w:tcPr>
          <w:p w14:paraId="2D61FAB6">
            <w:pPr>
              <w:widowControl/>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建立对网约配送员、网约车驾驶员等新型就业形态劳动者的权益保障机制，根据省的统一安排部署，扎实有序推进新就业形态就业人员职业伤害保障试点工作，发布典型案例和法律风险防范实用指南，维护新业态从业人员劳动权益。</w:t>
            </w:r>
          </w:p>
        </w:tc>
        <w:tc>
          <w:tcPr>
            <w:tcW w:w="1559" w:type="dxa"/>
            <w:noWrap w:val="0"/>
            <w:vAlign w:val="center"/>
          </w:tcPr>
          <w:p w14:paraId="03E38A15">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人社局</w:t>
            </w:r>
          </w:p>
        </w:tc>
        <w:tc>
          <w:tcPr>
            <w:tcW w:w="3435" w:type="dxa"/>
            <w:noWrap w:val="0"/>
            <w:vAlign w:val="center"/>
          </w:tcPr>
          <w:p w14:paraId="51EDFC9C">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03DE3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77" w:type="dxa"/>
            <w:noWrap w:val="0"/>
            <w:vAlign w:val="center"/>
          </w:tcPr>
          <w:p w14:paraId="6FEB5DA3">
            <w:pPr>
              <w:keepNext w:val="0"/>
              <w:keepLines w:val="0"/>
              <w:widowControl/>
              <w:suppressLineNumbers w:val="0"/>
              <w:jc w:val="center"/>
              <w:textAlignment w:val="auto"/>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1</w:t>
            </w:r>
            <w:r>
              <w:rPr>
                <w:rFonts w:hint="eastAsia" w:ascii="Times New Roman" w:hAnsi="Times New Roman" w:eastAsia="仿宋_GB2312" w:cs="Times New Roman"/>
                <w:i w:val="0"/>
                <w:color w:val="auto"/>
                <w:kern w:val="0"/>
                <w:sz w:val="24"/>
                <w:szCs w:val="24"/>
                <w:highlight w:val="none"/>
                <w:u w:val="none"/>
                <w:lang w:val="en-US" w:eastAsia="zh-CN" w:bidi="ar"/>
              </w:rPr>
              <w:t>24</w:t>
            </w:r>
          </w:p>
        </w:tc>
        <w:tc>
          <w:tcPr>
            <w:tcW w:w="1559" w:type="dxa"/>
            <w:vMerge w:val="restart"/>
            <w:noWrap w:val="0"/>
            <w:vAlign w:val="center"/>
          </w:tcPr>
          <w:p w14:paraId="765F77CC">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深化“无证明城市”改革</w:t>
            </w:r>
          </w:p>
        </w:tc>
        <w:tc>
          <w:tcPr>
            <w:tcW w:w="6095" w:type="dxa"/>
            <w:noWrap w:val="0"/>
            <w:vAlign w:val="center"/>
          </w:tcPr>
          <w:p w14:paraId="5C2FF690">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推动“无证明城市”智能化管理，扩大电子证照应用，加快电子证照存量转换，提高电子证照开通率，推动办事高频使用的证照实现电子证照核验，群众办事免携带免提交，逐步实现“证明免交、证照免带”，持续推进“减证便民”。</w:t>
            </w:r>
          </w:p>
        </w:tc>
        <w:tc>
          <w:tcPr>
            <w:tcW w:w="1559" w:type="dxa"/>
            <w:noWrap w:val="0"/>
            <w:vAlign w:val="center"/>
          </w:tcPr>
          <w:p w14:paraId="4F1B0B48">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司法局、政数局</w:t>
            </w:r>
          </w:p>
        </w:tc>
        <w:tc>
          <w:tcPr>
            <w:tcW w:w="3435" w:type="dxa"/>
            <w:noWrap w:val="0"/>
            <w:vAlign w:val="center"/>
          </w:tcPr>
          <w:p w14:paraId="1CD3995F">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委编办、宣传部、统战部，市发改局、教育局、公安局、民政局、财政局、人社局、社保局、自然资源局、生态局、住建局、</w:t>
            </w:r>
            <w:r>
              <w:rPr>
                <w:rFonts w:hint="eastAsia" w:ascii="Times New Roman" w:hAnsi="Times New Roman" w:eastAsia="仿宋_GB2312"/>
                <w:color w:val="auto"/>
                <w:kern w:val="0"/>
                <w:sz w:val="24"/>
                <w:highlight w:val="none"/>
                <w:lang w:eastAsia="zh-CN"/>
              </w:rPr>
              <w:t>交通运输局</w:t>
            </w:r>
            <w:r>
              <w:rPr>
                <w:rFonts w:ascii="Times New Roman" w:hAnsi="Times New Roman" w:eastAsia="仿宋_GB2312"/>
                <w:color w:val="auto"/>
                <w:kern w:val="0"/>
                <w:sz w:val="24"/>
                <w:highlight w:val="none"/>
              </w:rPr>
              <w:t>、水务局、农业局、</w:t>
            </w:r>
            <w:r>
              <w:rPr>
                <w:rFonts w:hint="eastAsia" w:ascii="Times New Roman" w:hAnsi="Times New Roman" w:eastAsia="仿宋_GB2312"/>
                <w:color w:val="auto"/>
                <w:kern w:val="0"/>
                <w:sz w:val="24"/>
                <w:highlight w:val="none"/>
                <w:lang w:val="en-US" w:eastAsia="zh-CN"/>
              </w:rPr>
              <w:t>科工</w:t>
            </w:r>
            <w:r>
              <w:rPr>
                <w:rFonts w:ascii="Times New Roman" w:hAnsi="Times New Roman" w:eastAsia="仿宋_GB2312"/>
                <w:color w:val="auto"/>
                <w:kern w:val="0"/>
                <w:sz w:val="24"/>
                <w:highlight w:val="none"/>
              </w:rPr>
              <w:t>局、文广旅体局、卫健局、应急局、市监局、医保局、金融局、信访局、林业局、人防办、税务局、消防</w:t>
            </w:r>
            <w:r>
              <w:rPr>
                <w:rFonts w:hint="eastAsia" w:ascii="Times New Roman" w:hAnsi="Times New Roman" w:eastAsia="仿宋_GB2312"/>
                <w:color w:val="auto"/>
                <w:kern w:val="0"/>
                <w:sz w:val="24"/>
                <w:highlight w:val="none"/>
                <w:lang w:val="en-US" w:eastAsia="zh-CN"/>
              </w:rPr>
              <w:t>大</w:t>
            </w:r>
            <w:r>
              <w:rPr>
                <w:rFonts w:ascii="Times New Roman" w:hAnsi="Times New Roman" w:eastAsia="仿宋_GB2312"/>
                <w:color w:val="auto"/>
                <w:kern w:val="0"/>
                <w:sz w:val="24"/>
                <w:highlight w:val="none"/>
              </w:rPr>
              <w:t>队、气象局、烟草局、</w:t>
            </w:r>
            <w:r>
              <w:rPr>
                <w:rFonts w:hint="eastAsia" w:ascii="Times New Roman" w:hAnsi="Times New Roman" w:eastAsia="仿宋_GB2312"/>
                <w:color w:val="auto"/>
                <w:kern w:val="0"/>
                <w:sz w:val="24"/>
                <w:highlight w:val="none"/>
                <w:lang w:val="en-US" w:eastAsia="zh-CN"/>
              </w:rPr>
              <w:t>市</w:t>
            </w:r>
            <w:r>
              <w:rPr>
                <w:rFonts w:ascii="Times New Roman" w:hAnsi="Times New Roman" w:eastAsia="仿宋_GB2312"/>
                <w:color w:val="auto"/>
                <w:kern w:val="0"/>
                <w:sz w:val="24"/>
                <w:highlight w:val="none"/>
              </w:rPr>
              <w:t>住房公积金管理中心</w:t>
            </w:r>
            <w:r>
              <w:rPr>
                <w:rFonts w:hint="eastAsia" w:ascii="Times New Roman" w:hAnsi="Times New Roman" w:eastAsia="仿宋_GB2312"/>
                <w:color w:val="auto"/>
                <w:kern w:val="0"/>
                <w:sz w:val="24"/>
                <w:highlight w:val="none"/>
                <w:lang w:val="en-US" w:eastAsia="zh-CN"/>
              </w:rPr>
              <w:t>海丰管理部</w:t>
            </w:r>
            <w:r>
              <w:rPr>
                <w:rFonts w:ascii="Times New Roman" w:hAnsi="Times New Roman" w:eastAsia="仿宋_GB2312"/>
                <w:color w:val="auto"/>
                <w:kern w:val="0"/>
                <w:sz w:val="24"/>
                <w:highlight w:val="none"/>
              </w:rPr>
              <w:t>、档案局、供电局、</w:t>
            </w:r>
            <w:r>
              <w:rPr>
                <w:rFonts w:hint="eastAsia" w:ascii="Times New Roman" w:hAnsi="Times New Roman" w:eastAsia="仿宋_GB2312"/>
                <w:color w:val="auto"/>
                <w:kern w:val="0"/>
                <w:sz w:val="24"/>
                <w:highlight w:val="none"/>
                <w:lang w:val="en-US" w:eastAsia="zh-CN"/>
              </w:rPr>
              <w:t>水务集团</w:t>
            </w:r>
            <w:r>
              <w:rPr>
                <w:rFonts w:ascii="Times New Roman" w:hAnsi="Times New Roman" w:eastAsia="仿宋_GB2312"/>
                <w:color w:val="auto"/>
                <w:kern w:val="0"/>
                <w:sz w:val="24"/>
                <w:highlight w:val="none"/>
              </w:rPr>
              <w:t>，</w:t>
            </w:r>
            <w:r>
              <w:rPr>
                <w:rFonts w:hint="eastAsia" w:ascii="Times New Roman" w:hAnsi="Times New Roman" w:eastAsia="仿宋_GB2312"/>
                <w:color w:val="auto"/>
                <w:kern w:val="0"/>
                <w:sz w:val="24"/>
                <w:highlight w:val="none"/>
                <w:lang w:val="en-US" w:eastAsia="zh-CN"/>
              </w:rPr>
              <w:t>海丰深燃</w:t>
            </w:r>
            <w:r>
              <w:rPr>
                <w:rFonts w:ascii="Times New Roman" w:hAnsi="Times New Roman" w:eastAsia="仿宋_GB2312"/>
                <w:color w:val="auto"/>
                <w:kern w:val="0"/>
                <w:sz w:val="24"/>
                <w:highlight w:val="none"/>
              </w:rPr>
              <w:t>公司、广东广电</w:t>
            </w:r>
            <w:r>
              <w:rPr>
                <w:rFonts w:hint="eastAsia" w:ascii="Times New Roman" w:hAnsi="Times New Roman" w:eastAsia="仿宋_GB2312"/>
                <w:color w:val="auto"/>
                <w:kern w:val="0"/>
                <w:sz w:val="24"/>
                <w:highlight w:val="none"/>
                <w:lang w:val="en-US" w:eastAsia="zh-CN"/>
              </w:rPr>
              <w:t>网络海丰</w:t>
            </w:r>
            <w:r>
              <w:rPr>
                <w:rFonts w:ascii="Times New Roman" w:hAnsi="Times New Roman" w:eastAsia="仿宋_GB2312"/>
                <w:color w:val="auto"/>
                <w:kern w:val="0"/>
                <w:sz w:val="24"/>
                <w:highlight w:val="none"/>
              </w:rPr>
              <w:t>分公司</w:t>
            </w:r>
          </w:p>
        </w:tc>
      </w:tr>
      <w:tr w14:paraId="4612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77" w:type="dxa"/>
            <w:noWrap w:val="0"/>
            <w:vAlign w:val="center"/>
          </w:tcPr>
          <w:p w14:paraId="1880FB26">
            <w:pPr>
              <w:keepNext w:val="0"/>
              <w:keepLines w:val="0"/>
              <w:widowControl/>
              <w:suppressLineNumbers w:val="0"/>
              <w:jc w:val="center"/>
              <w:textAlignment w:val="auto"/>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1</w:t>
            </w:r>
            <w:r>
              <w:rPr>
                <w:rFonts w:hint="eastAsia" w:ascii="Times New Roman" w:hAnsi="Times New Roman" w:eastAsia="仿宋_GB2312" w:cs="Times New Roman"/>
                <w:i w:val="0"/>
                <w:color w:val="auto"/>
                <w:kern w:val="0"/>
                <w:sz w:val="24"/>
                <w:szCs w:val="24"/>
                <w:highlight w:val="none"/>
                <w:u w:val="none"/>
                <w:lang w:val="en-US" w:eastAsia="zh-CN" w:bidi="ar"/>
              </w:rPr>
              <w:t>25</w:t>
            </w:r>
          </w:p>
        </w:tc>
        <w:tc>
          <w:tcPr>
            <w:tcW w:w="1559" w:type="dxa"/>
            <w:vMerge w:val="continue"/>
            <w:noWrap w:val="0"/>
            <w:vAlign w:val="center"/>
          </w:tcPr>
          <w:p w14:paraId="4B893D94">
            <w:pPr>
              <w:widowControl/>
              <w:jc w:val="left"/>
              <w:rPr>
                <w:rFonts w:ascii="Times New Roman" w:hAnsi="Times New Roman" w:eastAsia="仿宋_GB2312"/>
                <w:color w:val="auto"/>
                <w:kern w:val="0"/>
                <w:sz w:val="24"/>
                <w:highlight w:val="none"/>
              </w:rPr>
            </w:pPr>
          </w:p>
        </w:tc>
        <w:tc>
          <w:tcPr>
            <w:tcW w:w="6095" w:type="dxa"/>
            <w:noWrap w:val="0"/>
            <w:vAlign w:val="center"/>
          </w:tcPr>
          <w:p w14:paraId="0C68F379">
            <w:pPr>
              <w:widowControl/>
              <w:jc w:val="left"/>
              <w:rPr>
                <w:rFonts w:ascii="Times New Roman" w:hAnsi="Times New Roman" w:eastAsia="仿宋_GB2312"/>
                <w:color w:val="auto"/>
                <w:kern w:val="0"/>
                <w:sz w:val="24"/>
                <w:highlight w:val="none"/>
              </w:rPr>
            </w:pPr>
            <w:r>
              <w:rPr>
                <w:rFonts w:hint="eastAsia" w:ascii="Times New Roman" w:hAnsi="Times New Roman" w:eastAsia="仿宋_GB2312" w:cs="Times New Roman"/>
                <w:color w:val="auto"/>
                <w:kern w:val="0"/>
                <w:sz w:val="24"/>
                <w:szCs w:val="24"/>
                <w:highlight w:val="none"/>
              </w:rPr>
              <w:t>在原有</w:t>
            </w:r>
            <w:r>
              <w:rPr>
                <w:rFonts w:hint="eastAsia" w:ascii="Times New Roman" w:hAnsi="Times New Roman" w:eastAsia="仿宋_GB2312" w:cs="Times New Roman"/>
                <w:color w:val="auto"/>
                <w:kern w:val="0"/>
                <w:sz w:val="24"/>
                <w:szCs w:val="24"/>
                <w:highlight w:val="none"/>
                <w:lang w:val="en-US" w:eastAsia="zh-CN"/>
              </w:rPr>
              <w:t>2268个</w:t>
            </w:r>
            <w:r>
              <w:rPr>
                <w:rFonts w:hint="eastAsia" w:ascii="Times New Roman" w:hAnsi="Times New Roman" w:eastAsia="仿宋_GB2312" w:cs="Times New Roman"/>
                <w:color w:val="auto"/>
                <w:kern w:val="0"/>
                <w:sz w:val="24"/>
                <w:szCs w:val="24"/>
                <w:highlight w:val="none"/>
              </w:rPr>
              <w:t>证明材料取消、替代的基础上，再深化拓展“无证明城</w:t>
            </w:r>
            <w:r>
              <w:rPr>
                <w:rFonts w:hint="eastAsia" w:ascii="Times New Roman" w:hAnsi="Times New Roman" w:eastAsia="仿宋_GB2312" w:cs="Times New Roman"/>
                <w:color w:val="auto"/>
                <w:kern w:val="0"/>
                <w:sz w:val="24"/>
                <w:szCs w:val="24"/>
                <w:highlight w:val="none"/>
                <w:lang w:val="en-US" w:eastAsia="zh-CN"/>
              </w:rPr>
              <w:t>市</w:t>
            </w:r>
            <w:r>
              <w:rPr>
                <w:rFonts w:hint="eastAsia" w:ascii="Times New Roman" w:hAnsi="Times New Roman" w:eastAsia="仿宋_GB2312" w:cs="Times New Roman"/>
                <w:color w:val="auto"/>
                <w:kern w:val="0"/>
                <w:sz w:val="24"/>
                <w:szCs w:val="24"/>
                <w:highlight w:val="none"/>
              </w:rPr>
              <w:t>”惠利面</w:t>
            </w:r>
            <w:r>
              <w:rPr>
                <w:rFonts w:hint="eastAsia" w:ascii="Times New Roman" w:hAnsi="Times New Roman" w:eastAsia="仿宋_GB2312" w:cs="Times New Roman"/>
                <w:color w:val="auto"/>
                <w:kern w:val="0"/>
                <w:sz w:val="24"/>
                <w:szCs w:val="24"/>
                <w:highlight w:val="none"/>
                <w:lang w:eastAsia="zh-CN"/>
              </w:rPr>
              <w:t>，</w:t>
            </w:r>
            <w:r>
              <w:rPr>
                <w:rFonts w:hint="eastAsia" w:ascii="Times New Roman" w:hAnsi="Times New Roman" w:eastAsia="仿宋_GB2312" w:cs="Times New Roman"/>
                <w:color w:val="auto"/>
                <w:kern w:val="0"/>
                <w:sz w:val="24"/>
                <w:szCs w:val="24"/>
                <w:highlight w:val="none"/>
              </w:rPr>
              <w:t>覆盖“银保监”领域</w:t>
            </w:r>
            <w:r>
              <w:rPr>
                <w:rFonts w:hint="eastAsia" w:ascii="Times New Roman" w:hAnsi="Times New Roman" w:eastAsia="仿宋_GB2312" w:cs="Times New Roman"/>
                <w:color w:val="auto"/>
                <w:kern w:val="0"/>
                <w:sz w:val="24"/>
                <w:szCs w:val="24"/>
                <w:highlight w:val="none"/>
                <w:lang w:eastAsia="zh-CN"/>
              </w:rPr>
              <w:t>。</w:t>
            </w:r>
          </w:p>
        </w:tc>
        <w:tc>
          <w:tcPr>
            <w:tcW w:w="1559" w:type="dxa"/>
            <w:noWrap w:val="0"/>
            <w:vAlign w:val="center"/>
          </w:tcPr>
          <w:p w14:paraId="5A8963FF">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司法局、政数局</w:t>
            </w:r>
          </w:p>
        </w:tc>
        <w:tc>
          <w:tcPr>
            <w:tcW w:w="3435" w:type="dxa"/>
            <w:noWrap w:val="0"/>
            <w:vAlign w:val="center"/>
          </w:tcPr>
          <w:p w14:paraId="0321A73A">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委编办、宣传部、统战部，发改局、教育局、公安局、民政局、财政局、人社局、社保局、自然资源局、生态局、住建局、</w:t>
            </w:r>
            <w:r>
              <w:rPr>
                <w:rFonts w:hint="eastAsia" w:ascii="Times New Roman" w:hAnsi="Times New Roman" w:eastAsia="仿宋_GB2312"/>
                <w:color w:val="auto"/>
                <w:kern w:val="0"/>
                <w:sz w:val="24"/>
                <w:highlight w:val="none"/>
                <w:lang w:eastAsia="zh-CN"/>
              </w:rPr>
              <w:t>交通运输局</w:t>
            </w:r>
            <w:r>
              <w:rPr>
                <w:rFonts w:ascii="Times New Roman" w:hAnsi="Times New Roman" w:eastAsia="仿宋_GB2312"/>
                <w:color w:val="auto"/>
                <w:kern w:val="0"/>
                <w:sz w:val="24"/>
                <w:highlight w:val="none"/>
              </w:rPr>
              <w:t>、水务局、农业局、</w:t>
            </w:r>
            <w:r>
              <w:rPr>
                <w:rFonts w:hint="eastAsia" w:ascii="Times New Roman" w:hAnsi="Times New Roman" w:eastAsia="仿宋_GB2312"/>
                <w:color w:val="auto"/>
                <w:kern w:val="0"/>
                <w:sz w:val="24"/>
                <w:highlight w:val="none"/>
                <w:lang w:val="en-US" w:eastAsia="zh-CN"/>
              </w:rPr>
              <w:t>科工</w:t>
            </w:r>
            <w:r>
              <w:rPr>
                <w:rFonts w:ascii="Times New Roman" w:hAnsi="Times New Roman" w:eastAsia="仿宋_GB2312"/>
                <w:color w:val="auto"/>
                <w:kern w:val="0"/>
                <w:sz w:val="24"/>
                <w:highlight w:val="none"/>
              </w:rPr>
              <w:t>局、文广旅体局、卫健局、应急局、市监局、医保局、金融局、信访局、林业局、人防办、税务局、消防</w:t>
            </w:r>
            <w:r>
              <w:rPr>
                <w:rFonts w:hint="eastAsia" w:ascii="Times New Roman" w:hAnsi="Times New Roman" w:eastAsia="仿宋_GB2312"/>
                <w:color w:val="auto"/>
                <w:kern w:val="0"/>
                <w:sz w:val="24"/>
                <w:highlight w:val="none"/>
                <w:lang w:val="en-US" w:eastAsia="zh-CN"/>
              </w:rPr>
              <w:t>大</w:t>
            </w:r>
            <w:r>
              <w:rPr>
                <w:rFonts w:ascii="Times New Roman" w:hAnsi="Times New Roman" w:eastAsia="仿宋_GB2312"/>
                <w:color w:val="auto"/>
                <w:kern w:val="0"/>
                <w:sz w:val="24"/>
                <w:highlight w:val="none"/>
              </w:rPr>
              <w:t>队、气象局、烟草局、</w:t>
            </w:r>
            <w:r>
              <w:rPr>
                <w:rFonts w:hint="eastAsia" w:ascii="Times New Roman" w:hAnsi="Times New Roman" w:eastAsia="仿宋_GB2312"/>
                <w:color w:val="auto"/>
                <w:kern w:val="0"/>
                <w:sz w:val="24"/>
                <w:highlight w:val="none"/>
                <w:lang w:val="en-US" w:eastAsia="zh-CN"/>
              </w:rPr>
              <w:t>市</w:t>
            </w:r>
            <w:r>
              <w:rPr>
                <w:rFonts w:ascii="Times New Roman" w:hAnsi="Times New Roman" w:eastAsia="仿宋_GB2312"/>
                <w:color w:val="auto"/>
                <w:kern w:val="0"/>
                <w:sz w:val="24"/>
                <w:highlight w:val="none"/>
              </w:rPr>
              <w:t>住房公积金管理中心</w:t>
            </w:r>
            <w:r>
              <w:rPr>
                <w:rFonts w:hint="eastAsia" w:ascii="Times New Roman" w:hAnsi="Times New Roman" w:eastAsia="仿宋_GB2312"/>
                <w:color w:val="auto"/>
                <w:kern w:val="0"/>
                <w:sz w:val="24"/>
                <w:highlight w:val="none"/>
                <w:lang w:val="en-US" w:eastAsia="zh-CN"/>
              </w:rPr>
              <w:t>海丰管理部</w:t>
            </w:r>
            <w:r>
              <w:rPr>
                <w:rFonts w:ascii="Times New Roman" w:hAnsi="Times New Roman" w:eastAsia="仿宋_GB2312"/>
                <w:color w:val="auto"/>
                <w:kern w:val="0"/>
                <w:sz w:val="24"/>
                <w:highlight w:val="none"/>
              </w:rPr>
              <w:t>、档案局、供电局、</w:t>
            </w:r>
            <w:r>
              <w:rPr>
                <w:rFonts w:hint="eastAsia" w:ascii="Times New Roman" w:hAnsi="Times New Roman" w:eastAsia="仿宋_GB2312"/>
                <w:color w:val="auto"/>
                <w:kern w:val="0"/>
                <w:sz w:val="24"/>
                <w:highlight w:val="none"/>
                <w:lang w:val="en-US" w:eastAsia="zh-CN"/>
              </w:rPr>
              <w:t>县水务集团</w:t>
            </w:r>
            <w:r>
              <w:rPr>
                <w:rFonts w:hint="eastAsia" w:ascii="Times New Roman" w:hAnsi="Times New Roman" w:eastAsia="仿宋_GB2312"/>
                <w:color w:val="auto"/>
                <w:kern w:val="0"/>
                <w:sz w:val="24"/>
                <w:highlight w:val="none"/>
                <w:lang w:eastAsia="zh-CN"/>
              </w:rPr>
              <w:t>，</w:t>
            </w:r>
            <w:r>
              <w:rPr>
                <w:rFonts w:hint="eastAsia" w:ascii="Times New Roman" w:hAnsi="Times New Roman" w:eastAsia="仿宋_GB2312"/>
                <w:color w:val="auto"/>
                <w:kern w:val="0"/>
                <w:sz w:val="24"/>
                <w:highlight w:val="none"/>
                <w:lang w:val="en-US" w:eastAsia="zh-CN"/>
              </w:rPr>
              <w:t>海丰深燃</w:t>
            </w:r>
            <w:r>
              <w:rPr>
                <w:rFonts w:ascii="Times New Roman" w:hAnsi="Times New Roman" w:eastAsia="仿宋_GB2312"/>
                <w:color w:val="auto"/>
                <w:kern w:val="0"/>
                <w:sz w:val="24"/>
                <w:highlight w:val="none"/>
              </w:rPr>
              <w:t>公司、广东广电</w:t>
            </w:r>
            <w:r>
              <w:rPr>
                <w:rFonts w:hint="eastAsia" w:ascii="Times New Roman" w:hAnsi="Times New Roman" w:eastAsia="仿宋_GB2312"/>
                <w:color w:val="auto"/>
                <w:kern w:val="0"/>
                <w:sz w:val="24"/>
                <w:highlight w:val="none"/>
                <w:lang w:val="en-US" w:eastAsia="zh-CN"/>
              </w:rPr>
              <w:t>网络海丰</w:t>
            </w:r>
            <w:r>
              <w:rPr>
                <w:rFonts w:ascii="Times New Roman" w:hAnsi="Times New Roman" w:eastAsia="仿宋_GB2312"/>
                <w:color w:val="auto"/>
                <w:kern w:val="0"/>
                <w:sz w:val="24"/>
                <w:highlight w:val="none"/>
              </w:rPr>
              <w:t>分公司</w:t>
            </w:r>
          </w:p>
        </w:tc>
      </w:tr>
      <w:tr w14:paraId="6204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77" w:type="dxa"/>
            <w:noWrap w:val="0"/>
            <w:vAlign w:val="center"/>
          </w:tcPr>
          <w:p w14:paraId="5473CB14">
            <w:pPr>
              <w:keepNext w:val="0"/>
              <w:keepLines w:val="0"/>
              <w:widowControl/>
              <w:suppressLineNumbers w:val="0"/>
              <w:jc w:val="center"/>
              <w:textAlignment w:val="auto"/>
              <w:rPr>
                <w:rFonts w:hint="default" w:ascii="Times New Roman" w:hAnsi="Times New Roman" w:eastAsia="仿宋_GB2312" w:cs="Times New Roman"/>
                <w:color w:val="auto"/>
                <w:kern w:val="0"/>
                <w:sz w:val="24"/>
                <w:highlight w:val="none"/>
                <w:lang w:val="en-US"/>
              </w:rPr>
            </w:pPr>
            <w:r>
              <w:rPr>
                <w:rFonts w:hint="default" w:ascii="Times New Roman" w:hAnsi="Times New Roman" w:eastAsia="仿宋_GB2312" w:cs="Times New Roman"/>
                <w:i w:val="0"/>
                <w:color w:val="auto"/>
                <w:kern w:val="0"/>
                <w:sz w:val="24"/>
                <w:szCs w:val="24"/>
                <w:highlight w:val="none"/>
                <w:u w:val="none"/>
                <w:lang w:val="en-US" w:eastAsia="zh-CN" w:bidi="ar"/>
              </w:rPr>
              <w:t>1</w:t>
            </w:r>
            <w:r>
              <w:rPr>
                <w:rFonts w:hint="eastAsia" w:ascii="Times New Roman" w:hAnsi="Times New Roman" w:eastAsia="仿宋_GB2312" w:cs="Times New Roman"/>
                <w:i w:val="0"/>
                <w:color w:val="auto"/>
                <w:kern w:val="0"/>
                <w:sz w:val="24"/>
                <w:szCs w:val="24"/>
                <w:highlight w:val="none"/>
                <w:u w:val="none"/>
                <w:lang w:val="en-US" w:eastAsia="zh-CN" w:bidi="ar"/>
              </w:rPr>
              <w:t>26</w:t>
            </w:r>
          </w:p>
        </w:tc>
        <w:tc>
          <w:tcPr>
            <w:tcW w:w="1559" w:type="dxa"/>
            <w:vMerge w:val="restart"/>
            <w:noWrap w:val="0"/>
            <w:vAlign w:val="center"/>
          </w:tcPr>
          <w:p w14:paraId="15AA4D5B">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推进严格规范公正文明执法</w:t>
            </w:r>
          </w:p>
        </w:tc>
        <w:tc>
          <w:tcPr>
            <w:tcW w:w="6095" w:type="dxa"/>
            <w:noWrap w:val="0"/>
            <w:vAlign w:val="center"/>
          </w:tcPr>
          <w:p w14:paraId="5F12BDD6">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制定包容审慎监管企业清单并开展实质性运作，将市场轻微违法经营行为免处罚免强制清单范围扩展至各执法领域。</w:t>
            </w:r>
          </w:p>
        </w:tc>
        <w:tc>
          <w:tcPr>
            <w:tcW w:w="1559" w:type="dxa"/>
            <w:noWrap w:val="0"/>
            <w:vAlign w:val="center"/>
          </w:tcPr>
          <w:p w14:paraId="2D27E3E6">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司法局、市监局</w:t>
            </w:r>
          </w:p>
        </w:tc>
        <w:tc>
          <w:tcPr>
            <w:tcW w:w="3435" w:type="dxa"/>
            <w:noWrap w:val="0"/>
            <w:vAlign w:val="center"/>
          </w:tcPr>
          <w:p w14:paraId="7C98FAFF">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hint="eastAsia" w:ascii="Times New Roman" w:hAnsi="Times New Roman" w:eastAsia="仿宋_GB2312"/>
                <w:color w:val="auto"/>
                <w:kern w:val="0"/>
                <w:sz w:val="24"/>
                <w:highlight w:val="none"/>
                <w:lang w:eastAsia="zh-CN"/>
              </w:rPr>
              <w:t>交通运输局</w:t>
            </w:r>
            <w:r>
              <w:rPr>
                <w:rFonts w:ascii="Times New Roman" w:hAnsi="Times New Roman" w:eastAsia="仿宋_GB2312"/>
                <w:color w:val="auto"/>
                <w:kern w:val="0"/>
                <w:sz w:val="24"/>
                <w:highlight w:val="none"/>
              </w:rPr>
              <w:t>、</w:t>
            </w:r>
            <w:r>
              <w:rPr>
                <w:rFonts w:hint="eastAsia" w:ascii="Times New Roman" w:hAnsi="Times New Roman" w:eastAsia="仿宋_GB2312"/>
                <w:color w:val="auto"/>
                <w:kern w:val="0"/>
                <w:sz w:val="24"/>
                <w:highlight w:val="none"/>
                <w:lang w:val="en-US" w:eastAsia="zh-CN"/>
              </w:rPr>
              <w:t>市</w:t>
            </w:r>
            <w:r>
              <w:rPr>
                <w:rFonts w:ascii="Times New Roman" w:hAnsi="Times New Roman" w:eastAsia="仿宋_GB2312"/>
                <w:color w:val="auto"/>
                <w:kern w:val="0"/>
                <w:sz w:val="24"/>
                <w:highlight w:val="none"/>
              </w:rPr>
              <w:t>生态</w:t>
            </w:r>
            <w:r>
              <w:rPr>
                <w:rFonts w:hint="eastAsia" w:ascii="Times New Roman" w:hAnsi="Times New Roman" w:eastAsia="仿宋_GB2312"/>
                <w:color w:val="auto"/>
                <w:kern w:val="0"/>
                <w:sz w:val="24"/>
                <w:highlight w:val="none"/>
                <w:lang w:val="en-US" w:eastAsia="zh-CN"/>
              </w:rPr>
              <w:t>环境</w:t>
            </w:r>
            <w:r>
              <w:rPr>
                <w:rFonts w:ascii="Times New Roman" w:hAnsi="Times New Roman" w:eastAsia="仿宋_GB2312"/>
                <w:color w:val="auto"/>
                <w:kern w:val="0"/>
                <w:sz w:val="24"/>
                <w:highlight w:val="none"/>
              </w:rPr>
              <w:t>局</w:t>
            </w:r>
            <w:r>
              <w:rPr>
                <w:rFonts w:hint="eastAsia" w:ascii="Times New Roman" w:hAnsi="Times New Roman" w:eastAsia="仿宋_GB2312"/>
                <w:color w:val="auto"/>
                <w:kern w:val="0"/>
                <w:sz w:val="24"/>
                <w:highlight w:val="none"/>
                <w:lang w:val="en-US" w:eastAsia="zh-CN"/>
              </w:rPr>
              <w:t>海丰分局</w:t>
            </w:r>
            <w:r>
              <w:rPr>
                <w:rFonts w:ascii="Times New Roman" w:hAnsi="Times New Roman" w:eastAsia="仿宋_GB2312"/>
                <w:color w:val="auto"/>
                <w:kern w:val="0"/>
                <w:sz w:val="24"/>
                <w:highlight w:val="none"/>
              </w:rPr>
              <w:t>等行政执法单位</w:t>
            </w:r>
          </w:p>
        </w:tc>
      </w:tr>
      <w:tr w14:paraId="37FE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677" w:type="dxa"/>
            <w:noWrap w:val="0"/>
            <w:vAlign w:val="center"/>
          </w:tcPr>
          <w:p w14:paraId="6CAB9E85">
            <w:pPr>
              <w:keepNext w:val="0"/>
              <w:keepLines w:val="0"/>
              <w:widowControl/>
              <w:suppressLineNumbers w:val="0"/>
              <w:jc w:val="center"/>
              <w:textAlignment w:val="auto"/>
              <w:rPr>
                <w:rFonts w:hint="default" w:ascii="Times New Roman" w:hAnsi="Times New Roman" w:eastAsia="仿宋_GB2312" w:cs="Times New Roman"/>
                <w:color w:val="auto"/>
                <w:kern w:val="0"/>
                <w:sz w:val="24"/>
                <w:highlight w:val="none"/>
                <w:lang w:val="en-US"/>
              </w:rPr>
            </w:pPr>
            <w:r>
              <w:rPr>
                <w:rFonts w:hint="default" w:ascii="Times New Roman" w:hAnsi="Times New Roman" w:eastAsia="仿宋_GB2312" w:cs="Times New Roman"/>
                <w:i w:val="0"/>
                <w:color w:val="auto"/>
                <w:kern w:val="0"/>
                <w:sz w:val="24"/>
                <w:szCs w:val="24"/>
                <w:highlight w:val="none"/>
                <w:u w:val="none"/>
                <w:lang w:val="en-US" w:eastAsia="zh-CN" w:bidi="ar"/>
              </w:rPr>
              <w:t>1</w:t>
            </w:r>
            <w:r>
              <w:rPr>
                <w:rFonts w:hint="eastAsia" w:ascii="Times New Roman" w:hAnsi="Times New Roman" w:eastAsia="仿宋_GB2312" w:cs="Times New Roman"/>
                <w:i w:val="0"/>
                <w:color w:val="auto"/>
                <w:kern w:val="0"/>
                <w:sz w:val="24"/>
                <w:szCs w:val="24"/>
                <w:highlight w:val="none"/>
                <w:u w:val="none"/>
                <w:lang w:val="en-US" w:eastAsia="zh-CN" w:bidi="ar"/>
              </w:rPr>
              <w:t>27</w:t>
            </w:r>
          </w:p>
        </w:tc>
        <w:tc>
          <w:tcPr>
            <w:tcW w:w="1559" w:type="dxa"/>
            <w:vMerge w:val="continue"/>
            <w:noWrap w:val="0"/>
            <w:vAlign w:val="center"/>
          </w:tcPr>
          <w:p w14:paraId="46ABCB86">
            <w:pPr>
              <w:widowControl/>
              <w:jc w:val="left"/>
              <w:rPr>
                <w:rFonts w:ascii="Times New Roman" w:hAnsi="Times New Roman" w:eastAsia="仿宋_GB2312"/>
                <w:color w:val="auto"/>
                <w:kern w:val="0"/>
                <w:sz w:val="24"/>
                <w:highlight w:val="none"/>
              </w:rPr>
            </w:pPr>
          </w:p>
        </w:tc>
        <w:tc>
          <w:tcPr>
            <w:tcW w:w="6095" w:type="dxa"/>
            <w:noWrap w:val="0"/>
            <w:vAlign w:val="center"/>
          </w:tcPr>
          <w:p w14:paraId="7E3B8034">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认真研究梳理市场监管、交通运输、生态环境保护等领域监管规则，研究制定行政执法操作细则或操作规程，明确行政裁量种类、幅度和适用程序，尽可能消除模糊和兜底条款，严格限定自由裁量权的行使，纠正处罚畸轻畸重等不规范执法行为。</w:t>
            </w:r>
          </w:p>
        </w:tc>
        <w:tc>
          <w:tcPr>
            <w:tcW w:w="1559" w:type="dxa"/>
            <w:noWrap w:val="0"/>
            <w:vAlign w:val="center"/>
          </w:tcPr>
          <w:p w14:paraId="799644FE">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司法局、市监局</w:t>
            </w:r>
          </w:p>
        </w:tc>
        <w:tc>
          <w:tcPr>
            <w:tcW w:w="3435" w:type="dxa"/>
            <w:noWrap w:val="0"/>
            <w:vAlign w:val="center"/>
          </w:tcPr>
          <w:p w14:paraId="26ED61E9">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hint="eastAsia" w:ascii="Times New Roman" w:hAnsi="Times New Roman" w:eastAsia="仿宋_GB2312"/>
                <w:color w:val="auto"/>
                <w:kern w:val="0"/>
                <w:sz w:val="24"/>
                <w:highlight w:val="none"/>
                <w:lang w:eastAsia="zh-CN"/>
              </w:rPr>
              <w:t>交通运输局</w:t>
            </w:r>
            <w:r>
              <w:rPr>
                <w:rFonts w:ascii="Times New Roman" w:hAnsi="Times New Roman" w:eastAsia="仿宋_GB2312"/>
                <w:color w:val="auto"/>
                <w:kern w:val="0"/>
                <w:sz w:val="24"/>
                <w:highlight w:val="none"/>
              </w:rPr>
              <w:t>、</w:t>
            </w:r>
            <w:r>
              <w:rPr>
                <w:rFonts w:hint="eastAsia" w:ascii="Times New Roman" w:hAnsi="Times New Roman" w:eastAsia="仿宋_GB2312"/>
                <w:color w:val="auto"/>
                <w:kern w:val="0"/>
                <w:sz w:val="24"/>
                <w:highlight w:val="none"/>
                <w:lang w:val="en-US" w:eastAsia="zh-CN"/>
              </w:rPr>
              <w:t>市</w:t>
            </w:r>
            <w:r>
              <w:rPr>
                <w:rFonts w:ascii="Times New Roman" w:hAnsi="Times New Roman" w:eastAsia="仿宋_GB2312"/>
                <w:color w:val="auto"/>
                <w:kern w:val="0"/>
                <w:sz w:val="24"/>
                <w:highlight w:val="none"/>
              </w:rPr>
              <w:t>生态</w:t>
            </w:r>
            <w:r>
              <w:rPr>
                <w:rFonts w:hint="eastAsia" w:ascii="Times New Roman" w:hAnsi="Times New Roman" w:eastAsia="仿宋_GB2312"/>
                <w:color w:val="auto"/>
                <w:kern w:val="0"/>
                <w:sz w:val="24"/>
                <w:highlight w:val="none"/>
                <w:lang w:val="en-US" w:eastAsia="zh-CN"/>
              </w:rPr>
              <w:t>环境</w:t>
            </w:r>
            <w:r>
              <w:rPr>
                <w:rFonts w:ascii="Times New Roman" w:hAnsi="Times New Roman" w:eastAsia="仿宋_GB2312"/>
                <w:color w:val="auto"/>
                <w:kern w:val="0"/>
                <w:sz w:val="24"/>
                <w:highlight w:val="none"/>
              </w:rPr>
              <w:t>局</w:t>
            </w:r>
            <w:r>
              <w:rPr>
                <w:rFonts w:hint="eastAsia" w:ascii="Times New Roman" w:hAnsi="Times New Roman" w:eastAsia="仿宋_GB2312"/>
                <w:color w:val="auto"/>
                <w:kern w:val="0"/>
                <w:sz w:val="24"/>
                <w:highlight w:val="none"/>
                <w:lang w:val="en-US" w:eastAsia="zh-CN"/>
              </w:rPr>
              <w:t>海丰分局</w:t>
            </w:r>
            <w:r>
              <w:rPr>
                <w:rFonts w:ascii="Times New Roman" w:hAnsi="Times New Roman" w:eastAsia="仿宋_GB2312"/>
                <w:color w:val="auto"/>
                <w:kern w:val="0"/>
                <w:sz w:val="24"/>
                <w:highlight w:val="none"/>
              </w:rPr>
              <w:t>等行政执法单位</w:t>
            </w:r>
          </w:p>
        </w:tc>
      </w:tr>
      <w:tr w14:paraId="16737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77" w:type="dxa"/>
            <w:noWrap w:val="0"/>
            <w:vAlign w:val="center"/>
          </w:tcPr>
          <w:p w14:paraId="179E8A36">
            <w:pPr>
              <w:keepNext w:val="0"/>
              <w:keepLines w:val="0"/>
              <w:widowControl/>
              <w:suppressLineNumbers w:val="0"/>
              <w:jc w:val="center"/>
              <w:textAlignment w:val="auto"/>
              <w:rPr>
                <w:rFonts w:hint="default" w:ascii="Times New Roman" w:hAnsi="Times New Roman" w:eastAsia="仿宋_GB2312" w:cs="Times New Roman"/>
                <w:color w:val="auto"/>
                <w:kern w:val="0"/>
                <w:sz w:val="24"/>
                <w:highlight w:val="none"/>
                <w:lang w:val="en-US"/>
              </w:rPr>
            </w:pPr>
            <w:r>
              <w:rPr>
                <w:rFonts w:hint="default" w:ascii="Times New Roman" w:hAnsi="Times New Roman" w:eastAsia="仿宋_GB2312" w:cs="Times New Roman"/>
                <w:i w:val="0"/>
                <w:color w:val="auto"/>
                <w:kern w:val="0"/>
                <w:sz w:val="24"/>
                <w:szCs w:val="24"/>
                <w:highlight w:val="none"/>
                <w:u w:val="none"/>
                <w:lang w:val="en-US" w:eastAsia="zh-CN" w:bidi="ar"/>
              </w:rPr>
              <w:t>1</w:t>
            </w:r>
            <w:r>
              <w:rPr>
                <w:rFonts w:hint="eastAsia" w:ascii="Times New Roman" w:hAnsi="Times New Roman" w:eastAsia="仿宋_GB2312" w:cs="Times New Roman"/>
                <w:i w:val="0"/>
                <w:color w:val="auto"/>
                <w:kern w:val="0"/>
                <w:sz w:val="24"/>
                <w:szCs w:val="24"/>
                <w:highlight w:val="none"/>
                <w:u w:val="none"/>
                <w:lang w:val="en-US" w:eastAsia="zh-CN" w:bidi="ar"/>
              </w:rPr>
              <w:t>28</w:t>
            </w:r>
          </w:p>
        </w:tc>
        <w:tc>
          <w:tcPr>
            <w:tcW w:w="1559" w:type="dxa"/>
            <w:vMerge w:val="continue"/>
            <w:noWrap w:val="0"/>
            <w:vAlign w:val="center"/>
          </w:tcPr>
          <w:p w14:paraId="6A5492E0">
            <w:pPr>
              <w:widowControl/>
              <w:jc w:val="left"/>
              <w:rPr>
                <w:rFonts w:ascii="Times New Roman" w:hAnsi="Times New Roman" w:eastAsia="仿宋_GB2312"/>
                <w:color w:val="auto"/>
                <w:kern w:val="0"/>
                <w:sz w:val="24"/>
                <w:highlight w:val="none"/>
              </w:rPr>
            </w:pPr>
          </w:p>
        </w:tc>
        <w:tc>
          <w:tcPr>
            <w:tcW w:w="6095" w:type="dxa"/>
            <w:noWrap w:val="0"/>
            <w:vAlign w:val="center"/>
          </w:tcPr>
          <w:p w14:paraId="56D21BF9">
            <w:pPr>
              <w:widowControl/>
              <w:jc w:val="left"/>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rPr>
              <w:t>强化职权下放部门对下放镇街实施的三批</w:t>
            </w:r>
            <w:r>
              <w:rPr>
                <w:rFonts w:hint="eastAsia" w:ascii="Times New Roman" w:hAnsi="Times New Roman" w:eastAsia="仿宋_GB2312"/>
                <w:color w:val="auto"/>
                <w:kern w:val="0"/>
                <w:sz w:val="24"/>
                <w:highlight w:val="none"/>
                <w:lang w:val="en-US" w:eastAsia="zh-CN"/>
              </w:rPr>
              <w:t>664</w:t>
            </w:r>
            <w:r>
              <w:rPr>
                <w:rFonts w:hint="eastAsia" w:ascii="Times New Roman" w:hAnsi="Times New Roman" w:eastAsia="仿宋_GB2312"/>
                <w:color w:val="auto"/>
                <w:kern w:val="0"/>
                <w:sz w:val="24"/>
                <w:highlight w:val="none"/>
              </w:rPr>
              <w:t>项县级行政执法事项进行再优化、再培训，提升乡镇（街道）规范执法水平。</w:t>
            </w:r>
          </w:p>
        </w:tc>
        <w:tc>
          <w:tcPr>
            <w:tcW w:w="1559" w:type="dxa"/>
            <w:noWrap w:val="0"/>
            <w:vAlign w:val="center"/>
          </w:tcPr>
          <w:p w14:paraId="0BEBFB22">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司法局、市监局</w:t>
            </w:r>
          </w:p>
        </w:tc>
        <w:tc>
          <w:tcPr>
            <w:tcW w:w="3435" w:type="dxa"/>
            <w:noWrap w:val="0"/>
            <w:vAlign w:val="center"/>
          </w:tcPr>
          <w:p w14:paraId="0BDE9499">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hint="eastAsia" w:ascii="Times New Roman" w:hAnsi="Times New Roman" w:eastAsia="仿宋_GB2312"/>
                <w:color w:val="auto"/>
                <w:kern w:val="0"/>
                <w:sz w:val="24"/>
                <w:highlight w:val="none"/>
                <w:lang w:eastAsia="zh-CN"/>
              </w:rPr>
              <w:t>交通运输局</w:t>
            </w:r>
            <w:r>
              <w:rPr>
                <w:rFonts w:ascii="Times New Roman" w:hAnsi="Times New Roman" w:eastAsia="仿宋_GB2312"/>
                <w:color w:val="auto"/>
                <w:kern w:val="0"/>
                <w:sz w:val="24"/>
                <w:highlight w:val="none"/>
              </w:rPr>
              <w:t>、</w:t>
            </w:r>
            <w:r>
              <w:rPr>
                <w:rFonts w:hint="eastAsia" w:ascii="Times New Roman" w:hAnsi="Times New Roman" w:eastAsia="仿宋_GB2312"/>
                <w:color w:val="auto"/>
                <w:kern w:val="0"/>
                <w:sz w:val="24"/>
                <w:highlight w:val="none"/>
                <w:lang w:val="en-US" w:eastAsia="zh-CN"/>
              </w:rPr>
              <w:t>市</w:t>
            </w:r>
            <w:r>
              <w:rPr>
                <w:rFonts w:ascii="Times New Roman" w:hAnsi="Times New Roman" w:eastAsia="仿宋_GB2312"/>
                <w:color w:val="auto"/>
                <w:kern w:val="0"/>
                <w:sz w:val="24"/>
                <w:highlight w:val="none"/>
              </w:rPr>
              <w:t>生态</w:t>
            </w:r>
            <w:r>
              <w:rPr>
                <w:rFonts w:hint="eastAsia" w:ascii="Times New Roman" w:hAnsi="Times New Roman" w:eastAsia="仿宋_GB2312"/>
                <w:color w:val="auto"/>
                <w:kern w:val="0"/>
                <w:sz w:val="24"/>
                <w:highlight w:val="none"/>
                <w:lang w:val="en-US" w:eastAsia="zh-CN"/>
              </w:rPr>
              <w:t>环境</w:t>
            </w:r>
            <w:r>
              <w:rPr>
                <w:rFonts w:ascii="Times New Roman" w:hAnsi="Times New Roman" w:eastAsia="仿宋_GB2312"/>
                <w:color w:val="auto"/>
                <w:kern w:val="0"/>
                <w:sz w:val="24"/>
                <w:highlight w:val="none"/>
              </w:rPr>
              <w:t>局</w:t>
            </w:r>
            <w:r>
              <w:rPr>
                <w:rFonts w:hint="eastAsia" w:ascii="Times New Roman" w:hAnsi="Times New Roman" w:eastAsia="仿宋_GB2312"/>
                <w:color w:val="auto"/>
                <w:kern w:val="0"/>
                <w:sz w:val="24"/>
                <w:highlight w:val="none"/>
                <w:lang w:val="en-US" w:eastAsia="zh-CN"/>
              </w:rPr>
              <w:t>海丰分局</w:t>
            </w:r>
            <w:r>
              <w:rPr>
                <w:rFonts w:ascii="Times New Roman" w:hAnsi="Times New Roman" w:eastAsia="仿宋_GB2312"/>
                <w:color w:val="auto"/>
                <w:kern w:val="0"/>
                <w:sz w:val="24"/>
                <w:highlight w:val="none"/>
              </w:rPr>
              <w:t>等行政执法单位</w:t>
            </w:r>
          </w:p>
        </w:tc>
      </w:tr>
      <w:tr w14:paraId="4523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7" w:type="dxa"/>
            <w:noWrap w:val="0"/>
            <w:vAlign w:val="center"/>
          </w:tcPr>
          <w:p w14:paraId="58FF8B03">
            <w:pPr>
              <w:keepNext w:val="0"/>
              <w:keepLines w:val="0"/>
              <w:widowControl/>
              <w:suppressLineNumbers w:val="0"/>
              <w:jc w:val="center"/>
              <w:textAlignment w:val="auto"/>
              <w:rPr>
                <w:rFonts w:hint="default" w:ascii="Times New Roman" w:hAnsi="Times New Roman" w:eastAsia="仿宋_GB2312" w:cs="Times New Roman"/>
                <w:color w:val="auto"/>
                <w:kern w:val="0"/>
                <w:sz w:val="24"/>
                <w:highlight w:val="none"/>
                <w:lang w:val="en-US"/>
              </w:rPr>
            </w:pPr>
            <w:r>
              <w:rPr>
                <w:rFonts w:hint="default" w:ascii="Times New Roman" w:hAnsi="Times New Roman" w:eastAsia="仿宋_GB2312" w:cs="Times New Roman"/>
                <w:i w:val="0"/>
                <w:color w:val="auto"/>
                <w:kern w:val="0"/>
                <w:sz w:val="24"/>
                <w:szCs w:val="24"/>
                <w:highlight w:val="none"/>
                <w:u w:val="none"/>
                <w:lang w:val="en-US" w:eastAsia="zh-CN" w:bidi="ar"/>
              </w:rPr>
              <w:t>1</w:t>
            </w:r>
            <w:r>
              <w:rPr>
                <w:rFonts w:hint="eastAsia" w:ascii="Times New Roman" w:hAnsi="Times New Roman" w:eastAsia="仿宋_GB2312" w:cs="Times New Roman"/>
                <w:i w:val="0"/>
                <w:color w:val="auto"/>
                <w:kern w:val="0"/>
                <w:sz w:val="24"/>
                <w:szCs w:val="24"/>
                <w:highlight w:val="none"/>
                <w:u w:val="none"/>
                <w:lang w:val="en-US" w:eastAsia="zh-CN" w:bidi="ar"/>
              </w:rPr>
              <w:t>29</w:t>
            </w:r>
          </w:p>
        </w:tc>
        <w:tc>
          <w:tcPr>
            <w:tcW w:w="1559" w:type="dxa"/>
            <w:vMerge w:val="continue"/>
            <w:noWrap w:val="0"/>
            <w:vAlign w:val="center"/>
          </w:tcPr>
          <w:p w14:paraId="68535C05">
            <w:pPr>
              <w:widowControl/>
              <w:jc w:val="left"/>
              <w:rPr>
                <w:rFonts w:ascii="Times New Roman" w:hAnsi="Times New Roman" w:eastAsia="仿宋_GB2312"/>
                <w:color w:val="auto"/>
                <w:kern w:val="0"/>
                <w:sz w:val="24"/>
                <w:highlight w:val="none"/>
              </w:rPr>
            </w:pPr>
          </w:p>
        </w:tc>
        <w:tc>
          <w:tcPr>
            <w:tcW w:w="6095" w:type="dxa"/>
            <w:noWrap w:val="0"/>
            <w:vAlign w:val="center"/>
          </w:tcPr>
          <w:p w14:paraId="5DBBB2F8">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积极推行非现场监管，加快推动行政执法科技应用，率先在食品、特种设备、交通运输、城市管理、生态环境等领域推进远程监管、移动监管、预警监管，运用视频图像、卫星遥感、人工智能和物联网等现代信息技术，提高非现场检查比例和主动发现识别违法违规线索能力。</w:t>
            </w:r>
          </w:p>
        </w:tc>
        <w:tc>
          <w:tcPr>
            <w:tcW w:w="1559" w:type="dxa"/>
            <w:noWrap w:val="0"/>
            <w:vAlign w:val="center"/>
          </w:tcPr>
          <w:p w14:paraId="65FBDDA8">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司法局、市监局</w:t>
            </w:r>
          </w:p>
        </w:tc>
        <w:tc>
          <w:tcPr>
            <w:tcW w:w="3435" w:type="dxa"/>
            <w:noWrap w:val="0"/>
            <w:vAlign w:val="center"/>
          </w:tcPr>
          <w:p w14:paraId="18F20621">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hint="eastAsia" w:ascii="Times New Roman" w:hAnsi="Times New Roman" w:eastAsia="仿宋_GB2312"/>
                <w:color w:val="auto"/>
                <w:kern w:val="0"/>
                <w:sz w:val="24"/>
                <w:highlight w:val="none"/>
                <w:lang w:eastAsia="zh-CN"/>
              </w:rPr>
              <w:t>交通运输局</w:t>
            </w:r>
            <w:r>
              <w:rPr>
                <w:rFonts w:ascii="Times New Roman" w:hAnsi="Times New Roman" w:eastAsia="仿宋_GB2312"/>
                <w:color w:val="auto"/>
                <w:kern w:val="0"/>
                <w:sz w:val="24"/>
                <w:highlight w:val="none"/>
              </w:rPr>
              <w:t>、</w:t>
            </w:r>
            <w:r>
              <w:rPr>
                <w:rFonts w:hint="eastAsia" w:ascii="Times New Roman" w:hAnsi="Times New Roman" w:eastAsia="仿宋_GB2312"/>
                <w:color w:val="auto"/>
                <w:kern w:val="0"/>
                <w:sz w:val="24"/>
                <w:highlight w:val="none"/>
                <w:lang w:val="en-US" w:eastAsia="zh-CN"/>
              </w:rPr>
              <w:t>市</w:t>
            </w:r>
            <w:r>
              <w:rPr>
                <w:rFonts w:ascii="Times New Roman" w:hAnsi="Times New Roman" w:eastAsia="仿宋_GB2312"/>
                <w:color w:val="auto"/>
                <w:kern w:val="0"/>
                <w:sz w:val="24"/>
                <w:highlight w:val="none"/>
              </w:rPr>
              <w:t>生态</w:t>
            </w:r>
            <w:r>
              <w:rPr>
                <w:rFonts w:hint="eastAsia" w:ascii="Times New Roman" w:hAnsi="Times New Roman" w:eastAsia="仿宋_GB2312"/>
                <w:color w:val="auto"/>
                <w:kern w:val="0"/>
                <w:sz w:val="24"/>
                <w:highlight w:val="none"/>
                <w:lang w:val="en-US" w:eastAsia="zh-CN"/>
              </w:rPr>
              <w:t>环境</w:t>
            </w:r>
            <w:r>
              <w:rPr>
                <w:rFonts w:ascii="Times New Roman" w:hAnsi="Times New Roman" w:eastAsia="仿宋_GB2312"/>
                <w:color w:val="auto"/>
                <w:kern w:val="0"/>
                <w:sz w:val="24"/>
                <w:highlight w:val="none"/>
              </w:rPr>
              <w:t>局</w:t>
            </w:r>
            <w:r>
              <w:rPr>
                <w:rFonts w:hint="eastAsia" w:ascii="Times New Roman" w:hAnsi="Times New Roman" w:eastAsia="仿宋_GB2312"/>
                <w:color w:val="auto"/>
                <w:kern w:val="0"/>
                <w:sz w:val="24"/>
                <w:highlight w:val="none"/>
                <w:lang w:val="en-US" w:eastAsia="zh-CN"/>
              </w:rPr>
              <w:t>海丰分局</w:t>
            </w:r>
            <w:r>
              <w:rPr>
                <w:rFonts w:ascii="Times New Roman" w:hAnsi="Times New Roman" w:eastAsia="仿宋_GB2312"/>
                <w:color w:val="auto"/>
                <w:kern w:val="0"/>
                <w:sz w:val="24"/>
                <w:highlight w:val="none"/>
              </w:rPr>
              <w:t>等行政执法单位</w:t>
            </w:r>
          </w:p>
        </w:tc>
      </w:tr>
      <w:tr w14:paraId="79A2C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77" w:type="dxa"/>
            <w:noWrap w:val="0"/>
            <w:vAlign w:val="center"/>
          </w:tcPr>
          <w:p w14:paraId="78490D54">
            <w:pPr>
              <w:keepNext w:val="0"/>
              <w:keepLines w:val="0"/>
              <w:widowControl/>
              <w:suppressLineNumbers w:val="0"/>
              <w:jc w:val="center"/>
              <w:textAlignment w:val="auto"/>
              <w:rPr>
                <w:rFonts w:hint="default" w:ascii="Times New Roman" w:hAnsi="Times New Roman" w:eastAsia="仿宋_GB2312" w:cs="Times New Roman"/>
                <w:color w:val="auto"/>
                <w:kern w:val="0"/>
                <w:sz w:val="24"/>
                <w:highlight w:val="none"/>
                <w:lang w:val="en-US"/>
              </w:rPr>
            </w:pPr>
            <w:r>
              <w:rPr>
                <w:rFonts w:hint="default" w:ascii="Times New Roman" w:hAnsi="Times New Roman" w:eastAsia="仿宋_GB2312" w:cs="Times New Roman"/>
                <w:i w:val="0"/>
                <w:color w:val="auto"/>
                <w:kern w:val="0"/>
                <w:sz w:val="24"/>
                <w:szCs w:val="24"/>
                <w:highlight w:val="none"/>
                <w:u w:val="none"/>
                <w:lang w:val="en-US" w:eastAsia="zh-CN" w:bidi="ar"/>
              </w:rPr>
              <w:t>1</w:t>
            </w:r>
            <w:r>
              <w:rPr>
                <w:rFonts w:hint="eastAsia" w:ascii="Times New Roman" w:hAnsi="Times New Roman" w:eastAsia="仿宋_GB2312" w:cs="Times New Roman"/>
                <w:i w:val="0"/>
                <w:color w:val="auto"/>
                <w:kern w:val="0"/>
                <w:sz w:val="24"/>
                <w:szCs w:val="24"/>
                <w:highlight w:val="none"/>
                <w:u w:val="none"/>
                <w:lang w:val="en-US" w:eastAsia="zh-CN" w:bidi="ar"/>
              </w:rPr>
              <w:t>30</w:t>
            </w:r>
          </w:p>
        </w:tc>
        <w:tc>
          <w:tcPr>
            <w:tcW w:w="1559" w:type="dxa"/>
            <w:vMerge w:val="continue"/>
            <w:noWrap w:val="0"/>
            <w:vAlign w:val="center"/>
          </w:tcPr>
          <w:p w14:paraId="185F4EA5">
            <w:pPr>
              <w:widowControl/>
              <w:jc w:val="left"/>
              <w:rPr>
                <w:rFonts w:ascii="Times New Roman" w:hAnsi="Times New Roman" w:eastAsia="仿宋_GB2312"/>
                <w:color w:val="auto"/>
                <w:kern w:val="0"/>
                <w:sz w:val="24"/>
                <w:highlight w:val="none"/>
              </w:rPr>
            </w:pPr>
          </w:p>
        </w:tc>
        <w:tc>
          <w:tcPr>
            <w:tcW w:w="6095" w:type="dxa"/>
            <w:noWrap w:val="0"/>
            <w:vAlign w:val="center"/>
          </w:tcPr>
          <w:p w14:paraId="423347DF">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推动各级行政执法单位强化移动执法装备配置，通过现场证据固定、视频回传、线上流程审批等实现案件全流程闭环管理</w:t>
            </w:r>
            <w:r>
              <w:rPr>
                <w:rFonts w:hint="eastAsia" w:ascii="Times New Roman" w:hAnsi="Times New Roman" w:eastAsia="仿宋_GB2312"/>
                <w:color w:val="auto"/>
                <w:kern w:val="0"/>
                <w:sz w:val="24"/>
                <w:highlight w:val="none"/>
                <w:lang w:eastAsia="zh-CN"/>
              </w:rPr>
              <w:t>；加快汕尾市行政执法“两平台”本地化部署，全面建成汕尾市行政执法“两平台”，指导督促全</w:t>
            </w:r>
            <w:r>
              <w:rPr>
                <w:rFonts w:hint="eastAsia" w:ascii="Times New Roman" w:hAnsi="Times New Roman" w:eastAsia="仿宋_GB2312"/>
                <w:color w:val="auto"/>
                <w:kern w:val="0"/>
                <w:sz w:val="24"/>
                <w:highlight w:val="none"/>
                <w:lang w:val="en-US" w:eastAsia="zh-CN"/>
              </w:rPr>
              <w:t>县</w:t>
            </w:r>
            <w:r>
              <w:rPr>
                <w:rFonts w:hint="eastAsia" w:ascii="Times New Roman" w:hAnsi="Times New Roman" w:eastAsia="仿宋_GB2312"/>
                <w:color w:val="auto"/>
                <w:kern w:val="0"/>
                <w:sz w:val="24"/>
                <w:highlight w:val="none"/>
                <w:lang w:eastAsia="zh-CN"/>
              </w:rPr>
              <w:t>各级行政执法主体运用汕尾市行政执法“两平台”进行行政执法，实现“应上尽上”，推进严格规范公正文明执法。</w:t>
            </w:r>
          </w:p>
        </w:tc>
        <w:tc>
          <w:tcPr>
            <w:tcW w:w="1559" w:type="dxa"/>
            <w:noWrap w:val="0"/>
            <w:vAlign w:val="center"/>
          </w:tcPr>
          <w:p w14:paraId="0F043D49">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司法局、市监局</w:t>
            </w:r>
          </w:p>
        </w:tc>
        <w:tc>
          <w:tcPr>
            <w:tcW w:w="3435" w:type="dxa"/>
            <w:noWrap w:val="0"/>
            <w:vAlign w:val="center"/>
          </w:tcPr>
          <w:p w14:paraId="19E0A07C">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hint="eastAsia" w:ascii="Times New Roman" w:hAnsi="Times New Roman" w:eastAsia="仿宋_GB2312"/>
                <w:color w:val="auto"/>
                <w:kern w:val="0"/>
                <w:sz w:val="24"/>
                <w:highlight w:val="none"/>
                <w:lang w:eastAsia="zh-CN"/>
              </w:rPr>
              <w:t>交通运输局</w:t>
            </w:r>
            <w:r>
              <w:rPr>
                <w:rFonts w:ascii="Times New Roman" w:hAnsi="Times New Roman" w:eastAsia="仿宋_GB2312"/>
                <w:color w:val="auto"/>
                <w:kern w:val="0"/>
                <w:sz w:val="24"/>
                <w:highlight w:val="none"/>
              </w:rPr>
              <w:t>、</w:t>
            </w:r>
            <w:r>
              <w:rPr>
                <w:rFonts w:hint="eastAsia" w:ascii="Times New Roman" w:hAnsi="Times New Roman" w:eastAsia="仿宋_GB2312"/>
                <w:color w:val="auto"/>
                <w:kern w:val="0"/>
                <w:sz w:val="24"/>
                <w:highlight w:val="none"/>
                <w:lang w:val="en-US" w:eastAsia="zh-CN"/>
              </w:rPr>
              <w:t>市</w:t>
            </w:r>
            <w:r>
              <w:rPr>
                <w:rFonts w:ascii="Times New Roman" w:hAnsi="Times New Roman" w:eastAsia="仿宋_GB2312"/>
                <w:color w:val="auto"/>
                <w:kern w:val="0"/>
                <w:sz w:val="24"/>
                <w:highlight w:val="none"/>
              </w:rPr>
              <w:t>生态</w:t>
            </w:r>
            <w:r>
              <w:rPr>
                <w:rFonts w:hint="eastAsia" w:ascii="Times New Roman" w:hAnsi="Times New Roman" w:eastAsia="仿宋_GB2312"/>
                <w:color w:val="auto"/>
                <w:kern w:val="0"/>
                <w:sz w:val="24"/>
                <w:highlight w:val="none"/>
                <w:lang w:val="en-US" w:eastAsia="zh-CN"/>
              </w:rPr>
              <w:t>环境</w:t>
            </w:r>
            <w:r>
              <w:rPr>
                <w:rFonts w:ascii="Times New Roman" w:hAnsi="Times New Roman" w:eastAsia="仿宋_GB2312"/>
                <w:color w:val="auto"/>
                <w:kern w:val="0"/>
                <w:sz w:val="24"/>
                <w:highlight w:val="none"/>
              </w:rPr>
              <w:t>局</w:t>
            </w:r>
            <w:r>
              <w:rPr>
                <w:rFonts w:hint="eastAsia" w:ascii="Times New Roman" w:hAnsi="Times New Roman" w:eastAsia="仿宋_GB2312"/>
                <w:color w:val="auto"/>
                <w:kern w:val="0"/>
                <w:sz w:val="24"/>
                <w:highlight w:val="none"/>
                <w:lang w:val="en-US" w:eastAsia="zh-CN"/>
              </w:rPr>
              <w:t>海丰分局</w:t>
            </w:r>
            <w:r>
              <w:rPr>
                <w:rFonts w:ascii="Times New Roman" w:hAnsi="Times New Roman" w:eastAsia="仿宋_GB2312"/>
                <w:color w:val="auto"/>
                <w:kern w:val="0"/>
                <w:sz w:val="24"/>
                <w:highlight w:val="none"/>
              </w:rPr>
              <w:t>等行政执法单位</w:t>
            </w:r>
          </w:p>
        </w:tc>
      </w:tr>
      <w:tr w14:paraId="3A972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7" w:type="dxa"/>
            <w:noWrap w:val="0"/>
            <w:vAlign w:val="center"/>
          </w:tcPr>
          <w:p w14:paraId="36BBC01C">
            <w:pPr>
              <w:keepNext w:val="0"/>
              <w:keepLines w:val="0"/>
              <w:widowControl/>
              <w:suppressLineNumbers w:val="0"/>
              <w:jc w:val="center"/>
              <w:textAlignment w:val="auto"/>
              <w:rPr>
                <w:rFonts w:hint="default" w:ascii="Times New Roman" w:hAnsi="Times New Roman" w:eastAsia="仿宋_GB2312" w:cs="Times New Roman"/>
                <w:color w:val="auto"/>
                <w:kern w:val="0"/>
                <w:sz w:val="24"/>
                <w:highlight w:val="none"/>
                <w:lang w:val="en-US"/>
              </w:rPr>
            </w:pPr>
            <w:r>
              <w:rPr>
                <w:rFonts w:hint="default" w:ascii="Times New Roman" w:hAnsi="Times New Roman" w:eastAsia="仿宋_GB2312" w:cs="Times New Roman"/>
                <w:i w:val="0"/>
                <w:color w:val="auto"/>
                <w:kern w:val="0"/>
                <w:sz w:val="24"/>
                <w:szCs w:val="24"/>
                <w:highlight w:val="none"/>
                <w:u w:val="none"/>
                <w:lang w:val="en-US" w:eastAsia="zh-CN" w:bidi="ar"/>
              </w:rPr>
              <w:t>1</w:t>
            </w:r>
            <w:r>
              <w:rPr>
                <w:rFonts w:hint="eastAsia" w:ascii="Times New Roman" w:hAnsi="Times New Roman" w:eastAsia="仿宋_GB2312" w:cs="Times New Roman"/>
                <w:i w:val="0"/>
                <w:color w:val="auto"/>
                <w:kern w:val="0"/>
                <w:sz w:val="24"/>
                <w:szCs w:val="24"/>
                <w:highlight w:val="none"/>
                <w:u w:val="none"/>
                <w:lang w:val="en-US" w:eastAsia="zh-CN" w:bidi="ar"/>
              </w:rPr>
              <w:t>31</w:t>
            </w:r>
          </w:p>
        </w:tc>
        <w:tc>
          <w:tcPr>
            <w:tcW w:w="1559" w:type="dxa"/>
            <w:vMerge w:val="restart"/>
            <w:noWrap w:val="0"/>
            <w:vAlign w:val="center"/>
          </w:tcPr>
          <w:p w14:paraId="45AFC165">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筑牢公平公正正义司法防线</w:t>
            </w:r>
          </w:p>
        </w:tc>
        <w:tc>
          <w:tcPr>
            <w:tcW w:w="6095" w:type="dxa"/>
            <w:noWrap w:val="0"/>
            <w:vAlign w:val="center"/>
          </w:tcPr>
          <w:p w14:paraId="6DC30A7A">
            <w:pPr>
              <w:widowControl/>
              <w:jc w:val="left"/>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rPr>
              <w:t>充分发挥民事检察职能，通过检察建议、抗诉等方式，敦促人民法院纠正违法案件，提高司法公正。发挥好行政检察“一手托两家”的作用，通过检察建议等方式敦促行政机关依法行政，确保检察建议回复率80%以上。</w:t>
            </w:r>
          </w:p>
        </w:tc>
        <w:tc>
          <w:tcPr>
            <w:tcW w:w="1559" w:type="dxa"/>
            <w:noWrap w:val="0"/>
            <w:vAlign w:val="center"/>
          </w:tcPr>
          <w:p w14:paraId="537D30C6">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检察院</w:t>
            </w:r>
          </w:p>
        </w:tc>
        <w:tc>
          <w:tcPr>
            <w:tcW w:w="3435" w:type="dxa"/>
            <w:noWrap w:val="0"/>
            <w:vAlign w:val="center"/>
          </w:tcPr>
          <w:p w14:paraId="7B0CB4B2">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3DAF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7" w:type="dxa"/>
            <w:noWrap w:val="0"/>
            <w:vAlign w:val="center"/>
          </w:tcPr>
          <w:p w14:paraId="15E10D9E">
            <w:pPr>
              <w:keepNext w:val="0"/>
              <w:keepLines w:val="0"/>
              <w:widowControl/>
              <w:suppressLineNumbers w:val="0"/>
              <w:jc w:val="center"/>
              <w:textAlignment w:val="auto"/>
              <w:rPr>
                <w:rFonts w:hint="default" w:ascii="Times New Roman" w:hAnsi="Times New Roman" w:eastAsia="仿宋_GB2312" w:cs="Times New Roman"/>
                <w:color w:val="auto"/>
                <w:kern w:val="0"/>
                <w:sz w:val="24"/>
                <w:highlight w:val="none"/>
                <w:lang w:val="en-US"/>
              </w:rPr>
            </w:pPr>
            <w:r>
              <w:rPr>
                <w:rFonts w:hint="default" w:ascii="Times New Roman" w:hAnsi="Times New Roman" w:eastAsia="仿宋_GB2312" w:cs="Times New Roman"/>
                <w:i w:val="0"/>
                <w:color w:val="auto"/>
                <w:kern w:val="0"/>
                <w:sz w:val="24"/>
                <w:szCs w:val="24"/>
                <w:highlight w:val="none"/>
                <w:u w:val="none"/>
                <w:lang w:val="en-US" w:eastAsia="zh-CN" w:bidi="ar"/>
              </w:rPr>
              <w:t>1</w:t>
            </w:r>
            <w:r>
              <w:rPr>
                <w:rFonts w:hint="eastAsia" w:ascii="Times New Roman" w:hAnsi="Times New Roman" w:eastAsia="仿宋_GB2312" w:cs="Times New Roman"/>
                <w:i w:val="0"/>
                <w:color w:val="auto"/>
                <w:kern w:val="0"/>
                <w:sz w:val="24"/>
                <w:szCs w:val="24"/>
                <w:highlight w:val="none"/>
                <w:u w:val="none"/>
                <w:lang w:val="en-US" w:eastAsia="zh-CN" w:bidi="ar"/>
              </w:rPr>
              <w:t>32</w:t>
            </w:r>
          </w:p>
        </w:tc>
        <w:tc>
          <w:tcPr>
            <w:tcW w:w="1559" w:type="dxa"/>
            <w:vMerge w:val="continue"/>
            <w:noWrap w:val="0"/>
            <w:vAlign w:val="center"/>
          </w:tcPr>
          <w:p w14:paraId="1B832FB7">
            <w:pPr>
              <w:widowControl/>
              <w:jc w:val="left"/>
              <w:rPr>
                <w:rFonts w:ascii="Times New Roman" w:hAnsi="Times New Roman" w:eastAsia="仿宋_GB2312"/>
                <w:color w:val="auto"/>
                <w:kern w:val="0"/>
                <w:sz w:val="24"/>
                <w:highlight w:val="none"/>
              </w:rPr>
            </w:pPr>
          </w:p>
        </w:tc>
        <w:tc>
          <w:tcPr>
            <w:tcW w:w="6095" w:type="dxa"/>
            <w:noWrap w:val="0"/>
            <w:vAlign w:val="center"/>
          </w:tcPr>
          <w:p w14:paraId="730DB156">
            <w:pPr>
              <w:widowControl/>
              <w:jc w:val="left"/>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rPr>
              <w:t>压实公益诉讼检察责任，依法保障食品药品领域安全，加强对食品药品安全领域公益诉讼案件的办理。</w:t>
            </w:r>
          </w:p>
        </w:tc>
        <w:tc>
          <w:tcPr>
            <w:tcW w:w="1559" w:type="dxa"/>
            <w:noWrap w:val="0"/>
            <w:vAlign w:val="center"/>
          </w:tcPr>
          <w:p w14:paraId="23142B9D">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检察院</w:t>
            </w:r>
          </w:p>
        </w:tc>
        <w:tc>
          <w:tcPr>
            <w:tcW w:w="3435" w:type="dxa"/>
            <w:noWrap w:val="0"/>
            <w:vAlign w:val="center"/>
          </w:tcPr>
          <w:p w14:paraId="2EB7981E">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tr w14:paraId="0B77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7" w:type="dxa"/>
            <w:noWrap w:val="0"/>
            <w:vAlign w:val="center"/>
          </w:tcPr>
          <w:p w14:paraId="34BF546A">
            <w:pPr>
              <w:keepNext w:val="0"/>
              <w:keepLines w:val="0"/>
              <w:widowControl/>
              <w:suppressLineNumbers w:val="0"/>
              <w:jc w:val="center"/>
              <w:textAlignment w:val="auto"/>
              <w:rPr>
                <w:rFonts w:hint="default" w:ascii="Times New Roman" w:hAnsi="Times New Roman" w:eastAsia="仿宋_GB2312" w:cs="Times New Roman"/>
                <w:color w:val="auto"/>
                <w:kern w:val="0"/>
                <w:sz w:val="24"/>
                <w:highlight w:val="none"/>
                <w:lang w:val="en-US"/>
              </w:rPr>
            </w:pPr>
            <w:r>
              <w:rPr>
                <w:rFonts w:hint="default" w:ascii="Times New Roman" w:hAnsi="Times New Roman" w:eastAsia="仿宋_GB2312" w:cs="Times New Roman"/>
                <w:i w:val="0"/>
                <w:color w:val="auto"/>
                <w:kern w:val="0"/>
                <w:sz w:val="24"/>
                <w:szCs w:val="24"/>
                <w:highlight w:val="none"/>
                <w:u w:val="none"/>
                <w:lang w:val="en-US" w:eastAsia="zh-CN" w:bidi="ar"/>
              </w:rPr>
              <w:t>1</w:t>
            </w:r>
            <w:r>
              <w:rPr>
                <w:rFonts w:hint="eastAsia" w:ascii="Times New Roman" w:hAnsi="Times New Roman" w:eastAsia="仿宋_GB2312" w:cs="Times New Roman"/>
                <w:i w:val="0"/>
                <w:color w:val="auto"/>
                <w:kern w:val="0"/>
                <w:sz w:val="24"/>
                <w:szCs w:val="24"/>
                <w:highlight w:val="none"/>
                <w:u w:val="none"/>
                <w:lang w:val="en-US" w:eastAsia="zh-CN" w:bidi="ar"/>
              </w:rPr>
              <w:t>33</w:t>
            </w:r>
          </w:p>
        </w:tc>
        <w:tc>
          <w:tcPr>
            <w:tcW w:w="1559" w:type="dxa"/>
            <w:vMerge w:val="continue"/>
            <w:noWrap w:val="0"/>
            <w:vAlign w:val="center"/>
          </w:tcPr>
          <w:p w14:paraId="4EE4A966">
            <w:pPr>
              <w:widowControl/>
              <w:jc w:val="left"/>
              <w:rPr>
                <w:rFonts w:ascii="Times New Roman" w:hAnsi="Times New Roman" w:eastAsia="仿宋_GB2312"/>
                <w:color w:val="auto"/>
                <w:kern w:val="0"/>
                <w:sz w:val="24"/>
                <w:highlight w:val="none"/>
              </w:rPr>
            </w:pPr>
          </w:p>
        </w:tc>
        <w:tc>
          <w:tcPr>
            <w:tcW w:w="6095" w:type="dxa"/>
            <w:noWrap w:val="0"/>
            <w:vAlign w:val="center"/>
          </w:tcPr>
          <w:p w14:paraId="13BFD800">
            <w:pPr>
              <w:widowControl/>
              <w:jc w:val="left"/>
              <w:rPr>
                <w:rFonts w:hint="eastAsia" w:ascii="Times New Roman" w:hAnsi="Times New Roman" w:eastAsia="宋体"/>
                <w:color w:val="auto"/>
                <w:kern w:val="0"/>
                <w:sz w:val="24"/>
                <w:highlight w:val="none"/>
                <w:lang w:eastAsia="zh-CN"/>
              </w:rPr>
            </w:pPr>
            <w:r>
              <w:rPr>
                <w:rFonts w:hint="eastAsia" w:ascii="Times New Roman" w:hAnsi="Times New Roman" w:eastAsia="仿宋_GB2312"/>
                <w:color w:val="auto"/>
                <w:kern w:val="0"/>
                <w:sz w:val="24"/>
                <w:highlight w:val="none"/>
              </w:rPr>
              <w:t>推进检察公开听证机制落实，广泛邀请第三方人员参与刑事、民事、行政和公益诉讼检察案件的听证，“确保应听尽听</w:t>
            </w:r>
            <w:r>
              <w:rPr>
                <w:rFonts w:hint="eastAsia" w:ascii="Times New Roman" w:hAnsi="Times New Roman" w:eastAsia="仿宋_GB2312"/>
                <w:color w:val="auto"/>
                <w:kern w:val="0"/>
                <w:sz w:val="24"/>
                <w:highlight w:val="none"/>
                <w:lang w:eastAsia="zh-CN"/>
              </w:rPr>
              <w:t>”。</w:t>
            </w:r>
          </w:p>
        </w:tc>
        <w:tc>
          <w:tcPr>
            <w:tcW w:w="1559" w:type="dxa"/>
            <w:noWrap w:val="0"/>
            <w:vAlign w:val="center"/>
          </w:tcPr>
          <w:p w14:paraId="4BFADF80">
            <w:pPr>
              <w:widowControl/>
              <w:jc w:val="center"/>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检察院</w:t>
            </w:r>
          </w:p>
        </w:tc>
        <w:tc>
          <w:tcPr>
            <w:tcW w:w="3435" w:type="dxa"/>
            <w:noWrap w:val="0"/>
            <w:vAlign w:val="center"/>
          </w:tcPr>
          <w:p w14:paraId="5512674C">
            <w:pPr>
              <w:widowControl/>
              <w:jc w:val="both"/>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lang w:val="en-US" w:eastAsia="zh-CN"/>
              </w:rPr>
              <w:t>县</w:t>
            </w:r>
            <w:r>
              <w:rPr>
                <w:rFonts w:ascii="Times New Roman" w:hAnsi="Times New Roman" w:eastAsia="仿宋_GB2312"/>
                <w:color w:val="auto"/>
                <w:kern w:val="0"/>
                <w:sz w:val="24"/>
                <w:highlight w:val="none"/>
              </w:rPr>
              <w:t>直各有关单位</w:t>
            </w:r>
          </w:p>
        </w:tc>
      </w:tr>
      <w:bookmarkEnd w:id="0"/>
    </w:tbl>
    <w:p w14:paraId="0E5FC61E">
      <w:pPr>
        <w:wordWrap w:val="0"/>
        <w:spacing w:line="560" w:lineRule="exact"/>
        <w:rPr>
          <w:rFonts w:hint="eastAsia" w:ascii="黑体" w:hAnsi="黑体" w:eastAsia="黑体" w:cs="黑体"/>
          <w:color w:val="auto"/>
          <w:sz w:val="32"/>
          <w:szCs w:val="32"/>
          <w:highlight w:val="none"/>
        </w:rPr>
      </w:pPr>
    </w:p>
    <w:p w14:paraId="57BA8846">
      <w:pPr>
        <w:wordWrap w:val="0"/>
        <w:spacing w:line="560" w:lineRule="exact"/>
        <w:rPr>
          <w:rFonts w:hint="eastAsia" w:ascii="黑体" w:hAnsi="黑体" w:eastAsia="黑体" w:cs="黑体"/>
          <w:color w:val="auto"/>
          <w:sz w:val="32"/>
          <w:szCs w:val="32"/>
          <w:highlight w:val="none"/>
        </w:rPr>
      </w:pPr>
    </w:p>
    <w:p w14:paraId="5EF2B755">
      <w:pPr>
        <w:wordWrap w:val="0"/>
        <w:spacing w:line="560" w:lineRule="exact"/>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2</w:t>
      </w:r>
      <w:r>
        <w:rPr>
          <w:rFonts w:hint="eastAsia" w:ascii="黑体" w:hAnsi="黑体" w:eastAsia="黑体" w:cs="黑体"/>
          <w:color w:val="auto"/>
          <w:sz w:val="32"/>
          <w:szCs w:val="32"/>
          <w:highlight w:val="none"/>
        </w:rPr>
        <w:t>：</w:t>
      </w:r>
    </w:p>
    <w:p w14:paraId="1AB70B71">
      <w:pPr>
        <w:wordWrap w:val="0"/>
        <w:spacing w:line="56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海丰县</w:t>
      </w:r>
      <w:r>
        <w:rPr>
          <w:rFonts w:hint="eastAsia" w:ascii="方正小标宋简体" w:hAnsi="方正小标宋简体" w:eastAsia="方正小标宋简体" w:cs="方正小标宋简体"/>
          <w:color w:val="auto"/>
          <w:sz w:val="44"/>
          <w:szCs w:val="44"/>
          <w:highlight w:val="none"/>
        </w:rPr>
        <w:t>助企暖企服务清单（规上企业）</w:t>
      </w:r>
    </w:p>
    <w:p w14:paraId="5B37F6C5">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p>
    <w:tbl>
      <w:tblPr>
        <w:tblStyle w:val="14"/>
        <w:tblW w:w="14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531"/>
        <w:gridCol w:w="1191"/>
        <w:gridCol w:w="3969"/>
        <w:gridCol w:w="2835"/>
        <w:gridCol w:w="1077"/>
        <w:gridCol w:w="1772"/>
        <w:gridCol w:w="1077"/>
      </w:tblGrid>
      <w:tr w14:paraId="26FCE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680" w:type="dxa"/>
            <w:noWrap w:val="0"/>
            <w:vAlign w:val="center"/>
          </w:tcPr>
          <w:p w14:paraId="7DF4D60E">
            <w:pPr>
              <w:widowControl/>
              <w:jc w:val="center"/>
              <w:rPr>
                <w:rFonts w:hint="eastAsia" w:ascii="Times New Roman" w:hAnsi="Times New Roman" w:eastAsia="宋体" w:cs="Times New Roman"/>
                <w:b/>
                <w:bCs/>
                <w:color w:val="auto"/>
                <w:kern w:val="0"/>
                <w:sz w:val="22"/>
                <w:szCs w:val="22"/>
                <w:highlight w:val="none"/>
              </w:rPr>
            </w:pPr>
            <w:r>
              <w:rPr>
                <w:rFonts w:hint="eastAsia" w:ascii="Times New Roman" w:hAnsi="Times New Roman" w:eastAsia="宋体" w:cs="Times New Roman"/>
                <w:b/>
                <w:bCs/>
                <w:color w:val="auto"/>
                <w:kern w:val="0"/>
                <w:sz w:val="22"/>
                <w:szCs w:val="22"/>
                <w:highlight w:val="none"/>
                <w:lang w:val="en-US" w:eastAsia="zh-CN"/>
              </w:rPr>
              <w:t>序号</w:t>
            </w:r>
          </w:p>
        </w:tc>
        <w:tc>
          <w:tcPr>
            <w:tcW w:w="1531" w:type="dxa"/>
            <w:noWrap w:val="0"/>
            <w:vAlign w:val="center"/>
          </w:tcPr>
          <w:p w14:paraId="1D32BD47">
            <w:pPr>
              <w:widowControl/>
              <w:jc w:val="center"/>
              <w:rPr>
                <w:rFonts w:hint="eastAsia" w:ascii="Times New Roman" w:hAnsi="Times New Roman" w:eastAsia="宋体" w:cs="Times New Roman"/>
                <w:b/>
                <w:bCs/>
                <w:color w:val="auto"/>
                <w:kern w:val="0"/>
                <w:sz w:val="22"/>
                <w:szCs w:val="22"/>
                <w:highlight w:val="none"/>
              </w:rPr>
            </w:pPr>
            <w:r>
              <w:rPr>
                <w:rFonts w:hint="eastAsia" w:ascii="Times New Roman" w:hAnsi="Times New Roman" w:eastAsia="宋体" w:cs="Times New Roman"/>
                <w:b/>
                <w:bCs/>
                <w:color w:val="auto"/>
                <w:kern w:val="0"/>
                <w:sz w:val="22"/>
                <w:szCs w:val="22"/>
                <w:highlight w:val="none"/>
                <w:lang w:val="en-US" w:eastAsia="zh-CN"/>
              </w:rPr>
              <w:t>服务名称</w:t>
            </w:r>
          </w:p>
        </w:tc>
        <w:tc>
          <w:tcPr>
            <w:tcW w:w="1191" w:type="dxa"/>
            <w:noWrap w:val="0"/>
            <w:vAlign w:val="center"/>
          </w:tcPr>
          <w:p w14:paraId="72013657">
            <w:pPr>
              <w:widowControl/>
              <w:jc w:val="center"/>
              <w:rPr>
                <w:rFonts w:hint="eastAsia" w:ascii="Times New Roman" w:hAnsi="Times New Roman" w:eastAsia="宋体" w:cs="Times New Roman"/>
                <w:b/>
                <w:bCs/>
                <w:color w:val="auto"/>
                <w:kern w:val="0"/>
                <w:sz w:val="22"/>
                <w:szCs w:val="22"/>
                <w:highlight w:val="none"/>
              </w:rPr>
            </w:pPr>
            <w:r>
              <w:rPr>
                <w:rFonts w:hint="eastAsia" w:ascii="Times New Roman" w:hAnsi="Times New Roman" w:eastAsia="宋体" w:cs="Times New Roman"/>
                <w:b/>
                <w:bCs/>
                <w:color w:val="auto"/>
                <w:kern w:val="0"/>
                <w:sz w:val="22"/>
                <w:szCs w:val="22"/>
                <w:highlight w:val="none"/>
                <w:lang w:val="en-US" w:eastAsia="zh-CN"/>
              </w:rPr>
              <w:t>牵头部门</w:t>
            </w:r>
          </w:p>
        </w:tc>
        <w:tc>
          <w:tcPr>
            <w:tcW w:w="3969" w:type="dxa"/>
            <w:noWrap w:val="0"/>
            <w:vAlign w:val="center"/>
          </w:tcPr>
          <w:p w14:paraId="1023B820">
            <w:pPr>
              <w:widowControl/>
              <w:jc w:val="center"/>
              <w:rPr>
                <w:rFonts w:hint="eastAsia" w:ascii="Times New Roman" w:hAnsi="Times New Roman" w:eastAsia="宋体" w:cs="Times New Roman"/>
                <w:b/>
                <w:bCs/>
                <w:color w:val="auto"/>
                <w:kern w:val="0"/>
                <w:sz w:val="22"/>
                <w:szCs w:val="22"/>
                <w:highlight w:val="none"/>
              </w:rPr>
            </w:pPr>
            <w:r>
              <w:rPr>
                <w:rFonts w:hint="eastAsia" w:ascii="Times New Roman" w:hAnsi="Times New Roman" w:eastAsia="宋体" w:cs="Times New Roman"/>
                <w:b/>
                <w:bCs/>
                <w:color w:val="auto"/>
                <w:kern w:val="0"/>
                <w:sz w:val="22"/>
                <w:szCs w:val="22"/>
                <w:highlight w:val="none"/>
                <w:lang w:val="en-US" w:eastAsia="zh-CN"/>
              </w:rPr>
              <w:t>服务内容</w:t>
            </w:r>
          </w:p>
        </w:tc>
        <w:tc>
          <w:tcPr>
            <w:tcW w:w="2835" w:type="dxa"/>
            <w:noWrap w:val="0"/>
            <w:vAlign w:val="center"/>
          </w:tcPr>
          <w:p w14:paraId="36A20B10">
            <w:pPr>
              <w:widowControl/>
              <w:jc w:val="center"/>
              <w:rPr>
                <w:rFonts w:hint="eastAsia" w:ascii="Times New Roman" w:hAnsi="Times New Roman" w:eastAsia="宋体" w:cs="Times New Roman"/>
                <w:b/>
                <w:bCs/>
                <w:color w:val="auto"/>
                <w:kern w:val="0"/>
                <w:sz w:val="22"/>
                <w:szCs w:val="22"/>
                <w:highlight w:val="none"/>
              </w:rPr>
            </w:pPr>
            <w:r>
              <w:rPr>
                <w:rFonts w:hint="eastAsia" w:ascii="Times New Roman" w:hAnsi="Times New Roman" w:eastAsia="宋体" w:cs="Times New Roman"/>
                <w:b/>
                <w:bCs/>
                <w:color w:val="auto"/>
                <w:kern w:val="0"/>
                <w:sz w:val="22"/>
                <w:szCs w:val="22"/>
                <w:highlight w:val="none"/>
                <w:lang w:val="en-US" w:eastAsia="zh-CN"/>
              </w:rPr>
              <w:t>服务依据</w:t>
            </w:r>
          </w:p>
        </w:tc>
        <w:tc>
          <w:tcPr>
            <w:tcW w:w="1077" w:type="dxa"/>
            <w:noWrap w:val="0"/>
            <w:vAlign w:val="center"/>
          </w:tcPr>
          <w:p w14:paraId="655593F6">
            <w:pPr>
              <w:widowControl/>
              <w:jc w:val="center"/>
              <w:rPr>
                <w:rFonts w:hint="eastAsia" w:ascii="Times New Roman" w:hAnsi="Times New Roman" w:eastAsia="宋体" w:cs="Times New Roman"/>
                <w:b/>
                <w:bCs/>
                <w:color w:val="auto"/>
                <w:kern w:val="0"/>
                <w:sz w:val="22"/>
                <w:szCs w:val="22"/>
                <w:highlight w:val="none"/>
              </w:rPr>
            </w:pPr>
            <w:r>
              <w:rPr>
                <w:rFonts w:hint="eastAsia" w:ascii="Times New Roman" w:hAnsi="Times New Roman" w:eastAsia="宋体" w:cs="Times New Roman"/>
                <w:b/>
                <w:bCs/>
                <w:color w:val="auto"/>
                <w:kern w:val="0"/>
                <w:sz w:val="22"/>
                <w:szCs w:val="22"/>
                <w:highlight w:val="none"/>
                <w:lang w:val="en-US" w:eastAsia="zh-CN"/>
              </w:rPr>
              <w:t>联系人</w:t>
            </w:r>
          </w:p>
        </w:tc>
        <w:tc>
          <w:tcPr>
            <w:tcW w:w="1772" w:type="dxa"/>
            <w:noWrap w:val="0"/>
            <w:vAlign w:val="center"/>
          </w:tcPr>
          <w:p w14:paraId="2746E90A">
            <w:pPr>
              <w:widowControl/>
              <w:jc w:val="center"/>
              <w:rPr>
                <w:rFonts w:hint="eastAsia" w:ascii="Times New Roman" w:hAnsi="Times New Roman" w:eastAsia="宋体" w:cs="Times New Roman"/>
                <w:b/>
                <w:bCs/>
                <w:color w:val="auto"/>
                <w:kern w:val="0"/>
                <w:sz w:val="22"/>
                <w:szCs w:val="22"/>
                <w:highlight w:val="none"/>
              </w:rPr>
            </w:pPr>
            <w:r>
              <w:rPr>
                <w:rFonts w:hint="eastAsia" w:ascii="Times New Roman" w:hAnsi="Times New Roman" w:eastAsia="宋体" w:cs="Times New Roman"/>
                <w:b/>
                <w:bCs/>
                <w:color w:val="auto"/>
                <w:kern w:val="0"/>
                <w:sz w:val="22"/>
                <w:szCs w:val="22"/>
                <w:highlight w:val="none"/>
                <w:lang w:val="en-US" w:eastAsia="zh-CN"/>
              </w:rPr>
              <w:t>服务电话</w:t>
            </w:r>
          </w:p>
        </w:tc>
        <w:tc>
          <w:tcPr>
            <w:tcW w:w="1077" w:type="dxa"/>
            <w:noWrap w:val="0"/>
            <w:vAlign w:val="center"/>
          </w:tcPr>
          <w:p w14:paraId="541F094F">
            <w:pPr>
              <w:widowControl/>
              <w:jc w:val="center"/>
              <w:rPr>
                <w:rFonts w:hint="eastAsia" w:ascii="Times New Roman" w:hAnsi="Times New Roman" w:eastAsia="宋体" w:cs="Times New Roman"/>
                <w:b/>
                <w:bCs/>
                <w:color w:val="auto"/>
                <w:kern w:val="0"/>
                <w:sz w:val="22"/>
                <w:szCs w:val="22"/>
                <w:highlight w:val="none"/>
              </w:rPr>
            </w:pPr>
            <w:r>
              <w:rPr>
                <w:rFonts w:hint="eastAsia" w:ascii="Times New Roman" w:hAnsi="Times New Roman" w:eastAsia="宋体" w:cs="Times New Roman"/>
                <w:b/>
                <w:bCs/>
                <w:color w:val="auto"/>
                <w:kern w:val="0"/>
                <w:sz w:val="22"/>
                <w:szCs w:val="22"/>
                <w:highlight w:val="none"/>
                <w:lang w:val="en-US" w:eastAsia="zh-CN"/>
              </w:rPr>
              <w:t>备注</w:t>
            </w:r>
          </w:p>
        </w:tc>
      </w:tr>
      <w:tr w14:paraId="6F42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noWrap w:val="0"/>
            <w:vAlign w:val="center"/>
          </w:tcPr>
          <w:p w14:paraId="6F44E984">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333333"/>
                <w:kern w:val="0"/>
                <w:sz w:val="24"/>
                <w:szCs w:val="24"/>
                <w:u w:val="none"/>
                <w:lang w:val="en-US" w:eastAsia="zh-CN" w:bidi="ar"/>
              </w:rPr>
              <w:t>1</w:t>
            </w:r>
          </w:p>
        </w:tc>
        <w:tc>
          <w:tcPr>
            <w:tcW w:w="1531" w:type="dxa"/>
            <w:noWrap w:val="0"/>
            <w:vAlign w:val="center"/>
          </w:tcPr>
          <w:p w14:paraId="7EECDAE2">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rPr>
              <w:t>工业企业稳产增产扩产奖励服务</w:t>
            </w:r>
          </w:p>
        </w:tc>
        <w:tc>
          <w:tcPr>
            <w:tcW w:w="1191" w:type="dxa"/>
            <w:noWrap w:val="0"/>
            <w:vAlign w:val="center"/>
          </w:tcPr>
          <w:p w14:paraId="03BC3D21">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县科工局</w:t>
            </w:r>
          </w:p>
        </w:tc>
        <w:tc>
          <w:tcPr>
            <w:tcW w:w="3969" w:type="dxa"/>
            <w:noWrap w:val="0"/>
            <w:vAlign w:val="center"/>
          </w:tcPr>
          <w:p w14:paraId="760FC20B">
            <w:pPr>
              <w:keepNext w:val="0"/>
              <w:keepLines w:val="0"/>
              <w:widowControl/>
              <w:suppressLineNumbers w:val="0"/>
              <w:jc w:val="both"/>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对2022上半年、全年产值绝对值、增速达到标准的工业企业，在2023年度实行奖励</w:t>
            </w:r>
          </w:p>
        </w:tc>
        <w:tc>
          <w:tcPr>
            <w:tcW w:w="2835" w:type="dxa"/>
            <w:noWrap w:val="0"/>
            <w:vAlign w:val="center"/>
          </w:tcPr>
          <w:p w14:paraId="2D34D9C0">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《汕尾市人民政府办公室关于印发汕尾市2022年度鼓励工业企业稳产增产扩产奖励实施方案的通知》</w:t>
            </w:r>
          </w:p>
        </w:tc>
        <w:tc>
          <w:tcPr>
            <w:tcW w:w="1077" w:type="dxa"/>
            <w:noWrap w:val="0"/>
            <w:vAlign w:val="center"/>
          </w:tcPr>
          <w:p w14:paraId="204FDADB">
            <w:pPr>
              <w:keepNext w:val="0"/>
              <w:keepLines w:val="0"/>
              <w:widowControl/>
              <w:suppressLineNumbers w:val="0"/>
              <w:jc w:val="center"/>
              <w:textAlignment w:val="center"/>
              <w:rPr>
                <w:rFonts w:hint="eastAsia" w:ascii="仿宋_GB2312" w:hAnsi="宋体" w:eastAsia="仿宋_GB2312" w:cs="仿宋_GB2312"/>
                <w:color w:val="000000"/>
                <w:kern w:val="0"/>
                <w:sz w:val="24"/>
                <w:szCs w:val="24"/>
                <w:highlight w:val="none"/>
                <w:u w:val="none"/>
                <w:vertAlign w:val="baseline"/>
                <w:lang w:eastAsia="zh-CN" w:bidi="ar"/>
              </w:rPr>
            </w:pPr>
            <w:r>
              <w:rPr>
                <w:rFonts w:hint="eastAsia" w:ascii="仿宋_GB2312" w:hAnsi="宋体" w:eastAsia="仿宋_GB2312" w:cs="仿宋_GB2312"/>
                <w:color w:val="000000"/>
                <w:kern w:val="0"/>
                <w:sz w:val="24"/>
                <w:szCs w:val="24"/>
                <w:highlight w:val="none"/>
                <w:u w:val="none"/>
                <w:vertAlign w:val="baseline"/>
                <w:lang w:eastAsia="zh-CN" w:bidi="ar"/>
              </w:rPr>
              <w:t>陈文彬</w:t>
            </w:r>
          </w:p>
        </w:tc>
        <w:tc>
          <w:tcPr>
            <w:tcW w:w="1772" w:type="dxa"/>
            <w:noWrap w:val="0"/>
            <w:vAlign w:val="center"/>
          </w:tcPr>
          <w:p w14:paraId="342E7121">
            <w:pPr>
              <w:keepNext w:val="0"/>
              <w:keepLines w:val="0"/>
              <w:widowControl/>
              <w:suppressLineNumbers w:val="0"/>
              <w:jc w:val="center"/>
              <w:textAlignment w:val="center"/>
              <w:rPr>
                <w:rFonts w:hint="default" w:ascii="仿宋_GB2312" w:hAnsi="宋体" w:eastAsia="仿宋_GB2312" w:cs="仿宋_GB2312"/>
                <w:color w:val="000000"/>
                <w:kern w:val="0"/>
                <w:sz w:val="24"/>
                <w:szCs w:val="24"/>
                <w:highlight w:val="none"/>
                <w:u w:val="none"/>
                <w:vertAlign w:val="baseline"/>
                <w:lang w:val="en-US" w:bidi="ar"/>
              </w:rPr>
            </w:pPr>
            <w:r>
              <w:rPr>
                <w:rFonts w:hint="eastAsia" w:ascii="仿宋_GB2312" w:hAnsi="宋体" w:eastAsia="仿宋_GB2312" w:cs="仿宋_GB2312"/>
                <w:color w:val="000000"/>
                <w:kern w:val="0"/>
                <w:sz w:val="24"/>
                <w:szCs w:val="24"/>
                <w:highlight w:val="none"/>
                <w:u w:val="none"/>
                <w:vertAlign w:val="baseline"/>
                <w:lang w:val="en-US" w:eastAsia="zh-CN" w:bidi="ar"/>
              </w:rPr>
              <w:t>6600181</w:t>
            </w:r>
          </w:p>
        </w:tc>
        <w:tc>
          <w:tcPr>
            <w:tcW w:w="1077" w:type="dxa"/>
            <w:noWrap w:val="0"/>
            <w:vAlign w:val="top"/>
          </w:tcPr>
          <w:p w14:paraId="64ED0BC0">
            <w:pPr>
              <w:pStyle w:val="2"/>
              <w:jc w:val="center"/>
              <w:rPr>
                <w:rFonts w:hint="eastAsia" w:ascii="方正小标宋简体" w:hAnsi="方正小标宋简体" w:eastAsia="方正小标宋简体" w:cs="方正小标宋简体"/>
                <w:color w:val="auto"/>
                <w:sz w:val="36"/>
                <w:szCs w:val="36"/>
                <w:highlight w:val="none"/>
                <w:vertAlign w:val="baseline"/>
              </w:rPr>
            </w:pPr>
          </w:p>
        </w:tc>
      </w:tr>
      <w:tr w14:paraId="12EB1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noWrap w:val="0"/>
            <w:vAlign w:val="center"/>
          </w:tcPr>
          <w:p w14:paraId="7525465A">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333333"/>
                <w:kern w:val="0"/>
                <w:sz w:val="24"/>
                <w:szCs w:val="24"/>
                <w:u w:val="none"/>
                <w:lang w:val="en-US" w:eastAsia="zh-CN" w:bidi="ar"/>
              </w:rPr>
              <w:t>2</w:t>
            </w:r>
          </w:p>
        </w:tc>
        <w:tc>
          <w:tcPr>
            <w:tcW w:w="1531" w:type="dxa"/>
            <w:noWrap w:val="0"/>
            <w:vAlign w:val="center"/>
          </w:tcPr>
          <w:p w14:paraId="298B09B4">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上市企业激励服务</w:t>
            </w:r>
          </w:p>
        </w:tc>
        <w:tc>
          <w:tcPr>
            <w:tcW w:w="1191" w:type="dxa"/>
            <w:noWrap w:val="0"/>
            <w:vAlign w:val="center"/>
          </w:tcPr>
          <w:p w14:paraId="5920633C">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县金融局</w:t>
            </w:r>
          </w:p>
        </w:tc>
        <w:tc>
          <w:tcPr>
            <w:tcW w:w="3969" w:type="dxa"/>
            <w:noWrap w:val="0"/>
            <w:vAlign w:val="center"/>
          </w:tcPr>
          <w:p w14:paraId="389DCFA7">
            <w:pPr>
              <w:keepNext w:val="0"/>
              <w:keepLines w:val="0"/>
              <w:widowControl/>
              <w:suppressLineNumbers w:val="0"/>
              <w:jc w:val="both"/>
              <w:textAlignment w:val="center"/>
              <w:rPr>
                <w:rFonts w:hint="default" w:ascii="方正小标宋简体" w:hAnsi="方正小标宋简体" w:eastAsia="方正小标宋简体" w:cs="方正小标宋简体"/>
                <w:color w:val="auto"/>
                <w:sz w:val="24"/>
                <w:szCs w:val="24"/>
                <w:highlight w:val="none"/>
                <w:vertAlign w:val="baseline"/>
                <w:lang w:val="en-US"/>
              </w:rPr>
            </w:pPr>
            <w:r>
              <w:rPr>
                <w:rFonts w:hint="eastAsia" w:ascii="仿宋_GB2312" w:hAnsi="宋体" w:eastAsia="仿宋_GB2312" w:cs="仿宋_GB2312"/>
                <w:i w:val="0"/>
                <w:iCs w:val="0"/>
                <w:color w:val="000000"/>
                <w:kern w:val="0"/>
                <w:sz w:val="24"/>
                <w:szCs w:val="24"/>
                <w:u w:val="none"/>
                <w:lang w:val="en-US" w:eastAsia="zh-CN" w:bidi="ar"/>
              </w:rPr>
              <w:t>严格执行汕尾市鼓励企业上市办法</w:t>
            </w:r>
          </w:p>
        </w:tc>
        <w:tc>
          <w:tcPr>
            <w:tcW w:w="2835" w:type="dxa"/>
            <w:noWrap w:val="0"/>
            <w:vAlign w:val="center"/>
          </w:tcPr>
          <w:p w14:paraId="1E148248">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《汕尾市人民政府办公室关于印发汕尾市鼓励企业上市办法的通知》</w:t>
            </w:r>
          </w:p>
        </w:tc>
        <w:tc>
          <w:tcPr>
            <w:tcW w:w="1077" w:type="dxa"/>
            <w:noWrap w:val="0"/>
            <w:vAlign w:val="center"/>
          </w:tcPr>
          <w:p w14:paraId="7E13B8AB">
            <w:pPr>
              <w:keepNext w:val="0"/>
              <w:keepLines w:val="0"/>
              <w:widowControl/>
              <w:suppressLineNumbers w:val="0"/>
              <w:jc w:val="center"/>
              <w:textAlignment w:val="center"/>
              <w:rPr>
                <w:rFonts w:hint="eastAsia" w:ascii="仿宋_GB2312" w:hAnsi="宋体" w:eastAsia="仿宋_GB2312" w:cs="仿宋_GB2312"/>
                <w:color w:val="000000"/>
                <w:kern w:val="0"/>
                <w:sz w:val="24"/>
                <w:szCs w:val="24"/>
                <w:highlight w:val="none"/>
                <w:u w:val="none"/>
                <w:vertAlign w:val="baseline"/>
                <w:lang w:bidi="ar"/>
              </w:rPr>
            </w:pPr>
            <w:r>
              <w:rPr>
                <w:rFonts w:hint="eastAsia" w:ascii="仿宋_GB2312" w:hAnsi="宋体" w:eastAsia="仿宋_GB2312" w:cs="仿宋_GB2312"/>
                <w:color w:val="000000"/>
                <w:kern w:val="0"/>
                <w:sz w:val="24"/>
                <w:szCs w:val="24"/>
                <w:u w:val="none"/>
                <w:lang w:bidi="ar"/>
              </w:rPr>
              <w:t>方琳琳</w:t>
            </w:r>
          </w:p>
        </w:tc>
        <w:tc>
          <w:tcPr>
            <w:tcW w:w="1772" w:type="dxa"/>
            <w:noWrap w:val="0"/>
            <w:vAlign w:val="center"/>
          </w:tcPr>
          <w:p w14:paraId="261EA99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color w:val="000000"/>
                <w:kern w:val="0"/>
                <w:sz w:val="24"/>
                <w:szCs w:val="24"/>
                <w:u w:val="none"/>
                <w:lang w:val="en-US" w:eastAsia="zh-CN" w:bidi="ar"/>
              </w:rPr>
              <w:t>6600676</w:t>
            </w:r>
          </w:p>
        </w:tc>
        <w:tc>
          <w:tcPr>
            <w:tcW w:w="1077" w:type="dxa"/>
            <w:noWrap w:val="0"/>
            <w:vAlign w:val="top"/>
          </w:tcPr>
          <w:p w14:paraId="4F287C09">
            <w:pPr>
              <w:pStyle w:val="2"/>
              <w:jc w:val="center"/>
              <w:rPr>
                <w:rFonts w:hint="eastAsia" w:ascii="方正小标宋简体" w:hAnsi="方正小标宋简体" w:eastAsia="方正小标宋简体" w:cs="方正小标宋简体"/>
                <w:color w:val="auto"/>
                <w:sz w:val="36"/>
                <w:szCs w:val="36"/>
                <w:highlight w:val="none"/>
                <w:vertAlign w:val="baseline"/>
              </w:rPr>
            </w:pPr>
          </w:p>
        </w:tc>
      </w:tr>
      <w:tr w14:paraId="1BD8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noWrap w:val="0"/>
            <w:vAlign w:val="center"/>
          </w:tcPr>
          <w:p w14:paraId="23122EAB">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333333"/>
                <w:kern w:val="0"/>
                <w:sz w:val="24"/>
                <w:szCs w:val="24"/>
                <w:u w:val="none"/>
                <w:lang w:val="en-US" w:eastAsia="zh-CN" w:bidi="ar"/>
              </w:rPr>
              <w:t>3</w:t>
            </w:r>
          </w:p>
        </w:tc>
        <w:tc>
          <w:tcPr>
            <w:tcW w:w="1531" w:type="dxa"/>
            <w:noWrap w:val="0"/>
            <w:vAlign w:val="center"/>
          </w:tcPr>
          <w:p w14:paraId="40BF5E23">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上市后备企业激励服务</w:t>
            </w:r>
          </w:p>
        </w:tc>
        <w:tc>
          <w:tcPr>
            <w:tcW w:w="1191" w:type="dxa"/>
            <w:noWrap w:val="0"/>
            <w:vAlign w:val="center"/>
          </w:tcPr>
          <w:p w14:paraId="2BB3CD93">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县金融局</w:t>
            </w:r>
          </w:p>
        </w:tc>
        <w:tc>
          <w:tcPr>
            <w:tcW w:w="3969" w:type="dxa"/>
            <w:noWrap w:val="0"/>
            <w:vAlign w:val="center"/>
          </w:tcPr>
          <w:p w14:paraId="081226A0">
            <w:pPr>
              <w:keepNext w:val="0"/>
              <w:keepLines w:val="0"/>
              <w:widowControl/>
              <w:suppressLineNumbers w:val="0"/>
              <w:jc w:val="both"/>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统筹对县辖符合条件的上市后备企业严格执行汕尾市鼓励企业上市办法。</w:t>
            </w:r>
          </w:p>
        </w:tc>
        <w:tc>
          <w:tcPr>
            <w:tcW w:w="2835" w:type="dxa"/>
            <w:noWrap w:val="0"/>
            <w:vAlign w:val="center"/>
          </w:tcPr>
          <w:p w14:paraId="30367D2B">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《汕尾市人民政府办公室关于印发汕尾市鼓励企业上市办法的通知》</w:t>
            </w:r>
          </w:p>
        </w:tc>
        <w:tc>
          <w:tcPr>
            <w:tcW w:w="1077" w:type="dxa"/>
            <w:noWrap w:val="0"/>
            <w:vAlign w:val="center"/>
          </w:tcPr>
          <w:p w14:paraId="4A3C49EC">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color w:val="000000"/>
                <w:kern w:val="0"/>
                <w:sz w:val="24"/>
                <w:szCs w:val="24"/>
                <w:u w:val="none"/>
                <w:lang w:bidi="ar"/>
              </w:rPr>
              <w:t>方琳琳</w:t>
            </w:r>
          </w:p>
        </w:tc>
        <w:tc>
          <w:tcPr>
            <w:tcW w:w="1772" w:type="dxa"/>
            <w:noWrap w:val="0"/>
            <w:vAlign w:val="center"/>
          </w:tcPr>
          <w:p w14:paraId="0DC63E5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color w:val="000000"/>
                <w:kern w:val="0"/>
                <w:sz w:val="24"/>
                <w:szCs w:val="24"/>
                <w:u w:val="none"/>
                <w:lang w:val="en-US" w:eastAsia="zh-CN" w:bidi="ar"/>
              </w:rPr>
              <w:t>6600676</w:t>
            </w:r>
          </w:p>
        </w:tc>
        <w:tc>
          <w:tcPr>
            <w:tcW w:w="1077" w:type="dxa"/>
            <w:noWrap w:val="0"/>
            <w:vAlign w:val="center"/>
          </w:tcPr>
          <w:p w14:paraId="7A56177D">
            <w:pPr>
              <w:jc w:val="center"/>
              <w:rPr>
                <w:rFonts w:hint="eastAsia" w:ascii="方正小标宋简体" w:hAnsi="方正小标宋简体" w:eastAsia="方正小标宋简体" w:cs="方正小标宋简体"/>
                <w:color w:val="auto"/>
                <w:sz w:val="24"/>
                <w:szCs w:val="24"/>
                <w:highlight w:val="none"/>
                <w:vertAlign w:val="baseline"/>
              </w:rPr>
            </w:pPr>
          </w:p>
        </w:tc>
      </w:tr>
      <w:tr w14:paraId="36AED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noWrap w:val="0"/>
            <w:vAlign w:val="center"/>
          </w:tcPr>
          <w:p w14:paraId="53E24C81">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333333"/>
                <w:kern w:val="0"/>
                <w:sz w:val="24"/>
                <w:szCs w:val="24"/>
                <w:u w:val="none"/>
                <w:lang w:val="en-US" w:eastAsia="zh-CN" w:bidi="ar"/>
              </w:rPr>
              <w:t>4</w:t>
            </w:r>
          </w:p>
        </w:tc>
        <w:tc>
          <w:tcPr>
            <w:tcW w:w="1531" w:type="dxa"/>
            <w:noWrap w:val="0"/>
            <w:vAlign w:val="center"/>
          </w:tcPr>
          <w:p w14:paraId="5DCE93CC">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园区商标品牌培育服务</w:t>
            </w:r>
          </w:p>
        </w:tc>
        <w:tc>
          <w:tcPr>
            <w:tcW w:w="1191" w:type="dxa"/>
            <w:noWrap w:val="0"/>
            <w:vAlign w:val="center"/>
          </w:tcPr>
          <w:p w14:paraId="5469949A">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县市监局</w:t>
            </w:r>
          </w:p>
        </w:tc>
        <w:tc>
          <w:tcPr>
            <w:tcW w:w="3969" w:type="dxa"/>
            <w:noWrap w:val="0"/>
            <w:vAlign w:val="center"/>
          </w:tcPr>
          <w:p w14:paraId="0E0CA849">
            <w:pPr>
              <w:keepNext w:val="0"/>
              <w:keepLines w:val="0"/>
              <w:widowControl/>
              <w:suppressLineNumbers w:val="0"/>
              <w:jc w:val="both"/>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推动园区商标品牌培育指导站建设，服务园区企业。</w:t>
            </w:r>
          </w:p>
        </w:tc>
        <w:tc>
          <w:tcPr>
            <w:tcW w:w="2835" w:type="dxa"/>
            <w:noWrap w:val="0"/>
            <w:vAlign w:val="center"/>
          </w:tcPr>
          <w:p w14:paraId="6AF19376">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1.《广东省市场监督管理局关于印发&lt;广东省市场监督管理局知识产权工作专项资金管理细则&gt;的通知》</w:t>
            </w:r>
          </w:p>
          <w:p w14:paraId="64767CC1">
            <w:pPr>
              <w:keepNext w:val="0"/>
              <w:keepLines w:val="0"/>
              <w:widowControl/>
              <w:suppressLineNumbers w:val="0"/>
              <w:jc w:val="left"/>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2.汕尾市人民政府办公室关于印发《汕尾市推进知识产权工作实施办法（试行）》的通知</w:t>
            </w:r>
          </w:p>
        </w:tc>
        <w:tc>
          <w:tcPr>
            <w:tcW w:w="1077" w:type="dxa"/>
            <w:noWrap w:val="0"/>
            <w:vAlign w:val="center"/>
          </w:tcPr>
          <w:p w14:paraId="48B23786">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color w:val="000000"/>
                <w:kern w:val="0"/>
                <w:sz w:val="24"/>
              </w:rPr>
              <w:t>彭武涛</w:t>
            </w:r>
          </w:p>
        </w:tc>
        <w:tc>
          <w:tcPr>
            <w:tcW w:w="1772" w:type="dxa"/>
            <w:noWrap w:val="0"/>
            <w:vAlign w:val="center"/>
          </w:tcPr>
          <w:p w14:paraId="2F96DE7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color w:val="000000"/>
                <w:kern w:val="0"/>
                <w:sz w:val="24"/>
              </w:rPr>
              <w:t>6691192</w:t>
            </w:r>
          </w:p>
        </w:tc>
        <w:tc>
          <w:tcPr>
            <w:tcW w:w="1077" w:type="dxa"/>
            <w:noWrap w:val="0"/>
            <w:vAlign w:val="center"/>
          </w:tcPr>
          <w:p w14:paraId="7357FEE3">
            <w:pPr>
              <w:keepNext w:val="0"/>
              <w:keepLines w:val="0"/>
              <w:widowControl/>
              <w:suppressLineNumbers w:val="0"/>
              <w:jc w:val="both"/>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以项目形式推进，通过建设商标品牌培育指导站，以园区为服务载体，向科技型、创新型企业提供商标品牌培育服务。</w:t>
            </w:r>
          </w:p>
        </w:tc>
      </w:tr>
      <w:tr w14:paraId="5CD6B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noWrap w:val="0"/>
            <w:vAlign w:val="center"/>
          </w:tcPr>
          <w:p w14:paraId="7D983567">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333333"/>
                <w:kern w:val="0"/>
                <w:sz w:val="24"/>
                <w:szCs w:val="24"/>
                <w:u w:val="none"/>
                <w:lang w:val="en-US" w:eastAsia="zh-CN" w:bidi="ar"/>
              </w:rPr>
              <w:t>5</w:t>
            </w:r>
          </w:p>
        </w:tc>
        <w:tc>
          <w:tcPr>
            <w:tcW w:w="1531" w:type="dxa"/>
            <w:noWrap w:val="0"/>
            <w:vAlign w:val="center"/>
          </w:tcPr>
          <w:p w14:paraId="0BE275A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高价值专利培育布局</w:t>
            </w:r>
          </w:p>
          <w:p w14:paraId="3866FCF8">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服务</w:t>
            </w:r>
          </w:p>
        </w:tc>
        <w:tc>
          <w:tcPr>
            <w:tcW w:w="1191" w:type="dxa"/>
            <w:noWrap w:val="0"/>
            <w:vAlign w:val="center"/>
          </w:tcPr>
          <w:p w14:paraId="0F01615D">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县市监局</w:t>
            </w:r>
          </w:p>
        </w:tc>
        <w:tc>
          <w:tcPr>
            <w:tcW w:w="3969" w:type="dxa"/>
            <w:noWrap w:val="0"/>
            <w:vAlign w:val="center"/>
          </w:tcPr>
          <w:p w14:paraId="783C5566">
            <w:pPr>
              <w:keepNext w:val="0"/>
              <w:keepLines w:val="0"/>
              <w:widowControl/>
              <w:suppressLineNumbers w:val="0"/>
              <w:jc w:val="both"/>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围绕广东省重点培育发展的战略性支柱产业集群、战略性新兴产业集群，从每个产业中选取关键、核心领域技术点，支持我省创新主体开展精准高价值专利培育布局，加快创新驱动发展。推动我县各类创新中心提升专利制度综合运用能力，产出一批产业发展需要的高价值发明专利。</w:t>
            </w:r>
          </w:p>
        </w:tc>
        <w:tc>
          <w:tcPr>
            <w:tcW w:w="2835" w:type="dxa"/>
            <w:noWrap w:val="0"/>
            <w:vAlign w:val="center"/>
          </w:tcPr>
          <w:p w14:paraId="40343867">
            <w:pPr>
              <w:keepNext w:val="0"/>
              <w:keepLines w:val="0"/>
              <w:widowControl/>
              <w:suppressLineNumbers w:val="0"/>
              <w:jc w:val="left"/>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《广东省人民政府办公厅关于印发广东省促进中小企业知识产权保护和利用若干政策措施的通知》</w:t>
            </w:r>
          </w:p>
        </w:tc>
        <w:tc>
          <w:tcPr>
            <w:tcW w:w="1077" w:type="dxa"/>
            <w:noWrap w:val="0"/>
            <w:vAlign w:val="center"/>
          </w:tcPr>
          <w:p w14:paraId="7D3C740B">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color w:val="000000"/>
                <w:kern w:val="0"/>
                <w:sz w:val="24"/>
              </w:rPr>
              <w:t>彭武涛</w:t>
            </w:r>
          </w:p>
        </w:tc>
        <w:tc>
          <w:tcPr>
            <w:tcW w:w="1772" w:type="dxa"/>
            <w:noWrap w:val="0"/>
            <w:vAlign w:val="center"/>
          </w:tcPr>
          <w:p w14:paraId="4C8B0A2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color w:val="000000"/>
                <w:kern w:val="0"/>
                <w:sz w:val="24"/>
              </w:rPr>
              <w:t>6691192</w:t>
            </w:r>
          </w:p>
        </w:tc>
        <w:tc>
          <w:tcPr>
            <w:tcW w:w="1077" w:type="dxa"/>
            <w:noWrap w:val="0"/>
            <w:vAlign w:val="center"/>
          </w:tcPr>
          <w:p w14:paraId="5E792AA0">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科技型、创新型企业</w:t>
            </w:r>
          </w:p>
        </w:tc>
      </w:tr>
      <w:tr w14:paraId="68CDE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noWrap w:val="0"/>
            <w:vAlign w:val="center"/>
          </w:tcPr>
          <w:p w14:paraId="3E5AF450">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333333"/>
                <w:kern w:val="0"/>
                <w:sz w:val="24"/>
                <w:szCs w:val="24"/>
                <w:u w:val="none"/>
                <w:lang w:val="en-US" w:eastAsia="zh-CN" w:bidi="ar"/>
              </w:rPr>
              <w:t>6</w:t>
            </w:r>
          </w:p>
        </w:tc>
        <w:tc>
          <w:tcPr>
            <w:tcW w:w="1531" w:type="dxa"/>
            <w:noWrap w:val="0"/>
            <w:vAlign w:val="center"/>
          </w:tcPr>
          <w:p w14:paraId="0C52F522">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知识产权质押融资服务</w:t>
            </w:r>
          </w:p>
        </w:tc>
        <w:tc>
          <w:tcPr>
            <w:tcW w:w="1191" w:type="dxa"/>
            <w:noWrap w:val="0"/>
            <w:vAlign w:val="center"/>
          </w:tcPr>
          <w:p w14:paraId="567EC339">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县市监局</w:t>
            </w:r>
          </w:p>
        </w:tc>
        <w:tc>
          <w:tcPr>
            <w:tcW w:w="3969" w:type="dxa"/>
            <w:noWrap w:val="0"/>
            <w:vAlign w:val="center"/>
          </w:tcPr>
          <w:p w14:paraId="25960AA8">
            <w:pPr>
              <w:keepNext w:val="0"/>
              <w:keepLines w:val="0"/>
              <w:widowControl/>
              <w:suppressLineNumbers w:val="0"/>
              <w:jc w:val="both"/>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推进企业知识产权质押融资工作。</w:t>
            </w:r>
          </w:p>
        </w:tc>
        <w:tc>
          <w:tcPr>
            <w:tcW w:w="2835" w:type="dxa"/>
            <w:noWrap w:val="0"/>
            <w:vAlign w:val="center"/>
          </w:tcPr>
          <w:p w14:paraId="655684FD">
            <w:pPr>
              <w:keepNext w:val="0"/>
              <w:keepLines w:val="0"/>
              <w:widowControl/>
              <w:suppressLineNumbers w:val="0"/>
              <w:jc w:val="both"/>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汕尾市人民政府办公室关于印发《汕尾市推进知识产权工作实施办法（试行）》和关于印发《汕尾市小微企业信用保证基金知识产权质押融资风险补偿项目实施细则》的通知</w:t>
            </w:r>
          </w:p>
        </w:tc>
        <w:tc>
          <w:tcPr>
            <w:tcW w:w="1077" w:type="dxa"/>
            <w:noWrap w:val="0"/>
            <w:vAlign w:val="center"/>
          </w:tcPr>
          <w:p w14:paraId="4FD8DA91">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color w:val="000000"/>
                <w:kern w:val="0"/>
                <w:sz w:val="24"/>
              </w:rPr>
              <w:t>彭武涛</w:t>
            </w:r>
          </w:p>
        </w:tc>
        <w:tc>
          <w:tcPr>
            <w:tcW w:w="1772" w:type="dxa"/>
            <w:noWrap w:val="0"/>
            <w:vAlign w:val="center"/>
          </w:tcPr>
          <w:p w14:paraId="077276D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color w:val="000000"/>
                <w:kern w:val="0"/>
                <w:sz w:val="24"/>
              </w:rPr>
              <w:t>6691192</w:t>
            </w:r>
          </w:p>
        </w:tc>
        <w:tc>
          <w:tcPr>
            <w:tcW w:w="1077" w:type="dxa"/>
            <w:noWrap w:val="0"/>
            <w:vAlign w:val="center"/>
          </w:tcPr>
          <w:p w14:paraId="6D768B5D">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科技型、创新型企业</w:t>
            </w:r>
          </w:p>
        </w:tc>
      </w:tr>
      <w:tr w14:paraId="3F248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noWrap w:val="0"/>
            <w:vAlign w:val="center"/>
          </w:tcPr>
          <w:p w14:paraId="1303E57F">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333333"/>
                <w:kern w:val="0"/>
                <w:sz w:val="24"/>
                <w:szCs w:val="24"/>
                <w:u w:val="none"/>
                <w:lang w:val="en-US" w:eastAsia="zh-CN" w:bidi="ar"/>
              </w:rPr>
              <w:t>7</w:t>
            </w:r>
          </w:p>
        </w:tc>
        <w:tc>
          <w:tcPr>
            <w:tcW w:w="1531" w:type="dxa"/>
            <w:noWrap w:val="0"/>
            <w:vAlign w:val="center"/>
          </w:tcPr>
          <w:p w14:paraId="65F0023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高层次人才引进补贴</w:t>
            </w:r>
          </w:p>
          <w:p w14:paraId="75290F30">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服务</w:t>
            </w:r>
          </w:p>
        </w:tc>
        <w:tc>
          <w:tcPr>
            <w:tcW w:w="1191" w:type="dxa"/>
            <w:noWrap w:val="0"/>
            <w:vAlign w:val="center"/>
          </w:tcPr>
          <w:p w14:paraId="3ADBCCBF">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县人社局</w:t>
            </w:r>
          </w:p>
        </w:tc>
        <w:tc>
          <w:tcPr>
            <w:tcW w:w="3969" w:type="dxa"/>
            <w:noWrap w:val="0"/>
            <w:vAlign w:val="center"/>
          </w:tcPr>
          <w:p w14:paraId="2B995ABF">
            <w:pPr>
              <w:keepNext w:val="0"/>
              <w:keepLines w:val="0"/>
              <w:widowControl/>
              <w:suppressLineNumbers w:val="0"/>
              <w:jc w:val="both"/>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县属国有企业和非公有制企业新引进的高层次人才和创新创业团队等的专项工作经费、安家费、岗位补贴、生活补贴等，由单位和县财政各承担50%。</w:t>
            </w:r>
          </w:p>
        </w:tc>
        <w:tc>
          <w:tcPr>
            <w:tcW w:w="2835" w:type="dxa"/>
            <w:noWrap w:val="0"/>
            <w:vAlign w:val="center"/>
          </w:tcPr>
          <w:p w14:paraId="079AFC1C">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《海丰县“海纳英才”人才计划》</w:t>
            </w:r>
          </w:p>
        </w:tc>
        <w:tc>
          <w:tcPr>
            <w:tcW w:w="1077" w:type="dxa"/>
            <w:noWrap w:val="0"/>
            <w:vAlign w:val="center"/>
          </w:tcPr>
          <w:p w14:paraId="4FACDFF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陈瑞华</w:t>
            </w:r>
          </w:p>
        </w:tc>
        <w:tc>
          <w:tcPr>
            <w:tcW w:w="1772" w:type="dxa"/>
            <w:noWrap w:val="0"/>
            <w:vAlign w:val="center"/>
          </w:tcPr>
          <w:p w14:paraId="47FFC43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0660-6600118</w:t>
            </w:r>
          </w:p>
        </w:tc>
        <w:tc>
          <w:tcPr>
            <w:tcW w:w="1077" w:type="dxa"/>
            <w:noWrap w:val="0"/>
            <w:vAlign w:val="center"/>
          </w:tcPr>
          <w:p w14:paraId="078E8018">
            <w:pPr>
              <w:jc w:val="center"/>
              <w:rPr>
                <w:rFonts w:hint="eastAsia" w:ascii="方正小标宋简体" w:hAnsi="方正小标宋简体" w:eastAsia="方正小标宋简体" w:cs="方正小标宋简体"/>
                <w:color w:val="auto"/>
                <w:sz w:val="24"/>
                <w:szCs w:val="24"/>
                <w:highlight w:val="none"/>
                <w:vertAlign w:val="baseline"/>
              </w:rPr>
            </w:pPr>
          </w:p>
        </w:tc>
      </w:tr>
      <w:tr w14:paraId="5BD9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noWrap w:val="0"/>
            <w:vAlign w:val="center"/>
          </w:tcPr>
          <w:p w14:paraId="7261CF22">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333333"/>
                <w:kern w:val="0"/>
                <w:sz w:val="24"/>
                <w:szCs w:val="24"/>
                <w:u w:val="none"/>
                <w:lang w:val="en-US" w:eastAsia="zh-CN" w:bidi="ar"/>
              </w:rPr>
              <w:t>8</w:t>
            </w:r>
          </w:p>
        </w:tc>
        <w:tc>
          <w:tcPr>
            <w:tcW w:w="1531" w:type="dxa"/>
            <w:noWrap w:val="0"/>
            <w:vAlign w:val="center"/>
          </w:tcPr>
          <w:p w14:paraId="1B5FD21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就业创业</w:t>
            </w:r>
          </w:p>
          <w:p w14:paraId="37016050">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补贴服务</w:t>
            </w:r>
          </w:p>
        </w:tc>
        <w:tc>
          <w:tcPr>
            <w:tcW w:w="1191" w:type="dxa"/>
            <w:noWrap w:val="0"/>
            <w:vAlign w:val="center"/>
          </w:tcPr>
          <w:p w14:paraId="57F9EDDB">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县人社局</w:t>
            </w:r>
          </w:p>
        </w:tc>
        <w:tc>
          <w:tcPr>
            <w:tcW w:w="3969" w:type="dxa"/>
            <w:noWrap w:val="0"/>
            <w:vAlign w:val="center"/>
          </w:tcPr>
          <w:p w14:paraId="6CA5034A">
            <w:pPr>
              <w:keepNext w:val="0"/>
              <w:keepLines w:val="0"/>
              <w:widowControl/>
              <w:suppressLineNumbers w:val="0"/>
              <w:jc w:val="both"/>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对吸纳符合条件的劳动者就业的企业、个体工商户给予吸纳就业补贴、社保补贴。</w:t>
            </w:r>
          </w:p>
        </w:tc>
        <w:tc>
          <w:tcPr>
            <w:tcW w:w="2835" w:type="dxa"/>
            <w:noWrap w:val="0"/>
            <w:vAlign w:val="center"/>
          </w:tcPr>
          <w:p w14:paraId="1DD8E2BC">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《关于印发〈汕尾市就业创业补贴申领细则〉（2021年修订版）的通知》</w:t>
            </w:r>
          </w:p>
        </w:tc>
        <w:tc>
          <w:tcPr>
            <w:tcW w:w="1077" w:type="dxa"/>
            <w:noWrap w:val="0"/>
            <w:vAlign w:val="center"/>
          </w:tcPr>
          <w:p w14:paraId="38E245F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郭雯锋</w:t>
            </w:r>
          </w:p>
        </w:tc>
        <w:tc>
          <w:tcPr>
            <w:tcW w:w="1772" w:type="dxa"/>
            <w:noWrap w:val="0"/>
            <w:vAlign w:val="center"/>
          </w:tcPr>
          <w:p w14:paraId="33429C1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0660-6893278</w:t>
            </w:r>
          </w:p>
        </w:tc>
        <w:tc>
          <w:tcPr>
            <w:tcW w:w="1077" w:type="dxa"/>
            <w:noWrap w:val="0"/>
            <w:vAlign w:val="center"/>
          </w:tcPr>
          <w:p w14:paraId="281C5482">
            <w:pPr>
              <w:jc w:val="center"/>
              <w:rPr>
                <w:rFonts w:hint="eastAsia" w:ascii="方正小标宋简体" w:hAnsi="方正小标宋简体" w:eastAsia="方正小标宋简体" w:cs="方正小标宋简体"/>
                <w:color w:val="auto"/>
                <w:sz w:val="24"/>
                <w:szCs w:val="24"/>
                <w:highlight w:val="none"/>
                <w:vertAlign w:val="baseline"/>
              </w:rPr>
            </w:pPr>
          </w:p>
        </w:tc>
      </w:tr>
      <w:tr w14:paraId="0D462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noWrap w:val="0"/>
            <w:vAlign w:val="center"/>
          </w:tcPr>
          <w:p w14:paraId="2B821F2D">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333333"/>
                <w:kern w:val="0"/>
                <w:sz w:val="24"/>
                <w:szCs w:val="24"/>
                <w:u w:val="none"/>
                <w:lang w:val="en-US" w:eastAsia="zh-CN" w:bidi="ar"/>
              </w:rPr>
              <w:t>9</w:t>
            </w:r>
          </w:p>
        </w:tc>
        <w:tc>
          <w:tcPr>
            <w:tcW w:w="1531" w:type="dxa"/>
            <w:noWrap w:val="0"/>
            <w:vAlign w:val="center"/>
          </w:tcPr>
          <w:p w14:paraId="4F71B1F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学徒培训</w:t>
            </w:r>
          </w:p>
          <w:p w14:paraId="67161989">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补贴服务</w:t>
            </w:r>
          </w:p>
        </w:tc>
        <w:tc>
          <w:tcPr>
            <w:tcW w:w="1191" w:type="dxa"/>
            <w:noWrap w:val="0"/>
            <w:vAlign w:val="center"/>
          </w:tcPr>
          <w:p w14:paraId="6A26D39C">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县人社局</w:t>
            </w:r>
          </w:p>
        </w:tc>
        <w:tc>
          <w:tcPr>
            <w:tcW w:w="3969" w:type="dxa"/>
            <w:noWrap w:val="0"/>
            <w:vAlign w:val="center"/>
          </w:tcPr>
          <w:p w14:paraId="1992B7CD">
            <w:pPr>
              <w:keepNext w:val="0"/>
              <w:keepLines w:val="0"/>
              <w:widowControl/>
              <w:suppressLineNumbers w:val="0"/>
              <w:jc w:val="both"/>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全面推行以“招工即招生、入企即入校、企校双师联合培养”为主要内容的企业新型学徒制，对开展学徒培训的企业按规定给予学徒培训补贴，加快企业技能人才培养。</w:t>
            </w:r>
          </w:p>
        </w:tc>
        <w:tc>
          <w:tcPr>
            <w:tcW w:w="2835" w:type="dxa"/>
            <w:noWrap w:val="0"/>
            <w:vAlign w:val="center"/>
          </w:tcPr>
          <w:p w14:paraId="7B6995E3">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《广东省人力资源和社会保障厅 广东省财政厅关于印发&lt;广东省全面推行企业新型学徒制实施方案&gt;的    通知》</w:t>
            </w:r>
          </w:p>
        </w:tc>
        <w:tc>
          <w:tcPr>
            <w:tcW w:w="1077" w:type="dxa"/>
            <w:noWrap w:val="0"/>
            <w:vAlign w:val="center"/>
          </w:tcPr>
          <w:p w14:paraId="5EA9BB5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郭雯锋</w:t>
            </w:r>
          </w:p>
        </w:tc>
        <w:tc>
          <w:tcPr>
            <w:tcW w:w="1772" w:type="dxa"/>
            <w:noWrap w:val="0"/>
            <w:vAlign w:val="center"/>
          </w:tcPr>
          <w:p w14:paraId="2FE2178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0660-6893278</w:t>
            </w:r>
          </w:p>
        </w:tc>
        <w:tc>
          <w:tcPr>
            <w:tcW w:w="1077" w:type="dxa"/>
            <w:noWrap w:val="0"/>
            <w:vAlign w:val="center"/>
          </w:tcPr>
          <w:p w14:paraId="6CB0DCBA">
            <w:pPr>
              <w:jc w:val="center"/>
              <w:rPr>
                <w:rFonts w:hint="eastAsia" w:ascii="方正小标宋简体" w:hAnsi="方正小标宋简体" w:eastAsia="方正小标宋简体" w:cs="方正小标宋简体"/>
                <w:color w:val="auto"/>
                <w:sz w:val="24"/>
                <w:szCs w:val="24"/>
                <w:highlight w:val="none"/>
                <w:vertAlign w:val="baseline"/>
              </w:rPr>
            </w:pPr>
          </w:p>
        </w:tc>
      </w:tr>
      <w:tr w14:paraId="3301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noWrap w:val="0"/>
            <w:vAlign w:val="center"/>
          </w:tcPr>
          <w:p w14:paraId="0D842AA5">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333333"/>
                <w:kern w:val="0"/>
                <w:sz w:val="24"/>
                <w:szCs w:val="24"/>
                <w:u w:val="none"/>
                <w:lang w:val="en-US" w:eastAsia="zh-CN" w:bidi="ar"/>
              </w:rPr>
              <w:t>10</w:t>
            </w:r>
          </w:p>
        </w:tc>
        <w:tc>
          <w:tcPr>
            <w:tcW w:w="1531" w:type="dxa"/>
            <w:noWrap w:val="0"/>
            <w:vAlign w:val="center"/>
          </w:tcPr>
          <w:p w14:paraId="3495472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工伤、失业保险支持</w:t>
            </w:r>
          </w:p>
          <w:p w14:paraId="24A814E9">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服务</w:t>
            </w:r>
          </w:p>
        </w:tc>
        <w:tc>
          <w:tcPr>
            <w:tcW w:w="1191" w:type="dxa"/>
            <w:noWrap w:val="0"/>
            <w:vAlign w:val="center"/>
          </w:tcPr>
          <w:p w14:paraId="113A7AF9">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县人社局</w:t>
            </w:r>
          </w:p>
        </w:tc>
        <w:tc>
          <w:tcPr>
            <w:tcW w:w="3969" w:type="dxa"/>
            <w:noWrap w:val="0"/>
            <w:vAlign w:val="center"/>
          </w:tcPr>
          <w:p w14:paraId="5A531D38">
            <w:pPr>
              <w:keepNext w:val="0"/>
              <w:keepLines w:val="0"/>
              <w:widowControl/>
              <w:suppressLineNumbers w:val="0"/>
              <w:jc w:val="both"/>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延续阶段性降低失业保险、工伤保险费率政策实施时间至2023年4月30日。其中，失业保险基准费率延续按1％实施，继续实施浮动费率政策；工伤保险在执行行业基准费率和浮动费率政策的基础上，统一阶段性下调单位缴费费率20％（税务部门负责）。</w:t>
            </w:r>
          </w:p>
        </w:tc>
        <w:tc>
          <w:tcPr>
            <w:tcW w:w="2835" w:type="dxa"/>
            <w:noWrap w:val="0"/>
            <w:vAlign w:val="center"/>
          </w:tcPr>
          <w:p w14:paraId="0E7BE1CD">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《广东省人民政府办公厅关于印发广东省促进服务业领域困难行业恢复发展若干 措施的通知》</w:t>
            </w:r>
          </w:p>
        </w:tc>
        <w:tc>
          <w:tcPr>
            <w:tcW w:w="1077" w:type="dxa"/>
            <w:noWrap w:val="0"/>
            <w:vAlign w:val="center"/>
          </w:tcPr>
          <w:p w14:paraId="3AC5C4EF">
            <w:pPr>
              <w:keepNext w:val="0"/>
              <w:keepLines w:val="0"/>
              <w:widowControl/>
              <w:suppressLineNumbers w:val="0"/>
              <w:jc w:val="center"/>
              <w:textAlignment w:val="center"/>
              <w:rPr>
                <w:rFonts w:hint="eastAsia"/>
                <w:lang w:val="en-US" w:eastAsia="zh-CN"/>
              </w:rPr>
            </w:pPr>
            <w:r>
              <w:rPr>
                <w:rFonts w:hint="eastAsia"/>
                <w:lang w:val="en-US" w:eastAsia="zh-CN"/>
              </w:rPr>
              <w:t>黄锡圣</w:t>
            </w:r>
          </w:p>
          <w:p w14:paraId="62A4905E">
            <w:pPr>
              <w:pStyle w:val="2"/>
              <w:ind w:left="0" w:leftChars="0"/>
              <w:jc w:val="center"/>
              <w:rPr>
                <w:rFonts w:hint="default"/>
                <w:lang w:val="en-US" w:eastAsia="zh-CN"/>
              </w:rPr>
            </w:pPr>
            <w:r>
              <w:rPr>
                <w:rFonts w:hint="eastAsia"/>
                <w:lang w:val="en-US" w:eastAsia="zh-CN"/>
              </w:rPr>
              <w:t>陈伟彬</w:t>
            </w:r>
          </w:p>
        </w:tc>
        <w:tc>
          <w:tcPr>
            <w:tcW w:w="1772" w:type="dxa"/>
            <w:noWrap w:val="0"/>
            <w:vAlign w:val="center"/>
          </w:tcPr>
          <w:p w14:paraId="108B3A2E">
            <w:pPr>
              <w:keepNext w:val="0"/>
              <w:keepLines w:val="0"/>
              <w:widowControl/>
              <w:suppressLineNumbers w:val="0"/>
              <w:jc w:val="center"/>
              <w:textAlignment w:val="center"/>
              <w:rPr>
                <w:rFonts w:hint="eastAsia"/>
                <w:lang w:val="en-US" w:eastAsia="zh-CN"/>
              </w:rPr>
            </w:pPr>
            <w:r>
              <w:rPr>
                <w:rFonts w:hint="eastAsia"/>
              </w:rPr>
              <w:t>0660-68</w:t>
            </w:r>
            <w:r>
              <w:rPr>
                <w:rFonts w:hint="eastAsia"/>
                <w:lang w:val="en-US" w:eastAsia="zh-CN"/>
              </w:rPr>
              <w:t>91890</w:t>
            </w:r>
          </w:p>
          <w:p w14:paraId="2FCB0363">
            <w:pPr>
              <w:pStyle w:val="2"/>
              <w:ind w:left="0" w:leftChars="0"/>
              <w:jc w:val="center"/>
              <w:rPr>
                <w:rFonts w:hint="default"/>
                <w:lang w:val="en-US" w:eastAsia="zh-CN"/>
              </w:rPr>
            </w:pPr>
            <w:r>
              <w:rPr>
                <w:rFonts w:hint="eastAsia" w:ascii="Cambria" w:hAnsi="Cambria" w:eastAsia="宋体" w:cs="Times New Roman"/>
                <w:kern w:val="2"/>
                <w:sz w:val="21"/>
                <w:szCs w:val="24"/>
                <w:u w:val="none"/>
                <w:lang w:val="en-US" w:eastAsia="zh-CN" w:bidi="ar-SA"/>
              </w:rPr>
              <w:t>0660-6891331</w:t>
            </w:r>
          </w:p>
        </w:tc>
        <w:tc>
          <w:tcPr>
            <w:tcW w:w="1077" w:type="dxa"/>
            <w:noWrap w:val="0"/>
            <w:vAlign w:val="center"/>
          </w:tcPr>
          <w:p w14:paraId="77478E98">
            <w:pPr>
              <w:jc w:val="center"/>
              <w:rPr>
                <w:rFonts w:hint="eastAsia" w:ascii="方正小标宋简体" w:hAnsi="方正小标宋简体" w:eastAsia="方正小标宋简体" w:cs="方正小标宋简体"/>
                <w:color w:val="auto"/>
                <w:sz w:val="24"/>
                <w:szCs w:val="24"/>
                <w:highlight w:val="none"/>
                <w:vertAlign w:val="baseline"/>
              </w:rPr>
            </w:pPr>
          </w:p>
        </w:tc>
      </w:tr>
      <w:tr w14:paraId="300EA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noWrap w:val="0"/>
            <w:vAlign w:val="center"/>
          </w:tcPr>
          <w:p w14:paraId="304EF762">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333333"/>
                <w:kern w:val="0"/>
                <w:sz w:val="24"/>
                <w:szCs w:val="24"/>
                <w:u w:val="none"/>
                <w:lang w:val="en-US" w:eastAsia="zh-CN" w:bidi="ar"/>
              </w:rPr>
              <w:t>11</w:t>
            </w:r>
          </w:p>
        </w:tc>
        <w:tc>
          <w:tcPr>
            <w:tcW w:w="1531" w:type="dxa"/>
            <w:noWrap w:val="0"/>
            <w:vAlign w:val="center"/>
          </w:tcPr>
          <w:p w14:paraId="7AEA18B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企业信用</w:t>
            </w:r>
          </w:p>
          <w:p w14:paraId="1F6E35D5">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修复服务</w:t>
            </w:r>
          </w:p>
        </w:tc>
        <w:tc>
          <w:tcPr>
            <w:tcW w:w="1191" w:type="dxa"/>
            <w:noWrap w:val="0"/>
            <w:vAlign w:val="center"/>
          </w:tcPr>
          <w:p w14:paraId="771D6F35">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县发改局</w:t>
            </w:r>
          </w:p>
        </w:tc>
        <w:tc>
          <w:tcPr>
            <w:tcW w:w="3969" w:type="dxa"/>
            <w:noWrap w:val="0"/>
            <w:vAlign w:val="center"/>
          </w:tcPr>
          <w:p w14:paraId="4AF0B647">
            <w:pPr>
              <w:keepNext w:val="0"/>
              <w:keepLines w:val="0"/>
              <w:widowControl/>
              <w:suppressLineNumbers w:val="0"/>
              <w:jc w:val="both"/>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配合市为失信企业建立健全信用修复工作机制，进一步鼓励和引导企业开展信用修复工作，保障失信主体权益，提升全社会诚信意识，营造优良信用环境。</w:t>
            </w:r>
          </w:p>
        </w:tc>
        <w:tc>
          <w:tcPr>
            <w:tcW w:w="2835" w:type="dxa"/>
            <w:noWrap w:val="0"/>
            <w:vAlign w:val="center"/>
          </w:tcPr>
          <w:p w14:paraId="7018B6EA">
            <w:pPr>
              <w:keepNext w:val="0"/>
              <w:keepLines w:val="0"/>
              <w:widowControl/>
              <w:suppressLineNumbers w:val="0"/>
              <w:jc w:val="left"/>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1.《国家发展改革委办公厅关于进一步完善“信用中国”网站及地方信用门户网站行政处罚信息信用修复机制的通知》；             2.《广东省发展改革委转发国家发展改革委办公厅关于进一步完善“信用中国”网站及地方信用门户网站行政处罚信息信用修复机制的通知》；                 3.《汕尾市行政处罚信用修复工作指引》</w:t>
            </w:r>
          </w:p>
        </w:tc>
        <w:tc>
          <w:tcPr>
            <w:tcW w:w="1077" w:type="dxa"/>
            <w:noWrap w:val="0"/>
            <w:vAlign w:val="center"/>
          </w:tcPr>
          <w:p w14:paraId="6A8F974D">
            <w:pPr>
              <w:keepNext w:val="0"/>
              <w:keepLines w:val="0"/>
              <w:widowControl/>
              <w:suppressLineNumbers w:val="0"/>
              <w:jc w:val="center"/>
              <w:textAlignment w:val="center"/>
              <w:rPr>
                <w:rFonts w:hint="default" w:ascii="方正小标宋简体" w:hAnsi="方正小标宋简体" w:eastAsia="方正小标宋简体" w:cs="方正小标宋简体"/>
                <w:color w:val="auto"/>
                <w:sz w:val="24"/>
                <w:szCs w:val="24"/>
                <w:highlight w:val="none"/>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叶思恒</w:t>
            </w:r>
          </w:p>
        </w:tc>
        <w:tc>
          <w:tcPr>
            <w:tcW w:w="1772" w:type="dxa"/>
            <w:noWrap w:val="0"/>
            <w:vAlign w:val="center"/>
          </w:tcPr>
          <w:p w14:paraId="70D8C3A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6621616</w:t>
            </w:r>
          </w:p>
        </w:tc>
        <w:tc>
          <w:tcPr>
            <w:tcW w:w="1077" w:type="dxa"/>
            <w:noWrap w:val="0"/>
            <w:vAlign w:val="center"/>
          </w:tcPr>
          <w:p w14:paraId="7AF63D9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14:paraId="22ED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noWrap w:val="0"/>
            <w:vAlign w:val="center"/>
          </w:tcPr>
          <w:p w14:paraId="748AF268">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333333"/>
                <w:kern w:val="0"/>
                <w:sz w:val="24"/>
                <w:szCs w:val="24"/>
                <w:u w:val="none"/>
                <w:lang w:val="en-US" w:eastAsia="zh-CN" w:bidi="ar"/>
              </w:rPr>
              <w:t>12</w:t>
            </w:r>
          </w:p>
        </w:tc>
        <w:tc>
          <w:tcPr>
            <w:tcW w:w="1531" w:type="dxa"/>
            <w:noWrap w:val="0"/>
            <w:vAlign w:val="center"/>
          </w:tcPr>
          <w:p w14:paraId="20615D1F">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职业供求信息发布服务</w:t>
            </w:r>
          </w:p>
        </w:tc>
        <w:tc>
          <w:tcPr>
            <w:tcW w:w="1191" w:type="dxa"/>
            <w:noWrap w:val="0"/>
            <w:vAlign w:val="center"/>
          </w:tcPr>
          <w:p w14:paraId="7A9FD989">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县人社局</w:t>
            </w:r>
          </w:p>
        </w:tc>
        <w:tc>
          <w:tcPr>
            <w:tcW w:w="3969" w:type="dxa"/>
            <w:noWrap w:val="0"/>
            <w:vAlign w:val="center"/>
          </w:tcPr>
          <w:p w14:paraId="7EF8DCA4">
            <w:pPr>
              <w:keepNext w:val="0"/>
              <w:keepLines w:val="0"/>
              <w:widowControl/>
              <w:suppressLineNumbers w:val="0"/>
              <w:jc w:val="left"/>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为企业发布招聘信息。</w:t>
            </w:r>
          </w:p>
        </w:tc>
        <w:tc>
          <w:tcPr>
            <w:tcW w:w="2835" w:type="dxa"/>
            <w:noWrap w:val="0"/>
            <w:vAlign w:val="center"/>
          </w:tcPr>
          <w:p w14:paraId="6119EF15">
            <w:pPr>
              <w:keepNext w:val="0"/>
              <w:keepLines w:val="0"/>
              <w:widowControl/>
              <w:suppressLineNumbers w:val="0"/>
              <w:jc w:val="left"/>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1.《中华人民共和国就业促进法》；               2.《就业服务与就业管理规定》；</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3.《人力资源市场暂行条例》</w:t>
            </w:r>
          </w:p>
        </w:tc>
        <w:tc>
          <w:tcPr>
            <w:tcW w:w="1077" w:type="dxa"/>
            <w:noWrap w:val="0"/>
            <w:vAlign w:val="center"/>
          </w:tcPr>
          <w:p w14:paraId="61288DA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杨宇群</w:t>
            </w:r>
          </w:p>
        </w:tc>
        <w:tc>
          <w:tcPr>
            <w:tcW w:w="1772" w:type="dxa"/>
            <w:noWrap w:val="0"/>
            <w:vAlign w:val="center"/>
          </w:tcPr>
          <w:p w14:paraId="52F175E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0660-6892553</w:t>
            </w:r>
          </w:p>
        </w:tc>
        <w:tc>
          <w:tcPr>
            <w:tcW w:w="1077" w:type="dxa"/>
            <w:noWrap w:val="0"/>
            <w:vAlign w:val="center"/>
          </w:tcPr>
          <w:p w14:paraId="0726BE00">
            <w:pPr>
              <w:jc w:val="center"/>
              <w:rPr>
                <w:rFonts w:hint="eastAsia" w:ascii="方正小标宋简体" w:hAnsi="方正小标宋简体" w:eastAsia="方正小标宋简体" w:cs="方正小标宋简体"/>
                <w:color w:val="auto"/>
                <w:sz w:val="24"/>
                <w:szCs w:val="24"/>
                <w:highlight w:val="none"/>
                <w:vertAlign w:val="baseline"/>
              </w:rPr>
            </w:pPr>
          </w:p>
        </w:tc>
      </w:tr>
      <w:tr w14:paraId="70E8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noWrap w:val="0"/>
            <w:vAlign w:val="center"/>
          </w:tcPr>
          <w:p w14:paraId="1B8F15EB">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333333"/>
                <w:kern w:val="0"/>
                <w:sz w:val="24"/>
                <w:szCs w:val="24"/>
                <w:u w:val="none"/>
                <w:lang w:val="en-US" w:eastAsia="zh-CN" w:bidi="ar"/>
              </w:rPr>
              <w:t>13</w:t>
            </w:r>
          </w:p>
        </w:tc>
        <w:tc>
          <w:tcPr>
            <w:tcW w:w="1531" w:type="dxa"/>
            <w:noWrap w:val="0"/>
            <w:vAlign w:val="center"/>
          </w:tcPr>
          <w:p w14:paraId="2E4725D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境外销售</w:t>
            </w:r>
          </w:p>
          <w:p w14:paraId="3C3F47C8">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展会服务</w:t>
            </w:r>
          </w:p>
        </w:tc>
        <w:tc>
          <w:tcPr>
            <w:tcW w:w="1191" w:type="dxa"/>
            <w:noWrap w:val="0"/>
            <w:vAlign w:val="center"/>
          </w:tcPr>
          <w:p w14:paraId="25AA3BCF">
            <w:pPr>
              <w:keepNext w:val="0"/>
              <w:keepLines w:val="0"/>
              <w:widowControl/>
              <w:suppressLineNumbers w:val="0"/>
              <w:jc w:val="center"/>
              <w:textAlignment w:val="center"/>
              <w:rPr>
                <w:rFonts w:hint="default" w:ascii="方正小标宋简体" w:hAnsi="方正小标宋简体" w:eastAsia="方正小标宋简体" w:cs="方正小标宋简体"/>
                <w:color w:val="auto"/>
                <w:sz w:val="24"/>
                <w:szCs w:val="24"/>
                <w:highlight w:val="none"/>
                <w:vertAlign w:val="baseline"/>
                <w:lang w:val="en-US"/>
              </w:rPr>
            </w:pPr>
            <w:r>
              <w:rPr>
                <w:rFonts w:hint="eastAsia" w:ascii="仿宋_GB2312" w:hAnsi="宋体" w:eastAsia="仿宋_GB2312" w:cs="仿宋_GB2312"/>
                <w:i w:val="0"/>
                <w:iCs w:val="0"/>
                <w:color w:val="000000"/>
                <w:kern w:val="0"/>
                <w:sz w:val="24"/>
                <w:szCs w:val="24"/>
                <w:u w:val="none"/>
                <w:lang w:val="en-US" w:eastAsia="zh-CN" w:bidi="ar"/>
              </w:rPr>
              <w:t>县科工局</w:t>
            </w:r>
          </w:p>
        </w:tc>
        <w:tc>
          <w:tcPr>
            <w:tcW w:w="3969" w:type="dxa"/>
            <w:noWrap w:val="0"/>
            <w:vAlign w:val="center"/>
          </w:tcPr>
          <w:p w14:paraId="0A80D2E1">
            <w:pPr>
              <w:keepNext w:val="0"/>
              <w:keepLines w:val="0"/>
              <w:widowControl/>
              <w:suppressLineNumbers w:val="0"/>
              <w:jc w:val="both"/>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协助及支持符合条件、有意向参加境外展会、粤贸全球线上展会以及参加广交会的企业进行项目申报。</w:t>
            </w:r>
          </w:p>
        </w:tc>
        <w:tc>
          <w:tcPr>
            <w:tcW w:w="2835" w:type="dxa"/>
            <w:noWrap w:val="0"/>
            <w:vAlign w:val="center"/>
          </w:tcPr>
          <w:p w14:paraId="4EB148FA">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《广东省商务厅关于印发中央财政2022年度外经贸发展专项资金（开拓重点市场事项）项目入库申报指南的 通知》</w:t>
            </w:r>
          </w:p>
        </w:tc>
        <w:tc>
          <w:tcPr>
            <w:tcW w:w="1077" w:type="dxa"/>
            <w:noWrap w:val="0"/>
            <w:vAlign w:val="center"/>
          </w:tcPr>
          <w:p w14:paraId="6471703F">
            <w:pPr>
              <w:keepNext w:val="0"/>
              <w:keepLines w:val="0"/>
              <w:widowControl/>
              <w:suppressLineNumbers w:val="0"/>
              <w:jc w:val="center"/>
              <w:textAlignment w:val="center"/>
              <w:rPr>
                <w:rFonts w:hint="eastAsia" w:ascii="仿宋_GB2312" w:hAnsi="宋体" w:eastAsia="仿宋_GB2312" w:cs="仿宋_GB2312"/>
                <w:color w:val="000000"/>
                <w:kern w:val="0"/>
                <w:sz w:val="24"/>
                <w:szCs w:val="24"/>
                <w:highlight w:val="none"/>
                <w:u w:val="none"/>
                <w:vertAlign w:val="baseline"/>
                <w:lang w:bidi="ar"/>
              </w:rPr>
            </w:pPr>
            <w:r>
              <w:rPr>
                <w:rFonts w:hint="eastAsia" w:ascii="仿宋_GB2312" w:hAnsi="宋体" w:eastAsia="仿宋_GB2312" w:cs="仿宋_GB2312"/>
                <w:color w:val="000000"/>
                <w:kern w:val="0"/>
                <w:sz w:val="24"/>
                <w:szCs w:val="24"/>
                <w:highlight w:val="none"/>
                <w:u w:val="none"/>
                <w:vertAlign w:val="baseline"/>
                <w:lang w:eastAsia="zh-CN" w:bidi="ar"/>
              </w:rPr>
              <w:t>李学文</w:t>
            </w:r>
          </w:p>
        </w:tc>
        <w:tc>
          <w:tcPr>
            <w:tcW w:w="1772" w:type="dxa"/>
            <w:noWrap w:val="0"/>
            <w:vAlign w:val="center"/>
          </w:tcPr>
          <w:p w14:paraId="11848A93">
            <w:pPr>
              <w:keepNext w:val="0"/>
              <w:keepLines w:val="0"/>
              <w:widowControl/>
              <w:suppressLineNumbers w:val="0"/>
              <w:jc w:val="center"/>
              <w:textAlignment w:val="center"/>
              <w:rPr>
                <w:rFonts w:hint="default" w:ascii="仿宋_GB2312" w:hAnsi="宋体" w:eastAsia="仿宋_GB2312" w:cs="仿宋_GB2312"/>
                <w:color w:val="000000"/>
                <w:kern w:val="0"/>
                <w:sz w:val="24"/>
                <w:szCs w:val="24"/>
                <w:highlight w:val="none"/>
                <w:u w:val="none"/>
                <w:vertAlign w:val="baseline"/>
                <w:lang w:val="en-US" w:bidi="ar"/>
              </w:rPr>
            </w:pPr>
            <w:r>
              <w:rPr>
                <w:rFonts w:hint="eastAsia" w:ascii="仿宋_GB2312" w:hAnsi="宋体" w:eastAsia="仿宋_GB2312" w:cs="仿宋_GB2312"/>
                <w:color w:val="000000"/>
                <w:kern w:val="0"/>
                <w:sz w:val="24"/>
                <w:szCs w:val="24"/>
                <w:highlight w:val="none"/>
                <w:u w:val="none"/>
                <w:vertAlign w:val="baseline"/>
                <w:lang w:val="en-US" w:eastAsia="zh-CN" w:bidi="ar"/>
              </w:rPr>
              <w:t>6622081</w:t>
            </w:r>
          </w:p>
        </w:tc>
        <w:tc>
          <w:tcPr>
            <w:tcW w:w="1077" w:type="dxa"/>
            <w:noWrap w:val="0"/>
            <w:vAlign w:val="center"/>
          </w:tcPr>
          <w:p w14:paraId="4F92B9CD">
            <w:pPr>
              <w:jc w:val="center"/>
              <w:rPr>
                <w:rFonts w:hint="eastAsia" w:ascii="方正小标宋简体" w:hAnsi="方正小标宋简体" w:eastAsia="方正小标宋简体" w:cs="方正小标宋简体"/>
                <w:color w:val="auto"/>
                <w:sz w:val="24"/>
                <w:szCs w:val="24"/>
                <w:highlight w:val="none"/>
                <w:vertAlign w:val="baseline"/>
              </w:rPr>
            </w:pPr>
          </w:p>
        </w:tc>
      </w:tr>
      <w:tr w14:paraId="7482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noWrap w:val="0"/>
            <w:vAlign w:val="center"/>
          </w:tcPr>
          <w:p w14:paraId="05C14BF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14</w:t>
            </w:r>
          </w:p>
        </w:tc>
        <w:tc>
          <w:tcPr>
            <w:tcW w:w="1531" w:type="dxa"/>
            <w:noWrap w:val="0"/>
            <w:vAlign w:val="center"/>
          </w:tcPr>
          <w:p w14:paraId="5454C9F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直播带货</w:t>
            </w:r>
          </w:p>
          <w:p w14:paraId="39ED762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服务</w:t>
            </w:r>
          </w:p>
        </w:tc>
        <w:tc>
          <w:tcPr>
            <w:tcW w:w="1191" w:type="dxa"/>
            <w:noWrap w:val="0"/>
            <w:vAlign w:val="center"/>
          </w:tcPr>
          <w:p w14:paraId="38C90B5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县科工局</w:t>
            </w:r>
          </w:p>
        </w:tc>
        <w:tc>
          <w:tcPr>
            <w:tcW w:w="3969" w:type="dxa"/>
            <w:noWrap w:val="0"/>
            <w:vAlign w:val="center"/>
          </w:tcPr>
          <w:p w14:paraId="2128E02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为各示范镇名特优产品提供产销对接服务。</w:t>
            </w:r>
          </w:p>
        </w:tc>
        <w:tc>
          <w:tcPr>
            <w:tcW w:w="2835" w:type="dxa"/>
            <w:noWrap w:val="0"/>
            <w:vAlign w:val="center"/>
          </w:tcPr>
          <w:p w14:paraId="2052910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w:t>
            </w:r>
          </w:p>
        </w:tc>
        <w:tc>
          <w:tcPr>
            <w:tcW w:w="1077" w:type="dxa"/>
            <w:noWrap w:val="0"/>
            <w:vAlign w:val="center"/>
          </w:tcPr>
          <w:p w14:paraId="0944225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姚映静</w:t>
            </w:r>
          </w:p>
        </w:tc>
        <w:tc>
          <w:tcPr>
            <w:tcW w:w="1772" w:type="dxa"/>
            <w:noWrap w:val="0"/>
            <w:vAlign w:val="center"/>
          </w:tcPr>
          <w:p w14:paraId="30B8655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6855699</w:t>
            </w:r>
          </w:p>
        </w:tc>
        <w:tc>
          <w:tcPr>
            <w:tcW w:w="1077" w:type="dxa"/>
            <w:noWrap w:val="0"/>
            <w:vAlign w:val="center"/>
          </w:tcPr>
          <w:p w14:paraId="2E92187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bl>
    <w:p w14:paraId="438F28B7">
      <w:pPr>
        <w:wordWrap w:val="0"/>
        <w:spacing w:line="560" w:lineRule="exact"/>
        <w:jc w:val="center"/>
        <w:rPr>
          <w:rFonts w:hint="eastAsia" w:ascii="方正小标宋简体" w:hAnsi="方正小标宋简体" w:eastAsia="方正小标宋简体" w:cs="方正小标宋简体"/>
          <w:color w:val="auto"/>
          <w:sz w:val="44"/>
          <w:szCs w:val="44"/>
          <w:highlight w:val="none"/>
        </w:rPr>
      </w:pPr>
    </w:p>
    <w:p w14:paraId="46A25DC1">
      <w:pPr>
        <w:wordWrap w:val="0"/>
        <w:spacing w:line="560" w:lineRule="exact"/>
        <w:jc w:val="center"/>
        <w:rPr>
          <w:rFonts w:hint="eastAsia" w:ascii="方正小标宋简体" w:hAnsi="方正小标宋简体" w:eastAsia="方正小标宋简体" w:cs="方正小标宋简体"/>
          <w:color w:val="auto"/>
          <w:sz w:val="44"/>
          <w:szCs w:val="44"/>
          <w:highlight w:val="none"/>
        </w:rPr>
      </w:pPr>
    </w:p>
    <w:p w14:paraId="3EE1EC0E">
      <w:pPr>
        <w:wordWrap w:val="0"/>
        <w:spacing w:line="560" w:lineRule="exact"/>
        <w:jc w:val="center"/>
        <w:rPr>
          <w:rFonts w:hint="eastAsia" w:ascii="方正小标宋简体" w:hAnsi="方正小标宋简体" w:eastAsia="方正小标宋简体" w:cs="方正小标宋简体"/>
          <w:color w:val="auto"/>
          <w:sz w:val="44"/>
          <w:szCs w:val="44"/>
          <w:highlight w:val="none"/>
        </w:rPr>
      </w:pPr>
    </w:p>
    <w:p w14:paraId="73B17619">
      <w:pPr>
        <w:wordWrap w:val="0"/>
        <w:spacing w:line="560" w:lineRule="exact"/>
        <w:jc w:val="center"/>
        <w:rPr>
          <w:rFonts w:hint="eastAsia" w:ascii="方正小标宋简体" w:hAnsi="方正小标宋简体" w:eastAsia="方正小标宋简体" w:cs="方正小标宋简体"/>
          <w:color w:val="auto"/>
          <w:sz w:val="44"/>
          <w:szCs w:val="44"/>
          <w:highlight w:val="none"/>
          <w:lang w:val="en-US" w:eastAsia="zh-CN"/>
        </w:rPr>
      </w:pPr>
    </w:p>
    <w:p w14:paraId="051B5C2D">
      <w:pPr>
        <w:wordWrap w:val="0"/>
        <w:spacing w:line="560" w:lineRule="exact"/>
        <w:jc w:val="center"/>
        <w:rPr>
          <w:rFonts w:hint="eastAsia" w:ascii="方正小标宋简体" w:hAnsi="方正小标宋简体" w:eastAsia="方正小标宋简体" w:cs="方正小标宋简体"/>
          <w:color w:val="auto"/>
          <w:sz w:val="44"/>
          <w:szCs w:val="44"/>
          <w:highlight w:val="none"/>
          <w:lang w:val="en-US" w:eastAsia="zh-CN"/>
        </w:rPr>
      </w:pPr>
    </w:p>
    <w:p w14:paraId="115DC074">
      <w:pPr>
        <w:wordWrap w:val="0"/>
        <w:spacing w:line="560" w:lineRule="exact"/>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44"/>
          <w:szCs w:val="44"/>
          <w:highlight w:val="none"/>
          <w:lang w:val="en-US" w:eastAsia="zh-CN"/>
        </w:rPr>
        <w:t>海丰县</w:t>
      </w:r>
      <w:r>
        <w:rPr>
          <w:rFonts w:hint="eastAsia" w:ascii="方正小标宋简体" w:hAnsi="方正小标宋简体" w:eastAsia="方正小标宋简体" w:cs="方正小标宋简体"/>
          <w:color w:val="auto"/>
          <w:sz w:val="44"/>
          <w:szCs w:val="44"/>
          <w:highlight w:val="none"/>
        </w:rPr>
        <w:t>助企暖企服务清单（</w:t>
      </w:r>
      <w:r>
        <w:rPr>
          <w:rFonts w:hint="eastAsia" w:ascii="方正小标宋简体" w:hAnsi="方正小标宋简体" w:eastAsia="方正小标宋简体" w:cs="方正小标宋简体"/>
          <w:color w:val="auto"/>
          <w:sz w:val="44"/>
          <w:szCs w:val="44"/>
          <w:highlight w:val="none"/>
          <w:lang w:eastAsia="zh-CN"/>
        </w:rPr>
        <w:t>中小微企业</w:t>
      </w:r>
      <w:r>
        <w:rPr>
          <w:rFonts w:hint="eastAsia" w:ascii="方正小标宋简体" w:hAnsi="方正小标宋简体" w:eastAsia="方正小标宋简体" w:cs="方正小标宋简体"/>
          <w:color w:val="auto"/>
          <w:sz w:val="44"/>
          <w:szCs w:val="44"/>
          <w:highlight w:val="none"/>
        </w:rPr>
        <w:t>）</w:t>
      </w:r>
    </w:p>
    <w:p w14:paraId="4377A11B">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小标宋简体" w:hAnsi="方正小标宋简体" w:eastAsia="方正小标宋简体" w:cs="方正小标宋简体"/>
          <w:color w:val="auto"/>
          <w:sz w:val="36"/>
          <w:szCs w:val="36"/>
          <w:highlight w:val="none"/>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361"/>
        <w:gridCol w:w="1134"/>
        <w:gridCol w:w="1191"/>
        <w:gridCol w:w="4106"/>
        <w:gridCol w:w="2049"/>
        <w:gridCol w:w="988"/>
        <w:gridCol w:w="1656"/>
        <w:gridCol w:w="964"/>
      </w:tblGrid>
      <w:tr w14:paraId="3A75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0" w:type="dxa"/>
            <w:noWrap w:val="0"/>
            <w:vAlign w:val="center"/>
          </w:tcPr>
          <w:p w14:paraId="1F4DB2DE">
            <w:pPr>
              <w:widowControl/>
              <w:jc w:val="center"/>
              <w:rPr>
                <w:rFonts w:hint="eastAsia" w:ascii="Times New Roman" w:hAnsi="Times New Roman" w:eastAsia="宋体" w:cs="Times New Roman"/>
                <w:b/>
                <w:bCs/>
                <w:color w:val="auto"/>
                <w:kern w:val="0"/>
                <w:sz w:val="22"/>
                <w:szCs w:val="22"/>
                <w:highlight w:val="none"/>
                <w:lang w:val="en-US" w:eastAsia="zh-CN"/>
              </w:rPr>
            </w:pPr>
            <w:r>
              <w:rPr>
                <w:rFonts w:hint="eastAsia" w:ascii="Times New Roman" w:hAnsi="Times New Roman" w:eastAsia="宋体" w:cs="Times New Roman"/>
                <w:b/>
                <w:bCs/>
                <w:color w:val="auto"/>
                <w:kern w:val="0"/>
                <w:sz w:val="22"/>
                <w:szCs w:val="22"/>
                <w:highlight w:val="none"/>
                <w:lang w:val="en-US" w:eastAsia="zh-CN"/>
              </w:rPr>
              <w:t>序号</w:t>
            </w:r>
          </w:p>
        </w:tc>
        <w:tc>
          <w:tcPr>
            <w:tcW w:w="1361" w:type="dxa"/>
            <w:noWrap w:val="0"/>
            <w:vAlign w:val="center"/>
          </w:tcPr>
          <w:p w14:paraId="464F5AC3">
            <w:pPr>
              <w:widowControl/>
              <w:jc w:val="center"/>
              <w:rPr>
                <w:rFonts w:hint="eastAsia" w:ascii="Times New Roman" w:hAnsi="Times New Roman" w:eastAsia="宋体" w:cs="Times New Roman"/>
                <w:b/>
                <w:bCs/>
                <w:color w:val="auto"/>
                <w:kern w:val="0"/>
                <w:sz w:val="22"/>
                <w:szCs w:val="22"/>
                <w:highlight w:val="none"/>
                <w:lang w:val="en-US" w:eastAsia="zh-CN"/>
              </w:rPr>
            </w:pPr>
            <w:r>
              <w:rPr>
                <w:rFonts w:hint="eastAsia" w:ascii="Times New Roman" w:hAnsi="Times New Roman" w:eastAsia="宋体" w:cs="Times New Roman"/>
                <w:b/>
                <w:bCs/>
                <w:color w:val="auto"/>
                <w:kern w:val="0"/>
                <w:sz w:val="22"/>
                <w:szCs w:val="22"/>
                <w:highlight w:val="none"/>
                <w:lang w:val="en-US" w:eastAsia="zh-CN"/>
              </w:rPr>
              <w:t>服务名称</w:t>
            </w:r>
          </w:p>
        </w:tc>
        <w:tc>
          <w:tcPr>
            <w:tcW w:w="1134" w:type="dxa"/>
            <w:noWrap w:val="0"/>
            <w:vAlign w:val="center"/>
          </w:tcPr>
          <w:p w14:paraId="238B440C">
            <w:pPr>
              <w:widowControl/>
              <w:jc w:val="center"/>
              <w:rPr>
                <w:rFonts w:hint="eastAsia" w:ascii="Times New Roman" w:hAnsi="Times New Roman" w:eastAsia="宋体" w:cs="Times New Roman"/>
                <w:b/>
                <w:bCs/>
                <w:color w:val="auto"/>
                <w:kern w:val="0"/>
                <w:sz w:val="22"/>
                <w:szCs w:val="22"/>
                <w:highlight w:val="none"/>
                <w:lang w:val="en-US" w:eastAsia="zh-CN"/>
              </w:rPr>
            </w:pPr>
            <w:r>
              <w:rPr>
                <w:rFonts w:hint="eastAsia" w:ascii="Times New Roman" w:hAnsi="Times New Roman" w:eastAsia="宋体" w:cs="Times New Roman"/>
                <w:b/>
                <w:bCs/>
                <w:color w:val="auto"/>
                <w:kern w:val="0"/>
                <w:sz w:val="22"/>
                <w:szCs w:val="22"/>
                <w:highlight w:val="none"/>
                <w:lang w:val="en-US" w:eastAsia="zh-CN"/>
              </w:rPr>
              <w:t>服务对象</w:t>
            </w:r>
          </w:p>
        </w:tc>
        <w:tc>
          <w:tcPr>
            <w:tcW w:w="1191" w:type="dxa"/>
            <w:noWrap w:val="0"/>
            <w:vAlign w:val="center"/>
          </w:tcPr>
          <w:p w14:paraId="69446606">
            <w:pPr>
              <w:widowControl/>
              <w:jc w:val="center"/>
              <w:rPr>
                <w:rFonts w:hint="eastAsia" w:ascii="Times New Roman" w:hAnsi="Times New Roman" w:eastAsia="宋体" w:cs="Times New Roman"/>
                <w:b/>
                <w:bCs/>
                <w:color w:val="auto"/>
                <w:kern w:val="0"/>
                <w:sz w:val="22"/>
                <w:szCs w:val="22"/>
                <w:highlight w:val="none"/>
                <w:lang w:val="en-US" w:eastAsia="zh-CN"/>
              </w:rPr>
            </w:pPr>
            <w:r>
              <w:rPr>
                <w:rFonts w:hint="eastAsia" w:ascii="Times New Roman" w:hAnsi="Times New Roman" w:eastAsia="宋体" w:cs="Times New Roman"/>
                <w:b/>
                <w:bCs/>
                <w:color w:val="auto"/>
                <w:kern w:val="0"/>
                <w:sz w:val="22"/>
                <w:szCs w:val="22"/>
                <w:highlight w:val="none"/>
                <w:lang w:val="en-US" w:eastAsia="zh-CN"/>
              </w:rPr>
              <w:t>牵头部门</w:t>
            </w:r>
          </w:p>
        </w:tc>
        <w:tc>
          <w:tcPr>
            <w:tcW w:w="4106" w:type="dxa"/>
            <w:noWrap w:val="0"/>
            <w:vAlign w:val="center"/>
          </w:tcPr>
          <w:p w14:paraId="037FC583">
            <w:pPr>
              <w:widowControl/>
              <w:jc w:val="center"/>
              <w:rPr>
                <w:rFonts w:hint="eastAsia" w:ascii="Times New Roman" w:hAnsi="Times New Roman" w:eastAsia="宋体" w:cs="Times New Roman"/>
                <w:b/>
                <w:bCs/>
                <w:color w:val="auto"/>
                <w:kern w:val="0"/>
                <w:sz w:val="22"/>
                <w:szCs w:val="22"/>
                <w:highlight w:val="none"/>
                <w:lang w:val="en-US" w:eastAsia="zh-CN"/>
              </w:rPr>
            </w:pPr>
            <w:r>
              <w:rPr>
                <w:rFonts w:hint="eastAsia" w:ascii="Times New Roman" w:hAnsi="Times New Roman" w:eastAsia="宋体" w:cs="Times New Roman"/>
                <w:b/>
                <w:bCs/>
                <w:color w:val="auto"/>
                <w:kern w:val="0"/>
                <w:sz w:val="22"/>
                <w:szCs w:val="22"/>
                <w:highlight w:val="none"/>
                <w:lang w:val="en-US" w:eastAsia="zh-CN"/>
              </w:rPr>
              <w:t>服务内容</w:t>
            </w:r>
          </w:p>
        </w:tc>
        <w:tc>
          <w:tcPr>
            <w:tcW w:w="2049" w:type="dxa"/>
            <w:noWrap w:val="0"/>
            <w:vAlign w:val="center"/>
          </w:tcPr>
          <w:p w14:paraId="484E00D7">
            <w:pPr>
              <w:widowControl/>
              <w:jc w:val="center"/>
              <w:rPr>
                <w:rFonts w:hint="eastAsia" w:ascii="Times New Roman" w:hAnsi="Times New Roman" w:eastAsia="宋体" w:cs="Times New Roman"/>
                <w:b/>
                <w:bCs/>
                <w:color w:val="auto"/>
                <w:kern w:val="0"/>
                <w:sz w:val="22"/>
                <w:szCs w:val="22"/>
                <w:highlight w:val="none"/>
                <w:lang w:val="en-US" w:eastAsia="zh-CN"/>
              </w:rPr>
            </w:pPr>
            <w:r>
              <w:rPr>
                <w:rFonts w:hint="eastAsia" w:ascii="Times New Roman" w:hAnsi="Times New Roman" w:eastAsia="宋体" w:cs="Times New Roman"/>
                <w:b/>
                <w:bCs/>
                <w:color w:val="auto"/>
                <w:kern w:val="0"/>
                <w:sz w:val="22"/>
                <w:szCs w:val="22"/>
                <w:highlight w:val="none"/>
                <w:lang w:val="en-US" w:eastAsia="zh-CN"/>
              </w:rPr>
              <w:t>服务依据</w:t>
            </w:r>
          </w:p>
        </w:tc>
        <w:tc>
          <w:tcPr>
            <w:tcW w:w="988" w:type="dxa"/>
            <w:noWrap w:val="0"/>
            <w:vAlign w:val="center"/>
          </w:tcPr>
          <w:p w14:paraId="5CAB152F">
            <w:pPr>
              <w:widowControl/>
              <w:jc w:val="center"/>
              <w:rPr>
                <w:rFonts w:hint="eastAsia" w:ascii="Times New Roman" w:hAnsi="Times New Roman" w:eastAsia="宋体" w:cs="Times New Roman"/>
                <w:b/>
                <w:bCs/>
                <w:color w:val="auto"/>
                <w:kern w:val="0"/>
                <w:sz w:val="22"/>
                <w:szCs w:val="22"/>
                <w:highlight w:val="none"/>
                <w:lang w:val="en-US" w:eastAsia="zh-CN"/>
              </w:rPr>
            </w:pPr>
            <w:r>
              <w:rPr>
                <w:rFonts w:hint="eastAsia" w:ascii="Times New Roman" w:hAnsi="Times New Roman" w:eastAsia="宋体" w:cs="Times New Roman"/>
                <w:b/>
                <w:bCs/>
                <w:color w:val="auto"/>
                <w:kern w:val="0"/>
                <w:sz w:val="22"/>
                <w:szCs w:val="22"/>
                <w:highlight w:val="none"/>
                <w:lang w:val="en-US" w:eastAsia="zh-CN"/>
              </w:rPr>
              <w:t>联系人</w:t>
            </w:r>
          </w:p>
        </w:tc>
        <w:tc>
          <w:tcPr>
            <w:tcW w:w="1656" w:type="dxa"/>
            <w:noWrap w:val="0"/>
            <w:vAlign w:val="center"/>
          </w:tcPr>
          <w:p w14:paraId="3A3F4D1E">
            <w:pPr>
              <w:widowControl/>
              <w:jc w:val="center"/>
              <w:rPr>
                <w:rFonts w:hint="eastAsia" w:ascii="Times New Roman" w:hAnsi="Times New Roman" w:eastAsia="宋体" w:cs="Times New Roman"/>
                <w:b/>
                <w:bCs/>
                <w:color w:val="auto"/>
                <w:kern w:val="0"/>
                <w:sz w:val="22"/>
                <w:szCs w:val="22"/>
                <w:highlight w:val="none"/>
                <w:lang w:val="en-US" w:eastAsia="zh-CN"/>
              </w:rPr>
            </w:pPr>
            <w:r>
              <w:rPr>
                <w:rFonts w:hint="eastAsia" w:ascii="Times New Roman" w:hAnsi="Times New Roman" w:eastAsia="宋体" w:cs="Times New Roman"/>
                <w:b/>
                <w:bCs/>
                <w:color w:val="auto"/>
                <w:kern w:val="0"/>
                <w:sz w:val="22"/>
                <w:szCs w:val="22"/>
                <w:highlight w:val="none"/>
                <w:lang w:val="en-US" w:eastAsia="zh-CN"/>
              </w:rPr>
              <w:t>服务电话</w:t>
            </w:r>
          </w:p>
        </w:tc>
        <w:tc>
          <w:tcPr>
            <w:tcW w:w="964" w:type="dxa"/>
            <w:noWrap w:val="0"/>
            <w:vAlign w:val="center"/>
          </w:tcPr>
          <w:p w14:paraId="2BFE3B3D">
            <w:pPr>
              <w:widowControl/>
              <w:jc w:val="center"/>
              <w:rPr>
                <w:rFonts w:hint="eastAsia" w:ascii="Times New Roman" w:hAnsi="Times New Roman" w:eastAsia="宋体" w:cs="Times New Roman"/>
                <w:b/>
                <w:bCs/>
                <w:color w:val="auto"/>
                <w:kern w:val="0"/>
                <w:sz w:val="22"/>
                <w:szCs w:val="22"/>
                <w:highlight w:val="none"/>
                <w:lang w:val="en-US" w:eastAsia="zh-CN"/>
              </w:rPr>
            </w:pPr>
            <w:r>
              <w:rPr>
                <w:rFonts w:hint="eastAsia" w:ascii="Times New Roman" w:hAnsi="Times New Roman" w:eastAsia="宋体" w:cs="Times New Roman"/>
                <w:b/>
                <w:bCs/>
                <w:color w:val="auto"/>
                <w:kern w:val="0"/>
                <w:sz w:val="22"/>
                <w:szCs w:val="22"/>
                <w:highlight w:val="none"/>
                <w:lang w:val="en-US" w:eastAsia="zh-CN"/>
              </w:rPr>
              <w:t>备注</w:t>
            </w:r>
          </w:p>
        </w:tc>
      </w:tr>
      <w:tr w14:paraId="1381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noWrap w:val="0"/>
            <w:vAlign w:val="center"/>
          </w:tcPr>
          <w:p w14:paraId="11F55429">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333333"/>
                <w:kern w:val="0"/>
                <w:sz w:val="24"/>
                <w:szCs w:val="24"/>
                <w:u w:val="none"/>
                <w:lang w:val="en-US" w:eastAsia="zh-CN" w:bidi="ar"/>
              </w:rPr>
              <w:t>1</w:t>
            </w:r>
          </w:p>
        </w:tc>
        <w:tc>
          <w:tcPr>
            <w:tcW w:w="1361" w:type="dxa"/>
            <w:noWrap w:val="0"/>
            <w:vAlign w:val="center"/>
          </w:tcPr>
          <w:p w14:paraId="3B8E18B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小升规</w:t>
            </w:r>
          </w:p>
          <w:p w14:paraId="7738DCBD">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服务</w:t>
            </w:r>
          </w:p>
        </w:tc>
        <w:tc>
          <w:tcPr>
            <w:tcW w:w="1134" w:type="dxa"/>
            <w:noWrap w:val="0"/>
            <w:vAlign w:val="center"/>
          </w:tcPr>
          <w:p w14:paraId="666E1709">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中小微企业</w:t>
            </w:r>
          </w:p>
        </w:tc>
        <w:tc>
          <w:tcPr>
            <w:tcW w:w="1191" w:type="dxa"/>
            <w:noWrap w:val="0"/>
            <w:vAlign w:val="center"/>
          </w:tcPr>
          <w:p w14:paraId="43341E9A">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县科工局</w:t>
            </w:r>
          </w:p>
        </w:tc>
        <w:tc>
          <w:tcPr>
            <w:tcW w:w="4106" w:type="dxa"/>
            <w:noWrap w:val="0"/>
            <w:vAlign w:val="center"/>
          </w:tcPr>
          <w:p w14:paraId="2883DA8A">
            <w:pPr>
              <w:keepNext w:val="0"/>
              <w:keepLines w:val="0"/>
              <w:widowControl/>
              <w:suppressLineNumbers w:val="0"/>
              <w:jc w:val="both"/>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对海丰县年度新上规工业企业发放奖补资金。</w:t>
            </w:r>
          </w:p>
        </w:tc>
        <w:tc>
          <w:tcPr>
            <w:tcW w:w="2049" w:type="dxa"/>
            <w:noWrap w:val="0"/>
            <w:vAlign w:val="center"/>
          </w:tcPr>
          <w:p w14:paraId="12A4469D">
            <w:pPr>
              <w:keepNext w:val="0"/>
              <w:keepLines w:val="0"/>
              <w:widowControl/>
              <w:suppressLineNumbers w:val="0"/>
              <w:jc w:val="both"/>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1.《广东省工业和信息化厅关于下达2021年小升规奖补资金安排计划的通知》；</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2.《关于下达汕尾市2021年小升规奖补资金安排计划的通知》</w:t>
            </w:r>
          </w:p>
        </w:tc>
        <w:tc>
          <w:tcPr>
            <w:tcW w:w="988" w:type="dxa"/>
            <w:noWrap w:val="0"/>
            <w:vAlign w:val="center"/>
          </w:tcPr>
          <w:p w14:paraId="6888247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谢增城</w:t>
            </w:r>
          </w:p>
        </w:tc>
        <w:tc>
          <w:tcPr>
            <w:tcW w:w="1656" w:type="dxa"/>
            <w:noWrap w:val="0"/>
            <w:vAlign w:val="center"/>
          </w:tcPr>
          <w:p w14:paraId="2022306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6622081</w:t>
            </w:r>
          </w:p>
        </w:tc>
        <w:tc>
          <w:tcPr>
            <w:tcW w:w="964" w:type="dxa"/>
            <w:noWrap w:val="0"/>
            <w:vAlign w:val="center"/>
          </w:tcPr>
          <w:p w14:paraId="11D69B41">
            <w:pPr>
              <w:jc w:val="center"/>
              <w:rPr>
                <w:rFonts w:hint="eastAsia" w:ascii="方正小标宋简体" w:hAnsi="方正小标宋简体" w:eastAsia="方正小标宋简体" w:cs="方正小标宋简体"/>
                <w:color w:val="auto"/>
                <w:sz w:val="24"/>
                <w:szCs w:val="24"/>
                <w:highlight w:val="none"/>
                <w:vertAlign w:val="baseline"/>
              </w:rPr>
            </w:pPr>
          </w:p>
        </w:tc>
      </w:tr>
      <w:tr w14:paraId="65D53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noWrap w:val="0"/>
            <w:vAlign w:val="center"/>
          </w:tcPr>
          <w:p w14:paraId="7730EB28">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333333"/>
                <w:kern w:val="0"/>
                <w:sz w:val="24"/>
                <w:szCs w:val="24"/>
                <w:u w:val="none"/>
                <w:lang w:val="en-US" w:eastAsia="zh-CN" w:bidi="ar"/>
              </w:rPr>
              <w:t>2</w:t>
            </w:r>
          </w:p>
        </w:tc>
        <w:tc>
          <w:tcPr>
            <w:tcW w:w="1361" w:type="dxa"/>
            <w:noWrap w:val="0"/>
            <w:vAlign w:val="center"/>
          </w:tcPr>
          <w:p w14:paraId="785184D7">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就业创业补贴服务</w:t>
            </w:r>
          </w:p>
        </w:tc>
        <w:tc>
          <w:tcPr>
            <w:tcW w:w="1134" w:type="dxa"/>
            <w:noWrap w:val="0"/>
            <w:vAlign w:val="center"/>
          </w:tcPr>
          <w:p w14:paraId="4E0C9364">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中小微企业、个体工商户</w:t>
            </w:r>
          </w:p>
        </w:tc>
        <w:tc>
          <w:tcPr>
            <w:tcW w:w="1191" w:type="dxa"/>
            <w:noWrap w:val="0"/>
            <w:vAlign w:val="center"/>
          </w:tcPr>
          <w:p w14:paraId="51F50558">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县人社局</w:t>
            </w:r>
          </w:p>
        </w:tc>
        <w:tc>
          <w:tcPr>
            <w:tcW w:w="4106" w:type="dxa"/>
            <w:noWrap w:val="0"/>
            <w:vAlign w:val="center"/>
          </w:tcPr>
          <w:p w14:paraId="38CFB8F4">
            <w:pPr>
              <w:keepNext w:val="0"/>
              <w:keepLines w:val="0"/>
              <w:widowControl/>
              <w:suppressLineNumbers w:val="0"/>
              <w:jc w:val="both"/>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对吸纳符合条件的劳动者就业的企业、个体工商户给予吸纳就业补贴、社保补贴。</w:t>
            </w:r>
          </w:p>
        </w:tc>
        <w:tc>
          <w:tcPr>
            <w:tcW w:w="2049" w:type="dxa"/>
            <w:noWrap w:val="0"/>
            <w:vAlign w:val="center"/>
          </w:tcPr>
          <w:p w14:paraId="19AFCEDE">
            <w:pPr>
              <w:keepNext w:val="0"/>
              <w:keepLines w:val="0"/>
              <w:widowControl/>
              <w:suppressLineNumbers w:val="0"/>
              <w:jc w:val="both"/>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《关于印发〈汕尾市就业创业补贴申领细则〉（2021年修订版）的通知》</w:t>
            </w:r>
          </w:p>
        </w:tc>
        <w:tc>
          <w:tcPr>
            <w:tcW w:w="988" w:type="dxa"/>
            <w:noWrap w:val="0"/>
            <w:vAlign w:val="center"/>
          </w:tcPr>
          <w:p w14:paraId="1306CFC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郭雯锋</w:t>
            </w:r>
          </w:p>
        </w:tc>
        <w:tc>
          <w:tcPr>
            <w:tcW w:w="1656" w:type="dxa"/>
            <w:noWrap w:val="0"/>
            <w:vAlign w:val="center"/>
          </w:tcPr>
          <w:p w14:paraId="36159FF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0660-6893278</w:t>
            </w:r>
          </w:p>
        </w:tc>
        <w:tc>
          <w:tcPr>
            <w:tcW w:w="964" w:type="dxa"/>
            <w:noWrap w:val="0"/>
            <w:vAlign w:val="center"/>
          </w:tcPr>
          <w:p w14:paraId="3BB83B0E">
            <w:pPr>
              <w:jc w:val="center"/>
              <w:rPr>
                <w:rFonts w:hint="eastAsia" w:ascii="方正小标宋简体" w:hAnsi="方正小标宋简体" w:eastAsia="方正小标宋简体" w:cs="方正小标宋简体"/>
                <w:color w:val="auto"/>
                <w:sz w:val="24"/>
                <w:szCs w:val="24"/>
                <w:highlight w:val="none"/>
                <w:vertAlign w:val="baseline"/>
              </w:rPr>
            </w:pPr>
          </w:p>
        </w:tc>
      </w:tr>
      <w:tr w14:paraId="5B72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noWrap w:val="0"/>
            <w:vAlign w:val="center"/>
          </w:tcPr>
          <w:p w14:paraId="39393B1D">
            <w:pPr>
              <w:keepNext w:val="0"/>
              <w:keepLines w:val="0"/>
              <w:widowControl/>
              <w:suppressLineNumbers w:val="0"/>
              <w:jc w:val="center"/>
              <w:textAlignment w:val="center"/>
              <w:rPr>
                <w:rFonts w:hint="eastAsia" w:ascii="仿宋_GB2312" w:hAnsi="宋体" w:eastAsia="仿宋_GB2312" w:cs="仿宋_GB2312"/>
                <w:i w:val="0"/>
                <w:iCs w:val="0"/>
                <w:color w:val="333333"/>
                <w:kern w:val="0"/>
                <w:sz w:val="24"/>
                <w:szCs w:val="24"/>
                <w:u w:val="none"/>
                <w:lang w:val="en-US" w:eastAsia="zh-CN" w:bidi="ar"/>
              </w:rPr>
            </w:pPr>
            <w:r>
              <w:rPr>
                <w:rFonts w:hint="eastAsia" w:ascii="仿宋_GB2312" w:hAnsi="宋体" w:eastAsia="仿宋_GB2312" w:cs="仿宋_GB2312"/>
                <w:i w:val="0"/>
                <w:iCs w:val="0"/>
                <w:color w:val="333333"/>
                <w:kern w:val="0"/>
                <w:sz w:val="24"/>
                <w:szCs w:val="24"/>
                <w:u w:val="none"/>
                <w:lang w:val="en-US" w:eastAsia="zh-CN" w:bidi="ar"/>
              </w:rPr>
              <w:t>3</w:t>
            </w:r>
          </w:p>
        </w:tc>
        <w:tc>
          <w:tcPr>
            <w:tcW w:w="1361" w:type="dxa"/>
            <w:noWrap w:val="0"/>
            <w:vAlign w:val="center"/>
          </w:tcPr>
          <w:p w14:paraId="1503AE9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上市后备企业激励服务</w:t>
            </w:r>
          </w:p>
        </w:tc>
        <w:tc>
          <w:tcPr>
            <w:tcW w:w="1134" w:type="dxa"/>
            <w:noWrap w:val="0"/>
            <w:vAlign w:val="center"/>
          </w:tcPr>
          <w:p w14:paraId="1471FF5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中小微企业</w:t>
            </w:r>
          </w:p>
        </w:tc>
        <w:tc>
          <w:tcPr>
            <w:tcW w:w="1191" w:type="dxa"/>
            <w:noWrap w:val="0"/>
            <w:vAlign w:val="center"/>
          </w:tcPr>
          <w:p w14:paraId="6CCF886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县金融局</w:t>
            </w:r>
          </w:p>
        </w:tc>
        <w:tc>
          <w:tcPr>
            <w:tcW w:w="4106" w:type="dxa"/>
            <w:noWrap w:val="0"/>
            <w:vAlign w:val="center"/>
          </w:tcPr>
          <w:p w14:paraId="3A80F9B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统筹对县辖符合条件的上市后备企业严格执行汕尾市鼓励企业上市办法。</w:t>
            </w:r>
          </w:p>
        </w:tc>
        <w:tc>
          <w:tcPr>
            <w:tcW w:w="2049" w:type="dxa"/>
            <w:noWrap w:val="0"/>
            <w:vAlign w:val="center"/>
          </w:tcPr>
          <w:p w14:paraId="4EA4C0A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《汕尾市人民政府办公室关于印发汕尾市鼓励企业上市办法的通知》</w:t>
            </w:r>
          </w:p>
        </w:tc>
        <w:tc>
          <w:tcPr>
            <w:tcW w:w="988" w:type="dxa"/>
            <w:noWrap w:val="0"/>
            <w:vAlign w:val="center"/>
          </w:tcPr>
          <w:p w14:paraId="0CEE930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color w:val="000000"/>
                <w:kern w:val="0"/>
                <w:sz w:val="24"/>
                <w:szCs w:val="24"/>
                <w:u w:val="none"/>
                <w:lang w:bidi="ar"/>
              </w:rPr>
              <w:t>方琳琳</w:t>
            </w:r>
          </w:p>
        </w:tc>
        <w:tc>
          <w:tcPr>
            <w:tcW w:w="1656" w:type="dxa"/>
            <w:noWrap w:val="0"/>
            <w:vAlign w:val="center"/>
          </w:tcPr>
          <w:p w14:paraId="27A6295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color w:val="000000"/>
                <w:kern w:val="0"/>
                <w:sz w:val="24"/>
                <w:szCs w:val="24"/>
                <w:u w:val="none"/>
                <w:lang w:val="en-US" w:eastAsia="zh-CN" w:bidi="ar"/>
              </w:rPr>
              <w:t>6600676</w:t>
            </w:r>
          </w:p>
        </w:tc>
        <w:tc>
          <w:tcPr>
            <w:tcW w:w="964" w:type="dxa"/>
            <w:noWrap w:val="0"/>
            <w:vAlign w:val="center"/>
          </w:tcPr>
          <w:p w14:paraId="3A8D6100">
            <w:pPr>
              <w:jc w:val="center"/>
              <w:rPr>
                <w:rFonts w:hint="eastAsia" w:ascii="方正小标宋简体" w:hAnsi="方正小标宋简体" w:eastAsia="方正小标宋简体" w:cs="方正小标宋简体"/>
                <w:color w:val="auto"/>
                <w:sz w:val="24"/>
                <w:szCs w:val="24"/>
                <w:highlight w:val="none"/>
                <w:vertAlign w:val="baseline"/>
              </w:rPr>
            </w:pPr>
          </w:p>
        </w:tc>
      </w:tr>
      <w:tr w14:paraId="1807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noWrap w:val="0"/>
            <w:vAlign w:val="center"/>
          </w:tcPr>
          <w:p w14:paraId="285D1930">
            <w:pPr>
              <w:keepNext w:val="0"/>
              <w:keepLines w:val="0"/>
              <w:widowControl/>
              <w:suppressLineNumbers w:val="0"/>
              <w:jc w:val="center"/>
              <w:textAlignment w:val="center"/>
              <w:rPr>
                <w:rFonts w:hint="eastAsia" w:ascii="仿宋_GB2312" w:hAnsi="宋体" w:eastAsia="仿宋_GB2312" w:cs="仿宋_GB2312"/>
                <w:i w:val="0"/>
                <w:iCs w:val="0"/>
                <w:color w:val="333333"/>
                <w:kern w:val="0"/>
                <w:sz w:val="24"/>
                <w:szCs w:val="24"/>
                <w:u w:val="none"/>
                <w:lang w:val="en-US" w:eastAsia="zh-CN" w:bidi="ar"/>
              </w:rPr>
            </w:pPr>
            <w:r>
              <w:rPr>
                <w:rFonts w:hint="eastAsia" w:ascii="仿宋_GB2312" w:hAnsi="宋体" w:eastAsia="仿宋_GB2312" w:cs="仿宋_GB2312"/>
                <w:i w:val="0"/>
                <w:iCs w:val="0"/>
                <w:color w:val="333333"/>
                <w:kern w:val="0"/>
                <w:sz w:val="24"/>
                <w:szCs w:val="24"/>
                <w:u w:val="none"/>
                <w:lang w:val="en-US" w:eastAsia="zh-CN" w:bidi="ar"/>
              </w:rPr>
              <w:t>4</w:t>
            </w:r>
          </w:p>
        </w:tc>
        <w:tc>
          <w:tcPr>
            <w:tcW w:w="1361" w:type="dxa"/>
            <w:noWrap w:val="0"/>
            <w:vAlign w:val="center"/>
          </w:tcPr>
          <w:p w14:paraId="2D7A523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企业贷款增信服务</w:t>
            </w:r>
          </w:p>
        </w:tc>
        <w:tc>
          <w:tcPr>
            <w:tcW w:w="1134" w:type="dxa"/>
            <w:noWrap w:val="0"/>
            <w:vAlign w:val="center"/>
          </w:tcPr>
          <w:p w14:paraId="0CA1186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小微企业</w:t>
            </w:r>
          </w:p>
        </w:tc>
        <w:tc>
          <w:tcPr>
            <w:tcW w:w="1191" w:type="dxa"/>
            <w:noWrap w:val="0"/>
            <w:vAlign w:val="center"/>
          </w:tcPr>
          <w:p w14:paraId="184805E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县金融局</w:t>
            </w:r>
          </w:p>
        </w:tc>
        <w:tc>
          <w:tcPr>
            <w:tcW w:w="4106" w:type="dxa"/>
            <w:noWrap w:val="0"/>
            <w:vAlign w:val="center"/>
          </w:tcPr>
          <w:p w14:paraId="1524220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为符合保证条件的小微企业提供最高1000万元的信用保证，支持企业向银行申请贷款。</w:t>
            </w:r>
          </w:p>
        </w:tc>
        <w:tc>
          <w:tcPr>
            <w:tcW w:w="2049" w:type="dxa"/>
            <w:noWrap w:val="0"/>
            <w:vAlign w:val="center"/>
          </w:tcPr>
          <w:p w14:paraId="5491EF7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1.《汕尾市人民政府办公室关于印发汕尾市小微企业信用保证基金实施方案的通知》；</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2.《汕尾市小微企业信用保证基金知识产权质押融资风险补偿项目实施细则》</w:t>
            </w:r>
          </w:p>
        </w:tc>
        <w:tc>
          <w:tcPr>
            <w:tcW w:w="988" w:type="dxa"/>
            <w:noWrap w:val="0"/>
            <w:vAlign w:val="center"/>
          </w:tcPr>
          <w:p w14:paraId="3AD4D6E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color w:val="000000"/>
                <w:kern w:val="0"/>
                <w:sz w:val="24"/>
                <w:szCs w:val="24"/>
                <w:u w:val="none"/>
                <w:lang w:bidi="ar"/>
              </w:rPr>
              <w:t>方琳琳</w:t>
            </w:r>
          </w:p>
        </w:tc>
        <w:tc>
          <w:tcPr>
            <w:tcW w:w="1656" w:type="dxa"/>
            <w:noWrap w:val="0"/>
            <w:vAlign w:val="center"/>
          </w:tcPr>
          <w:p w14:paraId="19392BC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color w:val="000000"/>
                <w:kern w:val="0"/>
                <w:sz w:val="24"/>
                <w:szCs w:val="24"/>
                <w:u w:val="none"/>
                <w:lang w:val="en-US" w:eastAsia="zh-CN" w:bidi="ar"/>
              </w:rPr>
              <w:t>6600676</w:t>
            </w:r>
          </w:p>
        </w:tc>
        <w:tc>
          <w:tcPr>
            <w:tcW w:w="964" w:type="dxa"/>
            <w:noWrap w:val="0"/>
            <w:vAlign w:val="center"/>
          </w:tcPr>
          <w:p w14:paraId="6473A2B4">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拟于今年出台文件，由财政资金对信保基金担保费进行补贴。</w:t>
            </w:r>
          </w:p>
        </w:tc>
      </w:tr>
      <w:tr w14:paraId="1CF2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noWrap w:val="0"/>
            <w:vAlign w:val="center"/>
          </w:tcPr>
          <w:p w14:paraId="22A8D342">
            <w:pPr>
              <w:keepNext w:val="0"/>
              <w:keepLines w:val="0"/>
              <w:widowControl/>
              <w:suppressLineNumbers w:val="0"/>
              <w:jc w:val="center"/>
              <w:textAlignment w:val="center"/>
              <w:rPr>
                <w:rFonts w:hint="eastAsia" w:ascii="仿宋_GB2312" w:hAnsi="宋体" w:eastAsia="仿宋_GB2312" w:cs="仿宋_GB2312"/>
                <w:i w:val="0"/>
                <w:iCs w:val="0"/>
                <w:color w:val="333333"/>
                <w:kern w:val="0"/>
                <w:sz w:val="24"/>
                <w:szCs w:val="24"/>
                <w:u w:val="none"/>
                <w:lang w:val="en-US" w:eastAsia="zh-CN" w:bidi="ar"/>
              </w:rPr>
            </w:pPr>
            <w:r>
              <w:rPr>
                <w:rFonts w:hint="eastAsia" w:ascii="仿宋_GB2312" w:hAnsi="宋体" w:eastAsia="仿宋_GB2312" w:cs="仿宋_GB2312"/>
                <w:i w:val="0"/>
                <w:iCs w:val="0"/>
                <w:color w:val="333333"/>
                <w:kern w:val="0"/>
                <w:sz w:val="24"/>
                <w:szCs w:val="24"/>
                <w:u w:val="none"/>
                <w:lang w:val="en-US" w:eastAsia="zh-CN" w:bidi="ar"/>
              </w:rPr>
              <w:t>5</w:t>
            </w:r>
          </w:p>
        </w:tc>
        <w:tc>
          <w:tcPr>
            <w:tcW w:w="1361" w:type="dxa"/>
            <w:noWrap w:val="0"/>
            <w:vAlign w:val="center"/>
          </w:tcPr>
          <w:p w14:paraId="72AFF99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企业转（续）贷短期周转资金服务</w:t>
            </w:r>
          </w:p>
        </w:tc>
        <w:tc>
          <w:tcPr>
            <w:tcW w:w="1134" w:type="dxa"/>
            <w:noWrap w:val="0"/>
            <w:vAlign w:val="center"/>
          </w:tcPr>
          <w:p w14:paraId="3DE14F0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中小微企业</w:t>
            </w:r>
          </w:p>
        </w:tc>
        <w:tc>
          <w:tcPr>
            <w:tcW w:w="1191" w:type="dxa"/>
            <w:noWrap w:val="0"/>
            <w:vAlign w:val="center"/>
          </w:tcPr>
          <w:p w14:paraId="7736B2A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县金融局</w:t>
            </w:r>
          </w:p>
        </w:tc>
        <w:tc>
          <w:tcPr>
            <w:tcW w:w="4106" w:type="dxa"/>
            <w:noWrap w:val="0"/>
            <w:vAlign w:val="center"/>
          </w:tcPr>
          <w:p w14:paraId="10B3DA4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为符合银行信贷条件、贷款即将到期而足额还贷出现暂时困难的县辖中小微企业按期还贷、续贷提供最高600万元短期周转政策性资金。</w:t>
            </w:r>
          </w:p>
        </w:tc>
        <w:tc>
          <w:tcPr>
            <w:tcW w:w="2049" w:type="dxa"/>
            <w:noWrap w:val="0"/>
            <w:vAlign w:val="center"/>
          </w:tcPr>
          <w:p w14:paraId="597186A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1.《汕尾市人民政府办公室关于印发汕尾市支持中小微企业融资专项资金管理办法的通知》；</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2.《汕尾市支持中小微企业融资专项资金管理办法实施细则（暂行）》</w:t>
            </w:r>
          </w:p>
        </w:tc>
        <w:tc>
          <w:tcPr>
            <w:tcW w:w="988" w:type="dxa"/>
            <w:noWrap w:val="0"/>
            <w:vAlign w:val="center"/>
          </w:tcPr>
          <w:p w14:paraId="56A962A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color w:val="000000"/>
                <w:kern w:val="0"/>
                <w:sz w:val="24"/>
                <w:szCs w:val="24"/>
                <w:u w:val="none"/>
                <w:lang w:bidi="ar"/>
              </w:rPr>
              <w:t>方琳琳</w:t>
            </w:r>
          </w:p>
        </w:tc>
        <w:tc>
          <w:tcPr>
            <w:tcW w:w="1656" w:type="dxa"/>
            <w:noWrap w:val="0"/>
            <w:vAlign w:val="center"/>
          </w:tcPr>
          <w:p w14:paraId="2B2F928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color w:val="000000"/>
                <w:kern w:val="0"/>
                <w:sz w:val="24"/>
                <w:szCs w:val="24"/>
                <w:u w:val="none"/>
                <w:lang w:val="en-US" w:eastAsia="zh-CN" w:bidi="ar"/>
              </w:rPr>
              <w:t>6600676</w:t>
            </w:r>
          </w:p>
        </w:tc>
        <w:tc>
          <w:tcPr>
            <w:tcW w:w="964" w:type="dxa"/>
            <w:noWrap w:val="0"/>
            <w:vAlign w:val="center"/>
          </w:tcPr>
          <w:p w14:paraId="1445C018">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拟于今年内修订管理办法，提高资金额度至1000万元</w:t>
            </w:r>
          </w:p>
        </w:tc>
      </w:tr>
      <w:tr w14:paraId="35BB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noWrap w:val="0"/>
            <w:vAlign w:val="center"/>
          </w:tcPr>
          <w:p w14:paraId="468170D2">
            <w:pPr>
              <w:keepNext w:val="0"/>
              <w:keepLines w:val="0"/>
              <w:widowControl/>
              <w:suppressLineNumbers w:val="0"/>
              <w:jc w:val="center"/>
              <w:textAlignment w:val="center"/>
              <w:rPr>
                <w:rFonts w:hint="eastAsia" w:ascii="仿宋_GB2312" w:hAnsi="宋体" w:eastAsia="仿宋_GB2312" w:cs="仿宋_GB2312"/>
                <w:i w:val="0"/>
                <w:iCs w:val="0"/>
                <w:color w:val="333333"/>
                <w:kern w:val="0"/>
                <w:sz w:val="24"/>
                <w:szCs w:val="24"/>
                <w:u w:val="none"/>
                <w:lang w:val="en-US" w:eastAsia="zh-CN" w:bidi="ar"/>
              </w:rPr>
            </w:pPr>
            <w:r>
              <w:rPr>
                <w:rFonts w:hint="eastAsia" w:ascii="仿宋_GB2312" w:hAnsi="宋体" w:eastAsia="仿宋_GB2312" w:cs="仿宋_GB2312"/>
                <w:i w:val="0"/>
                <w:iCs w:val="0"/>
                <w:color w:val="333333"/>
                <w:kern w:val="0"/>
                <w:sz w:val="24"/>
                <w:szCs w:val="24"/>
                <w:u w:val="none"/>
                <w:lang w:val="en-US" w:eastAsia="zh-CN" w:bidi="ar"/>
              </w:rPr>
              <w:t>6</w:t>
            </w:r>
          </w:p>
        </w:tc>
        <w:tc>
          <w:tcPr>
            <w:tcW w:w="1361" w:type="dxa"/>
            <w:noWrap w:val="0"/>
            <w:vAlign w:val="center"/>
          </w:tcPr>
          <w:p w14:paraId="4022017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高层次人才引进</w:t>
            </w:r>
          </w:p>
          <w:p w14:paraId="0414CC2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补贴服务</w:t>
            </w:r>
          </w:p>
        </w:tc>
        <w:tc>
          <w:tcPr>
            <w:tcW w:w="1134" w:type="dxa"/>
            <w:noWrap w:val="0"/>
            <w:vAlign w:val="center"/>
          </w:tcPr>
          <w:p w14:paraId="316928E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中小微企业</w:t>
            </w:r>
          </w:p>
        </w:tc>
        <w:tc>
          <w:tcPr>
            <w:tcW w:w="1191" w:type="dxa"/>
            <w:noWrap w:val="0"/>
            <w:vAlign w:val="center"/>
          </w:tcPr>
          <w:p w14:paraId="2455AFF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县人社局</w:t>
            </w:r>
          </w:p>
        </w:tc>
        <w:tc>
          <w:tcPr>
            <w:tcW w:w="4106" w:type="dxa"/>
            <w:noWrap w:val="0"/>
            <w:vAlign w:val="center"/>
          </w:tcPr>
          <w:p w14:paraId="05A93E6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县属国有企业和非公有制企业引进的高层次人才的住房补贴、岗位补贴、生活补贴等，由单位和县财政各承担50%。</w:t>
            </w:r>
          </w:p>
        </w:tc>
        <w:tc>
          <w:tcPr>
            <w:tcW w:w="2049" w:type="dxa"/>
            <w:noWrap w:val="0"/>
            <w:vAlign w:val="center"/>
          </w:tcPr>
          <w:p w14:paraId="75C7501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海丰县“海纳英才”人才计划》</w:t>
            </w:r>
          </w:p>
        </w:tc>
        <w:tc>
          <w:tcPr>
            <w:tcW w:w="988" w:type="dxa"/>
            <w:noWrap w:val="0"/>
            <w:vAlign w:val="center"/>
          </w:tcPr>
          <w:p w14:paraId="305BF71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陈瑞华</w:t>
            </w:r>
          </w:p>
        </w:tc>
        <w:tc>
          <w:tcPr>
            <w:tcW w:w="1656" w:type="dxa"/>
            <w:noWrap w:val="0"/>
            <w:vAlign w:val="center"/>
          </w:tcPr>
          <w:p w14:paraId="0072317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0660-6600118</w:t>
            </w:r>
          </w:p>
        </w:tc>
        <w:tc>
          <w:tcPr>
            <w:tcW w:w="964" w:type="dxa"/>
            <w:noWrap w:val="0"/>
            <w:vAlign w:val="center"/>
          </w:tcPr>
          <w:p w14:paraId="29A7E8A4">
            <w:pPr>
              <w:jc w:val="center"/>
              <w:rPr>
                <w:rFonts w:hint="eastAsia" w:ascii="方正小标宋简体" w:hAnsi="方正小标宋简体" w:eastAsia="方正小标宋简体" w:cs="方正小标宋简体"/>
                <w:color w:val="auto"/>
                <w:sz w:val="24"/>
                <w:szCs w:val="24"/>
                <w:highlight w:val="none"/>
                <w:vertAlign w:val="baseline"/>
              </w:rPr>
            </w:pPr>
          </w:p>
        </w:tc>
      </w:tr>
      <w:tr w14:paraId="6B9F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noWrap w:val="0"/>
            <w:vAlign w:val="center"/>
          </w:tcPr>
          <w:p w14:paraId="4D933DB2">
            <w:pPr>
              <w:keepNext w:val="0"/>
              <w:keepLines w:val="0"/>
              <w:widowControl/>
              <w:suppressLineNumbers w:val="0"/>
              <w:jc w:val="center"/>
              <w:textAlignment w:val="center"/>
              <w:rPr>
                <w:rFonts w:hint="eastAsia" w:ascii="仿宋_GB2312" w:hAnsi="宋体" w:eastAsia="仿宋_GB2312" w:cs="仿宋_GB2312"/>
                <w:i w:val="0"/>
                <w:iCs w:val="0"/>
                <w:color w:val="333333"/>
                <w:kern w:val="0"/>
                <w:sz w:val="24"/>
                <w:szCs w:val="24"/>
                <w:u w:val="none"/>
                <w:lang w:val="en-US" w:eastAsia="zh-CN" w:bidi="ar"/>
              </w:rPr>
            </w:pPr>
            <w:r>
              <w:rPr>
                <w:rFonts w:hint="eastAsia" w:ascii="仿宋_GB2312" w:hAnsi="宋体" w:eastAsia="仿宋_GB2312" w:cs="仿宋_GB2312"/>
                <w:i w:val="0"/>
                <w:iCs w:val="0"/>
                <w:color w:val="333333"/>
                <w:kern w:val="0"/>
                <w:sz w:val="24"/>
                <w:szCs w:val="24"/>
                <w:u w:val="none"/>
                <w:lang w:val="en-US" w:eastAsia="zh-CN" w:bidi="ar"/>
              </w:rPr>
              <w:t>7</w:t>
            </w:r>
          </w:p>
        </w:tc>
        <w:tc>
          <w:tcPr>
            <w:tcW w:w="1361" w:type="dxa"/>
            <w:noWrap w:val="0"/>
            <w:vAlign w:val="center"/>
          </w:tcPr>
          <w:p w14:paraId="6B95D90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学徒培训补贴服务</w:t>
            </w:r>
          </w:p>
        </w:tc>
        <w:tc>
          <w:tcPr>
            <w:tcW w:w="1134" w:type="dxa"/>
            <w:noWrap w:val="0"/>
            <w:vAlign w:val="center"/>
          </w:tcPr>
          <w:p w14:paraId="7BF32C8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中小微企业、个体工商户</w:t>
            </w:r>
          </w:p>
        </w:tc>
        <w:tc>
          <w:tcPr>
            <w:tcW w:w="1191" w:type="dxa"/>
            <w:noWrap w:val="0"/>
            <w:vAlign w:val="center"/>
          </w:tcPr>
          <w:p w14:paraId="4CFBB16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县人社局</w:t>
            </w:r>
          </w:p>
        </w:tc>
        <w:tc>
          <w:tcPr>
            <w:tcW w:w="4106" w:type="dxa"/>
            <w:noWrap w:val="0"/>
            <w:vAlign w:val="center"/>
          </w:tcPr>
          <w:p w14:paraId="3DEA892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全面推行以“招工即招生、入企即入校、企校双师联合培养”为主要内容的企业新型学徒制，对开展学徒培训的企业按规定给予学徒培训补贴，加快企业技能人才培养。</w:t>
            </w:r>
          </w:p>
        </w:tc>
        <w:tc>
          <w:tcPr>
            <w:tcW w:w="2049" w:type="dxa"/>
            <w:noWrap w:val="0"/>
            <w:vAlign w:val="center"/>
          </w:tcPr>
          <w:p w14:paraId="1C9AC0A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《广东省人力资源和社会保障厅广东省财政厅关于印发&lt;广东省全面推行企业新型学徒制实施方案&gt;的通知》</w:t>
            </w:r>
          </w:p>
        </w:tc>
        <w:tc>
          <w:tcPr>
            <w:tcW w:w="988" w:type="dxa"/>
            <w:noWrap w:val="0"/>
            <w:vAlign w:val="center"/>
          </w:tcPr>
          <w:p w14:paraId="2492913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郭雯锋</w:t>
            </w:r>
          </w:p>
        </w:tc>
        <w:tc>
          <w:tcPr>
            <w:tcW w:w="1656" w:type="dxa"/>
            <w:noWrap w:val="0"/>
            <w:vAlign w:val="center"/>
          </w:tcPr>
          <w:p w14:paraId="7BCFDB0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0660-6893278</w:t>
            </w:r>
          </w:p>
        </w:tc>
        <w:tc>
          <w:tcPr>
            <w:tcW w:w="964" w:type="dxa"/>
            <w:noWrap w:val="0"/>
            <w:vAlign w:val="center"/>
          </w:tcPr>
          <w:p w14:paraId="5F1FB406">
            <w:pPr>
              <w:jc w:val="center"/>
              <w:rPr>
                <w:rFonts w:hint="eastAsia" w:ascii="方正小标宋简体" w:hAnsi="方正小标宋简体" w:eastAsia="方正小标宋简体" w:cs="方正小标宋简体"/>
                <w:color w:val="auto"/>
                <w:sz w:val="24"/>
                <w:szCs w:val="24"/>
                <w:highlight w:val="none"/>
                <w:vertAlign w:val="baseline"/>
              </w:rPr>
            </w:pPr>
          </w:p>
        </w:tc>
      </w:tr>
      <w:tr w14:paraId="1D4C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noWrap w:val="0"/>
            <w:vAlign w:val="center"/>
          </w:tcPr>
          <w:p w14:paraId="4A08E846">
            <w:pPr>
              <w:keepNext w:val="0"/>
              <w:keepLines w:val="0"/>
              <w:widowControl/>
              <w:suppressLineNumbers w:val="0"/>
              <w:jc w:val="center"/>
              <w:textAlignment w:val="center"/>
              <w:rPr>
                <w:rFonts w:hint="eastAsia" w:ascii="仿宋_GB2312" w:hAnsi="宋体" w:eastAsia="仿宋_GB2312" w:cs="仿宋_GB2312"/>
                <w:i w:val="0"/>
                <w:iCs w:val="0"/>
                <w:color w:val="333333"/>
                <w:kern w:val="0"/>
                <w:sz w:val="24"/>
                <w:szCs w:val="24"/>
                <w:u w:val="none"/>
                <w:lang w:val="en-US" w:eastAsia="zh-CN" w:bidi="ar"/>
              </w:rPr>
            </w:pPr>
            <w:r>
              <w:rPr>
                <w:rFonts w:hint="eastAsia" w:ascii="仿宋_GB2312" w:hAnsi="宋体" w:eastAsia="仿宋_GB2312" w:cs="仿宋_GB2312"/>
                <w:i w:val="0"/>
                <w:iCs w:val="0"/>
                <w:color w:val="333333"/>
                <w:kern w:val="0"/>
                <w:sz w:val="24"/>
                <w:szCs w:val="24"/>
                <w:u w:val="none"/>
                <w:lang w:val="en-US" w:eastAsia="zh-CN" w:bidi="ar"/>
              </w:rPr>
              <w:t>8</w:t>
            </w:r>
          </w:p>
        </w:tc>
        <w:tc>
          <w:tcPr>
            <w:tcW w:w="1361" w:type="dxa"/>
            <w:noWrap w:val="0"/>
            <w:vAlign w:val="center"/>
          </w:tcPr>
          <w:p w14:paraId="05BB108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创业担保贷款服务</w:t>
            </w:r>
          </w:p>
        </w:tc>
        <w:tc>
          <w:tcPr>
            <w:tcW w:w="1134" w:type="dxa"/>
            <w:noWrap w:val="0"/>
            <w:vAlign w:val="center"/>
          </w:tcPr>
          <w:p w14:paraId="203ED9C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中小微企业</w:t>
            </w:r>
          </w:p>
        </w:tc>
        <w:tc>
          <w:tcPr>
            <w:tcW w:w="1191" w:type="dxa"/>
            <w:noWrap w:val="0"/>
            <w:vAlign w:val="center"/>
          </w:tcPr>
          <w:p w14:paraId="6A06973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县人社局</w:t>
            </w:r>
          </w:p>
        </w:tc>
        <w:tc>
          <w:tcPr>
            <w:tcW w:w="4106" w:type="dxa"/>
            <w:noWrap w:val="0"/>
            <w:vAlign w:val="center"/>
          </w:tcPr>
          <w:p w14:paraId="1E8E40C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为初创企业和小微企业提供创业担保贷款。</w:t>
            </w:r>
          </w:p>
        </w:tc>
        <w:tc>
          <w:tcPr>
            <w:tcW w:w="2049" w:type="dxa"/>
            <w:noWrap w:val="0"/>
            <w:vAlign w:val="center"/>
          </w:tcPr>
          <w:p w14:paraId="05F6FAD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关于印发《汕尾市创业担保贷款担保基金和贴息资金管理实施办法》的通知</w:t>
            </w:r>
          </w:p>
        </w:tc>
        <w:tc>
          <w:tcPr>
            <w:tcW w:w="988" w:type="dxa"/>
            <w:noWrap w:val="0"/>
            <w:vAlign w:val="center"/>
          </w:tcPr>
          <w:p w14:paraId="7053065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孙杭佳</w:t>
            </w:r>
          </w:p>
        </w:tc>
        <w:tc>
          <w:tcPr>
            <w:tcW w:w="1656" w:type="dxa"/>
            <w:noWrap w:val="0"/>
            <w:vAlign w:val="center"/>
          </w:tcPr>
          <w:p w14:paraId="509E159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0660-6892522</w:t>
            </w:r>
          </w:p>
        </w:tc>
        <w:tc>
          <w:tcPr>
            <w:tcW w:w="964" w:type="dxa"/>
            <w:noWrap w:val="0"/>
            <w:vAlign w:val="center"/>
          </w:tcPr>
          <w:p w14:paraId="05E92B21">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初创企业和小微企业</w:t>
            </w:r>
          </w:p>
        </w:tc>
      </w:tr>
      <w:tr w14:paraId="3A311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noWrap w:val="0"/>
            <w:vAlign w:val="center"/>
          </w:tcPr>
          <w:p w14:paraId="0880395C">
            <w:pPr>
              <w:keepNext w:val="0"/>
              <w:keepLines w:val="0"/>
              <w:widowControl/>
              <w:suppressLineNumbers w:val="0"/>
              <w:jc w:val="center"/>
              <w:textAlignment w:val="center"/>
              <w:rPr>
                <w:rFonts w:hint="eastAsia" w:ascii="仿宋_GB2312" w:hAnsi="宋体" w:eastAsia="仿宋_GB2312" w:cs="仿宋_GB2312"/>
                <w:i w:val="0"/>
                <w:iCs w:val="0"/>
                <w:color w:val="333333"/>
                <w:kern w:val="0"/>
                <w:sz w:val="24"/>
                <w:szCs w:val="24"/>
                <w:u w:val="none"/>
                <w:lang w:val="en-US" w:eastAsia="zh-CN" w:bidi="ar"/>
              </w:rPr>
            </w:pPr>
            <w:r>
              <w:rPr>
                <w:rFonts w:hint="eastAsia" w:ascii="仿宋_GB2312" w:hAnsi="宋体" w:eastAsia="仿宋_GB2312" w:cs="仿宋_GB2312"/>
                <w:i w:val="0"/>
                <w:iCs w:val="0"/>
                <w:color w:val="333333"/>
                <w:kern w:val="0"/>
                <w:sz w:val="24"/>
                <w:szCs w:val="24"/>
                <w:u w:val="none"/>
                <w:lang w:val="en-US" w:eastAsia="zh-CN" w:bidi="ar"/>
              </w:rPr>
              <w:t>9</w:t>
            </w:r>
          </w:p>
        </w:tc>
        <w:tc>
          <w:tcPr>
            <w:tcW w:w="1361" w:type="dxa"/>
            <w:noWrap w:val="0"/>
            <w:vAlign w:val="center"/>
          </w:tcPr>
          <w:p w14:paraId="1C22995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职业供求信息发布服务</w:t>
            </w:r>
          </w:p>
        </w:tc>
        <w:tc>
          <w:tcPr>
            <w:tcW w:w="1134" w:type="dxa"/>
            <w:noWrap w:val="0"/>
            <w:vAlign w:val="center"/>
          </w:tcPr>
          <w:p w14:paraId="62F4883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中小微企业、个体工商户</w:t>
            </w:r>
          </w:p>
        </w:tc>
        <w:tc>
          <w:tcPr>
            <w:tcW w:w="1191" w:type="dxa"/>
            <w:noWrap w:val="0"/>
            <w:vAlign w:val="center"/>
          </w:tcPr>
          <w:p w14:paraId="7A1CF89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县人社局</w:t>
            </w:r>
          </w:p>
        </w:tc>
        <w:tc>
          <w:tcPr>
            <w:tcW w:w="4106" w:type="dxa"/>
            <w:noWrap w:val="0"/>
            <w:vAlign w:val="center"/>
          </w:tcPr>
          <w:p w14:paraId="2B5DCFF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为企业发布招聘信息。</w:t>
            </w:r>
          </w:p>
        </w:tc>
        <w:tc>
          <w:tcPr>
            <w:tcW w:w="2049" w:type="dxa"/>
            <w:noWrap w:val="0"/>
            <w:vAlign w:val="center"/>
          </w:tcPr>
          <w:p w14:paraId="4CBD1B7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1.《中华人民共和国就业促进法》；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2.《就业服务与就业管理规定》；</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3.《人力资源市场暂行条例》</w:t>
            </w:r>
          </w:p>
        </w:tc>
        <w:tc>
          <w:tcPr>
            <w:tcW w:w="988" w:type="dxa"/>
            <w:noWrap w:val="0"/>
            <w:vAlign w:val="center"/>
          </w:tcPr>
          <w:p w14:paraId="6CFC678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杨宇群</w:t>
            </w:r>
          </w:p>
        </w:tc>
        <w:tc>
          <w:tcPr>
            <w:tcW w:w="1656" w:type="dxa"/>
            <w:noWrap w:val="0"/>
            <w:vAlign w:val="center"/>
          </w:tcPr>
          <w:p w14:paraId="3B51DB2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0660-6892553</w:t>
            </w:r>
          </w:p>
        </w:tc>
        <w:tc>
          <w:tcPr>
            <w:tcW w:w="964" w:type="dxa"/>
            <w:noWrap w:val="0"/>
            <w:vAlign w:val="center"/>
          </w:tcPr>
          <w:p w14:paraId="16523ABF">
            <w:pPr>
              <w:jc w:val="center"/>
              <w:rPr>
                <w:rFonts w:hint="eastAsia" w:ascii="方正小标宋简体" w:hAnsi="方正小标宋简体" w:eastAsia="方正小标宋简体" w:cs="方正小标宋简体"/>
                <w:color w:val="auto"/>
                <w:sz w:val="24"/>
                <w:szCs w:val="24"/>
                <w:highlight w:val="none"/>
                <w:vertAlign w:val="baseline"/>
              </w:rPr>
            </w:pPr>
          </w:p>
        </w:tc>
      </w:tr>
      <w:tr w14:paraId="74E0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noWrap w:val="0"/>
            <w:vAlign w:val="center"/>
          </w:tcPr>
          <w:p w14:paraId="78052F84">
            <w:pPr>
              <w:keepNext w:val="0"/>
              <w:keepLines w:val="0"/>
              <w:widowControl/>
              <w:suppressLineNumbers w:val="0"/>
              <w:jc w:val="center"/>
              <w:textAlignment w:val="center"/>
              <w:rPr>
                <w:rFonts w:hint="eastAsia" w:ascii="仿宋_GB2312" w:hAnsi="宋体" w:eastAsia="仿宋_GB2312" w:cs="仿宋_GB2312"/>
                <w:i w:val="0"/>
                <w:iCs w:val="0"/>
                <w:color w:val="333333"/>
                <w:kern w:val="0"/>
                <w:sz w:val="24"/>
                <w:szCs w:val="24"/>
                <w:u w:val="none"/>
                <w:lang w:val="en-US" w:eastAsia="zh-CN" w:bidi="ar"/>
              </w:rPr>
            </w:pPr>
            <w:r>
              <w:rPr>
                <w:rFonts w:hint="eastAsia" w:ascii="仿宋_GB2312" w:hAnsi="宋体" w:eastAsia="仿宋_GB2312" w:cs="仿宋_GB2312"/>
                <w:i w:val="0"/>
                <w:iCs w:val="0"/>
                <w:color w:val="333333"/>
                <w:kern w:val="0"/>
                <w:sz w:val="24"/>
                <w:szCs w:val="24"/>
                <w:u w:val="none"/>
                <w:lang w:val="en-US" w:eastAsia="zh-CN" w:bidi="ar"/>
              </w:rPr>
              <w:t>10</w:t>
            </w:r>
          </w:p>
        </w:tc>
        <w:tc>
          <w:tcPr>
            <w:tcW w:w="1361" w:type="dxa"/>
            <w:noWrap w:val="0"/>
            <w:vAlign w:val="center"/>
          </w:tcPr>
          <w:p w14:paraId="1112141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工伤、失业保险支持服务</w:t>
            </w:r>
          </w:p>
        </w:tc>
        <w:tc>
          <w:tcPr>
            <w:tcW w:w="1134" w:type="dxa"/>
            <w:noWrap w:val="0"/>
            <w:vAlign w:val="center"/>
          </w:tcPr>
          <w:p w14:paraId="4BE1BC5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中小微企业、个体工商户</w:t>
            </w:r>
          </w:p>
        </w:tc>
        <w:tc>
          <w:tcPr>
            <w:tcW w:w="1191" w:type="dxa"/>
            <w:noWrap w:val="0"/>
            <w:vAlign w:val="center"/>
          </w:tcPr>
          <w:p w14:paraId="04ACD11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县人社局</w:t>
            </w:r>
          </w:p>
        </w:tc>
        <w:tc>
          <w:tcPr>
            <w:tcW w:w="4106" w:type="dxa"/>
            <w:noWrap w:val="0"/>
            <w:vAlign w:val="center"/>
          </w:tcPr>
          <w:p w14:paraId="531431A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延续阶段性降低失业保险、工伤保险费率政策实施时间至2023年4月30日。其中，失业保险基准费率延续按1％实施，继续实施浮动费率政策；工伤保险在执行行业基准费率和浮动费率政策的基础上，统一阶段性下调单位缴费费率20％（税务部门负责）。</w:t>
            </w:r>
          </w:p>
        </w:tc>
        <w:tc>
          <w:tcPr>
            <w:tcW w:w="2049" w:type="dxa"/>
            <w:noWrap w:val="0"/>
            <w:vAlign w:val="center"/>
          </w:tcPr>
          <w:p w14:paraId="0EF86F8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《广东省人民政府办公厅关于印发广东省促进服务业领域困难行业恢复发展若干措施的通知》</w:t>
            </w:r>
          </w:p>
        </w:tc>
        <w:tc>
          <w:tcPr>
            <w:tcW w:w="988" w:type="dxa"/>
            <w:noWrap w:val="0"/>
            <w:vAlign w:val="center"/>
          </w:tcPr>
          <w:p w14:paraId="69ED3EA4">
            <w:pPr>
              <w:keepNext w:val="0"/>
              <w:keepLines w:val="0"/>
              <w:widowControl/>
              <w:suppressLineNumbers w:val="0"/>
              <w:jc w:val="center"/>
              <w:textAlignment w:val="center"/>
              <w:rPr>
                <w:rFonts w:hint="eastAsia"/>
                <w:lang w:val="en-US" w:eastAsia="zh-CN"/>
              </w:rPr>
            </w:pPr>
            <w:r>
              <w:rPr>
                <w:rFonts w:hint="eastAsia"/>
                <w:lang w:val="en-US" w:eastAsia="zh-CN"/>
              </w:rPr>
              <w:t>黄锡圣</w:t>
            </w:r>
          </w:p>
          <w:p w14:paraId="1C32443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lang w:val="en-US" w:eastAsia="zh-CN"/>
              </w:rPr>
              <w:t>陈伟彬</w:t>
            </w:r>
          </w:p>
        </w:tc>
        <w:tc>
          <w:tcPr>
            <w:tcW w:w="1656" w:type="dxa"/>
            <w:noWrap w:val="0"/>
            <w:vAlign w:val="center"/>
          </w:tcPr>
          <w:p w14:paraId="61BE4926">
            <w:pPr>
              <w:keepNext w:val="0"/>
              <w:keepLines w:val="0"/>
              <w:widowControl/>
              <w:suppressLineNumbers w:val="0"/>
              <w:jc w:val="center"/>
              <w:textAlignment w:val="center"/>
              <w:rPr>
                <w:rFonts w:hint="eastAsia"/>
                <w:lang w:val="en-US" w:eastAsia="zh-CN"/>
              </w:rPr>
            </w:pPr>
            <w:r>
              <w:rPr>
                <w:rFonts w:hint="eastAsia"/>
              </w:rPr>
              <w:t>0660-68</w:t>
            </w:r>
            <w:r>
              <w:rPr>
                <w:rFonts w:hint="eastAsia"/>
                <w:lang w:val="en-US" w:eastAsia="zh-CN"/>
              </w:rPr>
              <w:t>91890</w:t>
            </w:r>
          </w:p>
          <w:p w14:paraId="03BF36F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Cambria" w:hAnsi="Cambria" w:eastAsia="宋体" w:cs="Times New Roman"/>
                <w:kern w:val="2"/>
                <w:sz w:val="21"/>
                <w:szCs w:val="24"/>
                <w:u w:val="none"/>
                <w:lang w:val="en-US" w:eastAsia="zh-CN" w:bidi="ar-SA"/>
              </w:rPr>
              <w:t>0660-6891331</w:t>
            </w:r>
          </w:p>
        </w:tc>
        <w:tc>
          <w:tcPr>
            <w:tcW w:w="964" w:type="dxa"/>
            <w:noWrap w:val="0"/>
            <w:vAlign w:val="center"/>
          </w:tcPr>
          <w:p w14:paraId="483753CD">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参保企业</w:t>
            </w:r>
          </w:p>
        </w:tc>
      </w:tr>
      <w:tr w14:paraId="31A76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noWrap w:val="0"/>
            <w:vAlign w:val="center"/>
          </w:tcPr>
          <w:p w14:paraId="406B97E5">
            <w:pPr>
              <w:keepNext w:val="0"/>
              <w:keepLines w:val="0"/>
              <w:widowControl/>
              <w:suppressLineNumbers w:val="0"/>
              <w:jc w:val="center"/>
              <w:textAlignment w:val="center"/>
              <w:rPr>
                <w:rFonts w:hint="eastAsia" w:ascii="仿宋_GB2312" w:hAnsi="宋体" w:eastAsia="仿宋_GB2312" w:cs="仿宋_GB2312"/>
                <w:i w:val="0"/>
                <w:iCs w:val="0"/>
                <w:color w:val="333333"/>
                <w:kern w:val="0"/>
                <w:sz w:val="24"/>
                <w:szCs w:val="24"/>
                <w:u w:val="none"/>
                <w:lang w:val="en-US" w:eastAsia="zh-CN" w:bidi="ar"/>
              </w:rPr>
            </w:pPr>
            <w:r>
              <w:rPr>
                <w:rFonts w:hint="eastAsia" w:ascii="仿宋_GB2312" w:hAnsi="宋体" w:eastAsia="仿宋_GB2312" w:cs="仿宋_GB2312"/>
                <w:i w:val="0"/>
                <w:iCs w:val="0"/>
                <w:color w:val="333333"/>
                <w:kern w:val="0"/>
                <w:sz w:val="24"/>
                <w:szCs w:val="24"/>
                <w:u w:val="none"/>
                <w:lang w:val="en-US" w:eastAsia="zh-CN" w:bidi="ar"/>
              </w:rPr>
              <w:t>11</w:t>
            </w:r>
          </w:p>
        </w:tc>
        <w:tc>
          <w:tcPr>
            <w:tcW w:w="1361" w:type="dxa"/>
            <w:noWrap w:val="0"/>
            <w:vAlign w:val="center"/>
          </w:tcPr>
          <w:p w14:paraId="6C8910F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退税服务</w:t>
            </w:r>
          </w:p>
        </w:tc>
        <w:tc>
          <w:tcPr>
            <w:tcW w:w="1134" w:type="dxa"/>
            <w:noWrap w:val="0"/>
            <w:vAlign w:val="center"/>
          </w:tcPr>
          <w:p w14:paraId="3A86FAA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中小微企业</w:t>
            </w:r>
          </w:p>
        </w:tc>
        <w:tc>
          <w:tcPr>
            <w:tcW w:w="1191" w:type="dxa"/>
            <w:noWrap w:val="0"/>
            <w:vAlign w:val="center"/>
          </w:tcPr>
          <w:p w14:paraId="508DF89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县税务局</w:t>
            </w:r>
          </w:p>
        </w:tc>
        <w:tc>
          <w:tcPr>
            <w:tcW w:w="4106" w:type="dxa"/>
            <w:noWrap w:val="0"/>
            <w:vAlign w:val="center"/>
          </w:tcPr>
          <w:p w14:paraId="1AF3EF2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1.加大小微企业增值税期末留抵退税政策力度；</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加大“制造业”、“科学研究和技术服务业”、“电力、热力、燃气及水生产和供应业”、“软件和信息技术服务业”、“生态保护和环境治理业”和“交通运输、仓储和邮政业”（以下称制造业等行业）增值税期末留抵退税政策力度，将先进制造业按月全额退还增值税增量留抵税额政策范围扩大至符合条件的制造业等行业企业（含个体工商户，下同），并一次性退还制造业等行业企业存量留抵税额。</w:t>
            </w:r>
          </w:p>
        </w:tc>
        <w:tc>
          <w:tcPr>
            <w:tcW w:w="2049" w:type="dxa"/>
            <w:noWrap w:val="0"/>
            <w:vAlign w:val="center"/>
          </w:tcPr>
          <w:p w14:paraId="1A44F64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1.《财政部税务总局关于进一步加大增值税期末留抵退税政策实施力度的公告》；</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2.《国家税务总局关于进一步加大增值税期末留抵退税政策实施力度有关征管事项的公告》</w:t>
            </w:r>
          </w:p>
        </w:tc>
        <w:tc>
          <w:tcPr>
            <w:tcW w:w="988" w:type="dxa"/>
            <w:noWrap w:val="0"/>
            <w:vAlign w:val="center"/>
          </w:tcPr>
          <w:p w14:paraId="7B22F9B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彭学成</w:t>
            </w:r>
          </w:p>
        </w:tc>
        <w:tc>
          <w:tcPr>
            <w:tcW w:w="1656" w:type="dxa"/>
            <w:noWrap w:val="0"/>
            <w:vAlign w:val="center"/>
          </w:tcPr>
          <w:p w14:paraId="3FCFD15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6624836</w:t>
            </w:r>
          </w:p>
        </w:tc>
        <w:tc>
          <w:tcPr>
            <w:tcW w:w="964" w:type="dxa"/>
            <w:noWrap w:val="0"/>
            <w:vAlign w:val="center"/>
          </w:tcPr>
          <w:p w14:paraId="4C11F693">
            <w:pPr>
              <w:jc w:val="center"/>
              <w:rPr>
                <w:rFonts w:hint="eastAsia" w:ascii="方正小标宋简体" w:hAnsi="方正小标宋简体" w:eastAsia="方正小标宋简体" w:cs="方正小标宋简体"/>
                <w:color w:val="auto"/>
                <w:sz w:val="24"/>
                <w:szCs w:val="24"/>
                <w:highlight w:val="none"/>
                <w:vertAlign w:val="baseline"/>
              </w:rPr>
            </w:pPr>
          </w:p>
        </w:tc>
      </w:tr>
      <w:tr w14:paraId="5EE9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noWrap w:val="0"/>
            <w:vAlign w:val="center"/>
          </w:tcPr>
          <w:p w14:paraId="125CAAD0">
            <w:pPr>
              <w:keepNext w:val="0"/>
              <w:keepLines w:val="0"/>
              <w:widowControl/>
              <w:suppressLineNumbers w:val="0"/>
              <w:jc w:val="center"/>
              <w:textAlignment w:val="center"/>
              <w:rPr>
                <w:rFonts w:hint="eastAsia" w:ascii="仿宋_GB2312" w:hAnsi="宋体" w:eastAsia="仿宋_GB2312" w:cs="仿宋_GB2312"/>
                <w:i w:val="0"/>
                <w:iCs w:val="0"/>
                <w:color w:val="333333"/>
                <w:kern w:val="0"/>
                <w:sz w:val="24"/>
                <w:szCs w:val="24"/>
                <w:u w:val="none"/>
                <w:lang w:val="en-US" w:eastAsia="zh-CN" w:bidi="ar"/>
              </w:rPr>
            </w:pPr>
            <w:r>
              <w:rPr>
                <w:rFonts w:hint="eastAsia" w:ascii="仿宋_GB2312" w:hAnsi="宋体" w:eastAsia="仿宋_GB2312" w:cs="仿宋_GB2312"/>
                <w:i w:val="0"/>
                <w:iCs w:val="0"/>
                <w:color w:val="333333"/>
                <w:kern w:val="0"/>
                <w:sz w:val="24"/>
                <w:szCs w:val="24"/>
                <w:u w:val="none"/>
                <w:lang w:val="en-US" w:eastAsia="zh-CN" w:bidi="ar"/>
              </w:rPr>
              <w:t>12</w:t>
            </w:r>
          </w:p>
        </w:tc>
        <w:tc>
          <w:tcPr>
            <w:tcW w:w="1361" w:type="dxa"/>
            <w:noWrap w:val="0"/>
            <w:vAlign w:val="center"/>
          </w:tcPr>
          <w:p w14:paraId="777949F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税费政策推送服务</w:t>
            </w:r>
          </w:p>
        </w:tc>
        <w:tc>
          <w:tcPr>
            <w:tcW w:w="1134" w:type="dxa"/>
            <w:noWrap w:val="0"/>
            <w:vAlign w:val="center"/>
          </w:tcPr>
          <w:p w14:paraId="6CDEF72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中小微企业</w:t>
            </w:r>
          </w:p>
        </w:tc>
        <w:tc>
          <w:tcPr>
            <w:tcW w:w="1191" w:type="dxa"/>
            <w:noWrap w:val="0"/>
            <w:vAlign w:val="center"/>
          </w:tcPr>
          <w:p w14:paraId="0F6BE83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县税务局</w:t>
            </w:r>
          </w:p>
        </w:tc>
        <w:tc>
          <w:tcPr>
            <w:tcW w:w="4106" w:type="dxa"/>
            <w:noWrap w:val="0"/>
            <w:vAlign w:val="center"/>
          </w:tcPr>
          <w:p w14:paraId="7475F5D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结合各地纳税人缴费人特点，充分利用税收大数据主动甄别符合税费优惠政策条件的纳税人，针对不同业务场景制发“拳头”宣传辅导产品，分阶段、分对象、多轮次做好面向纳税人缴费人的税费政策宣传辅导。</w:t>
            </w:r>
          </w:p>
        </w:tc>
        <w:tc>
          <w:tcPr>
            <w:tcW w:w="2049" w:type="dxa"/>
            <w:noWrap w:val="0"/>
            <w:vAlign w:val="center"/>
          </w:tcPr>
          <w:p w14:paraId="731C785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《国家税务总局关于推出2022年“我为纳税人缴费人办实事暨便民办税春风行动2.0版”的通知》</w:t>
            </w:r>
          </w:p>
        </w:tc>
        <w:tc>
          <w:tcPr>
            <w:tcW w:w="988" w:type="dxa"/>
            <w:noWrap w:val="0"/>
            <w:vAlign w:val="center"/>
          </w:tcPr>
          <w:p w14:paraId="3125027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吴文生</w:t>
            </w:r>
          </w:p>
        </w:tc>
        <w:tc>
          <w:tcPr>
            <w:tcW w:w="1656" w:type="dxa"/>
            <w:noWrap w:val="0"/>
            <w:vAlign w:val="center"/>
          </w:tcPr>
          <w:p w14:paraId="4195281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6604801</w:t>
            </w:r>
          </w:p>
        </w:tc>
        <w:tc>
          <w:tcPr>
            <w:tcW w:w="964" w:type="dxa"/>
            <w:noWrap w:val="0"/>
            <w:vAlign w:val="center"/>
          </w:tcPr>
          <w:p w14:paraId="1A94B7B2">
            <w:pPr>
              <w:jc w:val="center"/>
              <w:rPr>
                <w:rFonts w:hint="eastAsia" w:ascii="方正小标宋简体" w:hAnsi="方正小标宋简体" w:eastAsia="方正小标宋简体" w:cs="方正小标宋简体"/>
                <w:color w:val="auto"/>
                <w:sz w:val="24"/>
                <w:szCs w:val="24"/>
                <w:highlight w:val="none"/>
                <w:vertAlign w:val="baseline"/>
              </w:rPr>
            </w:pPr>
          </w:p>
        </w:tc>
      </w:tr>
      <w:tr w14:paraId="185C7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680" w:type="dxa"/>
            <w:noWrap w:val="0"/>
            <w:vAlign w:val="center"/>
          </w:tcPr>
          <w:p w14:paraId="3CC1B797">
            <w:pPr>
              <w:keepNext w:val="0"/>
              <w:keepLines w:val="0"/>
              <w:widowControl/>
              <w:suppressLineNumbers w:val="0"/>
              <w:jc w:val="center"/>
              <w:textAlignment w:val="center"/>
              <w:rPr>
                <w:rFonts w:hint="eastAsia" w:ascii="仿宋_GB2312" w:hAnsi="宋体" w:eastAsia="仿宋_GB2312" w:cs="仿宋_GB2312"/>
                <w:i w:val="0"/>
                <w:iCs w:val="0"/>
                <w:color w:val="333333"/>
                <w:kern w:val="0"/>
                <w:sz w:val="24"/>
                <w:szCs w:val="24"/>
                <w:u w:val="none"/>
                <w:lang w:val="en-US" w:eastAsia="zh-CN" w:bidi="ar"/>
              </w:rPr>
            </w:pPr>
            <w:r>
              <w:rPr>
                <w:rFonts w:hint="eastAsia" w:ascii="仿宋_GB2312" w:hAnsi="宋体" w:eastAsia="仿宋_GB2312" w:cs="仿宋_GB2312"/>
                <w:i w:val="0"/>
                <w:iCs w:val="0"/>
                <w:color w:val="333333"/>
                <w:kern w:val="0"/>
                <w:sz w:val="24"/>
                <w:szCs w:val="24"/>
                <w:u w:val="none"/>
                <w:lang w:val="en-US" w:eastAsia="zh-CN" w:bidi="ar"/>
              </w:rPr>
              <w:t>13</w:t>
            </w:r>
          </w:p>
        </w:tc>
        <w:tc>
          <w:tcPr>
            <w:tcW w:w="1361" w:type="dxa"/>
            <w:noWrap w:val="0"/>
            <w:vAlign w:val="center"/>
          </w:tcPr>
          <w:p w14:paraId="2F14118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企业信用修复服务</w:t>
            </w:r>
          </w:p>
        </w:tc>
        <w:tc>
          <w:tcPr>
            <w:tcW w:w="1134" w:type="dxa"/>
            <w:noWrap w:val="0"/>
            <w:vAlign w:val="center"/>
          </w:tcPr>
          <w:p w14:paraId="460C92C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中小微企业</w:t>
            </w:r>
          </w:p>
        </w:tc>
        <w:tc>
          <w:tcPr>
            <w:tcW w:w="1191" w:type="dxa"/>
            <w:noWrap w:val="0"/>
            <w:vAlign w:val="center"/>
          </w:tcPr>
          <w:p w14:paraId="3EC6FF3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县发改局</w:t>
            </w:r>
          </w:p>
        </w:tc>
        <w:tc>
          <w:tcPr>
            <w:tcW w:w="4106" w:type="dxa"/>
            <w:noWrap w:val="0"/>
            <w:vAlign w:val="center"/>
          </w:tcPr>
          <w:p w14:paraId="43A1B4C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配合市为失信企业建立健全信用修复工作机制，进一步鼓励和引导企业开展信用修复工作，保障失信主体权益，提升全社会诚信意识，营造优良信用环境。</w:t>
            </w:r>
          </w:p>
        </w:tc>
        <w:tc>
          <w:tcPr>
            <w:tcW w:w="2049" w:type="dxa"/>
            <w:noWrap w:val="0"/>
            <w:vAlign w:val="center"/>
          </w:tcPr>
          <w:p w14:paraId="4451422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1.《国家发展改革委办公厅关于进一步完善“信用中国”网站及地方信用门户网站行政处罚信息信用修复机制的通知》；</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2.《广东省发展改革委转发国家发展改革委办公厅关于进一步完善“信用中国”网站及地方信用门户网站行政处罚信息信用修复机制的通知》；</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3.《汕尾市行政处罚信用修复工作指引》</w:t>
            </w:r>
          </w:p>
        </w:tc>
        <w:tc>
          <w:tcPr>
            <w:tcW w:w="988" w:type="dxa"/>
            <w:noWrap w:val="0"/>
            <w:vAlign w:val="center"/>
          </w:tcPr>
          <w:p w14:paraId="7D2514D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叶思恒</w:t>
            </w:r>
          </w:p>
        </w:tc>
        <w:tc>
          <w:tcPr>
            <w:tcW w:w="1656" w:type="dxa"/>
            <w:noWrap w:val="0"/>
            <w:vAlign w:val="center"/>
          </w:tcPr>
          <w:p w14:paraId="6D212FA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6621616</w:t>
            </w:r>
          </w:p>
        </w:tc>
        <w:tc>
          <w:tcPr>
            <w:tcW w:w="964" w:type="dxa"/>
            <w:noWrap w:val="0"/>
            <w:vAlign w:val="center"/>
          </w:tcPr>
          <w:p w14:paraId="4EC36BC5">
            <w:pPr>
              <w:jc w:val="center"/>
              <w:rPr>
                <w:rFonts w:hint="eastAsia" w:ascii="方正小标宋简体" w:hAnsi="方正小标宋简体" w:eastAsia="方正小标宋简体" w:cs="方正小标宋简体"/>
                <w:color w:val="auto"/>
                <w:sz w:val="24"/>
                <w:szCs w:val="24"/>
                <w:highlight w:val="none"/>
                <w:vertAlign w:val="baseline"/>
              </w:rPr>
            </w:pPr>
          </w:p>
        </w:tc>
      </w:tr>
      <w:tr w14:paraId="7FC0D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noWrap w:val="0"/>
            <w:vAlign w:val="center"/>
          </w:tcPr>
          <w:p w14:paraId="092E5F68">
            <w:pPr>
              <w:keepNext w:val="0"/>
              <w:keepLines w:val="0"/>
              <w:widowControl/>
              <w:suppressLineNumbers w:val="0"/>
              <w:jc w:val="center"/>
              <w:textAlignment w:val="center"/>
              <w:rPr>
                <w:rFonts w:hint="eastAsia" w:ascii="仿宋_GB2312" w:hAnsi="宋体" w:eastAsia="仿宋_GB2312" w:cs="仿宋_GB2312"/>
                <w:i w:val="0"/>
                <w:iCs w:val="0"/>
                <w:color w:val="333333"/>
                <w:kern w:val="0"/>
                <w:sz w:val="24"/>
                <w:szCs w:val="24"/>
                <w:u w:val="none"/>
                <w:lang w:val="en-US" w:eastAsia="zh-CN" w:bidi="ar"/>
              </w:rPr>
            </w:pPr>
            <w:r>
              <w:rPr>
                <w:rFonts w:hint="eastAsia" w:ascii="仿宋_GB2312" w:hAnsi="宋体" w:eastAsia="仿宋_GB2312" w:cs="仿宋_GB2312"/>
                <w:i w:val="0"/>
                <w:iCs w:val="0"/>
                <w:color w:val="333333"/>
                <w:kern w:val="0"/>
                <w:sz w:val="24"/>
                <w:szCs w:val="24"/>
                <w:u w:val="none"/>
                <w:lang w:val="en-US" w:eastAsia="zh-CN" w:bidi="ar"/>
              </w:rPr>
              <w:t>14</w:t>
            </w:r>
          </w:p>
        </w:tc>
        <w:tc>
          <w:tcPr>
            <w:tcW w:w="1361" w:type="dxa"/>
            <w:noWrap w:val="0"/>
            <w:vAlign w:val="center"/>
          </w:tcPr>
          <w:p w14:paraId="66CBCBB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企业减费降税专业咨询服务</w:t>
            </w:r>
          </w:p>
        </w:tc>
        <w:tc>
          <w:tcPr>
            <w:tcW w:w="1134" w:type="dxa"/>
            <w:noWrap w:val="0"/>
            <w:vAlign w:val="center"/>
          </w:tcPr>
          <w:p w14:paraId="331D0F3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中小微企业</w:t>
            </w:r>
          </w:p>
        </w:tc>
        <w:tc>
          <w:tcPr>
            <w:tcW w:w="1191" w:type="dxa"/>
            <w:noWrap w:val="0"/>
            <w:vAlign w:val="center"/>
          </w:tcPr>
          <w:p w14:paraId="547DE2D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县财政局</w:t>
            </w:r>
          </w:p>
        </w:tc>
        <w:tc>
          <w:tcPr>
            <w:tcW w:w="4106" w:type="dxa"/>
            <w:noWrap w:val="0"/>
            <w:vAlign w:val="center"/>
          </w:tcPr>
          <w:p w14:paraId="7276708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协助遭受疫情影响企业争取税收优惠、财政补贴、金融支持等方面政策支持，降低疫情对企业经营造成的影响及企业复工风险评估等。</w:t>
            </w:r>
          </w:p>
        </w:tc>
        <w:tc>
          <w:tcPr>
            <w:tcW w:w="2049" w:type="dxa"/>
            <w:noWrap w:val="0"/>
            <w:vAlign w:val="center"/>
          </w:tcPr>
          <w:p w14:paraId="0C792B4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《关于成立专家服务团开展财务援企行动的通知》</w:t>
            </w:r>
          </w:p>
        </w:tc>
        <w:tc>
          <w:tcPr>
            <w:tcW w:w="988" w:type="dxa"/>
            <w:noWrap w:val="0"/>
            <w:vAlign w:val="center"/>
          </w:tcPr>
          <w:p w14:paraId="60BD46E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黄如帆</w:t>
            </w:r>
          </w:p>
        </w:tc>
        <w:tc>
          <w:tcPr>
            <w:tcW w:w="1656" w:type="dxa"/>
            <w:noWrap w:val="0"/>
            <w:vAlign w:val="center"/>
          </w:tcPr>
          <w:p w14:paraId="3D7EB99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6622927</w:t>
            </w:r>
          </w:p>
        </w:tc>
        <w:tc>
          <w:tcPr>
            <w:tcW w:w="964" w:type="dxa"/>
            <w:noWrap w:val="0"/>
            <w:vAlign w:val="center"/>
          </w:tcPr>
          <w:p w14:paraId="667702D7">
            <w:pPr>
              <w:jc w:val="center"/>
              <w:rPr>
                <w:rFonts w:hint="eastAsia" w:ascii="方正小标宋简体" w:hAnsi="方正小标宋简体" w:eastAsia="方正小标宋简体" w:cs="方正小标宋简体"/>
                <w:color w:val="auto"/>
                <w:sz w:val="24"/>
                <w:szCs w:val="24"/>
                <w:highlight w:val="none"/>
                <w:vertAlign w:val="baseline"/>
              </w:rPr>
            </w:pPr>
          </w:p>
        </w:tc>
      </w:tr>
      <w:tr w14:paraId="51E3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noWrap w:val="0"/>
            <w:vAlign w:val="center"/>
          </w:tcPr>
          <w:p w14:paraId="76EBD36E">
            <w:pPr>
              <w:keepNext w:val="0"/>
              <w:keepLines w:val="0"/>
              <w:widowControl/>
              <w:suppressLineNumbers w:val="0"/>
              <w:jc w:val="center"/>
              <w:textAlignment w:val="center"/>
              <w:rPr>
                <w:rFonts w:hint="eastAsia" w:ascii="仿宋_GB2312" w:hAnsi="宋体" w:eastAsia="仿宋_GB2312" w:cs="仿宋_GB2312"/>
                <w:i w:val="0"/>
                <w:iCs w:val="0"/>
                <w:color w:val="333333"/>
                <w:kern w:val="0"/>
                <w:sz w:val="24"/>
                <w:szCs w:val="24"/>
                <w:u w:val="none"/>
                <w:lang w:val="en-US" w:eastAsia="zh-CN" w:bidi="ar"/>
              </w:rPr>
            </w:pPr>
            <w:r>
              <w:rPr>
                <w:rFonts w:hint="eastAsia" w:ascii="仿宋_GB2312" w:hAnsi="宋体" w:eastAsia="仿宋_GB2312" w:cs="仿宋_GB2312"/>
                <w:i w:val="0"/>
                <w:iCs w:val="0"/>
                <w:color w:val="333333"/>
                <w:kern w:val="0"/>
                <w:sz w:val="24"/>
                <w:szCs w:val="24"/>
                <w:u w:val="none"/>
                <w:lang w:val="en-US" w:eastAsia="zh-CN" w:bidi="ar"/>
              </w:rPr>
              <w:t>15</w:t>
            </w:r>
          </w:p>
        </w:tc>
        <w:tc>
          <w:tcPr>
            <w:tcW w:w="1361" w:type="dxa"/>
            <w:noWrap w:val="0"/>
            <w:vAlign w:val="center"/>
          </w:tcPr>
          <w:p w14:paraId="45104A3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无财产</w:t>
            </w:r>
          </w:p>
          <w:p w14:paraId="24C1FE0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抵押贷款</w:t>
            </w:r>
          </w:p>
          <w:p w14:paraId="1A827EE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服务</w:t>
            </w:r>
          </w:p>
        </w:tc>
        <w:tc>
          <w:tcPr>
            <w:tcW w:w="1134" w:type="dxa"/>
            <w:noWrap w:val="0"/>
            <w:vAlign w:val="center"/>
          </w:tcPr>
          <w:p w14:paraId="6D4432C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中小微企业</w:t>
            </w:r>
          </w:p>
        </w:tc>
        <w:tc>
          <w:tcPr>
            <w:tcW w:w="1191" w:type="dxa"/>
            <w:noWrap w:val="0"/>
            <w:vAlign w:val="center"/>
          </w:tcPr>
          <w:p w14:paraId="1E18A7B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县财政局</w:t>
            </w:r>
          </w:p>
        </w:tc>
        <w:tc>
          <w:tcPr>
            <w:tcW w:w="4106" w:type="dxa"/>
            <w:noWrap w:val="0"/>
            <w:vAlign w:val="center"/>
          </w:tcPr>
          <w:p w14:paraId="3D1EF4C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参与政府采购的中小微企业供应商（以下简称供应商），凭借中标（成交）通知书或政府采购合同向金融机构申请融资，金融机构以供应商信用审查和政府采购信誉为基础，按便捷贷款程序和优惠利率，为其发放无财产抵押贷款的一种融资模式。</w:t>
            </w:r>
          </w:p>
        </w:tc>
        <w:tc>
          <w:tcPr>
            <w:tcW w:w="2049" w:type="dxa"/>
            <w:noWrap w:val="0"/>
            <w:vAlign w:val="center"/>
          </w:tcPr>
          <w:p w14:paraId="352E623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1.《中华人民共和国政府采购法》及其实施条例；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2.中国人民银行银保监会证监会发展改革委财政部《关于进一步深化小微企业金融服务的意见》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3.《广东省支持中小企业融资的若干政策措施》《广东省支持中小企业融资的若干政策措施》</w:t>
            </w:r>
          </w:p>
        </w:tc>
        <w:tc>
          <w:tcPr>
            <w:tcW w:w="988" w:type="dxa"/>
            <w:noWrap w:val="0"/>
            <w:vAlign w:val="center"/>
          </w:tcPr>
          <w:p w14:paraId="5247054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卓奋城</w:t>
            </w:r>
          </w:p>
        </w:tc>
        <w:tc>
          <w:tcPr>
            <w:tcW w:w="1656" w:type="dxa"/>
            <w:noWrap w:val="0"/>
            <w:vAlign w:val="center"/>
          </w:tcPr>
          <w:p w14:paraId="1B2A48D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6626029</w:t>
            </w:r>
          </w:p>
        </w:tc>
        <w:tc>
          <w:tcPr>
            <w:tcW w:w="964" w:type="dxa"/>
            <w:noWrap w:val="0"/>
            <w:vAlign w:val="center"/>
          </w:tcPr>
          <w:p w14:paraId="07EA6E36">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参与政府采购业务中小微企业或中小微中标供应商</w:t>
            </w:r>
          </w:p>
        </w:tc>
      </w:tr>
      <w:tr w14:paraId="0B48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noWrap w:val="0"/>
            <w:vAlign w:val="center"/>
          </w:tcPr>
          <w:p w14:paraId="1CEDD11D">
            <w:pPr>
              <w:keepNext w:val="0"/>
              <w:keepLines w:val="0"/>
              <w:widowControl/>
              <w:suppressLineNumbers w:val="0"/>
              <w:jc w:val="center"/>
              <w:textAlignment w:val="center"/>
              <w:rPr>
                <w:rFonts w:hint="eastAsia" w:ascii="仿宋_GB2312" w:hAnsi="宋体" w:eastAsia="仿宋_GB2312" w:cs="仿宋_GB2312"/>
                <w:i w:val="0"/>
                <w:iCs w:val="0"/>
                <w:color w:val="333333"/>
                <w:kern w:val="0"/>
                <w:sz w:val="24"/>
                <w:szCs w:val="24"/>
                <w:u w:val="none"/>
                <w:lang w:val="en-US" w:eastAsia="zh-CN" w:bidi="ar"/>
              </w:rPr>
            </w:pPr>
            <w:r>
              <w:rPr>
                <w:rFonts w:hint="eastAsia" w:ascii="仿宋_GB2312" w:hAnsi="宋体" w:eastAsia="仿宋_GB2312" w:cs="仿宋_GB2312"/>
                <w:i w:val="0"/>
                <w:iCs w:val="0"/>
                <w:color w:val="333333"/>
                <w:kern w:val="0"/>
                <w:sz w:val="24"/>
                <w:szCs w:val="24"/>
                <w:u w:val="none"/>
                <w:lang w:val="en-US" w:eastAsia="zh-CN" w:bidi="ar"/>
              </w:rPr>
              <w:t>16</w:t>
            </w:r>
          </w:p>
        </w:tc>
        <w:tc>
          <w:tcPr>
            <w:tcW w:w="1361" w:type="dxa"/>
            <w:noWrap w:val="0"/>
            <w:vAlign w:val="center"/>
          </w:tcPr>
          <w:p w14:paraId="41960D3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鼓励参与政府采购服务</w:t>
            </w:r>
          </w:p>
        </w:tc>
        <w:tc>
          <w:tcPr>
            <w:tcW w:w="1134" w:type="dxa"/>
            <w:noWrap w:val="0"/>
            <w:vAlign w:val="center"/>
          </w:tcPr>
          <w:p w14:paraId="236F114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中小微企业</w:t>
            </w:r>
          </w:p>
        </w:tc>
        <w:tc>
          <w:tcPr>
            <w:tcW w:w="1191" w:type="dxa"/>
            <w:noWrap w:val="0"/>
            <w:vAlign w:val="center"/>
          </w:tcPr>
          <w:p w14:paraId="16D49E1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县财政局</w:t>
            </w:r>
          </w:p>
        </w:tc>
        <w:tc>
          <w:tcPr>
            <w:tcW w:w="4106" w:type="dxa"/>
            <w:noWrap w:val="0"/>
            <w:vAlign w:val="center"/>
          </w:tcPr>
          <w:p w14:paraId="236AEF6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1.采购人在政府采购活动中应当通过加强采购需求管理,落实预留采购份额、价格评审优惠、优先采购等措施,提高中小企业在政府采购中的份额,支持中小企业发展；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2.采购限额标准，200万元以下的货物和服务采购项目、400万元以下的工程采购项目,适宜由中小企业提供的,采购人应当专门面向中小企业采购；</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3.超过200万元的货物和服务采购项目、超过400万元的工程采购项目中适宜由中小企业提供的,预留该部分采购项目预算总额的30%以上专门面向中小企业采购,其中预留给小微企业的比例不低于60%。</w:t>
            </w:r>
          </w:p>
        </w:tc>
        <w:tc>
          <w:tcPr>
            <w:tcW w:w="2049" w:type="dxa"/>
            <w:noWrap w:val="0"/>
            <w:vAlign w:val="center"/>
          </w:tcPr>
          <w:p w14:paraId="43D7B12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财政部、工业和信息化部《关于印发〈政府采购促进中小企业发展管理办法〉的通知》</w:t>
            </w:r>
          </w:p>
        </w:tc>
        <w:tc>
          <w:tcPr>
            <w:tcW w:w="988" w:type="dxa"/>
            <w:noWrap w:val="0"/>
            <w:vAlign w:val="center"/>
          </w:tcPr>
          <w:p w14:paraId="2B592EE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卓奋城</w:t>
            </w:r>
          </w:p>
        </w:tc>
        <w:tc>
          <w:tcPr>
            <w:tcW w:w="1656" w:type="dxa"/>
            <w:noWrap w:val="0"/>
            <w:vAlign w:val="center"/>
          </w:tcPr>
          <w:p w14:paraId="38E9E28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6626029</w:t>
            </w:r>
          </w:p>
        </w:tc>
        <w:tc>
          <w:tcPr>
            <w:tcW w:w="964" w:type="dxa"/>
            <w:noWrap w:val="0"/>
            <w:vAlign w:val="center"/>
          </w:tcPr>
          <w:p w14:paraId="35004558">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参与政府采购业务中小微企业</w:t>
            </w:r>
          </w:p>
        </w:tc>
      </w:tr>
      <w:tr w14:paraId="0D99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noWrap w:val="0"/>
            <w:vAlign w:val="center"/>
          </w:tcPr>
          <w:p w14:paraId="2F9E68ED">
            <w:pPr>
              <w:keepNext w:val="0"/>
              <w:keepLines w:val="0"/>
              <w:widowControl/>
              <w:suppressLineNumbers w:val="0"/>
              <w:jc w:val="center"/>
              <w:textAlignment w:val="center"/>
              <w:rPr>
                <w:rFonts w:hint="eastAsia" w:ascii="仿宋_GB2312" w:hAnsi="宋体" w:eastAsia="仿宋_GB2312" w:cs="仿宋_GB2312"/>
                <w:i w:val="0"/>
                <w:iCs w:val="0"/>
                <w:color w:val="333333"/>
                <w:kern w:val="0"/>
                <w:sz w:val="24"/>
                <w:szCs w:val="24"/>
                <w:u w:val="none"/>
                <w:lang w:val="en-US" w:eastAsia="zh-CN" w:bidi="ar"/>
              </w:rPr>
            </w:pPr>
            <w:r>
              <w:rPr>
                <w:rFonts w:hint="eastAsia" w:ascii="仿宋_GB2312" w:hAnsi="宋体" w:eastAsia="仿宋_GB2312" w:cs="仿宋_GB2312"/>
                <w:i w:val="0"/>
                <w:iCs w:val="0"/>
                <w:color w:val="333333"/>
                <w:kern w:val="0"/>
                <w:sz w:val="24"/>
                <w:szCs w:val="24"/>
                <w:u w:val="none"/>
                <w:lang w:val="en-US" w:eastAsia="zh-CN" w:bidi="ar"/>
              </w:rPr>
              <w:t>17</w:t>
            </w:r>
          </w:p>
        </w:tc>
        <w:tc>
          <w:tcPr>
            <w:tcW w:w="1361" w:type="dxa"/>
            <w:noWrap w:val="0"/>
            <w:vAlign w:val="center"/>
          </w:tcPr>
          <w:p w14:paraId="323EA9A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脱贫地区农副产品支持服务</w:t>
            </w:r>
          </w:p>
        </w:tc>
        <w:tc>
          <w:tcPr>
            <w:tcW w:w="1134" w:type="dxa"/>
            <w:noWrap w:val="0"/>
            <w:vAlign w:val="center"/>
          </w:tcPr>
          <w:p w14:paraId="2D42F40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中小微企业</w:t>
            </w:r>
          </w:p>
        </w:tc>
        <w:tc>
          <w:tcPr>
            <w:tcW w:w="1191" w:type="dxa"/>
            <w:noWrap w:val="0"/>
            <w:vAlign w:val="center"/>
          </w:tcPr>
          <w:p w14:paraId="020D240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县财政局</w:t>
            </w:r>
          </w:p>
        </w:tc>
        <w:tc>
          <w:tcPr>
            <w:tcW w:w="4106" w:type="dxa"/>
            <w:noWrap w:val="0"/>
            <w:vAlign w:val="center"/>
          </w:tcPr>
          <w:p w14:paraId="1887DA3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文件：《转发&lt;广东省财政厅关于落实2022年政府采购脱贫地区农副产品工作的通知&gt;汕财采购〔2022〕4号》内容：2022年各级采购预算应通过832平台采购食堂食材采购总额不低于30%比例份额。</w:t>
            </w:r>
          </w:p>
        </w:tc>
        <w:tc>
          <w:tcPr>
            <w:tcW w:w="2049" w:type="dxa"/>
            <w:noWrap w:val="0"/>
            <w:vAlign w:val="center"/>
          </w:tcPr>
          <w:p w14:paraId="726118C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《财政部办公厅关于组织地方预算单位坐好022年政府采购脱贫地区农副产品工作的通知》</w:t>
            </w:r>
          </w:p>
        </w:tc>
        <w:tc>
          <w:tcPr>
            <w:tcW w:w="988" w:type="dxa"/>
            <w:noWrap w:val="0"/>
            <w:vAlign w:val="center"/>
          </w:tcPr>
          <w:p w14:paraId="6A4E948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卓奋城</w:t>
            </w:r>
          </w:p>
        </w:tc>
        <w:tc>
          <w:tcPr>
            <w:tcW w:w="1656" w:type="dxa"/>
            <w:noWrap w:val="0"/>
            <w:vAlign w:val="center"/>
          </w:tcPr>
          <w:p w14:paraId="5DAF454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6626029</w:t>
            </w:r>
          </w:p>
        </w:tc>
        <w:tc>
          <w:tcPr>
            <w:tcW w:w="964" w:type="dxa"/>
            <w:noWrap w:val="0"/>
            <w:vAlign w:val="center"/>
          </w:tcPr>
          <w:p w14:paraId="75744B2C">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经营农副产品的中小微企业、农副产品生产企业等</w:t>
            </w:r>
          </w:p>
        </w:tc>
      </w:tr>
      <w:tr w14:paraId="46B6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noWrap w:val="0"/>
            <w:vAlign w:val="center"/>
          </w:tcPr>
          <w:p w14:paraId="7F1DDFAD">
            <w:pPr>
              <w:keepNext w:val="0"/>
              <w:keepLines w:val="0"/>
              <w:widowControl/>
              <w:suppressLineNumbers w:val="0"/>
              <w:jc w:val="center"/>
              <w:textAlignment w:val="center"/>
              <w:rPr>
                <w:rFonts w:hint="default" w:ascii="仿宋_GB2312" w:hAnsi="宋体" w:eastAsia="仿宋_GB2312" w:cs="仿宋_GB2312"/>
                <w:i w:val="0"/>
                <w:iCs w:val="0"/>
                <w:color w:val="333333"/>
                <w:kern w:val="0"/>
                <w:sz w:val="24"/>
                <w:szCs w:val="24"/>
                <w:u w:val="none"/>
                <w:lang w:val="en-US" w:eastAsia="zh-CN" w:bidi="ar"/>
              </w:rPr>
            </w:pPr>
            <w:r>
              <w:rPr>
                <w:rFonts w:hint="eastAsia" w:ascii="仿宋_GB2312" w:hAnsi="宋体" w:eastAsia="仿宋_GB2312" w:cs="仿宋_GB2312"/>
                <w:i w:val="0"/>
                <w:iCs w:val="0"/>
                <w:color w:val="333333"/>
                <w:kern w:val="0"/>
                <w:sz w:val="24"/>
                <w:szCs w:val="24"/>
                <w:u w:val="none"/>
                <w:lang w:val="en-US" w:eastAsia="zh-CN" w:bidi="ar"/>
              </w:rPr>
              <w:t>18</w:t>
            </w:r>
          </w:p>
        </w:tc>
        <w:tc>
          <w:tcPr>
            <w:tcW w:w="1361" w:type="dxa"/>
            <w:noWrap w:val="0"/>
            <w:vAlign w:val="center"/>
          </w:tcPr>
          <w:p w14:paraId="0B222DD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进驻电子卖场培训服务</w:t>
            </w:r>
          </w:p>
        </w:tc>
        <w:tc>
          <w:tcPr>
            <w:tcW w:w="1134" w:type="dxa"/>
            <w:noWrap w:val="0"/>
            <w:vAlign w:val="center"/>
          </w:tcPr>
          <w:p w14:paraId="507F52E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中小微企业</w:t>
            </w:r>
          </w:p>
        </w:tc>
        <w:tc>
          <w:tcPr>
            <w:tcW w:w="1191" w:type="dxa"/>
            <w:noWrap w:val="0"/>
            <w:vAlign w:val="center"/>
          </w:tcPr>
          <w:p w14:paraId="222BD62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县财政局</w:t>
            </w:r>
          </w:p>
        </w:tc>
        <w:tc>
          <w:tcPr>
            <w:tcW w:w="4106" w:type="dxa"/>
            <w:noWrap w:val="0"/>
            <w:vAlign w:val="center"/>
          </w:tcPr>
          <w:p w14:paraId="21C7C66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配合汕尾市财政局对“乡村振兴馆-汕尾分馆”的管理和服务。</w:t>
            </w:r>
          </w:p>
        </w:tc>
        <w:tc>
          <w:tcPr>
            <w:tcW w:w="2049" w:type="dxa"/>
            <w:noWrap w:val="0"/>
            <w:vAlign w:val="center"/>
          </w:tcPr>
          <w:p w14:paraId="5BFE1D5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广东省财政厅批准同意建立广东省智慧云平台电子卖场“乡村振兴馆-汕尾分馆”</w:t>
            </w:r>
          </w:p>
        </w:tc>
        <w:tc>
          <w:tcPr>
            <w:tcW w:w="988" w:type="dxa"/>
            <w:noWrap w:val="0"/>
            <w:vAlign w:val="center"/>
          </w:tcPr>
          <w:p w14:paraId="596BF52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卓奋城</w:t>
            </w:r>
          </w:p>
        </w:tc>
        <w:tc>
          <w:tcPr>
            <w:tcW w:w="1656" w:type="dxa"/>
            <w:noWrap w:val="0"/>
            <w:vAlign w:val="center"/>
          </w:tcPr>
          <w:p w14:paraId="71C46D1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6626029</w:t>
            </w:r>
          </w:p>
        </w:tc>
        <w:tc>
          <w:tcPr>
            <w:tcW w:w="964" w:type="dxa"/>
            <w:noWrap w:val="0"/>
            <w:vAlign w:val="center"/>
          </w:tcPr>
          <w:p w14:paraId="64D270AB">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经营农副产品的中小微企业、农副产品生产企业等</w:t>
            </w:r>
          </w:p>
        </w:tc>
      </w:tr>
      <w:tr w14:paraId="52D8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noWrap w:val="0"/>
            <w:vAlign w:val="center"/>
          </w:tcPr>
          <w:p w14:paraId="02EC36B4">
            <w:pPr>
              <w:keepNext w:val="0"/>
              <w:keepLines w:val="0"/>
              <w:widowControl/>
              <w:suppressLineNumbers w:val="0"/>
              <w:jc w:val="center"/>
              <w:textAlignment w:val="center"/>
              <w:rPr>
                <w:rFonts w:hint="default" w:ascii="仿宋_GB2312" w:hAnsi="宋体" w:eastAsia="仿宋_GB2312" w:cs="仿宋_GB2312"/>
                <w:i w:val="0"/>
                <w:iCs w:val="0"/>
                <w:color w:val="333333"/>
                <w:kern w:val="0"/>
                <w:sz w:val="24"/>
                <w:szCs w:val="24"/>
                <w:u w:val="none"/>
                <w:lang w:val="en-US" w:eastAsia="zh-CN" w:bidi="ar"/>
              </w:rPr>
            </w:pPr>
            <w:r>
              <w:rPr>
                <w:rFonts w:hint="eastAsia" w:ascii="仿宋_GB2312" w:hAnsi="宋体" w:eastAsia="仿宋_GB2312" w:cs="仿宋_GB2312"/>
                <w:i w:val="0"/>
                <w:iCs w:val="0"/>
                <w:color w:val="333333"/>
                <w:kern w:val="0"/>
                <w:sz w:val="24"/>
                <w:szCs w:val="24"/>
                <w:u w:val="none"/>
                <w:lang w:val="en-US" w:eastAsia="zh-CN" w:bidi="ar"/>
              </w:rPr>
              <w:t>19</w:t>
            </w:r>
          </w:p>
        </w:tc>
        <w:tc>
          <w:tcPr>
            <w:tcW w:w="1361" w:type="dxa"/>
            <w:noWrap w:val="0"/>
            <w:vAlign w:val="center"/>
          </w:tcPr>
          <w:p w14:paraId="6BC0C78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免费法律服务</w:t>
            </w:r>
          </w:p>
        </w:tc>
        <w:tc>
          <w:tcPr>
            <w:tcW w:w="1134" w:type="dxa"/>
            <w:noWrap w:val="0"/>
            <w:vAlign w:val="center"/>
          </w:tcPr>
          <w:p w14:paraId="43A2FEA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中小微企业</w:t>
            </w:r>
          </w:p>
        </w:tc>
        <w:tc>
          <w:tcPr>
            <w:tcW w:w="1191" w:type="dxa"/>
            <w:noWrap w:val="0"/>
            <w:vAlign w:val="center"/>
          </w:tcPr>
          <w:p w14:paraId="51FE905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县司法局</w:t>
            </w:r>
          </w:p>
        </w:tc>
        <w:tc>
          <w:tcPr>
            <w:tcW w:w="4106" w:type="dxa"/>
            <w:noWrap w:val="0"/>
            <w:vAlign w:val="center"/>
          </w:tcPr>
          <w:p w14:paraId="08B81D0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为海丰县各类工业园区进驻企业免费提供法律咨询、法律援助、法治体检服务。</w:t>
            </w:r>
          </w:p>
        </w:tc>
        <w:tc>
          <w:tcPr>
            <w:tcW w:w="2049" w:type="dxa"/>
            <w:noWrap w:val="0"/>
            <w:vAlign w:val="center"/>
          </w:tcPr>
          <w:p w14:paraId="1D267B8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《汕尾市司法局汕尾市工业和信息化局印发关于开展律师进工业园区工作的实施方案的通知》</w:t>
            </w:r>
          </w:p>
        </w:tc>
        <w:tc>
          <w:tcPr>
            <w:tcW w:w="988" w:type="dxa"/>
            <w:noWrap w:val="0"/>
            <w:vAlign w:val="center"/>
          </w:tcPr>
          <w:p w14:paraId="2F6FB554">
            <w:pPr>
              <w:keepNext w:val="0"/>
              <w:keepLines w:val="0"/>
              <w:widowControl/>
              <w:suppressLineNumbers w:val="0"/>
              <w:tabs>
                <w:tab w:val="left" w:pos="366"/>
              </w:tabs>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陈若斯</w:t>
            </w:r>
          </w:p>
        </w:tc>
        <w:tc>
          <w:tcPr>
            <w:tcW w:w="1656" w:type="dxa"/>
            <w:noWrap w:val="0"/>
            <w:vAlign w:val="center"/>
          </w:tcPr>
          <w:p w14:paraId="1DE1A67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6683029</w:t>
            </w:r>
          </w:p>
        </w:tc>
        <w:tc>
          <w:tcPr>
            <w:tcW w:w="964" w:type="dxa"/>
            <w:noWrap w:val="0"/>
            <w:vAlign w:val="center"/>
          </w:tcPr>
          <w:p w14:paraId="0C086F18">
            <w:pPr>
              <w:jc w:val="center"/>
              <w:rPr>
                <w:rFonts w:hint="eastAsia" w:ascii="方正小标宋简体" w:hAnsi="方正小标宋简体" w:eastAsia="方正小标宋简体" w:cs="方正小标宋简体"/>
                <w:color w:val="auto"/>
                <w:sz w:val="24"/>
                <w:szCs w:val="24"/>
                <w:highlight w:val="none"/>
                <w:vertAlign w:val="baseline"/>
              </w:rPr>
            </w:pPr>
          </w:p>
        </w:tc>
      </w:tr>
      <w:tr w14:paraId="0195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noWrap w:val="0"/>
            <w:vAlign w:val="center"/>
          </w:tcPr>
          <w:p w14:paraId="17B0B93E">
            <w:pPr>
              <w:keepNext w:val="0"/>
              <w:keepLines w:val="0"/>
              <w:widowControl/>
              <w:suppressLineNumbers w:val="0"/>
              <w:jc w:val="center"/>
              <w:textAlignment w:val="center"/>
              <w:rPr>
                <w:rFonts w:hint="default" w:ascii="仿宋_GB2312" w:hAnsi="宋体" w:eastAsia="仿宋_GB2312" w:cs="仿宋_GB2312"/>
                <w:i w:val="0"/>
                <w:iCs w:val="0"/>
                <w:color w:val="333333"/>
                <w:kern w:val="0"/>
                <w:sz w:val="24"/>
                <w:szCs w:val="24"/>
                <w:u w:val="none"/>
                <w:lang w:val="en-US" w:eastAsia="zh-CN" w:bidi="ar"/>
              </w:rPr>
            </w:pPr>
            <w:r>
              <w:rPr>
                <w:rFonts w:hint="eastAsia" w:ascii="仿宋_GB2312" w:hAnsi="宋体" w:eastAsia="仿宋_GB2312" w:cs="仿宋_GB2312"/>
                <w:i w:val="0"/>
                <w:iCs w:val="0"/>
                <w:color w:val="333333"/>
                <w:kern w:val="0"/>
                <w:sz w:val="24"/>
                <w:szCs w:val="24"/>
                <w:u w:val="none"/>
                <w:lang w:val="en-US" w:eastAsia="zh-CN" w:bidi="ar"/>
              </w:rPr>
              <w:t>20</w:t>
            </w:r>
          </w:p>
        </w:tc>
        <w:tc>
          <w:tcPr>
            <w:tcW w:w="1361" w:type="dxa"/>
            <w:noWrap w:val="0"/>
            <w:vAlign w:val="center"/>
          </w:tcPr>
          <w:p w14:paraId="6D817BF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园区商标品牌培育服务</w:t>
            </w:r>
          </w:p>
        </w:tc>
        <w:tc>
          <w:tcPr>
            <w:tcW w:w="1134" w:type="dxa"/>
            <w:noWrap w:val="0"/>
            <w:vAlign w:val="center"/>
          </w:tcPr>
          <w:p w14:paraId="45A701F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中小微企业</w:t>
            </w:r>
          </w:p>
        </w:tc>
        <w:tc>
          <w:tcPr>
            <w:tcW w:w="1191" w:type="dxa"/>
            <w:noWrap w:val="0"/>
            <w:vAlign w:val="center"/>
          </w:tcPr>
          <w:p w14:paraId="579E6F2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县市监局</w:t>
            </w:r>
          </w:p>
        </w:tc>
        <w:tc>
          <w:tcPr>
            <w:tcW w:w="4106" w:type="dxa"/>
            <w:noWrap w:val="0"/>
            <w:vAlign w:val="center"/>
          </w:tcPr>
          <w:p w14:paraId="05E22F1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推动园区商标品牌培育指导站建设，服务园区企业。</w:t>
            </w:r>
          </w:p>
        </w:tc>
        <w:tc>
          <w:tcPr>
            <w:tcW w:w="2049" w:type="dxa"/>
            <w:noWrap w:val="0"/>
            <w:vAlign w:val="center"/>
          </w:tcPr>
          <w:p w14:paraId="0C44163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《广东省市场监督管理局关于印发&lt;广东省市场监督管理局知识产权工作专项资金管理细则&gt;的通知》；</w:t>
            </w:r>
          </w:p>
          <w:p w14:paraId="69C5A37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w:t>
            </w:r>
            <w:r>
              <w:rPr>
                <w:rFonts w:hint="eastAsia" w:ascii="仿宋_GB2312" w:hAnsi="宋体" w:eastAsia="仿宋_GB2312" w:cs="仿宋_GB2312"/>
                <w:i w:val="0"/>
                <w:iCs w:val="0"/>
                <w:color w:val="000000"/>
                <w:kern w:val="0"/>
                <w:sz w:val="24"/>
                <w:szCs w:val="24"/>
                <w:u w:val="none"/>
                <w:lang w:val="en-US" w:eastAsia="zh-CN" w:bidi="ar"/>
              </w:rPr>
              <w:t>汕尾市人民政府办公室关于印发《汕尾市推进知识产权工作实施办法（试行）》</w:t>
            </w:r>
          </w:p>
        </w:tc>
        <w:tc>
          <w:tcPr>
            <w:tcW w:w="988" w:type="dxa"/>
            <w:noWrap w:val="0"/>
            <w:vAlign w:val="center"/>
          </w:tcPr>
          <w:p w14:paraId="6AF2A30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color w:val="000000"/>
                <w:kern w:val="0"/>
                <w:sz w:val="24"/>
              </w:rPr>
              <w:t>彭武涛</w:t>
            </w:r>
          </w:p>
        </w:tc>
        <w:tc>
          <w:tcPr>
            <w:tcW w:w="1656" w:type="dxa"/>
            <w:noWrap w:val="0"/>
            <w:vAlign w:val="center"/>
          </w:tcPr>
          <w:p w14:paraId="617C9C1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color w:val="000000"/>
                <w:kern w:val="0"/>
                <w:sz w:val="24"/>
              </w:rPr>
              <w:t>6691192</w:t>
            </w:r>
          </w:p>
        </w:tc>
        <w:tc>
          <w:tcPr>
            <w:tcW w:w="964" w:type="dxa"/>
            <w:noWrap w:val="0"/>
            <w:vAlign w:val="center"/>
          </w:tcPr>
          <w:p w14:paraId="4B8221B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14:paraId="2D2CF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noWrap w:val="0"/>
            <w:vAlign w:val="center"/>
          </w:tcPr>
          <w:p w14:paraId="3E385730">
            <w:pPr>
              <w:keepNext w:val="0"/>
              <w:keepLines w:val="0"/>
              <w:widowControl/>
              <w:suppressLineNumbers w:val="0"/>
              <w:jc w:val="center"/>
              <w:textAlignment w:val="center"/>
              <w:rPr>
                <w:rFonts w:hint="default" w:ascii="仿宋_GB2312" w:hAnsi="宋体" w:eastAsia="仿宋_GB2312" w:cs="仿宋_GB2312"/>
                <w:i w:val="0"/>
                <w:iCs w:val="0"/>
                <w:color w:val="333333"/>
                <w:kern w:val="0"/>
                <w:sz w:val="24"/>
                <w:szCs w:val="24"/>
                <w:u w:val="none"/>
                <w:lang w:val="en-US" w:eastAsia="zh-CN" w:bidi="ar"/>
              </w:rPr>
            </w:pPr>
            <w:r>
              <w:rPr>
                <w:rFonts w:hint="default" w:ascii="仿宋_GB2312" w:hAnsi="宋体" w:eastAsia="仿宋_GB2312" w:cs="仿宋_GB2312"/>
                <w:i w:val="0"/>
                <w:iCs w:val="0"/>
                <w:color w:val="333333"/>
                <w:kern w:val="0"/>
                <w:sz w:val="24"/>
                <w:szCs w:val="24"/>
                <w:u w:val="none"/>
                <w:lang w:val="en-US" w:eastAsia="zh-CN" w:bidi="ar"/>
              </w:rPr>
              <w:t>2</w:t>
            </w:r>
            <w:r>
              <w:rPr>
                <w:rFonts w:hint="eastAsia" w:ascii="仿宋_GB2312" w:hAnsi="宋体" w:eastAsia="仿宋_GB2312" w:cs="仿宋_GB2312"/>
                <w:i w:val="0"/>
                <w:iCs w:val="0"/>
                <w:color w:val="333333"/>
                <w:kern w:val="0"/>
                <w:sz w:val="24"/>
                <w:szCs w:val="24"/>
                <w:u w:val="none"/>
                <w:lang w:val="en-US" w:eastAsia="zh-CN" w:bidi="ar"/>
              </w:rPr>
              <w:t>1</w:t>
            </w:r>
          </w:p>
        </w:tc>
        <w:tc>
          <w:tcPr>
            <w:tcW w:w="1361" w:type="dxa"/>
            <w:noWrap w:val="0"/>
            <w:vAlign w:val="center"/>
          </w:tcPr>
          <w:p w14:paraId="358C8D0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高价值</w:t>
            </w:r>
          </w:p>
          <w:p w14:paraId="799FB47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知识产权</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专利培训服务</w:t>
            </w:r>
          </w:p>
        </w:tc>
        <w:tc>
          <w:tcPr>
            <w:tcW w:w="1134" w:type="dxa"/>
            <w:noWrap w:val="0"/>
            <w:vAlign w:val="center"/>
          </w:tcPr>
          <w:p w14:paraId="1999B30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中小微企业</w:t>
            </w:r>
          </w:p>
        </w:tc>
        <w:tc>
          <w:tcPr>
            <w:tcW w:w="1191" w:type="dxa"/>
            <w:noWrap w:val="0"/>
            <w:vAlign w:val="center"/>
          </w:tcPr>
          <w:p w14:paraId="54E6F0F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县市监局</w:t>
            </w:r>
          </w:p>
        </w:tc>
        <w:tc>
          <w:tcPr>
            <w:tcW w:w="4106" w:type="dxa"/>
            <w:noWrap w:val="0"/>
            <w:vAlign w:val="center"/>
          </w:tcPr>
          <w:p w14:paraId="4FA45E41">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围绕广东省重点培育发展的战略性支柱产业集群、战略性新兴产业集群，从每个产业中选取关键、核心领域技术点，支持我县创新主体开展精准高价值专利培育布局，加快创新驱动发展。</w:t>
            </w:r>
          </w:p>
        </w:tc>
        <w:tc>
          <w:tcPr>
            <w:tcW w:w="2049" w:type="dxa"/>
            <w:noWrap w:val="0"/>
            <w:vAlign w:val="center"/>
          </w:tcPr>
          <w:p w14:paraId="1D4D7FD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《广东省人民政府办公厅关于印发广东省促进中小企业知识产权保护和利用若干政策措施的通知》</w:t>
            </w:r>
          </w:p>
        </w:tc>
        <w:tc>
          <w:tcPr>
            <w:tcW w:w="988" w:type="dxa"/>
            <w:noWrap w:val="0"/>
            <w:vAlign w:val="center"/>
          </w:tcPr>
          <w:p w14:paraId="65703FF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color w:val="000000"/>
                <w:kern w:val="0"/>
                <w:sz w:val="24"/>
              </w:rPr>
              <w:t>彭武涛</w:t>
            </w:r>
          </w:p>
        </w:tc>
        <w:tc>
          <w:tcPr>
            <w:tcW w:w="1656" w:type="dxa"/>
            <w:noWrap w:val="0"/>
            <w:vAlign w:val="center"/>
          </w:tcPr>
          <w:p w14:paraId="30B6449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color w:val="000000"/>
                <w:kern w:val="0"/>
                <w:sz w:val="24"/>
              </w:rPr>
              <w:t>6691192</w:t>
            </w:r>
          </w:p>
        </w:tc>
        <w:tc>
          <w:tcPr>
            <w:tcW w:w="964" w:type="dxa"/>
            <w:noWrap w:val="0"/>
            <w:vAlign w:val="center"/>
          </w:tcPr>
          <w:p w14:paraId="2BA37DDB">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科技型、创新型企业</w:t>
            </w:r>
          </w:p>
        </w:tc>
      </w:tr>
      <w:tr w14:paraId="69AD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noWrap w:val="0"/>
            <w:vAlign w:val="center"/>
          </w:tcPr>
          <w:p w14:paraId="0BC6C2EC">
            <w:pPr>
              <w:keepNext w:val="0"/>
              <w:keepLines w:val="0"/>
              <w:widowControl/>
              <w:suppressLineNumbers w:val="0"/>
              <w:jc w:val="center"/>
              <w:textAlignment w:val="center"/>
              <w:rPr>
                <w:rFonts w:hint="eastAsia" w:ascii="仿宋_GB2312" w:hAnsi="宋体" w:eastAsia="仿宋_GB2312" w:cs="仿宋_GB2312"/>
                <w:i w:val="0"/>
                <w:iCs w:val="0"/>
                <w:color w:val="333333"/>
                <w:kern w:val="0"/>
                <w:sz w:val="24"/>
                <w:szCs w:val="24"/>
                <w:u w:val="none"/>
                <w:lang w:val="en-US" w:eastAsia="zh-CN" w:bidi="ar"/>
              </w:rPr>
            </w:pPr>
            <w:r>
              <w:rPr>
                <w:rFonts w:hint="eastAsia" w:ascii="仿宋_GB2312" w:hAnsi="宋体" w:eastAsia="仿宋_GB2312" w:cs="仿宋_GB2312"/>
                <w:i w:val="0"/>
                <w:iCs w:val="0"/>
                <w:color w:val="333333"/>
                <w:kern w:val="0"/>
                <w:sz w:val="24"/>
                <w:szCs w:val="24"/>
                <w:u w:val="none"/>
                <w:lang w:val="en-US" w:eastAsia="zh-CN" w:bidi="ar"/>
              </w:rPr>
              <w:t>22</w:t>
            </w:r>
          </w:p>
        </w:tc>
        <w:tc>
          <w:tcPr>
            <w:tcW w:w="1361" w:type="dxa"/>
            <w:noWrap w:val="0"/>
            <w:vAlign w:val="center"/>
          </w:tcPr>
          <w:p w14:paraId="3199868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知识产权质押融资服务</w:t>
            </w:r>
          </w:p>
        </w:tc>
        <w:tc>
          <w:tcPr>
            <w:tcW w:w="1134" w:type="dxa"/>
            <w:noWrap w:val="0"/>
            <w:vAlign w:val="center"/>
          </w:tcPr>
          <w:p w14:paraId="3CE1BD3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中小微企业</w:t>
            </w:r>
          </w:p>
        </w:tc>
        <w:tc>
          <w:tcPr>
            <w:tcW w:w="1191" w:type="dxa"/>
            <w:noWrap w:val="0"/>
            <w:vAlign w:val="center"/>
          </w:tcPr>
          <w:p w14:paraId="64BAE00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县市监局</w:t>
            </w:r>
          </w:p>
        </w:tc>
        <w:tc>
          <w:tcPr>
            <w:tcW w:w="4106" w:type="dxa"/>
            <w:noWrap w:val="0"/>
            <w:vAlign w:val="center"/>
          </w:tcPr>
          <w:p w14:paraId="4FC8C69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推进企业知识产权质押融资工作。</w:t>
            </w:r>
          </w:p>
        </w:tc>
        <w:tc>
          <w:tcPr>
            <w:tcW w:w="2049" w:type="dxa"/>
            <w:noWrap w:val="0"/>
            <w:vAlign w:val="center"/>
          </w:tcPr>
          <w:p w14:paraId="689793E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汕尾市人民政府办公室关于印发《汕尾市推进知识产权工作实施办法（试行）》的通知</w:t>
            </w:r>
          </w:p>
        </w:tc>
        <w:tc>
          <w:tcPr>
            <w:tcW w:w="988" w:type="dxa"/>
            <w:noWrap w:val="0"/>
            <w:vAlign w:val="center"/>
          </w:tcPr>
          <w:p w14:paraId="4E97C6F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color w:val="000000"/>
                <w:kern w:val="0"/>
                <w:sz w:val="24"/>
              </w:rPr>
              <w:t>彭武涛</w:t>
            </w:r>
          </w:p>
        </w:tc>
        <w:tc>
          <w:tcPr>
            <w:tcW w:w="1656" w:type="dxa"/>
            <w:noWrap w:val="0"/>
            <w:vAlign w:val="center"/>
          </w:tcPr>
          <w:p w14:paraId="0802BCC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color w:val="000000"/>
                <w:kern w:val="0"/>
                <w:sz w:val="24"/>
              </w:rPr>
              <w:t>6691192</w:t>
            </w:r>
          </w:p>
        </w:tc>
        <w:tc>
          <w:tcPr>
            <w:tcW w:w="964" w:type="dxa"/>
            <w:noWrap w:val="0"/>
            <w:vAlign w:val="center"/>
          </w:tcPr>
          <w:p w14:paraId="52DFA7B5">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24"/>
                <w:szCs w:val="24"/>
                <w:highlight w:val="none"/>
                <w:vertAlign w:val="baseline"/>
              </w:rPr>
            </w:pPr>
            <w:r>
              <w:rPr>
                <w:rFonts w:hint="eastAsia" w:ascii="仿宋_GB2312" w:hAnsi="宋体" w:eastAsia="仿宋_GB2312" w:cs="仿宋_GB2312"/>
                <w:i w:val="0"/>
                <w:iCs w:val="0"/>
                <w:color w:val="000000"/>
                <w:kern w:val="0"/>
                <w:sz w:val="24"/>
                <w:szCs w:val="24"/>
                <w:u w:val="none"/>
                <w:lang w:val="en-US" w:eastAsia="zh-CN" w:bidi="ar"/>
              </w:rPr>
              <w:t>科技型、创新型企业</w:t>
            </w:r>
          </w:p>
        </w:tc>
      </w:tr>
      <w:tr w14:paraId="536E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noWrap w:val="0"/>
            <w:vAlign w:val="center"/>
          </w:tcPr>
          <w:p w14:paraId="23B69E47">
            <w:pPr>
              <w:keepNext w:val="0"/>
              <w:keepLines w:val="0"/>
              <w:widowControl/>
              <w:suppressLineNumbers w:val="0"/>
              <w:jc w:val="center"/>
              <w:textAlignment w:val="center"/>
              <w:rPr>
                <w:rFonts w:hint="default" w:ascii="仿宋_GB2312" w:hAnsi="宋体" w:eastAsia="仿宋_GB2312" w:cs="仿宋_GB2312"/>
                <w:i w:val="0"/>
                <w:iCs w:val="0"/>
                <w:color w:val="333333"/>
                <w:kern w:val="0"/>
                <w:sz w:val="24"/>
                <w:szCs w:val="24"/>
                <w:u w:val="none"/>
                <w:lang w:val="en-US" w:eastAsia="zh-CN" w:bidi="ar"/>
              </w:rPr>
            </w:pPr>
            <w:r>
              <w:rPr>
                <w:rFonts w:hint="eastAsia" w:ascii="仿宋_GB2312" w:hAnsi="宋体" w:eastAsia="仿宋_GB2312" w:cs="仿宋_GB2312"/>
                <w:i w:val="0"/>
                <w:iCs w:val="0"/>
                <w:color w:val="333333"/>
                <w:kern w:val="0"/>
                <w:sz w:val="24"/>
                <w:szCs w:val="24"/>
                <w:u w:val="none"/>
                <w:lang w:val="en-US" w:eastAsia="zh-CN" w:bidi="ar"/>
              </w:rPr>
              <w:t>23</w:t>
            </w:r>
          </w:p>
        </w:tc>
        <w:tc>
          <w:tcPr>
            <w:tcW w:w="1361" w:type="dxa"/>
            <w:noWrap w:val="0"/>
            <w:vAlign w:val="center"/>
          </w:tcPr>
          <w:p w14:paraId="0B7AAC6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境外销售展会服务</w:t>
            </w:r>
          </w:p>
        </w:tc>
        <w:tc>
          <w:tcPr>
            <w:tcW w:w="1134" w:type="dxa"/>
            <w:noWrap w:val="0"/>
            <w:vAlign w:val="center"/>
          </w:tcPr>
          <w:p w14:paraId="3C0DAB4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中小微企业</w:t>
            </w:r>
          </w:p>
        </w:tc>
        <w:tc>
          <w:tcPr>
            <w:tcW w:w="1191" w:type="dxa"/>
            <w:noWrap w:val="0"/>
            <w:vAlign w:val="center"/>
          </w:tcPr>
          <w:p w14:paraId="6397D8D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县科工局</w:t>
            </w:r>
          </w:p>
        </w:tc>
        <w:tc>
          <w:tcPr>
            <w:tcW w:w="4106" w:type="dxa"/>
            <w:noWrap w:val="0"/>
            <w:vAlign w:val="center"/>
          </w:tcPr>
          <w:p w14:paraId="76997C1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协助及支持符合条件、有意向参加境外展会、粤贸全球线上展会以及参加广交会的企业进行项目申报。</w:t>
            </w:r>
          </w:p>
        </w:tc>
        <w:tc>
          <w:tcPr>
            <w:tcW w:w="2049" w:type="dxa"/>
            <w:noWrap w:val="0"/>
            <w:vAlign w:val="center"/>
          </w:tcPr>
          <w:p w14:paraId="1221EBA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《广东省商务厅关于印发中央财政2022年度外经贸发展专项资金（开拓重点市场事项）项目入库申报指南的通知》</w:t>
            </w:r>
          </w:p>
        </w:tc>
        <w:tc>
          <w:tcPr>
            <w:tcW w:w="988" w:type="dxa"/>
            <w:noWrap w:val="0"/>
            <w:vAlign w:val="center"/>
          </w:tcPr>
          <w:p w14:paraId="4BBF77B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李学文</w:t>
            </w:r>
          </w:p>
        </w:tc>
        <w:tc>
          <w:tcPr>
            <w:tcW w:w="1656" w:type="dxa"/>
            <w:noWrap w:val="0"/>
            <w:vAlign w:val="center"/>
          </w:tcPr>
          <w:p w14:paraId="45C8F07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40"/>
                <w:szCs w:val="40"/>
                <w:u w:val="none"/>
                <w:lang w:val="en-US" w:eastAsia="zh-CN" w:bidi="ar-SA"/>
              </w:rPr>
            </w:pPr>
            <w:r>
              <w:rPr>
                <w:rFonts w:hint="eastAsia" w:ascii="仿宋_GB2312" w:hAnsi="宋体" w:eastAsia="仿宋_GB2312" w:cs="仿宋_GB2312"/>
                <w:color w:val="000000"/>
                <w:kern w:val="0"/>
                <w:sz w:val="24"/>
                <w:szCs w:val="24"/>
                <w:highlight w:val="none"/>
                <w:u w:val="none"/>
                <w:vertAlign w:val="baseline"/>
                <w:lang w:val="en-US" w:eastAsia="zh-CN" w:bidi="ar"/>
              </w:rPr>
              <w:t>6622081</w:t>
            </w:r>
          </w:p>
        </w:tc>
        <w:tc>
          <w:tcPr>
            <w:tcW w:w="964" w:type="dxa"/>
            <w:noWrap w:val="0"/>
            <w:vAlign w:val="center"/>
          </w:tcPr>
          <w:p w14:paraId="4CA0194C">
            <w:pPr>
              <w:jc w:val="center"/>
              <w:rPr>
                <w:rFonts w:hint="eastAsia" w:ascii="方正小标宋简体" w:hAnsi="方正小标宋简体" w:eastAsia="方正小标宋简体" w:cs="方正小标宋简体"/>
                <w:color w:val="auto"/>
                <w:sz w:val="24"/>
                <w:szCs w:val="24"/>
                <w:highlight w:val="none"/>
                <w:vertAlign w:val="baseline"/>
              </w:rPr>
            </w:pPr>
          </w:p>
        </w:tc>
      </w:tr>
      <w:tr w14:paraId="40B61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noWrap w:val="0"/>
            <w:vAlign w:val="center"/>
          </w:tcPr>
          <w:p w14:paraId="3F273F04">
            <w:pPr>
              <w:keepNext w:val="0"/>
              <w:keepLines w:val="0"/>
              <w:widowControl/>
              <w:suppressLineNumbers w:val="0"/>
              <w:jc w:val="center"/>
              <w:textAlignment w:val="center"/>
              <w:rPr>
                <w:rFonts w:hint="default" w:ascii="仿宋_GB2312" w:hAnsi="宋体" w:eastAsia="仿宋_GB2312" w:cs="仿宋_GB2312"/>
                <w:i w:val="0"/>
                <w:iCs w:val="0"/>
                <w:color w:val="333333"/>
                <w:kern w:val="0"/>
                <w:sz w:val="24"/>
                <w:szCs w:val="24"/>
                <w:u w:val="none"/>
                <w:lang w:val="en-US" w:eastAsia="zh-CN" w:bidi="ar"/>
              </w:rPr>
            </w:pPr>
            <w:r>
              <w:rPr>
                <w:rFonts w:hint="eastAsia" w:ascii="仿宋_GB2312" w:hAnsi="宋体" w:eastAsia="仿宋_GB2312" w:cs="仿宋_GB2312"/>
                <w:i w:val="0"/>
                <w:iCs w:val="0"/>
                <w:color w:val="333333"/>
                <w:kern w:val="0"/>
                <w:sz w:val="24"/>
                <w:szCs w:val="24"/>
                <w:u w:val="none"/>
                <w:lang w:val="en-US" w:eastAsia="zh-CN" w:bidi="ar"/>
              </w:rPr>
              <w:t>24</w:t>
            </w:r>
          </w:p>
        </w:tc>
        <w:tc>
          <w:tcPr>
            <w:tcW w:w="1361" w:type="dxa"/>
            <w:noWrap w:val="0"/>
            <w:vAlign w:val="center"/>
          </w:tcPr>
          <w:p w14:paraId="46AEA34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直播带货服务</w:t>
            </w:r>
          </w:p>
        </w:tc>
        <w:tc>
          <w:tcPr>
            <w:tcW w:w="1134" w:type="dxa"/>
            <w:noWrap w:val="0"/>
            <w:vAlign w:val="center"/>
          </w:tcPr>
          <w:p w14:paraId="2718455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中小微企业</w:t>
            </w:r>
          </w:p>
        </w:tc>
        <w:tc>
          <w:tcPr>
            <w:tcW w:w="1191" w:type="dxa"/>
            <w:noWrap w:val="0"/>
            <w:vAlign w:val="center"/>
          </w:tcPr>
          <w:p w14:paraId="473B2B0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县科工局</w:t>
            </w:r>
          </w:p>
        </w:tc>
        <w:tc>
          <w:tcPr>
            <w:tcW w:w="4106" w:type="dxa"/>
            <w:noWrap w:val="0"/>
            <w:vAlign w:val="center"/>
          </w:tcPr>
          <w:p w14:paraId="4E4AA8F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为各企业名特优产品提供产销对接服务。</w:t>
            </w:r>
          </w:p>
        </w:tc>
        <w:tc>
          <w:tcPr>
            <w:tcW w:w="2049" w:type="dxa"/>
            <w:noWrap w:val="0"/>
            <w:vAlign w:val="center"/>
          </w:tcPr>
          <w:p w14:paraId="5891574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w:t>
            </w:r>
          </w:p>
        </w:tc>
        <w:tc>
          <w:tcPr>
            <w:tcW w:w="988" w:type="dxa"/>
            <w:noWrap w:val="0"/>
            <w:vAlign w:val="center"/>
          </w:tcPr>
          <w:p w14:paraId="10EA0DE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姚映静</w:t>
            </w:r>
          </w:p>
        </w:tc>
        <w:tc>
          <w:tcPr>
            <w:tcW w:w="1656" w:type="dxa"/>
            <w:noWrap w:val="0"/>
            <w:vAlign w:val="center"/>
          </w:tcPr>
          <w:p w14:paraId="18A26DE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6855699</w:t>
            </w:r>
          </w:p>
        </w:tc>
        <w:tc>
          <w:tcPr>
            <w:tcW w:w="964" w:type="dxa"/>
            <w:noWrap w:val="0"/>
            <w:vAlign w:val="center"/>
          </w:tcPr>
          <w:p w14:paraId="2AA92C79">
            <w:pPr>
              <w:jc w:val="center"/>
              <w:rPr>
                <w:rFonts w:hint="eastAsia" w:ascii="方正小标宋简体" w:hAnsi="方正小标宋简体" w:eastAsia="方正小标宋简体" w:cs="方正小标宋简体"/>
                <w:color w:val="auto"/>
                <w:sz w:val="24"/>
                <w:szCs w:val="24"/>
                <w:highlight w:val="none"/>
                <w:vertAlign w:val="baseline"/>
              </w:rPr>
            </w:pPr>
          </w:p>
        </w:tc>
      </w:tr>
    </w:tbl>
    <w:p w14:paraId="64E355DB">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黑体" w:hAnsi="黑体" w:eastAsia="黑体" w:cs="黑体"/>
          <w:kern w:val="2"/>
          <w:sz w:val="32"/>
          <w:szCs w:val="32"/>
          <w:lang w:val="en-US" w:eastAsia="zh-CN" w:bidi="ar-SA"/>
        </w:rPr>
      </w:pPr>
    </w:p>
    <w:p w14:paraId="354364AA">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黑体" w:hAnsi="黑体" w:eastAsia="黑体" w:cs="黑体"/>
          <w:kern w:val="2"/>
          <w:sz w:val="32"/>
          <w:szCs w:val="32"/>
          <w:lang w:val="en-US" w:eastAsia="zh-CN" w:bidi="ar-SA"/>
        </w:rPr>
      </w:pPr>
    </w:p>
    <w:p w14:paraId="3B289CFB">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黑体" w:hAnsi="黑体" w:eastAsia="黑体" w:cs="黑体"/>
          <w:kern w:val="2"/>
          <w:sz w:val="32"/>
          <w:szCs w:val="32"/>
          <w:lang w:val="en-US" w:eastAsia="zh-CN" w:bidi="ar-SA"/>
        </w:rPr>
      </w:pPr>
    </w:p>
    <w:p w14:paraId="316BAD57">
      <w:pPr>
        <w:rPr>
          <w:rFonts w:hint="eastAsia"/>
          <w:lang w:val="en-US" w:eastAsia="zh-CN"/>
        </w:rPr>
        <w:sectPr>
          <w:pgSz w:w="16838" w:h="11906" w:orient="landscape"/>
          <w:pgMar w:top="1531" w:right="1440" w:bottom="1531" w:left="1440" w:header="851" w:footer="992" w:gutter="0"/>
          <w:pgNumType w:fmt="numberInDash"/>
          <w:cols w:space="0" w:num="1"/>
          <w:rtlGutter w:val="0"/>
          <w:docGrid w:type="lines" w:linePitch="323" w:charSpace="0"/>
        </w:sectPr>
      </w:pPr>
    </w:p>
    <w:p w14:paraId="73E82EB2">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w:t>
      </w:r>
      <w:r>
        <w:rPr>
          <w:rFonts w:hint="default" w:ascii="黑体" w:hAnsi="黑体" w:eastAsia="黑体" w:cs="黑体"/>
          <w:kern w:val="2"/>
          <w:sz w:val="32"/>
          <w:szCs w:val="32"/>
          <w:lang w:val="en-US" w:eastAsia="zh-CN" w:bidi="ar-SA"/>
        </w:rPr>
        <w:t>3</w:t>
      </w:r>
      <w:r>
        <w:rPr>
          <w:rFonts w:hint="eastAsia" w:ascii="黑体" w:hAnsi="黑体" w:eastAsia="黑体" w:cs="黑体"/>
          <w:kern w:val="2"/>
          <w:sz w:val="32"/>
          <w:szCs w:val="32"/>
          <w:lang w:val="en-US" w:eastAsia="zh-CN" w:bidi="ar-SA"/>
        </w:rPr>
        <w:t>：</w:t>
      </w:r>
    </w:p>
    <w:p w14:paraId="599784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2D26F7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海丰</w:t>
      </w:r>
      <w:r>
        <w:rPr>
          <w:rFonts w:hint="eastAsia" w:ascii="方正小标宋简体" w:hAnsi="方正小标宋简体" w:eastAsia="方正小标宋简体" w:cs="方正小标宋简体"/>
          <w:sz w:val="44"/>
          <w:szCs w:val="44"/>
          <w:lang w:eastAsia="zh-CN"/>
        </w:rPr>
        <w:t>县营商环境优化</w:t>
      </w:r>
      <w:r>
        <w:rPr>
          <w:rFonts w:hint="eastAsia" w:ascii="方正小标宋简体" w:hAnsi="方正小标宋简体" w:eastAsia="方正小标宋简体" w:cs="方正小标宋简体"/>
          <w:sz w:val="44"/>
          <w:szCs w:val="44"/>
          <w:lang w:val="en-US" w:eastAsia="zh-CN"/>
        </w:rPr>
        <w:t>行动</w:t>
      </w:r>
      <w:r>
        <w:rPr>
          <w:rFonts w:hint="eastAsia" w:ascii="方正小标宋简体" w:hAnsi="方正小标宋简体" w:eastAsia="方正小标宋简体" w:cs="方正小标宋简体"/>
          <w:sz w:val="44"/>
          <w:szCs w:val="44"/>
        </w:rPr>
        <w:t>指挥部</w:t>
      </w:r>
      <w:r>
        <w:rPr>
          <w:rFonts w:hint="eastAsia" w:ascii="方正小标宋简体" w:hAnsi="方正小标宋简体" w:eastAsia="方正小标宋简体" w:cs="方正小标宋简体"/>
          <w:sz w:val="44"/>
          <w:szCs w:val="44"/>
          <w:lang w:eastAsia="zh-CN"/>
        </w:rPr>
        <w:t>办公室及</w:t>
      </w:r>
    </w:p>
    <w:p w14:paraId="53F866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工作专班组成人员</w:t>
      </w:r>
      <w:r>
        <w:rPr>
          <w:rFonts w:hint="eastAsia" w:ascii="方正小标宋简体" w:hAnsi="方正小标宋简体" w:eastAsia="方正小标宋简体" w:cs="方正小标宋简体"/>
          <w:sz w:val="44"/>
          <w:szCs w:val="44"/>
          <w:lang w:val="en-US" w:eastAsia="zh-CN"/>
        </w:rPr>
        <w:t>和工作职责</w:t>
      </w:r>
    </w:p>
    <w:p w14:paraId="3808C562">
      <w:pPr>
        <w:pStyle w:val="2"/>
        <w:keepNext w:val="0"/>
        <w:keepLines w:val="0"/>
        <w:pageBreakBefore w:val="0"/>
        <w:widowControl w:val="0"/>
        <w:kinsoku/>
        <w:wordWrap/>
        <w:overflowPunct/>
        <w:topLinePunct w:val="0"/>
        <w:bidi w:val="0"/>
        <w:spacing w:line="560" w:lineRule="exact"/>
        <w:textAlignment w:val="auto"/>
        <w:rPr>
          <w:rFonts w:hint="eastAsia"/>
          <w:lang w:val="en-US" w:eastAsia="zh-CN"/>
        </w:rPr>
      </w:pPr>
    </w:p>
    <w:p w14:paraId="2079E2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加强对我县2022年营商环境优化工作的组织领导，形成责任明确、指导有力、运转有序、保障到位的领导机制和运行机制，现将2022年海丰县营商环境优化行动指挥部办公室及工作专班组成人员和工作职责明确如下：</w:t>
      </w:r>
    </w:p>
    <w:p w14:paraId="3E0899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一、指挥部办公室组成人员和职责</w:t>
      </w:r>
    </w:p>
    <w:p w14:paraId="2C01D9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办公室主任：阳  宇</w:t>
      </w:r>
      <w:r>
        <w:rPr>
          <w:rFonts w:hint="eastAsia" w:ascii="仿宋_GB2312" w:hAnsi="仿宋_GB2312" w:eastAsia="仿宋_GB2312" w:cs="仿宋_GB2312"/>
          <w:b w:val="0"/>
          <w:bCs w:val="0"/>
          <w:sz w:val="32"/>
          <w:szCs w:val="32"/>
          <w:lang w:val="en-US" w:eastAsia="zh-CN"/>
        </w:rPr>
        <w:t xml:space="preserve">  副县长</w:t>
      </w:r>
    </w:p>
    <w:p w14:paraId="15C574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常务副主任：邱诗光  县政数局局长</w:t>
      </w:r>
    </w:p>
    <w:p w14:paraId="5ECED1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副  主  任：</w:t>
      </w:r>
      <w:r>
        <w:rPr>
          <w:rFonts w:hint="eastAsia" w:ascii="仿宋_GB2312" w:hAnsi="仿宋_GB2312" w:eastAsia="仿宋_GB2312" w:cs="仿宋_GB2312"/>
          <w:sz w:val="32"/>
          <w:szCs w:val="32"/>
          <w:highlight w:val="none"/>
          <w:lang w:val="en-US" w:eastAsia="zh-CN"/>
        </w:rPr>
        <w:t>陈喜群  县政府办三级主任科员</w:t>
      </w:r>
    </w:p>
    <w:p w14:paraId="5B3A9515">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陈志明  县发改局局长</w:t>
      </w:r>
    </w:p>
    <w:p w14:paraId="2D905E67">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蔡生绵</w:t>
      </w:r>
      <w:r>
        <w:rPr>
          <w:rFonts w:hint="eastAsia" w:ascii="仿宋_GB2312" w:hAnsi="仿宋_GB2312" w:eastAsia="仿宋_GB2312" w:cs="仿宋_GB2312"/>
          <w:sz w:val="32"/>
          <w:szCs w:val="32"/>
          <w:lang w:val="en-US" w:eastAsia="zh-CN"/>
        </w:rPr>
        <w:t xml:space="preserve">  县科工局局长</w:t>
      </w:r>
    </w:p>
    <w:p w14:paraId="0BD8F5B6">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欧海生  县市监局局长</w:t>
      </w:r>
    </w:p>
    <w:p w14:paraId="5E8D65A6">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刘诗章  县司法局局长</w:t>
      </w:r>
    </w:p>
    <w:p w14:paraId="1FD83F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主要职责是：统筹推进全县全面优化营商环境攻坚行动各项工作，协调实施过程</w:t>
      </w:r>
      <w:r>
        <w:rPr>
          <w:rFonts w:hint="eastAsia" w:ascii="仿宋_GB2312" w:hAnsi="仿宋_GB2312" w:eastAsia="仿宋_GB2312" w:cs="仿宋_GB2312"/>
          <w:sz w:val="32"/>
          <w:szCs w:val="32"/>
          <w:lang w:val="en-US" w:eastAsia="zh-CN"/>
        </w:rPr>
        <w:t>中出现的重大问题，研究制定工作目标和措施；对各项工作任务落实情况进行监督检查，研究协调其它有关事项。</w:t>
      </w:r>
    </w:p>
    <w:p w14:paraId="141488D8">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为做好相关工作，指挥部办公室下设工作专班，即综合协调工作专班、打造一流市场环境工作专班、打造一流政务环境工作专班、打造一流法治环境工作专班等4个工作专班，可</w:t>
      </w:r>
      <w:r>
        <w:rPr>
          <w:rFonts w:hint="eastAsia" w:ascii="仿宋_GB2312" w:hAnsi="仿宋_GB2312" w:eastAsia="仿宋_GB2312" w:cs="仿宋_GB2312"/>
          <w:sz w:val="32"/>
          <w:szCs w:val="32"/>
          <w:lang w:eastAsia="zh-CN"/>
        </w:rPr>
        <w:t>根据工作需要，在工作专班内设若干工作小组。</w:t>
      </w:r>
      <w:r>
        <w:rPr>
          <w:rFonts w:hint="eastAsia" w:ascii="仿宋_GB2312" w:hAnsi="仿宋_GB2312" w:eastAsia="仿宋_GB2312" w:cs="仿宋_GB2312"/>
          <w:sz w:val="32"/>
          <w:szCs w:val="32"/>
          <w:lang w:val="en-US" w:eastAsia="zh-CN"/>
        </w:rPr>
        <w:t>各工作专班的成员与工作职责如下：</w:t>
      </w:r>
    </w:p>
    <w:p w14:paraId="3DDDB3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（一）综合协调工作专班</w:t>
      </w:r>
    </w:p>
    <w:p w14:paraId="3F2B2E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组  长：</w:t>
      </w:r>
      <w:r>
        <w:rPr>
          <w:rFonts w:hint="eastAsia" w:ascii="仿宋_GB2312" w:hAnsi="仿宋_GB2312" w:eastAsia="仿宋_GB2312" w:cs="仿宋_GB2312"/>
          <w:color w:val="auto"/>
          <w:sz w:val="32"/>
          <w:szCs w:val="32"/>
          <w:lang w:val="en-US" w:eastAsia="zh-CN"/>
        </w:rPr>
        <w:t>邱诗光  县政数局局长</w:t>
      </w:r>
    </w:p>
    <w:p w14:paraId="0BB48AE7">
      <w:pPr>
        <w:keepNext w:val="0"/>
        <w:keepLines w:val="0"/>
        <w:pageBreakBefore w:val="0"/>
        <w:widowControl w:val="0"/>
        <w:tabs>
          <w:tab w:val="left" w:pos="602"/>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副组长：</w:t>
      </w:r>
      <w:r>
        <w:rPr>
          <w:rFonts w:hint="eastAsia" w:ascii="仿宋_GB2312" w:hAnsi="仿宋_GB2312" w:eastAsia="仿宋_GB2312" w:cs="仿宋_GB2312"/>
          <w:color w:val="auto"/>
          <w:sz w:val="32"/>
          <w:szCs w:val="32"/>
          <w:lang w:val="en-US" w:eastAsia="zh-CN"/>
        </w:rPr>
        <w:t xml:space="preserve">林浩声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县政数局副局长 </w:t>
      </w:r>
    </w:p>
    <w:p w14:paraId="0538EEB8">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陈银友</w:t>
      </w:r>
      <w:r>
        <w:rPr>
          <w:rFonts w:hint="eastAsia" w:ascii="仿宋_GB2312" w:hAnsi="仿宋_GB2312" w:eastAsia="仿宋_GB2312" w:cs="仿宋_GB2312"/>
          <w:color w:val="auto"/>
          <w:sz w:val="32"/>
          <w:szCs w:val="32"/>
          <w:lang w:val="en-US" w:eastAsia="zh-CN"/>
        </w:rPr>
        <w:t xml:space="preserve">  县发改局总经济师</w:t>
      </w:r>
    </w:p>
    <w:p w14:paraId="58C6F561">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李小武  县科工局副局长</w:t>
      </w:r>
    </w:p>
    <w:p w14:paraId="70AF8278">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陈如源  县市监局副局长</w:t>
      </w:r>
    </w:p>
    <w:p w14:paraId="0A46C555">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黄文旭  县司法局</w:t>
      </w:r>
      <w:r>
        <w:rPr>
          <w:rFonts w:hint="eastAsia" w:ascii="仿宋_GB2312" w:hAnsi="仿宋_GB2312" w:eastAsia="仿宋_GB2312" w:cs="仿宋_GB2312"/>
          <w:sz w:val="32"/>
          <w:szCs w:val="32"/>
          <w:highlight w:val="none"/>
          <w:lang w:val="en-US" w:eastAsia="zh-CN"/>
        </w:rPr>
        <w:t>党组副书记</w:t>
      </w:r>
    </w:p>
    <w:p w14:paraId="21C5953F">
      <w:pPr>
        <w:keepNext w:val="0"/>
        <w:keepLines w:val="0"/>
        <w:pageBreakBefore w:val="0"/>
        <w:widowControl w:val="0"/>
        <w:kinsoku/>
        <w:wordWrap/>
        <w:overflowPunct/>
        <w:topLinePunct w:val="0"/>
        <w:autoSpaceDE/>
        <w:autoSpaceDN/>
        <w:bidi w:val="0"/>
        <w:adjustRightInd/>
        <w:snapToGrid/>
        <w:spacing w:line="560" w:lineRule="exact"/>
        <w:ind w:left="3198" w:leftChars="304" w:hanging="2560" w:hangingChars="8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员：黄映辉  县政数局政务服务管理股股长</w:t>
      </w:r>
    </w:p>
    <w:p w14:paraId="15D5D85C">
      <w:pPr>
        <w:keepNext w:val="0"/>
        <w:keepLines w:val="0"/>
        <w:pageBreakBefore w:val="0"/>
        <w:widowControl w:val="0"/>
        <w:kinsoku/>
        <w:wordWrap/>
        <w:overflowPunct/>
        <w:topLinePunct w:val="0"/>
        <w:autoSpaceDE/>
        <w:autoSpaceDN/>
        <w:bidi w:val="0"/>
        <w:adjustRightInd/>
        <w:snapToGrid/>
        <w:spacing w:line="560" w:lineRule="exact"/>
        <w:ind w:left="3198" w:leftChars="304" w:hanging="2560" w:hangingChars="8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sz w:val="32"/>
          <w:szCs w:val="32"/>
          <w:lang w:val="en-US" w:eastAsia="zh-CN"/>
        </w:rPr>
        <w:t>陈佩惠  县发改局体改财金和信用建设股股长</w:t>
      </w:r>
    </w:p>
    <w:p w14:paraId="31483562">
      <w:pPr>
        <w:keepNext w:val="0"/>
        <w:keepLines w:val="0"/>
        <w:pageBreakBefore w:val="0"/>
        <w:widowControl w:val="0"/>
        <w:kinsoku/>
        <w:wordWrap/>
        <w:overflowPunct/>
        <w:topLinePunct w:val="0"/>
        <w:autoSpaceDE/>
        <w:autoSpaceDN/>
        <w:bidi w:val="0"/>
        <w:adjustRightInd/>
        <w:snapToGrid/>
        <w:spacing w:line="560" w:lineRule="exact"/>
        <w:ind w:left="3195" w:leftChars="912" w:hanging="1280" w:hangingChars="4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余晓华  县科工局综合法规股股长</w:t>
      </w:r>
    </w:p>
    <w:p w14:paraId="13AC688B">
      <w:pPr>
        <w:keepNext w:val="0"/>
        <w:keepLines w:val="0"/>
        <w:pageBreakBefore w:val="0"/>
        <w:widowControl w:val="0"/>
        <w:kinsoku/>
        <w:wordWrap/>
        <w:overflowPunct/>
        <w:topLinePunct w:val="0"/>
        <w:autoSpaceDE/>
        <w:autoSpaceDN/>
        <w:bidi w:val="0"/>
        <w:adjustRightInd/>
        <w:snapToGrid/>
        <w:spacing w:line="560" w:lineRule="exact"/>
        <w:ind w:left="3515" w:leftChars="912" w:hanging="1600" w:hanging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敖  超  县市监局</w:t>
      </w:r>
      <w:r>
        <w:rPr>
          <w:rFonts w:hint="eastAsia" w:ascii="仿宋_GB2312" w:hAnsi="仿宋_GB2312" w:eastAsia="仿宋_GB2312" w:cs="仿宋_GB2312"/>
          <w:sz w:val="32"/>
          <w:szCs w:val="32"/>
          <w:lang w:val="zh-CN" w:eastAsia="zh-CN"/>
        </w:rPr>
        <w:t>行政许可与登记注册股</w:t>
      </w:r>
      <w:r>
        <w:rPr>
          <w:rFonts w:hint="eastAsia" w:ascii="仿宋_GB2312" w:hAnsi="仿宋_GB2312" w:eastAsia="仿宋_GB2312" w:cs="仿宋_GB2312"/>
          <w:sz w:val="32"/>
          <w:szCs w:val="32"/>
          <w:lang w:val="en-US" w:eastAsia="zh-CN"/>
        </w:rPr>
        <w:t>股长</w:t>
      </w:r>
    </w:p>
    <w:p w14:paraId="1D63AFC9">
      <w:pPr>
        <w:keepNext w:val="0"/>
        <w:keepLines w:val="0"/>
        <w:pageBreakBefore w:val="0"/>
        <w:widowControl w:val="0"/>
        <w:kinsoku/>
        <w:wordWrap/>
        <w:overflowPunct/>
        <w:topLinePunct w:val="0"/>
        <w:autoSpaceDE/>
        <w:autoSpaceDN/>
        <w:bidi w:val="0"/>
        <w:adjustRightInd/>
        <w:snapToGrid/>
        <w:spacing w:line="560" w:lineRule="exact"/>
        <w:ind w:left="3515" w:leftChars="912" w:hanging="1600" w:hanging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黎水星  县司法局办公室副主任</w:t>
      </w:r>
    </w:p>
    <w:p w14:paraId="674D142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工作职责：</w:t>
      </w:r>
      <w:r>
        <w:rPr>
          <w:rFonts w:hint="eastAsia" w:ascii="仿宋_GB2312" w:hAnsi="仿宋_GB2312" w:eastAsia="仿宋_GB2312" w:cs="仿宋_GB2312"/>
          <w:sz w:val="32"/>
          <w:szCs w:val="32"/>
          <w:lang w:val="en-US" w:eastAsia="zh-CN"/>
        </w:rPr>
        <w:t>落实指挥部办公室日常工作，负责统筹制定全面优化营商环境攻坚行动计划，统筹协调各专班工作进度，筹备指挥部工作会议；做好上传下达、情况收集上报、现场调研、资料建档等工作；负责协调完成县委县政府交办的其他工作任务。</w:t>
      </w:r>
    </w:p>
    <w:p w14:paraId="67CD6ECA">
      <w:pPr>
        <w:keepNext w:val="0"/>
        <w:keepLines w:val="0"/>
        <w:pageBreakBefore w:val="0"/>
        <w:widowControl w:val="0"/>
        <w:kinsoku/>
        <w:wordWrap/>
        <w:overflowPunct/>
        <w:topLinePunct w:val="0"/>
        <w:autoSpaceDE/>
        <w:autoSpaceDN/>
        <w:bidi w:val="0"/>
        <w:adjustRightInd/>
        <w:snapToGrid/>
        <w:spacing w:line="560" w:lineRule="exact"/>
        <w:ind w:left="3198" w:leftChars="304" w:hanging="2560" w:hangingChars="800"/>
        <w:jc w:val="both"/>
        <w:textAlignment w:val="auto"/>
        <w:rPr>
          <w:rFonts w:hint="default" w:ascii="楷体" w:hAnsi="楷体" w:eastAsia="楷体" w:cs="楷体"/>
          <w:b w:val="0"/>
          <w:bCs w:val="0"/>
          <w:sz w:val="32"/>
          <w:szCs w:val="32"/>
          <w:lang w:val="en-US" w:eastAsia="zh-CN"/>
        </w:rPr>
      </w:pPr>
      <w:r>
        <w:rPr>
          <w:rFonts w:hint="eastAsia" w:ascii="仿宋_GB2312" w:hAnsi="仿宋_GB2312" w:eastAsia="仿宋_GB2312" w:cs="仿宋_GB2312"/>
          <w:b w:val="0"/>
          <w:bCs w:val="0"/>
          <w:sz w:val="32"/>
          <w:szCs w:val="32"/>
          <w:lang w:val="en-US" w:eastAsia="zh-CN"/>
        </w:rPr>
        <w:t>联络员：</w:t>
      </w:r>
      <w:r>
        <w:rPr>
          <w:rFonts w:hint="eastAsia" w:ascii="仿宋_GB2312" w:hAnsi="仿宋_GB2312" w:eastAsia="仿宋_GB2312" w:cs="仿宋_GB2312"/>
          <w:sz w:val="32"/>
          <w:szCs w:val="32"/>
          <w:lang w:val="en-US" w:eastAsia="zh-CN"/>
        </w:rPr>
        <w:t>吴金水  县政务服务中心办事员</w:t>
      </w:r>
      <w:r>
        <w:rPr>
          <w:rFonts w:hint="eastAsia" w:ascii="仿宋_GB2312" w:hAnsi="仿宋_GB2312" w:eastAsia="仿宋_GB2312" w:cs="仿宋_GB2312"/>
          <w:b w:val="0"/>
          <w:bCs w:val="0"/>
          <w:sz w:val="32"/>
          <w:szCs w:val="32"/>
          <w:lang w:val="en-US" w:eastAsia="zh-CN"/>
        </w:rPr>
        <w:t xml:space="preserve">   </w:t>
      </w:r>
      <w:r>
        <w:rPr>
          <w:rFonts w:hint="eastAsia" w:ascii="楷体" w:hAnsi="楷体" w:eastAsia="楷体" w:cs="楷体"/>
          <w:b w:val="0"/>
          <w:bCs w:val="0"/>
          <w:sz w:val="32"/>
          <w:szCs w:val="32"/>
          <w:lang w:val="en-US" w:eastAsia="zh-CN"/>
        </w:rPr>
        <w:t xml:space="preserve"> </w:t>
      </w:r>
    </w:p>
    <w:p w14:paraId="032F44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（二）打造一流市场环境工作专班</w:t>
      </w:r>
    </w:p>
    <w:p w14:paraId="004553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val="en-US" w:eastAsia="zh-CN"/>
        </w:rPr>
        <w:t>欧海生  县市场监管局局长</w:t>
      </w:r>
    </w:p>
    <w:p w14:paraId="4A4A43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副组长：</w:t>
      </w:r>
      <w:r>
        <w:rPr>
          <w:rFonts w:hint="eastAsia" w:ascii="仿宋_GB2312" w:hAnsi="仿宋_GB2312" w:eastAsia="仿宋_GB2312" w:cs="仿宋_GB2312"/>
          <w:color w:val="auto"/>
          <w:sz w:val="32"/>
          <w:szCs w:val="32"/>
          <w:lang w:val="en-US" w:eastAsia="zh-CN"/>
        </w:rPr>
        <w:t xml:space="preserve">陈如源  </w:t>
      </w:r>
      <w:r>
        <w:rPr>
          <w:rFonts w:hint="eastAsia" w:ascii="仿宋_GB2312" w:hAnsi="仿宋_GB2312" w:eastAsia="仿宋_GB2312" w:cs="仿宋_GB2312"/>
          <w:sz w:val="32"/>
          <w:szCs w:val="32"/>
          <w:lang w:val="en-US" w:eastAsia="zh-CN"/>
        </w:rPr>
        <w:t>县市场监管局</w:t>
      </w:r>
      <w:r>
        <w:rPr>
          <w:rFonts w:hint="eastAsia" w:ascii="仿宋_GB2312" w:hAnsi="仿宋_GB2312" w:eastAsia="仿宋_GB2312" w:cs="仿宋_GB2312"/>
          <w:color w:val="auto"/>
          <w:sz w:val="32"/>
          <w:szCs w:val="32"/>
          <w:lang w:val="en-US" w:eastAsia="zh-CN"/>
        </w:rPr>
        <w:t>副局长</w:t>
      </w:r>
    </w:p>
    <w:p w14:paraId="5FB156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FF"/>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余东林  县住建局副局长</w:t>
      </w:r>
    </w:p>
    <w:p w14:paraId="222D22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吴德胜  县自然资源局副局长</w:t>
      </w:r>
    </w:p>
    <w:p w14:paraId="468CE3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李小武  县科工局副局长</w:t>
      </w:r>
    </w:p>
    <w:p w14:paraId="4C35FF04">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林浩声  县政数局副局长</w:t>
      </w:r>
    </w:p>
    <w:p w14:paraId="4840E33C">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陈银友  县发改局总经济师</w:t>
      </w:r>
    </w:p>
    <w:p w14:paraId="2E6EF4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刘俊峰  县税务局四级高级主办</w:t>
      </w:r>
    </w:p>
    <w:p w14:paraId="410B384E">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张芳胜  县供电局总经理助理</w:t>
      </w:r>
    </w:p>
    <w:p w14:paraId="2086F13E">
      <w:pPr>
        <w:keepNext w:val="0"/>
        <w:keepLines w:val="0"/>
        <w:pageBreakBefore w:val="0"/>
        <w:widowControl w:val="0"/>
        <w:kinsoku/>
        <w:wordWrap/>
        <w:overflowPunct/>
        <w:topLinePunct w:val="0"/>
        <w:autoSpaceDE/>
        <w:autoSpaceDN/>
        <w:bidi w:val="0"/>
        <w:adjustRightInd/>
        <w:snapToGrid/>
        <w:spacing w:line="560" w:lineRule="exact"/>
        <w:ind w:firstLine="1760" w:firstLineChars="55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陈朝云  县政府办四级主任科员</w:t>
      </w:r>
    </w:p>
    <w:p w14:paraId="6D9FD52E">
      <w:pPr>
        <w:keepNext w:val="0"/>
        <w:keepLines w:val="0"/>
        <w:pageBreakBefore w:val="0"/>
        <w:widowControl w:val="0"/>
        <w:kinsoku/>
        <w:wordWrap/>
        <w:overflowPunct/>
        <w:topLinePunct w:val="0"/>
        <w:autoSpaceDE/>
        <w:autoSpaceDN/>
        <w:bidi w:val="0"/>
        <w:adjustRightInd/>
        <w:snapToGrid/>
        <w:spacing w:line="560" w:lineRule="exact"/>
        <w:ind w:firstLine="63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陈腾营  海城海关综合业务科科长       </w:t>
      </w:r>
    </w:p>
    <w:p w14:paraId="5CB39D9F">
      <w:pPr>
        <w:keepNext w:val="0"/>
        <w:keepLines w:val="0"/>
        <w:pageBreakBefore w:val="0"/>
        <w:widowControl w:val="0"/>
        <w:kinsoku/>
        <w:wordWrap/>
        <w:overflowPunct/>
        <w:topLinePunct w:val="0"/>
        <w:autoSpaceDE/>
        <w:autoSpaceDN/>
        <w:bidi w:val="0"/>
        <w:adjustRightInd/>
        <w:snapToGrid/>
        <w:spacing w:line="560" w:lineRule="exact"/>
        <w:ind w:left="3198" w:leftChars="304" w:hanging="2560" w:hangingChars="8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成  员：</w:t>
      </w:r>
      <w:r>
        <w:rPr>
          <w:rFonts w:hint="eastAsia" w:ascii="仿宋_GB2312" w:hAnsi="仿宋_GB2312" w:eastAsia="仿宋_GB2312" w:cs="仿宋_GB2312"/>
          <w:sz w:val="32"/>
          <w:szCs w:val="32"/>
          <w:lang w:val="en-US" w:eastAsia="zh-CN"/>
        </w:rPr>
        <w:t>敖  超  县市场监管局</w:t>
      </w:r>
      <w:r>
        <w:rPr>
          <w:rFonts w:hint="eastAsia" w:ascii="仿宋_GB2312" w:hAnsi="仿宋_GB2312" w:eastAsia="仿宋_GB2312" w:cs="仿宋_GB2312"/>
          <w:sz w:val="32"/>
          <w:szCs w:val="32"/>
          <w:lang w:val="zh-CN" w:eastAsia="zh-CN"/>
        </w:rPr>
        <w:t>行政许可与登记注册股</w:t>
      </w:r>
      <w:r>
        <w:rPr>
          <w:rFonts w:hint="eastAsia" w:ascii="仿宋_GB2312" w:hAnsi="仿宋_GB2312" w:eastAsia="仿宋_GB2312" w:cs="仿宋_GB2312"/>
          <w:sz w:val="32"/>
          <w:szCs w:val="32"/>
          <w:lang w:val="en-US" w:eastAsia="zh-CN"/>
        </w:rPr>
        <w:t>股长</w:t>
      </w:r>
    </w:p>
    <w:p w14:paraId="56783D7E">
      <w:pPr>
        <w:keepNext w:val="0"/>
        <w:keepLines w:val="0"/>
        <w:pageBreakBefore w:val="0"/>
        <w:widowControl w:val="0"/>
        <w:kinsoku/>
        <w:wordWrap/>
        <w:overflowPunct/>
        <w:topLinePunct w:val="0"/>
        <w:autoSpaceDE/>
        <w:autoSpaceDN/>
        <w:bidi w:val="0"/>
        <w:adjustRightInd/>
        <w:snapToGrid/>
        <w:spacing w:line="560" w:lineRule="exact"/>
        <w:ind w:left="3195" w:leftChars="912" w:hanging="1280" w:hangingChars="4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kern w:val="2"/>
          <w:sz w:val="32"/>
          <w:szCs w:val="32"/>
          <w:lang w:val="en-US" w:eastAsia="zh-CN" w:bidi="ar-SA"/>
        </w:rPr>
        <w:t xml:space="preserve">吴文雅  </w:t>
      </w:r>
      <w:r>
        <w:rPr>
          <w:rFonts w:hint="eastAsia" w:ascii="仿宋_GB2312" w:hAnsi="仿宋_GB2312" w:eastAsia="仿宋_GB2312" w:cs="仿宋_GB2312"/>
          <w:sz w:val="32"/>
          <w:szCs w:val="32"/>
          <w:lang w:val="en-US" w:eastAsia="zh-CN"/>
        </w:rPr>
        <w:t>县市场监管局信用风险监管</w:t>
      </w:r>
      <w:r>
        <w:rPr>
          <w:rFonts w:hint="eastAsia" w:ascii="仿宋_GB2312" w:hAnsi="仿宋_GB2312" w:eastAsia="仿宋_GB2312" w:cs="仿宋_GB2312"/>
          <w:sz w:val="32"/>
          <w:szCs w:val="32"/>
          <w:lang w:val="zh-CN" w:eastAsia="zh-CN"/>
        </w:rPr>
        <w:t>股</w:t>
      </w:r>
      <w:r>
        <w:rPr>
          <w:rFonts w:hint="eastAsia" w:ascii="仿宋_GB2312" w:hAnsi="仿宋_GB2312" w:eastAsia="仿宋_GB2312" w:cs="仿宋_GB2312"/>
          <w:sz w:val="32"/>
          <w:szCs w:val="32"/>
          <w:lang w:val="en-US" w:eastAsia="zh-CN"/>
        </w:rPr>
        <w:t>副股长</w:t>
      </w:r>
    </w:p>
    <w:p w14:paraId="36D01FBC">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吴成国  </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住建局</w:t>
      </w:r>
      <w:r>
        <w:rPr>
          <w:rFonts w:hint="eastAsia" w:ascii="仿宋_GB2312" w:hAnsi="仿宋_GB2312" w:eastAsia="仿宋_GB2312" w:cs="仿宋_GB2312"/>
          <w:color w:val="auto"/>
          <w:sz w:val="32"/>
          <w:szCs w:val="32"/>
          <w:lang w:eastAsia="zh-CN"/>
        </w:rPr>
        <w:t>行政审批</w:t>
      </w:r>
      <w:r>
        <w:rPr>
          <w:rFonts w:hint="eastAsia" w:ascii="仿宋_GB2312" w:hAnsi="仿宋_GB2312" w:eastAsia="仿宋_GB2312" w:cs="仿宋_GB2312"/>
          <w:color w:val="auto"/>
          <w:sz w:val="32"/>
          <w:szCs w:val="32"/>
          <w:lang w:val="en-US" w:eastAsia="zh-CN"/>
        </w:rPr>
        <w:t>股股</w:t>
      </w:r>
      <w:r>
        <w:rPr>
          <w:rFonts w:hint="eastAsia" w:ascii="仿宋_GB2312" w:hAnsi="仿宋_GB2312" w:eastAsia="仿宋_GB2312" w:cs="仿宋_GB2312"/>
          <w:color w:val="auto"/>
          <w:sz w:val="32"/>
          <w:szCs w:val="32"/>
          <w:lang w:eastAsia="zh-CN"/>
        </w:rPr>
        <w:t>长</w:t>
      </w:r>
    </w:p>
    <w:p w14:paraId="20B30C85">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林宗奇</w:t>
      </w:r>
      <w:r>
        <w:rPr>
          <w:rFonts w:hint="eastAsia" w:ascii="仿宋_GB2312" w:hAnsi="仿宋_GB2312" w:eastAsia="仿宋_GB2312" w:cs="仿宋_GB2312"/>
          <w:color w:val="auto"/>
          <w:kern w:val="2"/>
          <w:sz w:val="32"/>
          <w:szCs w:val="32"/>
          <w:lang w:val="en-US" w:eastAsia="zh-CN" w:bidi="ar-SA"/>
        </w:rPr>
        <w:t xml:space="preserve">  县住建局城乡建设和市政管理股股长</w:t>
      </w:r>
    </w:p>
    <w:p w14:paraId="1F92666A">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default" w:ascii="仿宋_GB2312" w:hAnsi="仿宋_GB2312" w:eastAsia="仿宋_GB2312" w:cs="仿宋_GB2312"/>
          <w:color w:val="FFC000"/>
          <w:kern w:val="2"/>
          <w:sz w:val="32"/>
          <w:szCs w:val="32"/>
          <w:u w:color="000000" w:themeColor="text1"/>
          <w:lang w:val="en-US" w:eastAsia="zh-CN" w:bidi="ar-SA"/>
        </w:rPr>
      </w:pPr>
      <w:r>
        <w:rPr>
          <w:rFonts w:hint="eastAsia" w:ascii="仿宋_GB2312" w:hAnsi="仿宋_GB2312" w:eastAsia="仿宋_GB2312" w:cs="仿宋_GB2312"/>
          <w:color w:val="auto"/>
          <w:kern w:val="2"/>
          <w:sz w:val="32"/>
          <w:szCs w:val="32"/>
          <w:lang w:val="en-US" w:eastAsia="zh-CN" w:bidi="ar-SA"/>
        </w:rPr>
        <w:t>林永极  县住建局燃气所所长</w:t>
      </w:r>
    </w:p>
    <w:p w14:paraId="356A8186">
      <w:pPr>
        <w:keepNext w:val="0"/>
        <w:keepLines w:val="0"/>
        <w:pageBreakBefore w:val="0"/>
        <w:widowControl w:val="0"/>
        <w:kinsoku/>
        <w:wordWrap/>
        <w:overflowPunct/>
        <w:topLinePunct w:val="0"/>
        <w:autoSpaceDE/>
        <w:autoSpaceDN/>
        <w:bidi w:val="0"/>
        <w:adjustRightInd/>
        <w:snapToGrid/>
        <w:spacing w:line="560" w:lineRule="exact"/>
        <w:ind w:left="3195" w:leftChars="912" w:hanging="1280" w:hangingChars="4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彭宇波  县自然资源局调查监测与确权登记股股长</w:t>
      </w:r>
    </w:p>
    <w:p w14:paraId="067135BA">
      <w:pPr>
        <w:ind w:firstLine="1920" w:firstLineChars="6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黄小健  县发改局固定资产投资股股长</w:t>
      </w:r>
    </w:p>
    <w:p w14:paraId="345827DA">
      <w:pPr>
        <w:ind w:firstLine="1920" w:firstLineChars="6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陈寒星  县科工局外资管理股股长</w:t>
      </w:r>
    </w:p>
    <w:p w14:paraId="45119AA1">
      <w:pPr>
        <w:ind w:firstLine="1920" w:firstLineChars="6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杨汉文  县科工局口岸工作股股长</w:t>
      </w:r>
    </w:p>
    <w:p w14:paraId="56B936B1">
      <w:pPr>
        <w:ind w:firstLine="1920" w:firstLineChars="6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吴文生  县税务局纳税服务股股长</w:t>
      </w:r>
    </w:p>
    <w:p w14:paraId="46FC2D07">
      <w:pPr>
        <w:ind w:firstLine="1920" w:firstLineChars="6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黄一峰  县供电局供电服务中心经理</w:t>
      </w:r>
    </w:p>
    <w:p w14:paraId="1C40ECF0">
      <w:pPr>
        <w:keepNext w:val="0"/>
        <w:keepLines w:val="0"/>
        <w:pageBreakBefore w:val="0"/>
        <w:widowControl w:val="0"/>
        <w:kinsoku/>
        <w:wordWrap/>
        <w:overflowPunct/>
        <w:topLinePunct w:val="0"/>
        <w:autoSpaceDE/>
        <w:autoSpaceDN/>
        <w:bidi w:val="0"/>
        <w:adjustRightInd w:val="0"/>
        <w:snapToGrid w:val="0"/>
        <w:spacing w:line="560" w:lineRule="exact"/>
        <w:ind w:firstLine="1920" w:firstLineChars="60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方琳琳  县政府办金融股办事员</w:t>
      </w:r>
    </w:p>
    <w:p w14:paraId="29E2234A">
      <w:pPr>
        <w:ind w:firstLine="1920" w:firstLineChars="6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陈哲明  海城海关二级主办</w:t>
      </w:r>
    </w:p>
    <w:p w14:paraId="0D32C63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FF"/>
          <w:sz w:val="32"/>
          <w:szCs w:val="32"/>
          <w:lang w:eastAsia="zh-CN"/>
        </w:rPr>
      </w:pPr>
      <w:r>
        <w:rPr>
          <w:rFonts w:hint="eastAsia" w:ascii="仿宋_GB2312" w:hAnsi="仿宋_GB2312" w:eastAsia="仿宋_GB2312" w:cs="仿宋_GB2312"/>
          <w:b/>
          <w:bCs/>
          <w:color w:val="auto"/>
          <w:sz w:val="32"/>
          <w:szCs w:val="32"/>
          <w:lang w:eastAsia="zh-CN"/>
        </w:rPr>
        <w:t>工作职责：</w:t>
      </w:r>
      <w:r>
        <w:rPr>
          <w:rFonts w:hint="eastAsia" w:ascii="仿宋_GB2312" w:hAnsi="仿宋_GB2312" w:eastAsia="仿宋_GB2312" w:cs="仿宋_GB2312"/>
          <w:b w:val="0"/>
          <w:bCs w:val="0"/>
          <w:color w:val="auto"/>
          <w:sz w:val="32"/>
          <w:szCs w:val="32"/>
          <w:lang w:eastAsia="zh-CN"/>
        </w:rPr>
        <w:t>对标世行营商环境评价体系，以市场主体需求为导向，深化“证照分离”改革，打造市场主体全生命周期优质服务，推进工程建设项目审批、不动产登记制度、企业投资项目落地、纳税、获得用水用气、获得信贷、贸易通关便利化、极优化，不断营造更加开放的投资环境，着力推动公平、开放、可预期的市场环境建设进入新的阶段，充分激活广大市场主体活力</w:t>
      </w:r>
      <w:r>
        <w:rPr>
          <w:rFonts w:hint="eastAsia" w:ascii="仿宋_GB2312" w:hAnsi="仿宋_GB2312" w:eastAsia="仿宋_GB2312" w:cs="仿宋_GB2312"/>
          <w:b w:val="0"/>
          <w:bCs w:val="0"/>
          <w:kern w:val="2"/>
          <w:sz w:val="32"/>
          <w:szCs w:val="32"/>
          <w:lang w:val="en-US" w:eastAsia="zh-CN" w:bidi="ar-SA"/>
        </w:rPr>
        <w:t>。</w:t>
      </w:r>
    </w:p>
    <w:p w14:paraId="6F7BAE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sz w:val="32"/>
          <w:szCs w:val="32"/>
          <w:lang w:val="en-US" w:eastAsia="zh-CN"/>
        </w:rPr>
      </w:pPr>
      <w:r>
        <w:rPr>
          <w:rFonts w:hint="eastAsia" w:ascii="仿宋_GB2312" w:hAnsi="仿宋_GB2312" w:eastAsia="仿宋_GB2312" w:cs="仿宋_GB2312"/>
          <w:b w:val="0"/>
          <w:bCs w:val="0"/>
          <w:color w:val="auto"/>
          <w:sz w:val="32"/>
          <w:szCs w:val="32"/>
          <w:lang w:val="en-US" w:eastAsia="zh-CN"/>
        </w:rPr>
        <w:t>联络员：</w:t>
      </w:r>
      <w:r>
        <w:rPr>
          <w:rFonts w:hint="eastAsia" w:ascii="仿宋_GB2312" w:hAnsi="仿宋_GB2312" w:eastAsia="仿宋_GB2312" w:cs="仿宋_GB2312"/>
          <w:kern w:val="2"/>
          <w:sz w:val="32"/>
          <w:szCs w:val="32"/>
          <w:lang w:val="en-US" w:eastAsia="zh-CN" w:bidi="ar-SA"/>
        </w:rPr>
        <w:t xml:space="preserve">吴文雅  </w:t>
      </w:r>
      <w:r>
        <w:rPr>
          <w:rFonts w:hint="eastAsia" w:ascii="仿宋_GB2312" w:hAnsi="仿宋_GB2312" w:eastAsia="仿宋_GB2312" w:cs="仿宋_GB2312"/>
          <w:sz w:val="32"/>
          <w:szCs w:val="32"/>
          <w:lang w:val="en-US" w:eastAsia="zh-CN"/>
        </w:rPr>
        <w:t>县市场监管局信用风险监管</w:t>
      </w:r>
      <w:r>
        <w:rPr>
          <w:rFonts w:hint="eastAsia" w:ascii="仿宋_GB2312" w:hAnsi="仿宋_GB2312" w:eastAsia="仿宋_GB2312" w:cs="仿宋_GB2312"/>
          <w:sz w:val="32"/>
          <w:szCs w:val="32"/>
          <w:lang w:val="zh-CN" w:eastAsia="zh-CN"/>
        </w:rPr>
        <w:t>股</w:t>
      </w:r>
      <w:r>
        <w:rPr>
          <w:rFonts w:hint="eastAsia" w:ascii="仿宋_GB2312" w:hAnsi="仿宋_GB2312" w:eastAsia="仿宋_GB2312" w:cs="仿宋_GB2312"/>
          <w:sz w:val="32"/>
          <w:szCs w:val="32"/>
          <w:lang w:val="en-US" w:eastAsia="zh-CN"/>
        </w:rPr>
        <w:t>副股长</w:t>
      </w:r>
    </w:p>
    <w:p w14:paraId="3215E8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（三）打造一流政务环境工作专班</w:t>
      </w:r>
    </w:p>
    <w:p w14:paraId="6DB6B809">
      <w:pPr>
        <w:keepNext w:val="0"/>
        <w:keepLines w:val="0"/>
        <w:pageBreakBefore w:val="0"/>
        <w:widowControl w:val="0"/>
        <w:kinsoku/>
        <w:wordWrap/>
        <w:overflowPunct/>
        <w:topLinePunct w:val="0"/>
        <w:autoSpaceDE/>
        <w:autoSpaceDN/>
        <w:bidi w:val="0"/>
        <w:adjustRightInd/>
        <w:snapToGrid/>
        <w:spacing w:line="560" w:lineRule="exact"/>
        <w:ind w:firstLine="63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eastAsia="zh-CN"/>
        </w:rPr>
        <w:t>组  长：</w:t>
      </w:r>
      <w:r>
        <w:rPr>
          <w:rFonts w:hint="eastAsia" w:ascii="仿宋_GB2312" w:hAnsi="仿宋_GB2312" w:eastAsia="仿宋_GB2312" w:cs="仿宋_GB2312"/>
          <w:sz w:val="32"/>
          <w:szCs w:val="32"/>
          <w:highlight w:val="none"/>
          <w:lang w:val="en-US" w:eastAsia="zh-CN"/>
        </w:rPr>
        <w:t>邱诗光  县政数局局长</w:t>
      </w:r>
    </w:p>
    <w:p w14:paraId="6EB2B6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副组长：</w:t>
      </w:r>
      <w:r>
        <w:rPr>
          <w:rFonts w:hint="eastAsia" w:ascii="仿宋_GB2312" w:hAnsi="仿宋_GB2312" w:eastAsia="仿宋_GB2312" w:cs="仿宋_GB2312"/>
          <w:sz w:val="32"/>
          <w:szCs w:val="32"/>
          <w:highlight w:val="none"/>
          <w:lang w:val="en-US" w:eastAsia="zh-CN"/>
        </w:rPr>
        <w:t>林浩声  县政数局副局长</w:t>
      </w:r>
    </w:p>
    <w:p w14:paraId="63DE98F9">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李小武  县科工局副局长</w:t>
      </w:r>
    </w:p>
    <w:p w14:paraId="1332C950">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FF0000"/>
          <w:sz w:val="32"/>
          <w:szCs w:val="32"/>
          <w:highlight w:val="none"/>
          <w:lang w:val="en-US" w:eastAsia="zh-CN"/>
        </w:rPr>
        <w:t>江光武</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县投资促进中心副主任</w:t>
      </w:r>
    </w:p>
    <w:p w14:paraId="2A435DAF">
      <w:pPr>
        <w:keepNext w:val="0"/>
        <w:keepLines w:val="0"/>
        <w:pageBreakBefore w:val="0"/>
        <w:widowControl w:val="0"/>
        <w:kinsoku/>
        <w:wordWrap/>
        <w:overflowPunct/>
        <w:topLinePunct w:val="0"/>
        <w:autoSpaceDE/>
        <w:autoSpaceDN/>
        <w:bidi w:val="0"/>
        <w:adjustRightInd/>
        <w:snapToGrid/>
        <w:spacing w:line="560" w:lineRule="exact"/>
        <w:ind w:firstLine="63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成  员：黄映辉  县政数局政务服务管理股股长</w:t>
      </w:r>
    </w:p>
    <w:p w14:paraId="17CD6EAC">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吴泽铭  县政数局数据资源管理股股长</w:t>
      </w:r>
    </w:p>
    <w:p w14:paraId="6681FC19">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施伟霖  县政数局办公室副主任</w:t>
      </w:r>
    </w:p>
    <w:p w14:paraId="7B287FDF">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邹心琦  县政数局数据资源管理股副股长</w:t>
      </w:r>
    </w:p>
    <w:p w14:paraId="49025C31">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余晓华  县科</w:t>
      </w:r>
      <w:r>
        <w:rPr>
          <w:rFonts w:hint="eastAsia" w:ascii="仿宋_GB2312" w:hAnsi="仿宋_GB2312" w:eastAsia="仿宋_GB2312" w:cs="仿宋_GB2312"/>
          <w:sz w:val="32"/>
          <w:szCs w:val="32"/>
          <w:highlight w:val="none"/>
          <w:lang w:eastAsia="zh-CN"/>
        </w:rPr>
        <w:t>工局</w:t>
      </w:r>
      <w:r>
        <w:rPr>
          <w:rFonts w:hint="eastAsia" w:ascii="仿宋_GB2312" w:hAnsi="仿宋_GB2312" w:eastAsia="仿宋_GB2312" w:cs="仿宋_GB2312"/>
          <w:color w:val="auto"/>
          <w:sz w:val="32"/>
          <w:szCs w:val="32"/>
          <w:lang w:val="en-US" w:eastAsia="zh-CN"/>
        </w:rPr>
        <w:t>综合法规股股长</w:t>
      </w:r>
    </w:p>
    <w:p w14:paraId="37F6F069">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highlight w:val="none"/>
          <w:lang w:val="en-US" w:eastAsia="zh-CN"/>
        </w:rPr>
        <w:t>钟锦铨  县投资促进中心项目服务部部长</w:t>
      </w:r>
    </w:p>
    <w:p w14:paraId="448A5A4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工作职责：</w:t>
      </w:r>
      <w:r>
        <w:rPr>
          <w:rFonts w:hint="eastAsia" w:ascii="仿宋_GB2312" w:hAnsi="仿宋_GB2312" w:eastAsia="仿宋_GB2312" w:cs="仿宋_GB2312"/>
          <w:kern w:val="2"/>
          <w:sz w:val="32"/>
          <w:szCs w:val="32"/>
          <w:lang w:val="en-US" w:eastAsia="zh-CN" w:bidi="ar-SA"/>
        </w:rPr>
        <w:t>深化“六个通办”，实现政务服务向“快办”“好办”转变，创新投资项目全代办服务体系，推动企业开办、项目立项、建设许可、施工许可、竣工验收等全过程数字化全代办服务，探索政务服务“全县通办”。深化“善美店小二”应用建设，加快公共资源交易便利化，持续推进“云、网、数”一体化建设，推进政府数字化转型，健全政企互动沟通机制，推动投诉闭环管理。</w:t>
      </w:r>
    </w:p>
    <w:p w14:paraId="7A0518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sz w:val="32"/>
          <w:szCs w:val="32"/>
          <w:lang w:val="en-US" w:eastAsia="zh-CN"/>
        </w:rPr>
      </w:pPr>
      <w:r>
        <w:rPr>
          <w:rFonts w:hint="eastAsia" w:ascii="仿宋_GB2312" w:hAnsi="仿宋_GB2312" w:eastAsia="仿宋_GB2312" w:cs="仿宋_GB2312"/>
          <w:b w:val="0"/>
          <w:bCs w:val="0"/>
          <w:sz w:val="32"/>
          <w:szCs w:val="32"/>
          <w:lang w:val="en-US" w:eastAsia="zh-CN"/>
        </w:rPr>
        <w:t>联络员：</w:t>
      </w:r>
      <w:r>
        <w:rPr>
          <w:rFonts w:hint="eastAsia" w:ascii="仿宋_GB2312" w:hAnsi="仿宋_GB2312" w:eastAsia="仿宋_GB2312" w:cs="仿宋_GB2312"/>
          <w:sz w:val="32"/>
          <w:szCs w:val="32"/>
          <w:lang w:val="en-US" w:eastAsia="zh-CN"/>
        </w:rPr>
        <w:t>施伟霖  县政数局办公室副主任</w:t>
      </w:r>
    </w:p>
    <w:p w14:paraId="37B2F7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（四）打造一流法治环境工作专班</w:t>
      </w:r>
    </w:p>
    <w:p w14:paraId="60CF1C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val="en-US" w:eastAsia="zh-CN"/>
        </w:rPr>
        <w:t xml:space="preserve">刘诗章  </w:t>
      </w:r>
      <w:r>
        <w:rPr>
          <w:rFonts w:hint="eastAsia" w:ascii="仿宋_GB2312" w:hAnsi="仿宋_GB2312" w:eastAsia="仿宋_GB2312" w:cs="仿宋_GB2312"/>
          <w:sz w:val="32"/>
          <w:szCs w:val="32"/>
          <w:lang w:eastAsia="zh-CN"/>
        </w:rPr>
        <w:t>县司法局局长</w:t>
      </w:r>
    </w:p>
    <w:p w14:paraId="6C52FC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副组长：</w:t>
      </w:r>
      <w:r>
        <w:rPr>
          <w:rFonts w:hint="eastAsia" w:ascii="仿宋_GB2312" w:hAnsi="仿宋_GB2312" w:eastAsia="仿宋_GB2312" w:cs="仿宋_GB2312"/>
          <w:color w:val="auto"/>
          <w:sz w:val="32"/>
          <w:szCs w:val="32"/>
          <w:lang w:val="en-US" w:eastAsia="zh-CN"/>
        </w:rPr>
        <w:t>黄文旭</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县司法局</w:t>
      </w:r>
      <w:r>
        <w:rPr>
          <w:rFonts w:hint="eastAsia" w:ascii="仿宋_GB2312" w:hAnsi="仿宋_GB2312" w:eastAsia="仿宋_GB2312" w:cs="仿宋_GB2312"/>
          <w:sz w:val="32"/>
          <w:szCs w:val="32"/>
          <w:highlight w:val="none"/>
          <w:lang w:val="en-US" w:eastAsia="zh-CN"/>
        </w:rPr>
        <w:t>党组书记</w:t>
      </w:r>
    </w:p>
    <w:p w14:paraId="55D24180">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陈荣升  </w:t>
      </w:r>
      <w:r>
        <w:rPr>
          <w:rFonts w:hint="eastAsia" w:ascii="仿宋_GB2312" w:hAnsi="仿宋_GB2312" w:eastAsia="仿宋_GB2312" w:cs="仿宋_GB2312"/>
          <w:sz w:val="32"/>
          <w:szCs w:val="32"/>
          <w:lang w:eastAsia="zh-CN"/>
        </w:rPr>
        <w:t>县人大常委会</w:t>
      </w:r>
      <w:r>
        <w:rPr>
          <w:rFonts w:hint="eastAsia" w:ascii="仿宋_GB2312" w:hAnsi="仿宋_GB2312" w:eastAsia="仿宋_GB2312" w:cs="仿宋_GB2312"/>
          <w:sz w:val="32"/>
          <w:szCs w:val="32"/>
          <w:lang w:val="en-US" w:eastAsia="zh-CN"/>
        </w:rPr>
        <w:t>委员</w:t>
      </w:r>
    </w:p>
    <w:p w14:paraId="6DC41C56">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陈朝伟  </w:t>
      </w:r>
      <w:r>
        <w:rPr>
          <w:rFonts w:hint="eastAsia" w:ascii="仿宋_GB2312" w:hAnsi="仿宋_GB2312" w:eastAsia="仿宋_GB2312" w:cs="仿宋_GB2312"/>
          <w:sz w:val="32"/>
          <w:szCs w:val="32"/>
          <w:lang w:eastAsia="zh-CN"/>
        </w:rPr>
        <w:t>县法院副院长</w:t>
      </w:r>
    </w:p>
    <w:p w14:paraId="5BF9A5CB">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 xml:space="preserve">罗小雄  </w:t>
      </w:r>
      <w:r>
        <w:rPr>
          <w:rFonts w:hint="eastAsia" w:ascii="仿宋_GB2312" w:hAnsi="仿宋_GB2312" w:eastAsia="仿宋_GB2312" w:cs="仿宋_GB2312"/>
          <w:kern w:val="2"/>
          <w:sz w:val="32"/>
          <w:szCs w:val="32"/>
          <w:lang w:val="en-US" w:eastAsia="zh-CN" w:bidi="ar-SA"/>
        </w:rPr>
        <w:t>县检察院副检察长</w:t>
      </w:r>
    </w:p>
    <w:p w14:paraId="426513E7">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陈银友  </w:t>
      </w:r>
      <w:r>
        <w:rPr>
          <w:rFonts w:hint="eastAsia" w:ascii="仿宋_GB2312" w:hAnsi="仿宋_GB2312" w:eastAsia="仿宋_GB2312" w:cs="仿宋_GB2312"/>
          <w:sz w:val="32"/>
          <w:szCs w:val="32"/>
          <w:lang w:eastAsia="zh-CN"/>
        </w:rPr>
        <w:t>县发改局</w:t>
      </w:r>
      <w:r>
        <w:rPr>
          <w:rFonts w:hint="eastAsia" w:ascii="仿宋_GB2312" w:hAnsi="仿宋_GB2312" w:eastAsia="仿宋_GB2312" w:cs="仿宋_GB2312"/>
          <w:sz w:val="32"/>
          <w:szCs w:val="32"/>
          <w:lang w:val="en-US" w:eastAsia="zh-CN"/>
        </w:rPr>
        <w:t>总经济师</w:t>
      </w:r>
    </w:p>
    <w:p w14:paraId="11891DD3">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吴仁声  县市场监管局党组成员</w:t>
      </w:r>
    </w:p>
    <w:p w14:paraId="5FA19DB0">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翁金荣</w:t>
      </w:r>
      <w:r>
        <w:rPr>
          <w:rFonts w:hint="eastAsia" w:ascii="仿宋_GB2312" w:hAnsi="仿宋_GB2312" w:eastAsia="仿宋_GB2312" w:cs="仿宋_GB2312"/>
          <w:kern w:val="2"/>
          <w:sz w:val="32"/>
          <w:szCs w:val="32"/>
          <w:lang w:val="en-US" w:eastAsia="zh-CN" w:bidi="ar-SA"/>
        </w:rPr>
        <w:t xml:space="preserve">  县公安局副局长</w:t>
      </w:r>
    </w:p>
    <w:p w14:paraId="2F59CD1F">
      <w:pPr>
        <w:keepNext w:val="0"/>
        <w:keepLines w:val="0"/>
        <w:pageBreakBefore w:val="0"/>
        <w:widowControl w:val="0"/>
        <w:kinsoku/>
        <w:wordWrap/>
        <w:overflowPunct/>
        <w:topLinePunct w:val="0"/>
        <w:autoSpaceDE/>
        <w:autoSpaceDN/>
        <w:bidi w:val="0"/>
        <w:adjustRightInd/>
        <w:snapToGrid/>
        <w:spacing w:line="560" w:lineRule="exact"/>
        <w:ind w:left="4478" w:leftChars="304" w:hanging="3840" w:hangingChars="1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员：</w:t>
      </w:r>
      <w:r>
        <w:rPr>
          <w:rFonts w:hint="eastAsia" w:ascii="仿宋_GB2312" w:hAnsi="仿宋_GB2312" w:eastAsia="仿宋_GB2312" w:cs="仿宋_GB2312"/>
          <w:sz w:val="32"/>
          <w:szCs w:val="32"/>
          <w:lang w:val="en-US" w:eastAsia="zh-CN"/>
        </w:rPr>
        <w:t>黎水星  县司法局办公室副主任</w:t>
      </w:r>
    </w:p>
    <w:p w14:paraId="21D0800C">
      <w:pPr>
        <w:keepNext w:val="0"/>
        <w:keepLines w:val="0"/>
        <w:pageBreakBefore w:val="0"/>
        <w:widowControl w:val="0"/>
        <w:kinsoku/>
        <w:wordWrap/>
        <w:overflowPunct/>
        <w:topLinePunct w:val="0"/>
        <w:autoSpaceDE/>
        <w:autoSpaceDN/>
        <w:bidi w:val="0"/>
        <w:adjustRightInd/>
        <w:snapToGrid/>
        <w:spacing w:line="560" w:lineRule="exact"/>
        <w:ind w:left="4475" w:leftChars="912" w:hanging="2560" w:hangingChars="8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 xml:space="preserve">林伟民  </w:t>
      </w:r>
      <w:r>
        <w:rPr>
          <w:rFonts w:hint="eastAsia" w:ascii="仿宋_GB2312" w:hAnsi="仿宋_GB2312" w:eastAsia="仿宋_GB2312" w:cs="仿宋_GB2312"/>
          <w:kern w:val="2"/>
          <w:sz w:val="32"/>
          <w:szCs w:val="32"/>
          <w:lang w:val="en-US" w:eastAsia="zh-CN" w:bidi="ar-SA"/>
        </w:rPr>
        <w:t>县检察院第四检察部主任</w:t>
      </w:r>
    </w:p>
    <w:p w14:paraId="567864E4">
      <w:pPr>
        <w:keepNext w:val="0"/>
        <w:keepLines w:val="0"/>
        <w:pageBreakBefore w:val="0"/>
        <w:widowControl w:val="0"/>
        <w:kinsoku/>
        <w:wordWrap/>
        <w:overflowPunct/>
        <w:topLinePunct w:val="0"/>
        <w:autoSpaceDE/>
        <w:autoSpaceDN/>
        <w:bidi w:val="0"/>
        <w:adjustRightInd/>
        <w:snapToGrid/>
        <w:spacing w:line="560" w:lineRule="exact"/>
        <w:ind w:left="4475" w:leftChars="912" w:hanging="2560" w:hangingChars="8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谢广燕  县法院民一庭庭长</w:t>
      </w:r>
    </w:p>
    <w:p w14:paraId="07146334">
      <w:pPr>
        <w:ind w:left="3195" w:leftChars="912" w:hanging="1280" w:hangingChars="4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苏  津</w:t>
      </w:r>
      <w:r>
        <w:rPr>
          <w:rFonts w:hint="eastAsia"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sz w:val="32"/>
          <w:szCs w:val="32"/>
          <w:lang w:val="en-US" w:eastAsia="zh-CN"/>
        </w:rPr>
        <w:t>县市场监管局</w:t>
      </w:r>
      <w:r>
        <w:rPr>
          <w:rFonts w:hint="eastAsia" w:ascii="仿宋_GB2312" w:hAnsi="仿宋_GB2312" w:eastAsia="仿宋_GB2312" w:cs="仿宋_GB2312"/>
          <w:kern w:val="2"/>
          <w:sz w:val="32"/>
          <w:szCs w:val="32"/>
          <w:lang w:val="en-US" w:eastAsia="zh-CN" w:bidi="ar-SA"/>
        </w:rPr>
        <w:t>价格监督检查与反不当竞争股股长</w:t>
      </w:r>
    </w:p>
    <w:p w14:paraId="2EC41A95">
      <w:pPr>
        <w:ind w:left="3195" w:leftChars="912" w:hanging="1280" w:hangingChars="4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 xml:space="preserve">陈佩惠  </w:t>
      </w:r>
      <w:r>
        <w:rPr>
          <w:rFonts w:hint="eastAsia" w:ascii="仿宋_GB2312" w:hAnsi="仿宋_GB2312" w:eastAsia="仿宋_GB2312" w:cs="仿宋_GB2312"/>
          <w:kern w:val="2"/>
          <w:sz w:val="32"/>
          <w:szCs w:val="32"/>
          <w:lang w:val="en-US" w:eastAsia="zh-CN" w:bidi="ar-SA"/>
        </w:rPr>
        <w:t>县发展改革局体改财金和信用建设股股长</w:t>
      </w:r>
    </w:p>
    <w:p w14:paraId="44C4328F">
      <w:pPr>
        <w:ind w:firstLine="1920" w:firstLineChars="6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林广程  县公安局一级警员</w:t>
      </w:r>
    </w:p>
    <w:p w14:paraId="0136397D">
      <w:pPr>
        <w:keepNext w:val="0"/>
        <w:keepLines w:val="0"/>
        <w:pageBreakBefore w:val="0"/>
        <w:widowControl w:val="0"/>
        <w:kinsoku/>
        <w:wordWrap/>
        <w:overflowPunct/>
        <w:topLinePunct w:val="0"/>
        <w:autoSpaceDE/>
        <w:autoSpaceDN/>
        <w:bidi w:val="0"/>
        <w:adjustRightInd/>
        <w:snapToGrid/>
        <w:spacing w:line="560" w:lineRule="exact"/>
        <w:ind w:firstLine="630"/>
        <w:jc w:val="both"/>
        <w:textAlignment w:val="auto"/>
        <w:rPr>
          <w:rFonts w:hint="eastAsia" w:ascii="仿宋_GB2312" w:hAnsi="仿宋_GB2312" w:eastAsia="仿宋_GB2312" w:cs="仿宋_GB2312"/>
          <w:color w:val="0000FF"/>
          <w:sz w:val="32"/>
          <w:szCs w:val="32"/>
          <w:lang w:eastAsia="zh-CN"/>
        </w:rPr>
      </w:pPr>
      <w:r>
        <w:rPr>
          <w:rFonts w:hint="eastAsia" w:ascii="仿宋_GB2312" w:hAnsi="仿宋_GB2312" w:eastAsia="仿宋_GB2312" w:cs="仿宋_GB2312"/>
          <w:b/>
          <w:bCs/>
          <w:sz w:val="32"/>
          <w:szCs w:val="32"/>
          <w:lang w:eastAsia="zh-CN"/>
        </w:rPr>
        <w:t>工作职责：</w:t>
      </w:r>
      <w:r>
        <w:rPr>
          <w:rFonts w:hint="eastAsia" w:ascii="仿宋_GB2312" w:hAnsi="仿宋_GB2312" w:eastAsia="仿宋_GB2312" w:cs="仿宋_GB2312"/>
          <w:kern w:val="2"/>
          <w:sz w:val="32"/>
          <w:szCs w:val="32"/>
          <w:lang w:val="en-US" w:eastAsia="zh-CN" w:bidi="ar-SA"/>
        </w:rPr>
        <w:t>全面推进“无证明城市”创建</w:t>
      </w:r>
      <w:r>
        <w:rPr>
          <w:rFonts w:hint="eastAsia" w:ascii="仿宋_GB2312" w:hAnsi="仿宋_GB2312" w:eastAsia="仿宋_GB2312" w:cs="仿宋_GB2312"/>
          <w:kern w:val="2"/>
          <w:sz w:val="32"/>
          <w:szCs w:val="32"/>
          <w:lang w:val="en" w:eastAsia="zh-CN" w:bidi="ar-SA"/>
        </w:rPr>
        <w:t>,</w:t>
      </w:r>
      <w:r>
        <w:rPr>
          <w:rFonts w:hint="eastAsia" w:ascii="仿宋_GB2312" w:hAnsi="仿宋_GB2312" w:eastAsia="仿宋_GB2312" w:cs="仿宋_GB2312"/>
          <w:kern w:val="2"/>
          <w:sz w:val="32"/>
          <w:szCs w:val="32"/>
          <w:lang w:val="en-US" w:eastAsia="zh-CN" w:bidi="ar-SA"/>
        </w:rPr>
        <w:t>推动公正监管，依法保护市场主体合法权益，保障各类市场主体公平获得市场要素和公共服务、公平享受支持政策，建设诚信政府。</w:t>
      </w:r>
    </w:p>
    <w:p w14:paraId="6CD48657">
      <w:pPr>
        <w:pStyle w:val="2"/>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 xml:space="preserve">联络员：黎水星 </w:t>
      </w:r>
      <w:r>
        <w:rPr>
          <w:rFonts w:hint="eastAsia" w:ascii="仿宋_GB2312" w:hAnsi="仿宋_GB2312" w:eastAsia="仿宋_GB2312" w:cs="仿宋_GB2312"/>
          <w:b/>
          <w:bCs/>
          <w:kern w:val="2"/>
          <w:sz w:val="32"/>
          <w:szCs w:val="32"/>
          <w:lang w:val="en-US" w:eastAsia="zh-CN" w:bidi="ar-SA"/>
        </w:rPr>
        <w:t xml:space="preserve"> </w:t>
      </w:r>
      <w:r>
        <w:rPr>
          <w:rFonts w:hint="eastAsia" w:ascii="仿宋_GB2312" w:hAnsi="仿宋_GB2312" w:eastAsia="仿宋_GB2312" w:cs="仿宋_GB2312"/>
          <w:kern w:val="2"/>
          <w:sz w:val="32"/>
          <w:szCs w:val="32"/>
          <w:lang w:val="en-US" w:eastAsia="zh-CN" w:bidi="ar-SA"/>
        </w:rPr>
        <w:t>县司法局办公室副主任</w:t>
      </w:r>
    </w:p>
    <w:p w14:paraId="1275D987">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县“营商环境优化年”工作专班包括但不限于上述专班，可根据工作需要，提出设立方案，成立新的工作专班开展工作，每个专班确定联络员。</w:t>
      </w:r>
    </w:p>
    <w:p w14:paraId="546800EC">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三、其他事项</w:t>
      </w:r>
    </w:p>
    <w:p w14:paraId="5B9EDF2E">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（一）</w:t>
      </w:r>
      <w:r>
        <w:rPr>
          <w:rFonts w:hint="eastAsia" w:ascii="仿宋_GB2312" w:hAnsi="仿宋_GB2312" w:eastAsia="仿宋_GB2312" w:cs="仿宋_GB2312"/>
          <w:kern w:val="2"/>
          <w:sz w:val="32"/>
          <w:szCs w:val="32"/>
          <w:lang w:val="en-US" w:eastAsia="zh-CN" w:bidi="ar-SA"/>
        </w:rPr>
        <w:t>按照《海丰县全面优化营商环境攻坚行动议事协调工作制度》要求，指挥部、指挥部办公室、专班按照定期组织召开会议，定期听取情况汇报，研究解决问题，推动工作落实。</w:t>
      </w:r>
    </w:p>
    <w:p w14:paraId="3B90FF88">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kern w:val="2"/>
          <w:sz w:val="32"/>
          <w:szCs w:val="32"/>
          <w:lang w:val="en-US" w:eastAsia="zh-CN" w:bidi="ar-SA"/>
        </w:rPr>
        <w:t>（二）</w:t>
      </w:r>
      <w:r>
        <w:rPr>
          <w:rFonts w:hint="eastAsia" w:ascii="仿宋_GB2312" w:hAnsi="仿宋_GB2312" w:eastAsia="仿宋_GB2312" w:cs="仿宋_GB2312"/>
          <w:kern w:val="2"/>
          <w:sz w:val="32"/>
          <w:szCs w:val="32"/>
          <w:lang w:val="en-US" w:eastAsia="zh-CN" w:bidi="ar-SA"/>
        </w:rPr>
        <w:t>县指挥部办公室办公地点设在</w:t>
      </w:r>
      <w:r>
        <w:rPr>
          <w:rFonts w:hint="eastAsia" w:ascii="仿宋_GB2312" w:hAnsi="仿宋_GB2312" w:eastAsia="仿宋_GB2312" w:cs="仿宋_GB2312"/>
          <w:b w:val="0"/>
          <w:bCs w:val="0"/>
          <w:sz w:val="32"/>
          <w:szCs w:val="32"/>
          <w:lang w:val="en-US" w:eastAsia="zh-CN"/>
        </w:rPr>
        <w:t>海丰县政务服务数据管理局五楼</w:t>
      </w:r>
      <w:r>
        <w:rPr>
          <w:rFonts w:hint="eastAsia" w:ascii="仿宋_GB2312" w:hAnsi="仿宋_GB2312" w:eastAsia="仿宋_GB2312" w:cs="仿宋_GB2312"/>
          <w:kern w:val="2"/>
          <w:sz w:val="32"/>
          <w:szCs w:val="32"/>
          <w:lang w:val="en-US" w:eastAsia="zh-CN" w:bidi="ar-SA"/>
        </w:rPr>
        <w:t>，各工作专班召集地点由专班负责人根据工作需要确定，并报告县指挥部办公室。</w:t>
      </w:r>
    </w:p>
    <w:p w14:paraId="50DEF2D7">
      <w:pPr>
        <w:pStyle w:val="2"/>
        <w:rPr>
          <w:rFonts w:hint="default"/>
          <w:lang w:val="en-US" w:eastAsia="zh-CN"/>
        </w:rPr>
      </w:pPr>
    </w:p>
    <w:p w14:paraId="4D1D1AC6">
      <w:pPr>
        <w:rPr>
          <w:rFonts w:hint="default"/>
          <w:lang w:val="en-US" w:eastAsia="zh-CN"/>
        </w:rPr>
      </w:pPr>
    </w:p>
    <w:p w14:paraId="3B90BE06">
      <w:pPr>
        <w:pStyle w:val="2"/>
        <w:rPr>
          <w:rFonts w:hint="default"/>
          <w:lang w:val="en-US" w:eastAsia="zh-CN"/>
        </w:rPr>
      </w:pPr>
    </w:p>
    <w:p w14:paraId="171A7D63">
      <w:pPr>
        <w:rPr>
          <w:rFonts w:hint="default"/>
          <w:lang w:val="en-US" w:eastAsia="zh-CN"/>
        </w:rPr>
      </w:pPr>
    </w:p>
    <w:p w14:paraId="32142F1A">
      <w:pPr>
        <w:pStyle w:val="2"/>
        <w:rPr>
          <w:rFonts w:hint="default"/>
          <w:lang w:val="en-US" w:eastAsia="zh-CN"/>
        </w:rPr>
      </w:pPr>
    </w:p>
    <w:p w14:paraId="05FFF795">
      <w:pPr>
        <w:rPr>
          <w:rFonts w:hint="default"/>
          <w:lang w:val="en-US" w:eastAsia="zh-CN"/>
        </w:rPr>
      </w:pPr>
    </w:p>
    <w:p w14:paraId="32E82ACA">
      <w:pPr>
        <w:pStyle w:val="2"/>
        <w:rPr>
          <w:rFonts w:hint="default"/>
          <w:lang w:val="en-US" w:eastAsia="zh-CN"/>
        </w:rPr>
      </w:pPr>
    </w:p>
    <w:p w14:paraId="43FDE491">
      <w:pPr>
        <w:rPr>
          <w:rFonts w:hint="default"/>
          <w:lang w:val="en-US" w:eastAsia="zh-CN"/>
        </w:rPr>
      </w:pPr>
    </w:p>
    <w:p w14:paraId="76B22EDF">
      <w:pPr>
        <w:pStyle w:val="2"/>
        <w:rPr>
          <w:rFonts w:hint="default"/>
          <w:lang w:val="en-US" w:eastAsia="zh-CN"/>
        </w:rPr>
      </w:pPr>
    </w:p>
    <w:p w14:paraId="5092CB67">
      <w:pPr>
        <w:rPr>
          <w:rFonts w:hint="default"/>
          <w:lang w:val="en-US" w:eastAsia="zh-CN"/>
        </w:rPr>
      </w:pPr>
    </w:p>
    <w:p w14:paraId="01EA215E">
      <w:pPr>
        <w:pStyle w:val="2"/>
        <w:rPr>
          <w:rFonts w:hint="default"/>
          <w:lang w:val="en-US" w:eastAsia="zh-CN"/>
        </w:rPr>
      </w:pPr>
    </w:p>
    <w:p w14:paraId="3F51A5BA">
      <w:pPr>
        <w:rPr>
          <w:rFonts w:hint="default"/>
          <w:lang w:val="en-US" w:eastAsia="zh-CN"/>
        </w:rPr>
      </w:pPr>
    </w:p>
    <w:p w14:paraId="28B3B056">
      <w:pPr>
        <w:pStyle w:val="2"/>
        <w:rPr>
          <w:rFonts w:hint="default"/>
          <w:lang w:val="en-US" w:eastAsia="zh-CN"/>
        </w:rPr>
      </w:pPr>
    </w:p>
    <w:p w14:paraId="1E6A241A">
      <w:pPr>
        <w:rPr>
          <w:rFonts w:hint="default"/>
          <w:lang w:val="en-US" w:eastAsia="zh-CN"/>
        </w:rPr>
      </w:pPr>
    </w:p>
    <w:p w14:paraId="04C52D4F">
      <w:pPr>
        <w:pStyle w:val="2"/>
        <w:rPr>
          <w:rFonts w:hint="default"/>
          <w:lang w:val="en-US" w:eastAsia="zh-CN"/>
        </w:rPr>
      </w:pPr>
    </w:p>
    <w:p w14:paraId="1A4BDA5F">
      <w:pPr>
        <w:rPr>
          <w:rFonts w:hint="default"/>
          <w:lang w:val="en-US" w:eastAsia="zh-CN"/>
        </w:rPr>
      </w:pPr>
    </w:p>
    <w:p w14:paraId="7A0C602D">
      <w:pPr>
        <w:pStyle w:val="2"/>
        <w:rPr>
          <w:rFonts w:hint="default"/>
          <w:lang w:val="en-US" w:eastAsia="zh-CN"/>
        </w:rPr>
      </w:pPr>
    </w:p>
    <w:p w14:paraId="53BA8F31">
      <w:pPr>
        <w:rPr>
          <w:rFonts w:hint="default"/>
          <w:lang w:val="en-US" w:eastAsia="zh-CN"/>
        </w:rPr>
      </w:pPr>
    </w:p>
    <w:p w14:paraId="00FD3D2A">
      <w:pPr>
        <w:pStyle w:val="2"/>
        <w:rPr>
          <w:rFonts w:hint="default"/>
          <w:lang w:val="en-US" w:eastAsia="zh-CN"/>
        </w:rPr>
      </w:pPr>
    </w:p>
    <w:p w14:paraId="4A506E28">
      <w:pPr>
        <w:rPr>
          <w:rFonts w:hint="default"/>
          <w:lang w:val="en-US" w:eastAsia="zh-CN"/>
        </w:rPr>
      </w:pPr>
    </w:p>
    <w:p w14:paraId="0E073C2A">
      <w:pPr>
        <w:pStyle w:val="2"/>
        <w:rPr>
          <w:rFonts w:hint="default"/>
          <w:lang w:val="en-US" w:eastAsia="zh-CN"/>
        </w:rPr>
      </w:pPr>
    </w:p>
    <w:p w14:paraId="0D4E23A3">
      <w:pPr>
        <w:rPr>
          <w:rFonts w:hint="default"/>
          <w:lang w:val="en-US" w:eastAsia="zh-CN"/>
        </w:rPr>
      </w:pPr>
    </w:p>
    <w:p w14:paraId="589F4323">
      <w:pPr>
        <w:rPr>
          <w:rFonts w:hint="default"/>
          <w:lang w:val="en-US" w:eastAsia="zh-CN"/>
        </w:rPr>
      </w:pPr>
    </w:p>
    <w:p w14:paraId="3F1CF72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海丰</w:t>
      </w:r>
      <w:r>
        <w:rPr>
          <w:rFonts w:hint="eastAsia" w:ascii="方正小标宋简体" w:hAnsi="方正小标宋简体" w:eastAsia="方正小标宋简体" w:cs="方正小标宋简体"/>
          <w:b w:val="0"/>
          <w:bCs w:val="0"/>
          <w:sz w:val="44"/>
          <w:szCs w:val="44"/>
          <w:lang w:eastAsia="zh-CN"/>
        </w:rPr>
        <w:t>县</w:t>
      </w:r>
      <w:r>
        <w:rPr>
          <w:rFonts w:hint="eastAsia" w:ascii="方正小标宋简体" w:hAnsi="方正小标宋简体" w:eastAsia="方正小标宋简体" w:cs="方正小标宋简体"/>
          <w:b w:val="0"/>
          <w:bCs w:val="0"/>
          <w:sz w:val="44"/>
          <w:szCs w:val="44"/>
          <w:lang w:val="en-US" w:eastAsia="zh-CN"/>
        </w:rPr>
        <w:t>全面优化营商环境攻坚行动</w:t>
      </w:r>
    </w:p>
    <w:p w14:paraId="2DFC7A9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sz w:val="44"/>
          <w:szCs w:val="44"/>
        </w:rPr>
        <w:t>议事协调工作制度</w:t>
      </w:r>
    </w:p>
    <w:p w14:paraId="0CC64C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14:paraId="28E810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为保障</w:t>
      </w:r>
      <w:r>
        <w:rPr>
          <w:rFonts w:hint="eastAsia" w:ascii="仿宋_GB2312" w:hAnsi="仿宋_GB2312" w:eastAsia="仿宋_GB2312" w:cs="仿宋_GB2312"/>
          <w:color w:val="auto"/>
          <w:sz w:val="32"/>
          <w:szCs w:val="32"/>
          <w:lang w:val="en-US" w:eastAsia="zh-CN"/>
        </w:rPr>
        <w:t>海丰</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lang w:val="en-US" w:eastAsia="zh-CN"/>
        </w:rPr>
        <w:t>全面优化营商环境攻坚行动</w:t>
      </w:r>
      <w:r>
        <w:rPr>
          <w:rFonts w:hint="eastAsia" w:ascii="仿宋_GB2312" w:hAnsi="仿宋_GB2312" w:eastAsia="仿宋_GB2312" w:cs="仿宋_GB2312"/>
          <w:color w:val="auto"/>
          <w:sz w:val="32"/>
          <w:szCs w:val="32"/>
        </w:rPr>
        <w:t>工作有序高效推进，根据</w:t>
      </w:r>
      <w:r>
        <w:rPr>
          <w:rFonts w:hint="eastAsia" w:ascii="仿宋_GB2312" w:hAnsi="仿宋_GB2312" w:eastAsia="仿宋_GB2312" w:cs="仿宋_GB2312"/>
          <w:color w:val="auto"/>
          <w:sz w:val="32"/>
          <w:szCs w:val="32"/>
          <w:lang w:eastAsia="zh-CN"/>
        </w:rPr>
        <w:t>县委、县政府关于营商环境优化决策部署</w:t>
      </w:r>
      <w:r>
        <w:rPr>
          <w:rFonts w:hint="eastAsia" w:ascii="仿宋_GB2312" w:hAnsi="仿宋_GB2312" w:eastAsia="仿宋_GB2312" w:cs="仿宋_GB2312"/>
          <w:color w:val="auto"/>
          <w:sz w:val="32"/>
          <w:szCs w:val="32"/>
        </w:rPr>
        <w:t>，结合我</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实际，制定</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lang w:val="en-US" w:eastAsia="zh-CN"/>
        </w:rPr>
        <w:t>全面优化营商环境攻坚行动</w:t>
      </w:r>
      <w:r>
        <w:rPr>
          <w:rFonts w:hint="eastAsia" w:ascii="仿宋_GB2312" w:hAnsi="仿宋_GB2312" w:eastAsia="仿宋_GB2312" w:cs="仿宋_GB2312"/>
          <w:color w:val="auto"/>
          <w:sz w:val="32"/>
          <w:szCs w:val="32"/>
        </w:rPr>
        <w:t>议事协调工作制度。</w:t>
      </w:r>
    </w:p>
    <w:p w14:paraId="3F7332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一、议事原则</w:t>
      </w:r>
    </w:p>
    <w:p w14:paraId="1534954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rPr>
        <w:t>(一)全面统筹。</w:t>
      </w:r>
      <w:r>
        <w:rPr>
          <w:rFonts w:hint="eastAsia" w:ascii="仿宋_GB2312" w:hAnsi="仿宋_GB2312" w:eastAsia="仿宋_GB2312" w:cs="仿宋_GB2312"/>
          <w:color w:val="auto"/>
          <w:sz w:val="32"/>
          <w:szCs w:val="32"/>
          <w:lang w:eastAsia="zh-CN"/>
        </w:rPr>
        <w:t>县营商环境优化行动</w:t>
      </w:r>
      <w:r>
        <w:rPr>
          <w:rFonts w:hint="eastAsia" w:ascii="仿宋_GB2312" w:hAnsi="仿宋_GB2312" w:eastAsia="仿宋_GB2312" w:cs="仿宋_GB2312"/>
          <w:color w:val="auto"/>
          <w:sz w:val="32"/>
          <w:szCs w:val="32"/>
        </w:rPr>
        <w:t>指挥部负责全面统筹推进</w:t>
      </w:r>
      <w:r>
        <w:rPr>
          <w:rFonts w:hint="eastAsia" w:ascii="仿宋_GB2312" w:hAnsi="仿宋_GB2312" w:eastAsia="仿宋_GB2312" w:cs="仿宋_GB2312"/>
          <w:color w:val="auto"/>
          <w:sz w:val="32"/>
          <w:szCs w:val="32"/>
          <w:lang w:eastAsia="zh-CN"/>
        </w:rPr>
        <w:t>营商环境优化</w:t>
      </w:r>
      <w:r>
        <w:rPr>
          <w:rFonts w:hint="eastAsia" w:ascii="仿宋_GB2312" w:hAnsi="仿宋_GB2312" w:eastAsia="仿宋_GB2312" w:cs="仿宋_GB2312"/>
          <w:color w:val="auto"/>
          <w:sz w:val="32"/>
          <w:szCs w:val="32"/>
        </w:rPr>
        <w:t>各项任务，研究审定重大事项，协调解决重大问题；指挥部办公室负责协调、督导、推动</w:t>
      </w:r>
      <w:r>
        <w:rPr>
          <w:rFonts w:hint="eastAsia" w:ascii="仿宋_GB2312" w:hAnsi="仿宋_GB2312" w:eastAsia="仿宋_GB2312" w:cs="仿宋_GB2312"/>
          <w:color w:val="auto"/>
          <w:sz w:val="32"/>
          <w:szCs w:val="32"/>
          <w:lang w:val="en-US" w:eastAsia="zh-CN"/>
        </w:rPr>
        <w:t>全面优化营商环境攻坚行动</w:t>
      </w:r>
      <w:r>
        <w:rPr>
          <w:rFonts w:hint="eastAsia" w:ascii="仿宋_GB2312" w:hAnsi="仿宋_GB2312" w:eastAsia="仿宋_GB2312" w:cs="仿宋_GB2312"/>
          <w:color w:val="auto"/>
          <w:sz w:val="32"/>
          <w:szCs w:val="32"/>
        </w:rPr>
        <w:t>各项工作任务落实，负责各类</w:t>
      </w:r>
      <w:r>
        <w:rPr>
          <w:rFonts w:hint="eastAsia" w:ascii="仿宋_GB2312" w:hAnsi="仿宋_GB2312" w:eastAsia="仿宋_GB2312" w:cs="仿宋_GB2312"/>
          <w:color w:val="auto"/>
          <w:sz w:val="32"/>
          <w:szCs w:val="32"/>
          <w:lang w:val="en-US" w:eastAsia="zh-CN"/>
        </w:rPr>
        <w:t>综合</w:t>
      </w:r>
      <w:r>
        <w:rPr>
          <w:rFonts w:hint="eastAsia" w:ascii="仿宋_GB2312" w:hAnsi="仿宋_GB2312" w:eastAsia="仿宋_GB2312" w:cs="仿宋_GB2312"/>
          <w:color w:val="auto"/>
          <w:sz w:val="32"/>
          <w:szCs w:val="32"/>
        </w:rPr>
        <w:t>协调</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统筹</w:t>
      </w:r>
      <w:r>
        <w:rPr>
          <w:rFonts w:hint="eastAsia" w:ascii="仿宋_GB2312" w:hAnsi="仿宋_GB2312" w:eastAsia="仿宋_GB2312" w:cs="仿宋_GB2312"/>
          <w:color w:val="auto"/>
          <w:sz w:val="32"/>
          <w:szCs w:val="32"/>
        </w:rPr>
        <w:t>组织。</w:t>
      </w:r>
    </w:p>
    <w:p w14:paraId="78800BDC">
      <w:pPr>
        <w:pStyle w:val="26"/>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rPr>
        <w:t>(二)规范</w:t>
      </w:r>
      <w:r>
        <w:rPr>
          <w:rFonts w:hint="eastAsia" w:ascii="楷体" w:hAnsi="楷体" w:eastAsia="楷体" w:cs="楷体"/>
          <w:b/>
          <w:bCs/>
          <w:color w:val="auto"/>
          <w:sz w:val="32"/>
          <w:szCs w:val="32"/>
          <w:lang w:val="en-US" w:eastAsia="zh-CN"/>
        </w:rPr>
        <w:t>授权</w:t>
      </w:r>
      <w:r>
        <w:rPr>
          <w:rFonts w:hint="eastAsia" w:ascii="楷体" w:hAnsi="楷体" w:eastAsia="楷体" w:cs="楷体"/>
          <w:b/>
          <w:bCs/>
          <w:color w:val="auto"/>
          <w:sz w:val="32"/>
          <w:szCs w:val="32"/>
        </w:rPr>
        <w:t>。</w:t>
      </w:r>
      <w:r>
        <w:rPr>
          <w:rFonts w:hint="eastAsia" w:ascii="仿宋_GB2312" w:hAnsi="仿宋_GB2312" w:eastAsia="仿宋_GB2312" w:cs="仿宋_GB2312"/>
          <w:color w:val="auto"/>
          <w:sz w:val="32"/>
          <w:szCs w:val="32"/>
        </w:rPr>
        <w:t>指挥部会议</w:t>
      </w:r>
      <w:r>
        <w:rPr>
          <w:rFonts w:hint="eastAsia" w:ascii="仿宋_GB2312" w:hAnsi="仿宋_GB2312" w:eastAsia="仿宋_GB2312" w:cs="仿宋_GB2312"/>
          <w:color w:val="auto"/>
          <w:sz w:val="32"/>
          <w:szCs w:val="32"/>
          <w:lang w:val="en-US" w:eastAsia="zh-CN"/>
        </w:rPr>
        <w:t>按照决策授权+文件会签+纪要通报的议事原则，</w:t>
      </w:r>
      <w:r>
        <w:rPr>
          <w:rFonts w:hint="eastAsia" w:ascii="仿宋_GB2312" w:hAnsi="仿宋_GB2312" w:eastAsia="仿宋_GB2312" w:cs="仿宋_GB2312"/>
          <w:color w:val="auto"/>
          <w:sz w:val="32"/>
          <w:szCs w:val="32"/>
        </w:rPr>
        <w:t>分层级研究审定</w:t>
      </w:r>
      <w:r>
        <w:rPr>
          <w:rFonts w:hint="eastAsia" w:ascii="仿宋_GB2312" w:hAnsi="仿宋_GB2312" w:eastAsia="仿宋_GB2312" w:cs="仿宋_GB2312"/>
          <w:color w:val="auto"/>
          <w:sz w:val="32"/>
          <w:szCs w:val="32"/>
          <w:lang w:val="en-US" w:eastAsia="zh-CN"/>
        </w:rPr>
        <w:t>重大</w:t>
      </w:r>
      <w:r>
        <w:rPr>
          <w:rFonts w:hint="eastAsia" w:ascii="仿宋_GB2312" w:hAnsi="仿宋_GB2312" w:eastAsia="仿宋_GB2312" w:cs="仿宋_GB2312"/>
          <w:color w:val="auto"/>
          <w:sz w:val="32"/>
          <w:szCs w:val="32"/>
        </w:rPr>
        <w:t>事项</w:t>
      </w:r>
      <w:r>
        <w:rPr>
          <w:rFonts w:hint="eastAsia" w:ascii="仿宋_GB2312" w:hAnsi="仿宋_GB2312" w:eastAsia="仿宋_GB2312" w:cs="仿宋_GB2312"/>
          <w:color w:val="auto"/>
          <w:sz w:val="32"/>
          <w:szCs w:val="32"/>
          <w:lang w:val="en-US" w:eastAsia="zh-CN"/>
        </w:rPr>
        <w:t>，开展督查督导</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由县政府常务会、指挥部、指挥部办公室逐级委托授权，指挥部办公室讨论研究的议定事项以纪要或请示形式报指挥部分管领导签发，视需要报县政府常务会书面通报。</w:t>
      </w:r>
    </w:p>
    <w:p w14:paraId="35493EF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rPr>
        <w:t>(三)集体决策。</w:t>
      </w:r>
      <w:r>
        <w:rPr>
          <w:rFonts w:hint="eastAsia" w:ascii="仿宋_GB2312" w:hAnsi="仿宋_GB2312" w:eastAsia="仿宋_GB2312" w:cs="仿宋_GB2312"/>
          <w:color w:val="auto"/>
          <w:sz w:val="32"/>
          <w:szCs w:val="32"/>
        </w:rPr>
        <w:t>议事协调会议实行集体决策制度，会议审议事项应于会前广泛征求意见，会上应由全体参会人员提出意见、阐明观点、充分讨论，在此基础上由会议召集人综合各方意见集体研究决定。</w:t>
      </w:r>
    </w:p>
    <w:p w14:paraId="70B1A7E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rPr>
        <w:t>(四)依法合规。</w:t>
      </w:r>
      <w:r>
        <w:rPr>
          <w:rFonts w:hint="eastAsia" w:ascii="仿宋_GB2312" w:hAnsi="仿宋_GB2312" w:eastAsia="仿宋_GB2312" w:cs="仿宋_GB2312"/>
          <w:color w:val="auto"/>
          <w:sz w:val="32"/>
          <w:szCs w:val="32"/>
        </w:rPr>
        <w:t>参会人员应当依照现行法律法规和政策规定，</w:t>
      </w:r>
      <w:r>
        <w:rPr>
          <w:rFonts w:hint="eastAsia" w:ascii="仿宋_GB2312" w:hAnsi="仿宋_GB2312" w:eastAsia="仿宋_GB2312" w:cs="仿宋_GB2312"/>
          <w:color w:val="auto"/>
          <w:sz w:val="32"/>
          <w:szCs w:val="32"/>
          <w:lang w:val="en-US" w:eastAsia="zh-CN"/>
        </w:rPr>
        <w:t>充分负责</w:t>
      </w:r>
      <w:r>
        <w:rPr>
          <w:rFonts w:hint="eastAsia" w:ascii="仿宋_GB2312" w:hAnsi="仿宋_GB2312" w:eastAsia="仿宋_GB2312" w:cs="仿宋_GB2312"/>
          <w:color w:val="auto"/>
          <w:sz w:val="32"/>
          <w:szCs w:val="32"/>
        </w:rPr>
        <w:t>地表达意见，重大行政决策及拟出台的规范性文件应遵守相关政策法规，不得违反现行有关法律法规和其他有关规定。</w:t>
      </w:r>
    </w:p>
    <w:p w14:paraId="3B4BBBA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rPr>
        <w:t>(五)提高效率。</w:t>
      </w:r>
      <w:r>
        <w:rPr>
          <w:rFonts w:hint="eastAsia" w:ascii="仿宋_GB2312" w:hAnsi="仿宋_GB2312" w:eastAsia="仿宋_GB2312" w:cs="仿宋_GB2312"/>
          <w:color w:val="auto"/>
          <w:sz w:val="32"/>
          <w:szCs w:val="32"/>
        </w:rPr>
        <w:t>议事会议上研究讨论的具体议题，由议题提交单位进行汇报，汇报内容应当简明扼要、突出重点，提出问题和发表意见时必须应紧扣关键、明确要点，有针对性地提出解决办法，提高会议效率和质量。</w:t>
      </w:r>
    </w:p>
    <w:p w14:paraId="756410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二、议事纪律</w:t>
      </w:r>
    </w:p>
    <w:p w14:paraId="255DA32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rPr>
        <w:t>(一)严格落实会议出勤。</w:t>
      </w:r>
      <w:r>
        <w:rPr>
          <w:rFonts w:hint="eastAsia" w:ascii="仿宋_GB2312" w:hAnsi="仿宋_GB2312" w:eastAsia="仿宋_GB2312" w:cs="仿宋_GB2312"/>
          <w:color w:val="auto"/>
          <w:sz w:val="32"/>
          <w:szCs w:val="32"/>
        </w:rPr>
        <w:t>参会人员无特殊情况不得请假。确因公务冲突及其他特殊原因无法参加的，应通过书面方式请假，并安排其他负责人参加。</w:t>
      </w:r>
    </w:p>
    <w:p w14:paraId="1DA6525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rPr>
        <w:t>(二)坚决执行会议决议</w:t>
      </w:r>
      <w:r>
        <w:rPr>
          <w:rFonts w:hint="eastAsia" w:ascii="楷体" w:hAnsi="楷体" w:eastAsia="楷体" w:cs="楷体"/>
          <w:color w:val="auto"/>
          <w:sz w:val="32"/>
          <w:szCs w:val="32"/>
        </w:rPr>
        <w:t>。</w:t>
      </w:r>
      <w:r>
        <w:rPr>
          <w:rFonts w:hint="eastAsia" w:ascii="仿宋_GB2312" w:hAnsi="仿宋_GB2312" w:eastAsia="仿宋_GB2312" w:cs="仿宋_GB2312"/>
          <w:color w:val="auto"/>
          <w:sz w:val="32"/>
          <w:szCs w:val="32"/>
        </w:rPr>
        <w:t>相关责任单位要认真执行会议决议，及时向指挥部及办公室反馈工作进展情况。有不同意见的，可以重新提出议题或要求保留个人意见，不得借故拖延或拒绝执行。</w:t>
      </w:r>
    </w:p>
    <w:p w14:paraId="065BC0F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rPr>
        <w:t>(三)严格遵守</w:t>
      </w:r>
      <w:r>
        <w:rPr>
          <w:rFonts w:hint="eastAsia" w:ascii="楷体" w:hAnsi="楷体" w:eastAsia="楷体" w:cs="楷体"/>
          <w:b/>
          <w:bCs/>
          <w:color w:val="auto"/>
          <w:sz w:val="32"/>
          <w:szCs w:val="32"/>
          <w:lang w:val="en-US" w:eastAsia="zh-CN"/>
        </w:rPr>
        <w:t>决策</w:t>
      </w:r>
      <w:r>
        <w:rPr>
          <w:rFonts w:hint="eastAsia" w:ascii="楷体" w:hAnsi="楷体" w:eastAsia="楷体" w:cs="楷体"/>
          <w:b/>
          <w:bCs/>
          <w:color w:val="auto"/>
          <w:sz w:val="32"/>
          <w:szCs w:val="32"/>
        </w:rPr>
        <w:t>纪律。</w:t>
      </w:r>
      <w:r>
        <w:rPr>
          <w:rFonts w:hint="eastAsia" w:ascii="仿宋_GB2312" w:hAnsi="仿宋_GB2312" w:eastAsia="仿宋_GB2312" w:cs="仿宋_GB2312"/>
          <w:color w:val="auto"/>
          <w:sz w:val="32"/>
          <w:szCs w:val="32"/>
        </w:rPr>
        <w:t>会议研究、讨论的各项内容，</w:t>
      </w:r>
      <w:r>
        <w:rPr>
          <w:rFonts w:hint="eastAsia" w:ascii="仿宋_GB2312" w:hAnsi="仿宋_GB2312" w:eastAsia="仿宋_GB2312" w:cs="仿宋_GB2312"/>
          <w:color w:val="auto"/>
          <w:sz w:val="32"/>
          <w:szCs w:val="32"/>
          <w:lang w:val="en-US" w:eastAsia="zh-CN"/>
        </w:rPr>
        <w:t>尚在决策酝酿阶段的，相</w:t>
      </w:r>
      <w:r>
        <w:rPr>
          <w:rFonts w:hint="eastAsia" w:ascii="仿宋_GB2312" w:hAnsi="仿宋_GB2312" w:eastAsia="仿宋_GB2312" w:cs="仿宋_GB2312"/>
          <w:color w:val="auto"/>
          <w:sz w:val="32"/>
          <w:szCs w:val="32"/>
        </w:rPr>
        <w:t>关人员必须严格</w:t>
      </w:r>
      <w:r>
        <w:rPr>
          <w:rFonts w:hint="eastAsia" w:ascii="仿宋_GB2312" w:hAnsi="仿宋_GB2312" w:eastAsia="仿宋_GB2312" w:cs="仿宋_GB2312"/>
          <w:color w:val="auto"/>
          <w:sz w:val="32"/>
          <w:szCs w:val="32"/>
          <w:lang w:val="en-US" w:eastAsia="zh-CN"/>
        </w:rPr>
        <w:t>控制知情范围</w:t>
      </w:r>
      <w:r>
        <w:rPr>
          <w:rFonts w:hint="eastAsia" w:ascii="仿宋_GB2312" w:hAnsi="仿宋_GB2312" w:eastAsia="仿宋_GB2312" w:cs="仿宋_GB2312"/>
          <w:color w:val="auto"/>
          <w:sz w:val="32"/>
          <w:szCs w:val="32"/>
        </w:rPr>
        <w:t>，未经批准不得擅自</w:t>
      </w:r>
      <w:r>
        <w:rPr>
          <w:rFonts w:hint="eastAsia" w:ascii="仿宋_GB2312" w:hAnsi="仿宋_GB2312" w:eastAsia="仿宋_GB2312" w:cs="仿宋_GB2312"/>
          <w:color w:val="auto"/>
          <w:sz w:val="32"/>
          <w:szCs w:val="32"/>
          <w:lang w:val="en-US" w:eastAsia="zh-CN"/>
        </w:rPr>
        <w:t>扩散和</w:t>
      </w:r>
      <w:r>
        <w:rPr>
          <w:rFonts w:hint="eastAsia" w:ascii="仿宋_GB2312" w:hAnsi="仿宋_GB2312" w:eastAsia="仿宋_GB2312" w:cs="仿宋_GB2312"/>
          <w:color w:val="auto"/>
          <w:sz w:val="32"/>
          <w:szCs w:val="32"/>
        </w:rPr>
        <w:t>随意</w:t>
      </w:r>
      <w:r>
        <w:rPr>
          <w:rFonts w:hint="eastAsia" w:ascii="仿宋_GB2312" w:hAnsi="仿宋_GB2312" w:eastAsia="仿宋_GB2312" w:cs="仿宋_GB2312"/>
          <w:color w:val="auto"/>
          <w:sz w:val="32"/>
          <w:szCs w:val="32"/>
          <w:lang w:val="en-US" w:eastAsia="zh-CN"/>
        </w:rPr>
        <w:t>公开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传达、贯彻会议决定事项，以会议纪要为准。</w:t>
      </w:r>
    </w:p>
    <w:p w14:paraId="4F07F41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rPr>
        <w:t>(四)明确会议议题范围。</w:t>
      </w:r>
      <w:r>
        <w:rPr>
          <w:rFonts w:hint="eastAsia" w:ascii="仿宋_GB2312" w:hAnsi="仿宋_GB2312" w:eastAsia="仿宋_GB2312" w:cs="仿宋_GB2312"/>
          <w:color w:val="auto"/>
          <w:sz w:val="32"/>
          <w:szCs w:val="32"/>
        </w:rPr>
        <w:t>相关责任单位应严格按照议事内容范围组织议题，指挥部及办公室工作会议议题汇总确定后，原则上不得更改、不得临时增加；确有特殊、紧急情况需临时追加议题的，应先报请会议召集领导同意。</w:t>
      </w:r>
    </w:p>
    <w:p w14:paraId="5464DD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三、议事规则</w:t>
      </w:r>
    </w:p>
    <w:p w14:paraId="4B2EB5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指挥部各层级工作会议旨在统筹部署和研究推动全</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lang w:val="en-US" w:eastAsia="zh-CN"/>
        </w:rPr>
        <w:t>全面优化营商环境攻坚行动</w:t>
      </w:r>
      <w:r>
        <w:rPr>
          <w:rFonts w:hint="eastAsia" w:ascii="仿宋_GB2312" w:hAnsi="仿宋_GB2312" w:eastAsia="仿宋_GB2312" w:cs="仿宋_GB2312"/>
          <w:color w:val="auto"/>
          <w:sz w:val="32"/>
          <w:szCs w:val="32"/>
        </w:rPr>
        <w:t>工作，推动行动政策文件和配套实施细则出台实施；跟踪督导重点任务进展情况，协调有关部门研究解决存在问题。根据会议召集人、会议审议内容的不同，以及结合工作的重要性、紧急性和推进难度，共分为</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个会议层级，包括：指挥部工作会议、指挥部办公室工作会议和</w:t>
      </w:r>
      <w:r>
        <w:rPr>
          <w:rFonts w:hint="eastAsia" w:ascii="仿宋_GB2312" w:hAnsi="仿宋_GB2312" w:eastAsia="仿宋_GB2312" w:cs="仿宋_GB2312"/>
          <w:color w:val="auto"/>
          <w:sz w:val="32"/>
          <w:szCs w:val="32"/>
          <w:lang w:val="en-US" w:eastAsia="zh-CN"/>
        </w:rPr>
        <w:t>专班</w:t>
      </w:r>
      <w:r>
        <w:rPr>
          <w:rFonts w:hint="eastAsia" w:ascii="仿宋_GB2312" w:hAnsi="仿宋_GB2312" w:eastAsia="仿宋_GB2312" w:cs="仿宋_GB2312"/>
          <w:color w:val="auto"/>
          <w:sz w:val="32"/>
          <w:szCs w:val="32"/>
        </w:rPr>
        <w:t xml:space="preserve">工作会议。 </w:t>
      </w:r>
    </w:p>
    <w:p w14:paraId="784E3B0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rPr>
        <w:t>(</w:t>
      </w:r>
      <w:r>
        <w:rPr>
          <w:rFonts w:hint="eastAsia" w:ascii="楷体" w:hAnsi="楷体" w:eastAsia="楷体" w:cs="楷体"/>
          <w:b/>
          <w:bCs/>
          <w:color w:val="auto"/>
          <w:sz w:val="32"/>
          <w:szCs w:val="32"/>
          <w:lang w:eastAsia="zh-CN"/>
        </w:rPr>
        <w:t>一</w:t>
      </w:r>
      <w:r>
        <w:rPr>
          <w:rFonts w:hint="eastAsia" w:ascii="楷体" w:hAnsi="楷体" w:eastAsia="楷体" w:cs="楷体"/>
          <w:b/>
          <w:bCs/>
          <w:color w:val="auto"/>
          <w:sz w:val="32"/>
          <w:szCs w:val="32"/>
        </w:rPr>
        <w:t>)指挥部工作会议。</w:t>
      </w:r>
      <w:r>
        <w:rPr>
          <w:rFonts w:hint="eastAsia" w:ascii="仿宋_GB2312" w:hAnsi="仿宋_GB2312" w:eastAsia="仿宋_GB2312" w:cs="仿宋_GB2312"/>
          <w:color w:val="auto"/>
          <w:sz w:val="32"/>
          <w:szCs w:val="32"/>
        </w:rPr>
        <w:t>根据工作需要和会议议题情况组织召开，原则上每季度召开不少于</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次。指挥部工作会议一般由指挥部办公室提请召开，由</w:t>
      </w:r>
      <w:r>
        <w:rPr>
          <w:rFonts w:hint="eastAsia" w:ascii="仿宋_GB2312" w:hAnsi="仿宋_GB2312" w:eastAsia="仿宋_GB2312" w:cs="仿宋_GB2312"/>
          <w:color w:val="auto"/>
          <w:sz w:val="32"/>
          <w:szCs w:val="32"/>
          <w:lang w:eastAsia="zh-CN"/>
        </w:rPr>
        <w:t>指挥部分管县领导</w:t>
      </w:r>
      <w:r>
        <w:rPr>
          <w:rFonts w:hint="eastAsia" w:ascii="仿宋_GB2312" w:hAnsi="仿宋_GB2312" w:eastAsia="仿宋_GB2312" w:cs="仿宋_GB2312"/>
          <w:color w:val="auto"/>
          <w:sz w:val="32"/>
          <w:szCs w:val="32"/>
        </w:rPr>
        <w:t>主持，指挥部办公室主任、副主任</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会议议题相关的</w:t>
      </w:r>
      <w:r>
        <w:rPr>
          <w:rFonts w:hint="eastAsia" w:ascii="仿宋_GB2312" w:hAnsi="仿宋_GB2312" w:eastAsia="仿宋_GB2312" w:cs="仿宋_GB2312"/>
          <w:color w:val="auto"/>
          <w:sz w:val="32"/>
          <w:szCs w:val="32"/>
          <w:lang w:eastAsia="zh-CN"/>
        </w:rPr>
        <w:t>专班正副组长</w:t>
      </w:r>
      <w:r>
        <w:rPr>
          <w:rFonts w:hint="eastAsia" w:ascii="仿宋_GB2312" w:hAnsi="仿宋_GB2312" w:eastAsia="仿宋_GB2312" w:cs="仿宋_GB2312"/>
          <w:color w:val="auto"/>
          <w:sz w:val="32"/>
          <w:szCs w:val="32"/>
          <w:lang w:val="en-US" w:eastAsia="zh-CN"/>
        </w:rPr>
        <w:t>及有关单位分管领导</w:t>
      </w:r>
      <w:r>
        <w:rPr>
          <w:rFonts w:hint="eastAsia" w:ascii="仿宋_GB2312" w:hAnsi="仿宋_GB2312" w:eastAsia="仿宋_GB2312" w:cs="仿宋_GB2312"/>
          <w:color w:val="auto"/>
          <w:sz w:val="32"/>
          <w:szCs w:val="32"/>
        </w:rPr>
        <w:t>参加。议事事项主要包括：</w:t>
      </w:r>
    </w:p>
    <w:p w14:paraId="2234B3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研究</w:t>
      </w:r>
      <w:r>
        <w:rPr>
          <w:rFonts w:hint="eastAsia" w:ascii="仿宋_GB2312" w:hAnsi="仿宋_GB2312" w:eastAsia="仿宋_GB2312" w:cs="仿宋_GB2312"/>
          <w:color w:val="auto"/>
          <w:sz w:val="32"/>
          <w:szCs w:val="32"/>
          <w:lang w:val="en-US" w:eastAsia="zh-CN"/>
        </w:rPr>
        <w:t>全面优化</w:t>
      </w:r>
      <w:r>
        <w:rPr>
          <w:rFonts w:hint="eastAsia" w:ascii="仿宋_GB2312" w:hAnsi="仿宋_GB2312" w:eastAsia="仿宋_GB2312" w:cs="仿宋_GB2312"/>
          <w:color w:val="auto"/>
          <w:sz w:val="32"/>
          <w:szCs w:val="32"/>
          <w:lang w:eastAsia="zh-CN"/>
        </w:rPr>
        <w:t>营商环境</w:t>
      </w:r>
      <w:r>
        <w:rPr>
          <w:rFonts w:hint="eastAsia" w:ascii="仿宋_GB2312" w:hAnsi="仿宋_GB2312" w:eastAsia="仿宋_GB2312" w:cs="仿宋_GB2312"/>
          <w:color w:val="auto"/>
          <w:sz w:val="32"/>
          <w:szCs w:val="32"/>
          <w:lang w:val="en-US" w:eastAsia="zh-CN"/>
        </w:rPr>
        <w:t>攻坚行动</w:t>
      </w:r>
      <w:r>
        <w:rPr>
          <w:rFonts w:hint="eastAsia" w:ascii="仿宋_GB2312" w:hAnsi="仿宋_GB2312" w:eastAsia="仿宋_GB2312" w:cs="仿宋_GB2312"/>
          <w:color w:val="auto"/>
          <w:sz w:val="32"/>
          <w:szCs w:val="32"/>
        </w:rPr>
        <w:t>年度</w:t>
      </w:r>
      <w:r>
        <w:rPr>
          <w:rFonts w:hint="eastAsia" w:ascii="仿宋_GB2312" w:hAnsi="仿宋_GB2312" w:eastAsia="仿宋_GB2312" w:cs="仿宋_GB2312"/>
          <w:color w:val="auto"/>
          <w:sz w:val="32"/>
          <w:szCs w:val="32"/>
          <w:lang w:eastAsia="zh-CN"/>
        </w:rPr>
        <w:t>工作方案及任务清单，</w:t>
      </w:r>
      <w:r>
        <w:rPr>
          <w:rFonts w:hint="eastAsia" w:ascii="仿宋_GB2312" w:hAnsi="仿宋_GB2312" w:eastAsia="仿宋_GB2312" w:cs="仿宋_GB2312"/>
          <w:color w:val="auto"/>
          <w:sz w:val="32"/>
          <w:szCs w:val="32"/>
          <w:lang w:val="en-US" w:eastAsia="zh-CN"/>
        </w:rPr>
        <w:t>再逐级呈报县政府常务会、县委常委会通报。</w:t>
      </w:r>
      <w:r>
        <w:rPr>
          <w:rFonts w:hint="eastAsia" w:ascii="仿宋_GB2312" w:hAnsi="仿宋_GB2312" w:eastAsia="仿宋_GB2312" w:cs="仿宋_GB2312"/>
          <w:color w:val="auto"/>
          <w:sz w:val="32"/>
          <w:szCs w:val="32"/>
        </w:rPr>
        <w:t>听取</w:t>
      </w:r>
      <w:r>
        <w:rPr>
          <w:rFonts w:hint="eastAsia" w:ascii="仿宋_GB2312" w:hAnsi="仿宋_GB2312" w:eastAsia="仿宋_GB2312" w:cs="仿宋_GB2312"/>
          <w:color w:val="auto"/>
          <w:sz w:val="32"/>
          <w:szCs w:val="32"/>
          <w:lang w:val="en-US" w:eastAsia="zh-CN"/>
        </w:rPr>
        <w:t>全面优化营商环境攻坚行动</w:t>
      </w:r>
      <w:r>
        <w:rPr>
          <w:rFonts w:hint="eastAsia" w:ascii="仿宋_GB2312" w:hAnsi="仿宋_GB2312" w:eastAsia="仿宋_GB2312" w:cs="仿宋_GB2312"/>
          <w:color w:val="auto"/>
          <w:sz w:val="32"/>
          <w:szCs w:val="32"/>
        </w:rPr>
        <w:t>工作进展汇报，研究部署下一步工作。</w:t>
      </w:r>
    </w:p>
    <w:p w14:paraId="7576EF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.审议</w:t>
      </w:r>
      <w:r>
        <w:rPr>
          <w:rFonts w:hint="eastAsia" w:ascii="仿宋_GB2312" w:hAnsi="仿宋_GB2312" w:eastAsia="仿宋_GB2312" w:cs="仿宋_GB2312"/>
          <w:color w:val="auto"/>
          <w:sz w:val="32"/>
          <w:szCs w:val="32"/>
          <w:lang w:val="en-US" w:eastAsia="zh-CN"/>
        </w:rPr>
        <w:t>全面优化</w:t>
      </w:r>
      <w:r>
        <w:rPr>
          <w:rFonts w:hint="eastAsia" w:ascii="仿宋_GB2312" w:hAnsi="仿宋_GB2312" w:eastAsia="仿宋_GB2312" w:cs="仿宋_GB2312"/>
          <w:color w:val="auto"/>
          <w:sz w:val="32"/>
          <w:szCs w:val="32"/>
          <w:lang w:eastAsia="zh-CN"/>
        </w:rPr>
        <w:t>营商环境</w:t>
      </w:r>
      <w:r>
        <w:rPr>
          <w:rFonts w:hint="eastAsia" w:ascii="仿宋_GB2312" w:hAnsi="仿宋_GB2312" w:eastAsia="仿宋_GB2312" w:cs="仿宋_GB2312"/>
          <w:color w:val="auto"/>
          <w:sz w:val="32"/>
          <w:szCs w:val="32"/>
          <w:lang w:val="en-US" w:eastAsia="zh-CN"/>
        </w:rPr>
        <w:t>攻坚行动</w:t>
      </w:r>
      <w:r>
        <w:rPr>
          <w:rFonts w:hint="eastAsia" w:ascii="仿宋_GB2312" w:hAnsi="仿宋_GB2312" w:eastAsia="仿宋_GB2312" w:cs="仿宋_GB2312"/>
          <w:color w:val="auto"/>
          <w:sz w:val="32"/>
          <w:szCs w:val="32"/>
        </w:rPr>
        <w:t>政策文件，并根据需要提交</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政府</w:t>
      </w:r>
      <w:r>
        <w:rPr>
          <w:rFonts w:hint="eastAsia" w:ascii="仿宋_GB2312" w:hAnsi="仿宋_GB2312" w:eastAsia="仿宋_GB2312" w:cs="仿宋_GB2312"/>
          <w:color w:val="auto"/>
          <w:sz w:val="32"/>
          <w:szCs w:val="32"/>
          <w:lang w:val="en-US" w:eastAsia="zh-CN"/>
        </w:rPr>
        <w:t>常务会、县委常委会</w:t>
      </w:r>
      <w:r>
        <w:rPr>
          <w:rFonts w:hint="eastAsia" w:ascii="仿宋_GB2312" w:hAnsi="仿宋_GB2312" w:eastAsia="仿宋_GB2312" w:cs="仿宋_GB2312"/>
          <w:color w:val="auto"/>
          <w:sz w:val="32"/>
          <w:szCs w:val="32"/>
        </w:rPr>
        <w:t>审定。</w:t>
      </w:r>
    </w:p>
    <w:p w14:paraId="21AB62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.研究解决</w:t>
      </w:r>
      <w:r>
        <w:rPr>
          <w:rFonts w:hint="eastAsia" w:ascii="仿宋_GB2312" w:hAnsi="仿宋_GB2312" w:eastAsia="仿宋_GB2312" w:cs="仿宋_GB2312"/>
          <w:color w:val="auto"/>
          <w:sz w:val="32"/>
          <w:szCs w:val="32"/>
          <w:lang w:val="en-US" w:eastAsia="zh-CN"/>
        </w:rPr>
        <w:t>海丰</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lang w:val="en-US" w:eastAsia="zh-CN"/>
        </w:rPr>
        <w:t>全面优化</w:t>
      </w:r>
      <w:r>
        <w:rPr>
          <w:rFonts w:hint="eastAsia" w:ascii="仿宋_GB2312" w:hAnsi="仿宋_GB2312" w:eastAsia="仿宋_GB2312" w:cs="仿宋_GB2312"/>
          <w:color w:val="auto"/>
          <w:sz w:val="32"/>
          <w:szCs w:val="32"/>
          <w:lang w:eastAsia="zh-CN"/>
        </w:rPr>
        <w:t>营商环境</w:t>
      </w:r>
      <w:r>
        <w:rPr>
          <w:rFonts w:hint="eastAsia" w:ascii="仿宋_GB2312" w:hAnsi="仿宋_GB2312" w:eastAsia="仿宋_GB2312" w:cs="仿宋_GB2312"/>
          <w:color w:val="auto"/>
          <w:sz w:val="32"/>
          <w:szCs w:val="32"/>
          <w:lang w:val="en-US" w:eastAsia="zh-CN"/>
        </w:rPr>
        <w:t>攻坚行动</w:t>
      </w:r>
      <w:r>
        <w:rPr>
          <w:rFonts w:hint="eastAsia" w:ascii="仿宋_GB2312" w:hAnsi="仿宋_GB2312" w:eastAsia="仿宋_GB2312" w:cs="仿宋_GB2312"/>
          <w:color w:val="auto"/>
          <w:sz w:val="32"/>
          <w:szCs w:val="32"/>
          <w:lang w:eastAsia="zh-CN"/>
        </w:rPr>
        <w:t>工作方案及</w:t>
      </w:r>
      <w:r>
        <w:rPr>
          <w:rFonts w:hint="eastAsia" w:ascii="仿宋_GB2312" w:hAnsi="仿宋_GB2312" w:eastAsia="仿宋_GB2312" w:cs="仿宋_GB2312"/>
          <w:color w:val="auto"/>
          <w:sz w:val="32"/>
          <w:szCs w:val="32"/>
        </w:rPr>
        <w:t>任务清单实施过程中的重大问题，对进度滞后或不能完成既定目标的相关责任单位、</w:t>
      </w:r>
      <w:r>
        <w:rPr>
          <w:rFonts w:hint="eastAsia" w:ascii="仿宋_GB2312" w:hAnsi="仿宋_GB2312" w:eastAsia="仿宋_GB2312" w:cs="仿宋_GB2312"/>
          <w:color w:val="auto"/>
          <w:sz w:val="32"/>
          <w:szCs w:val="32"/>
          <w:lang w:val="en-US" w:eastAsia="zh-CN"/>
        </w:rPr>
        <w:t>各镇</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开发</w:t>
      </w:r>
      <w:r>
        <w:rPr>
          <w:rFonts w:hint="eastAsia" w:ascii="仿宋_GB2312" w:hAnsi="仿宋_GB2312" w:eastAsia="仿宋_GB2312" w:cs="仿宋_GB2312"/>
          <w:color w:val="auto"/>
          <w:sz w:val="32"/>
          <w:szCs w:val="32"/>
        </w:rPr>
        <w:t>区）进行</w:t>
      </w:r>
      <w:r>
        <w:rPr>
          <w:rFonts w:hint="eastAsia" w:ascii="仿宋_GB2312" w:hAnsi="仿宋_GB2312" w:eastAsia="仿宋_GB2312" w:cs="仿宋_GB2312"/>
          <w:color w:val="auto"/>
          <w:sz w:val="32"/>
          <w:szCs w:val="32"/>
          <w:lang w:eastAsia="zh-CN"/>
        </w:rPr>
        <w:t>督促指导</w:t>
      </w:r>
      <w:r>
        <w:rPr>
          <w:rFonts w:hint="eastAsia" w:ascii="仿宋_GB2312" w:hAnsi="仿宋_GB2312" w:eastAsia="仿宋_GB2312" w:cs="仿宋_GB2312"/>
          <w:color w:val="auto"/>
          <w:sz w:val="32"/>
          <w:szCs w:val="32"/>
        </w:rPr>
        <w:t>。</w:t>
      </w:r>
    </w:p>
    <w:p w14:paraId="2684A6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.审定</w:t>
      </w:r>
      <w:r>
        <w:rPr>
          <w:rFonts w:hint="eastAsia" w:ascii="仿宋_GB2312" w:hAnsi="仿宋_GB2312" w:eastAsia="仿宋_GB2312" w:cs="仿宋_GB2312"/>
          <w:color w:val="auto"/>
          <w:sz w:val="32"/>
          <w:szCs w:val="32"/>
          <w:lang w:val="en-US" w:eastAsia="zh-CN"/>
        </w:rPr>
        <w:t>对全面优化</w:t>
      </w:r>
      <w:r>
        <w:rPr>
          <w:rFonts w:hint="eastAsia" w:ascii="仿宋_GB2312" w:hAnsi="仿宋_GB2312" w:eastAsia="仿宋_GB2312" w:cs="仿宋_GB2312"/>
          <w:color w:val="auto"/>
          <w:sz w:val="32"/>
          <w:szCs w:val="32"/>
          <w:lang w:eastAsia="zh-CN"/>
        </w:rPr>
        <w:t>营商环境</w:t>
      </w:r>
      <w:r>
        <w:rPr>
          <w:rFonts w:hint="eastAsia" w:ascii="仿宋_GB2312" w:hAnsi="仿宋_GB2312" w:eastAsia="仿宋_GB2312" w:cs="仿宋_GB2312"/>
          <w:color w:val="auto"/>
          <w:sz w:val="32"/>
          <w:szCs w:val="32"/>
          <w:lang w:val="en-US" w:eastAsia="zh-CN"/>
        </w:rPr>
        <w:t>攻坚行动</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color w:val="auto"/>
          <w:sz w:val="32"/>
          <w:szCs w:val="32"/>
          <w:lang w:val="en-US" w:eastAsia="zh-CN"/>
        </w:rPr>
        <w:t>表现</w:t>
      </w:r>
      <w:r>
        <w:rPr>
          <w:rFonts w:hint="eastAsia" w:ascii="仿宋_GB2312" w:hAnsi="仿宋_GB2312" w:eastAsia="仿宋_GB2312" w:cs="仿宋_GB2312"/>
          <w:color w:val="auto"/>
          <w:sz w:val="32"/>
          <w:szCs w:val="32"/>
        </w:rPr>
        <w:t>优秀</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val="en-US" w:eastAsia="zh-CN"/>
        </w:rPr>
        <w:t>和镇</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开发</w:t>
      </w:r>
      <w:r>
        <w:rPr>
          <w:rFonts w:hint="eastAsia" w:ascii="仿宋_GB2312" w:hAnsi="仿宋_GB2312" w:eastAsia="仿宋_GB2312" w:cs="仿宋_GB2312"/>
          <w:color w:val="auto"/>
          <w:sz w:val="32"/>
          <w:szCs w:val="32"/>
        </w:rPr>
        <w:t>区）给予正向激励的方案。</w:t>
      </w:r>
    </w:p>
    <w:p w14:paraId="3C1742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 xml:space="preserve">.其他需要提交指挥部工作会议讨论的事项。 </w:t>
      </w:r>
    </w:p>
    <w:p w14:paraId="38645DF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rPr>
        <w:t>(</w:t>
      </w:r>
      <w:r>
        <w:rPr>
          <w:rFonts w:hint="eastAsia" w:ascii="楷体" w:hAnsi="楷体" w:eastAsia="楷体" w:cs="楷体"/>
          <w:b/>
          <w:bCs/>
          <w:color w:val="auto"/>
          <w:sz w:val="32"/>
          <w:szCs w:val="32"/>
          <w:lang w:val="en-US" w:eastAsia="zh-CN"/>
        </w:rPr>
        <w:t>二</w:t>
      </w:r>
      <w:r>
        <w:rPr>
          <w:rFonts w:hint="eastAsia" w:ascii="楷体" w:hAnsi="楷体" w:eastAsia="楷体" w:cs="楷体"/>
          <w:b/>
          <w:bCs/>
          <w:color w:val="auto"/>
          <w:sz w:val="32"/>
          <w:szCs w:val="32"/>
        </w:rPr>
        <w:t>)指挥部办公室工作会议。</w:t>
      </w:r>
      <w:r>
        <w:rPr>
          <w:rFonts w:hint="eastAsia" w:ascii="仿宋_GB2312" w:hAnsi="仿宋_GB2312" w:eastAsia="仿宋_GB2312" w:cs="仿宋_GB2312"/>
          <w:color w:val="auto"/>
          <w:sz w:val="32"/>
          <w:szCs w:val="32"/>
        </w:rPr>
        <w:t>细化落实指挥部的各项决议，原则上每月召开不少于</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次，由指挥部办公室主任或委托副主任主持，会议议题相关的指挥部办公室</w:t>
      </w:r>
      <w:r>
        <w:rPr>
          <w:rFonts w:hint="eastAsia" w:ascii="仿宋_GB2312" w:hAnsi="仿宋_GB2312" w:eastAsia="仿宋_GB2312" w:cs="仿宋_GB2312"/>
          <w:color w:val="auto"/>
          <w:sz w:val="32"/>
          <w:szCs w:val="32"/>
          <w:lang w:eastAsia="zh-CN"/>
        </w:rPr>
        <w:t>副主任、</w:t>
      </w:r>
      <w:r>
        <w:rPr>
          <w:rFonts w:hint="eastAsia" w:ascii="仿宋_GB2312" w:hAnsi="仿宋_GB2312" w:eastAsia="仿宋_GB2312" w:cs="仿宋_GB2312"/>
          <w:color w:val="auto"/>
          <w:sz w:val="32"/>
          <w:szCs w:val="32"/>
        </w:rPr>
        <w:t>相关</w:t>
      </w:r>
      <w:r>
        <w:rPr>
          <w:rFonts w:hint="eastAsia" w:ascii="仿宋_GB2312" w:hAnsi="仿宋_GB2312" w:eastAsia="仿宋_GB2312" w:cs="仿宋_GB2312"/>
          <w:color w:val="auto"/>
          <w:sz w:val="32"/>
          <w:szCs w:val="32"/>
          <w:lang w:val="en-US" w:eastAsia="zh-CN"/>
        </w:rPr>
        <w:t>专班正副组长和有关单位业务股长参加</w:t>
      </w:r>
      <w:r>
        <w:rPr>
          <w:rFonts w:hint="eastAsia" w:ascii="仿宋_GB2312" w:hAnsi="仿宋_GB2312" w:eastAsia="仿宋_GB2312" w:cs="仿宋_GB2312"/>
          <w:color w:val="auto"/>
          <w:sz w:val="32"/>
          <w:szCs w:val="32"/>
        </w:rPr>
        <w:t>参加。议事事项主要包括:</w:t>
      </w:r>
    </w:p>
    <w:p w14:paraId="39ECD8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1.初步审议</w:t>
      </w:r>
      <w:r>
        <w:rPr>
          <w:rFonts w:hint="eastAsia" w:ascii="仿宋_GB2312" w:hAnsi="仿宋_GB2312" w:eastAsia="仿宋_GB2312" w:cs="仿宋_GB2312"/>
          <w:color w:val="auto"/>
          <w:sz w:val="32"/>
          <w:szCs w:val="32"/>
          <w:lang w:val="en-US" w:eastAsia="zh-CN"/>
        </w:rPr>
        <w:t>全面优化</w:t>
      </w:r>
      <w:r>
        <w:rPr>
          <w:rFonts w:hint="eastAsia" w:ascii="仿宋_GB2312" w:hAnsi="仿宋_GB2312" w:eastAsia="仿宋_GB2312" w:cs="仿宋_GB2312"/>
          <w:color w:val="auto"/>
          <w:sz w:val="32"/>
          <w:szCs w:val="32"/>
          <w:lang w:eastAsia="zh-CN"/>
        </w:rPr>
        <w:t>营商环境</w:t>
      </w:r>
      <w:r>
        <w:rPr>
          <w:rFonts w:hint="eastAsia" w:ascii="仿宋_GB2312" w:hAnsi="仿宋_GB2312" w:eastAsia="仿宋_GB2312" w:cs="仿宋_GB2312"/>
          <w:color w:val="auto"/>
          <w:sz w:val="32"/>
          <w:szCs w:val="32"/>
          <w:lang w:val="en-US" w:eastAsia="zh-CN"/>
        </w:rPr>
        <w:t>攻坚行动</w:t>
      </w:r>
      <w:r>
        <w:rPr>
          <w:rFonts w:hint="eastAsia" w:ascii="仿宋_GB2312" w:hAnsi="仿宋_GB2312" w:eastAsia="仿宋_GB2312" w:cs="仿宋_GB2312"/>
          <w:color w:val="auto"/>
          <w:sz w:val="32"/>
          <w:szCs w:val="32"/>
          <w:lang w:eastAsia="zh-CN"/>
        </w:rPr>
        <w:t>工作方案及任务清单</w:t>
      </w:r>
      <w:r>
        <w:rPr>
          <w:rFonts w:hint="eastAsia" w:ascii="仿宋_GB2312" w:hAnsi="仿宋_GB2312" w:eastAsia="仿宋_GB2312" w:cs="仿宋_GB2312"/>
          <w:color w:val="auto"/>
          <w:sz w:val="32"/>
          <w:szCs w:val="32"/>
        </w:rPr>
        <w:t>，提交指挥部工作会议审定。定期研究、细化落实总指挥部办公室各项任务。</w:t>
      </w:r>
    </w:p>
    <w:p w14:paraId="156675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.初步审议</w:t>
      </w:r>
      <w:r>
        <w:rPr>
          <w:rFonts w:hint="eastAsia" w:ascii="仿宋_GB2312" w:hAnsi="仿宋_GB2312" w:eastAsia="仿宋_GB2312" w:cs="仿宋_GB2312"/>
          <w:color w:val="auto"/>
          <w:sz w:val="32"/>
          <w:szCs w:val="32"/>
          <w:lang w:val="en-US" w:eastAsia="zh-CN"/>
        </w:rPr>
        <w:t>全面优化</w:t>
      </w:r>
      <w:r>
        <w:rPr>
          <w:rFonts w:hint="eastAsia" w:ascii="仿宋_GB2312" w:hAnsi="仿宋_GB2312" w:eastAsia="仿宋_GB2312" w:cs="仿宋_GB2312"/>
          <w:color w:val="auto"/>
          <w:sz w:val="32"/>
          <w:szCs w:val="32"/>
          <w:lang w:eastAsia="zh-CN"/>
        </w:rPr>
        <w:t>营商环境</w:t>
      </w:r>
      <w:r>
        <w:rPr>
          <w:rFonts w:hint="eastAsia" w:ascii="仿宋_GB2312" w:hAnsi="仿宋_GB2312" w:eastAsia="仿宋_GB2312" w:cs="仿宋_GB2312"/>
          <w:color w:val="auto"/>
          <w:sz w:val="32"/>
          <w:szCs w:val="32"/>
          <w:lang w:val="en-US" w:eastAsia="zh-CN"/>
        </w:rPr>
        <w:t>攻坚行动</w:t>
      </w:r>
      <w:r>
        <w:rPr>
          <w:rFonts w:hint="eastAsia" w:ascii="仿宋_GB2312" w:hAnsi="仿宋_GB2312" w:eastAsia="仿宋_GB2312" w:cs="仿宋_GB2312"/>
          <w:color w:val="auto"/>
          <w:sz w:val="32"/>
          <w:szCs w:val="32"/>
        </w:rPr>
        <w:t>政策文件，并提交指挥部工作会议审定。</w:t>
      </w:r>
    </w:p>
    <w:p w14:paraId="446C40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.研究解决</w:t>
      </w:r>
      <w:r>
        <w:rPr>
          <w:rFonts w:hint="eastAsia" w:ascii="仿宋_GB2312" w:hAnsi="仿宋_GB2312" w:eastAsia="仿宋_GB2312" w:cs="仿宋_GB2312"/>
          <w:color w:val="auto"/>
          <w:sz w:val="32"/>
          <w:szCs w:val="32"/>
          <w:lang w:eastAsia="zh-CN"/>
        </w:rPr>
        <w:t>工作方案</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eastAsia="zh-CN"/>
        </w:rPr>
        <w:t>任务清单</w:t>
      </w:r>
      <w:r>
        <w:rPr>
          <w:rFonts w:hint="eastAsia" w:ascii="仿宋_GB2312" w:hAnsi="仿宋_GB2312" w:eastAsia="仿宋_GB2312" w:cs="仿宋_GB2312"/>
          <w:color w:val="auto"/>
          <w:sz w:val="32"/>
          <w:szCs w:val="32"/>
        </w:rPr>
        <w:t>推进过程中的存在问题;对重大问题提出初步处理意见和解决方案，并提交指挥部工作会议研究。</w:t>
      </w:r>
    </w:p>
    <w:p w14:paraId="5BC418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.初步审议对</w:t>
      </w:r>
      <w:r>
        <w:rPr>
          <w:rFonts w:hint="eastAsia" w:ascii="仿宋_GB2312" w:hAnsi="仿宋_GB2312" w:eastAsia="仿宋_GB2312" w:cs="仿宋_GB2312"/>
          <w:color w:val="auto"/>
          <w:sz w:val="32"/>
          <w:szCs w:val="32"/>
          <w:lang w:val="en-US" w:eastAsia="zh-CN"/>
        </w:rPr>
        <w:t>全面优化</w:t>
      </w:r>
      <w:r>
        <w:rPr>
          <w:rFonts w:hint="eastAsia" w:ascii="仿宋_GB2312" w:hAnsi="仿宋_GB2312" w:eastAsia="仿宋_GB2312" w:cs="仿宋_GB2312"/>
          <w:color w:val="auto"/>
          <w:sz w:val="32"/>
          <w:szCs w:val="32"/>
          <w:lang w:eastAsia="zh-CN"/>
        </w:rPr>
        <w:t>营商环境</w:t>
      </w:r>
      <w:r>
        <w:rPr>
          <w:rFonts w:hint="eastAsia" w:ascii="仿宋_GB2312" w:hAnsi="仿宋_GB2312" w:eastAsia="仿宋_GB2312" w:cs="仿宋_GB2312"/>
          <w:color w:val="auto"/>
          <w:sz w:val="32"/>
          <w:szCs w:val="32"/>
          <w:lang w:val="en-US" w:eastAsia="zh-CN"/>
        </w:rPr>
        <w:t>攻坚行动</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color w:val="auto"/>
          <w:sz w:val="32"/>
          <w:szCs w:val="32"/>
          <w:lang w:val="en-US" w:eastAsia="zh-CN"/>
        </w:rPr>
        <w:t>表现</w:t>
      </w:r>
      <w:r>
        <w:rPr>
          <w:rFonts w:hint="eastAsia" w:ascii="仿宋_GB2312" w:hAnsi="仿宋_GB2312" w:eastAsia="仿宋_GB2312" w:cs="仿宋_GB2312"/>
          <w:color w:val="auto"/>
          <w:sz w:val="32"/>
          <w:szCs w:val="32"/>
        </w:rPr>
        <w:t>优秀</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val="en-US" w:eastAsia="zh-CN"/>
        </w:rPr>
        <w:t>和镇</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开发</w:t>
      </w:r>
      <w:r>
        <w:rPr>
          <w:rFonts w:hint="eastAsia" w:ascii="仿宋_GB2312" w:hAnsi="仿宋_GB2312" w:eastAsia="仿宋_GB2312" w:cs="仿宋_GB2312"/>
          <w:color w:val="auto"/>
          <w:sz w:val="32"/>
          <w:szCs w:val="32"/>
        </w:rPr>
        <w:t>区）给予正向激励的方案，并提交指挥部工作会议审定。</w:t>
      </w:r>
    </w:p>
    <w:p w14:paraId="022EC8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受指挥部委托，统筹加强对指挥部办公室各专班工作督查督办，通过督查通报、督办函等方式，</w:t>
      </w:r>
      <w:r>
        <w:rPr>
          <w:rFonts w:hint="eastAsia" w:ascii="仿宋_GB2312" w:hAnsi="仿宋_GB2312" w:eastAsia="仿宋_GB2312" w:cs="仿宋_GB2312"/>
          <w:color w:val="auto"/>
          <w:sz w:val="32"/>
          <w:szCs w:val="32"/>
        </w:rPr>
        <w:t>督导相关责任单位、</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开发</w:t>
      </w:r>
      <w:r>
        <w:rPr>
          <w:rFonts w:hint="eastAsia" w:ascii="仿宋_GB2312" w:hAnsi="仿宋_GB2312" w:eastAsia="仿宋_GB2312" w:cs="仿宋_GB2312"/>
          <w:color w:val="auto"/>
          <w:sz w:val="32"/>
          <w:szCs w:val="32"/>
        </w:rPr>
        <w:t>区）推动落实</w:t>
      </w:r>
      <w:r>
        <w:rPr>
          <w:rFonts w:hint="eastAsia" w:ascii="仿宋_GB2312" w:hAnsi="仿宋_GB2312" w:eastAsia="仿宋_GB2312" w:cs="仿宋_GB2312"/>
          <w:color w:val="auto"/>
          <w:sz w:val="32"/>
          <w:szCs w:val="32"/>
          <w:lang w:eastAsia="zh-CN"/>
        </w:rPr>
        <w:t>《工作方案》</w:t>
      </w:r>
      <w:r>
        <w:rPr>
          <w:rFonts w:hint="eastAsia" w:ascii="仿宋_GB2312" w:hAnsi="仿宋_GB2312" w:eastAsia="仿宋_GB2312" w:cs="仿宋_GB2312"/>
          <w:color w:val="auto"/>
          <w:sz w:val="32"/>
          <w:szCs w:val="32"/>
        </w:rPr>
        <w:t>，定期听取行动工作进度汇报，统筹、引导各</w:t>
      </w:r>
      <w:r>
        <w:rPr>
          <w:rFonts w:hint="eastAsia" w:ascii="仿宋_GB2312" w:hAnsi="仿宋_GB2312" w:eastAsia="仿宋_GB2312" w:cs="仿宋_GB2312"/>
          <w:color w:val="auto"/>
          <w:sz w:val="32"/>
          <w:szCs w:val="32"/>
          <w:lang w:val="en-US" w:eastAsia="zh-CN"/>
        </w:rPr>
        <w:t>专班</w:t>
      </w:r>
      <w:r>
        <w:rPr>
          <w:rFonts w:hint="eastAsia" w:ascii="仿宋_GB2312" w:hAnsi="仿宋_GB2312" w:eastAsia="仿宋_GB2312" w:cs="仿宋_GB2312"/>
          <w:color w:val="auto"/>
          <w:sz w:val="32"/>
          <w:szCs w:val="32"/>
        </w:rPr>
        <w:t>落实工作目标和路径。</w:t>
      </w:r>
    </w:p>
    <w:p w14:paraId="1FE91C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.审议其他需要提交总指挥部工作会议讨论的事项。</w:t>
      </w:r>
    </w:p>
    <w:p w14:paraId="571FDC0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rPr>
        <w:t>(</w:t>
      </w:r>
      <w:r>
        <w:rPr>
          <w:rFonts w:hint="eastAsia" w:ascii="楷体" w:hAnsi="楷体" w:eastAsia="楷体" w:cs="楷体"/>
          <w:b/>
          <w:bCs/>
          <w:color w:val="auto"/>
          <w:sz w:val="32"/>
          <w:szCs w:val="32"/>
          <w:lang w:val="en-US" w:eastAsia="zh-CN"/>
        </w:rPr>
        <w:t>四</w:t>
      </w:r>
      <w:r>
        <w:rPr>
          <w:rFonts w:hint="eastAsia" w:ascii="楷体" w:hAnsi="楷体" w:eastAsia="楷体" w:cs="楷体"/>
          <w:b/>
          <w:bCs/>
          <w:color w:val="auto"/>
          <w:sz w:val="32"/>
          <w:szCs w:val="32"/>
        </w:rPr>
        <w:t>)</w:t>
      </w:r>
      <w:r>
        <w:rPr>
          <w:rFonts w:hint="eastAsia" w:ascii="楷体" w:hAnsi="楷体" w:eastAsia="楷体" w:cs="楷体"/>
          <w:b/>
          <w:bCs/>
          <w:color w:val="auto"/>
          <w:sz w:val="32"/>
          <w:szCs w:val="32"/>
          <w:lang w:val="en-US" w:eastAsia="zh-CN"/>
        </w:rPr>
        <w:t>专班</w:t>
      </w:r>
      <w:r>
        <w:rPr>
          <w:rFonts w:hint="eastAsia" w:ascii="楷体" w:hAnsi="楷体" w:eastAsia="楷体" w:cs="楷体"/>
          <w:b/>
          <w:bCs/>
          <w:color w:val="auto"/>
          <w:sz w:val="32"/>
          <w:szCs w:val="32"/>
        </w:rPr>
        <w:t>工作会议。</w:t>
      </w:r>
      <w:r>
        <w:rPr>
          <w:rFonts w:hint="eastAsia" w:ascii="仿宋_GB2312" w:hAnsi="仿宋_GB2312" w:eastAsia="仿宋_GB2312" w:cs="仿宋_GB2312"/>
          <w:color w:val="auto"/>
          <w:sz w:val="32"/>
          <w:szCs w:val="32"/>
        </w:rPr>
        <w:t>原则上每月不少于</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次，由各</w:t>
      </w:r>
      <w:r>
        <w:rPr>
          <w:rFonts w:hint="eastAsia" w:ascii="仿宋_GB2312" w:hAnsi="仿宋_GB2312" w:eastAsia="仿宋_GB2312" w:cs="仿宋_GB2312"/>
          <w:color w:val="auto"/>
          <w:sz w:val="32"/>
          <w:szCs w:val="32"/>
          <w:lang w:val="en-US" w:eastAsia="zh-CN"/>
        </w:rPr>
        <w:t>专班</w:t>
      </w:r>
      <w:r>
        <w:rPr>
          <w:rFonts w:hint="eastAsia" w:ascii="仿宋_GB2312" w:hAnsi="仿宋_GB2312" w:eastAsia="仿宋_GB2312" w:cs="仿宋_GB2312"/>
          <w:color w:val="auto"/>
          <w:sz w:val="32"/>
          <w:szCs w:val="32"/>
        </w:rPr>
        <w:t>组长或委托副组长主持，可视会议内容邀请指挥部办公室主任、副主任参加。议事事项主要包括:</w:t>
      </w:r>
    </w:p>
    <w:p w14:paraId="35AB62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1.研究</w:t>
      </w:r>
      <w:r>
        <w:rPr>
          <w:rFonts w:hint="eastAsia" w:ascii="仿宋_GB2312" w:hAnsi="仿宋_GB2312" w:eastAsia="仿宋_GB2312" w:cs="仿宋_GB2312"/>
          <w:color w:val="auto"/>
          <w:sz w:val="32"/>
          <w:szCs w:val="32"/>
          <w:lang w:val="en-US" w:eastAsia="zh-CN"/>
        </w:rPr>
        <w:t>专班</w:t>
      </w:r>
      <w:r>
        <w:rPr>
          <w:rFonts w:hint="eastAsia" w:ascii="仿宋_GB2312" w:hAnsi="仿宋_GB2312" w:eastAsia="仿宋_GB2312" w:cs="仿宋_GB2312"/>
          <w:color w:val="auto"/>
          <w:sz w:val="32"/>
          <w:szCs w:val="32"/>
        </w:rPr>
        <w:t>的年度工作</w:t>
      </w:r>
      <w:r>
        <w:rPr>
          <w:rFonts w:hint="eastAsia" w:ascii="仿宋_GB2312" w:hAnsi="仿宋_GB2312" w:eastAsia="仿宋_GB2312" w:cs="仿宋_GB2312"/>
          <w:color w:val="auto"/>
          <w:sz w:val="32"/>
          <w:szCs w:val="32"/>
          <w:lang w:eastAsia="zh-CN"/>
        </w:rPr>
        <w:t>方案</w:t>
      </w:r>
      <w:r>
        <w:rPr>
          <w:rFonts w:hint="eastAsia" w:ascii="仿宋_GB2312" w:hAnsi="仿宋_GB2312" w:eastAsia="仿宋_GB2312" w:cs="仿宋_GB2312"/>
          <w:color w:val="auto"/>
          <w:sz w:val="32"/>
          <w:szCs w:val="32"/>
        </w:rPr>
        <w:t>，定期研究、部署、推进工作组各项任务。</w:t>
      </w:r>
    </w:p>
    <w:p w14:paraId="26B83C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2.针对</w:t>
      </w:r>
      <w:r>
        <w:rPr>
          <w:rFonts w:hint="eastAsia" w:ascii="仿宋_GB2312" w:hAnsi="仿宋_GB2312" w:eastAsia="仿宋_GB2312" w:cs="仿宋_GB2312"/>
          <w:color w:val="auto"/>
          <w:sz w:val="32"/>
          <w:szCs w:val="32"/>
          <w:lang w:eastAsia="zh-CN"/>
        </w:rPr>
        <w:t>《工作方案》</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eastAsia="zh-CN"/>
        </w:rPr>
        <w:t>《任务清单》</w:t>
      </w:r>
      <w:r>
        <w:rPr>
          <w:rFonts w:hint="eastAsia" w:ascii="仿宋_GB2312" w:hAnsi="仿宋_GB2312" w:eastAsia="仿宋_GB2312" w:cs="仿宋_GB2312"/>
          <w:color w:val="auto"/>
          <w:sz w:val="32"/>
          <w:szCs w:val="32"/>
        </w:rPr>
        <w:t>的推进情况，研究补充完善</w:t>
      </w:r>
      <w:r>
        <w:rPr>
          <w:rFonts w:hint="eastAsia" w:ascii="仿宋_GB2312" w:hAnsi="仿宋_GB2312" w:eastAsia="仿宋_GB2312" w:cs="仿宋_GB2312"/>
          <w:color w:val="auto"/>
          <w:sz w:val="32"/>
          <w:szCs w:val="32"/>
          <w:lang w:val="en-US" w:eastAsia="zh-CN"/>
        </w:rPr>
        <w:t>全面优化</w:t>
      </w:r>
      <w:r>
        <w:rPr>
          <w:rFonts w:hint="eastAsia" w:ascii="仿宋_GB2312" w:hAnsi="仿宋_GB2312" w:eastAsia="仿宋_GB2312" w:cs="仿宋_GB2312"/>
          <w:color w:val="auto"/>
          <w:sz w:val="32"/>
          <w:szCs w:val="32"/>
          <w:lang w:eastAsia="zh-CN"/>
        </w:rPr>
        <w:t>营商环境</w:t>
      </w:r>
      <w:r>
        <w:rPr>
          <w:rFonts w:hint="eastAsia" w:ascii="仿宋_GB2312" w:hAnsi="仿宋_GB2312" w:eastAsia="仿宋_GB2312" w:cs="仿宋_GB2312"/>
          <w:color w:val="auto"/>
          <w:sz w:val="32"/>
          <w:szCs w:val="32"/>
          <w:lang w:val="en-US" w:eastAsia="zh-CN"/>
        </w:rPr>
        <w:t>攻坚行动</w:t>
      </w:r>
      <w:r>
        <w:rPr>
          <w:rFonts w:hint="eastAsia" w:ascii="仿宋_GB2312" w:hAnsi="仿宋_GB2312" w:eastAsia="仿宋_GB2312" w:cs="仿宋_GB2312"/>
          <w:color w:val="auto"/>
          <w:sz w:val="32"/>
          <w:szCs w:val="32"/>
        </w:rPr>
        <w:t>政策体系，会同相关职能部门落实配套政策制定。</w:t>
      </w:r>
    </w:p>
    <w:p w14:paraId="7881E5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3.研究</w:t>
      </w:r>
      <w:r>
        <w:rPr>
          <w:rFonts w:hint="eastAsia" w:ascii="仿宋_GB2312" w:hAnsi="仿宋_GB2312" w:eastAsia="仿宋_GB2312" w:cs="仿宋_GB2312"/>
          <w:color w:val="auto"/>
          <w:sz w:val="32"/>
          <w:szCs w:val="32"/>
          <w:lang w:eastAsia="zh-CN"/>
        </w:rPr>
        <w:t>《工作方案》</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eastAsia="zh-CN"/>
        </w:rPr>
        <w:t>《任务清单》</w:t>
      </w:r>
      <w:r>
        <w:rPr>
          <w:rFonts w:hint="eastAsia" w:ascii="仿宋_GB2312" w:hAnsi="仿宋_GB2312" w:eastAsia="仿宋_GB2312" w:cs="仿宋_GB2312"/>
          <w:color w:val="auto"/>
          <w:sz w:val="32"/>
          <w:szCs w:val="32"/>
        </w:rPr>
        <w:t>的督导工作，及时协调解决存在问题，提出具体工作意见，对</w:t>
      </w:r>
      <w:r>
        <w:rPr>
          <w:rFonts w:hint="eastAsia" w:ascii="仿宋_GB2312" w:hAnsi="仿宋_GB2312" w:eastAsia="仿宋_GB2312" w:cs="仿宋_GB2312"/>
          <w:color w:val="auto"/>
          <w:sz w:val="32"/>
          <w:szCs w:val="32"/>
          <w:lang w:eastAsia="zh-CN"/>
        </w:rPr>
        <w:t>专班</w:t>
      </w:r>
      <w:r>
        <w:rPr>
          <w:rFonts w:hint="eastAsia" w:ascii="仿宋_GB2312" w:hAnsi="仿宋_GB2312" w:eastAsia="仿宋_GB2312" w:cs="仿宋_GB2312"/>
          <w:color w:val="auto"/>
          <w:sz w:val="32"/>
          <w:szCs w:val="32"/>
        </w:rPr>
        <w:t>层面不能解决的，及时上报指挥部办公室研究。</w:t>
      </w:r>
    </w:p>
    <w:p w14:paraId="71B069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.督导</w:t>
      </w:r>
      <w:r>
        <w:rPr>
          <w:rFonts w:hint="eastAsia" w:ascii="仿宋_GB2312" w:hAnsi="仿宋_GB2312" w:eastAsia="仿宋_GB2312" w:cs="仿宋_GB2312"/>
          <w:color w:val="auto"/>
          <w:sz w:val="32"/>
          <w:szCs w:val="32"/>
          <w:lang w:eastAsia="zh-CN"/>
        </w:rPr>
        <w:t>本专班</w:t>
      </w:r>
      <w:r>
        <w:rPr>
          <w:rFonts w:hint="eastAsia" w:ascii="仿宋_GB2312" w:hAnsi="仿宋_GB2312" w:eastAsia="仿宋_GB2312" w:cs="仿宋_GB2312"/>
          <w:color w:val="auto"/>
          <w:sz w:val="32"/>
          <w:szCs w:val="32"/>
          <w:lang w:val="en-US" w:eastAsia="zh-CN"/>
        </w:rPr>
        <w:t>相关责任单位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镇工作</w:t>
      </w:r>
      <w:r>
        <w:rPr>
          <w:rFonts w:hint="eastAsia" w:ascii="仿宋_GB2312" w:hAnsi="仿宋_GB2312" w:eastAsia="仿宋_GB2312" w:cs="仿宋_GB2312"/>
          <w:color w:val="auto"/>
          <w:sz w:val="32"/>
          <w:szCs w:val="32"/>
        </w:rPr>
        <w:t>任务推动落实</w:t>
      </w:r>
      <w:r>
        <w:rPr>
          <w:rFonts w:hint="eastAsia" w:ascii="仿宋_GB2312" w:hAnsi="仿宋_GB2312" w:eastAsia="仿宋_GB2312" w:cs="仿宋_GB2312"/>
          <w:color w:val="auto"/>
          <w:sz w:val="32"/>
          <w:szCs w:val="32"/>
          <w:lang w:val="en-US" w:eastAsia="zh-CN"/>
        </w:rPr>
        <w:t>情况</w:t>
      </w:r>
      <w:r>
        <w:rPr>
          <w:rFonts w:hint="eastAsia" w:ascii="仿宋_GB2312" w:hAnsi="仿宋_GB2312" w:eastAsia="仿宋_GB2312" w:cs="仿宋_GB2312"/>
          <w:color w:val="auto"/>
          <w:sz w:val="32"/>
          <w:szCs w:val="32"/>
        </w:rPr>
        <w:t>，研究对</w:t>
      </w:r>
      <w:r>
        <w:rPr>
          <w:rFonts w:hint="eastAsia" w:ascii="仿宋_GB2312" w:hAnsi="仿宋_GB2312" w:eastAsia="仿宋_GB2312" w:cs="仿宋_GB2312"/>
          <w:color w:val="auto"/>
          <w:sz w:val="32"/>
          <w:szCs w:val="32"/>
          <w:lang w:val="en-US" w:eastAsia="zh-CN"/>
        </w:rPr>
        <w:t>全面优化</w:t>
      </w:r>
      <w:r>
        <w:rPr>
          <w:rFonts w:hint="eastAsia" w:ascii="仿宋_GB2312" w:hAnsi="仿宋_GB2312" w:eastAsia="仿宋_GB2312" w:cs="仿宋_GB2312"/>
          <w:color w:val="auto"/>
          <w:sz w:val="32"/>
          <w:szCs w:val="32"/>
          <w:lang w:eastAsia="zh-CN"/>
        </w:rPr>
        <w:t>营商环境</w:t>
      </w:r>
      <w:r>
        <w:rPr>
          <w:rFonts w:hint="eastAsia" w:ascii="仿宋_GB2312" w:hAnsi="仿宋_GB2312" w:eastAsia="仿宋_GB2312" w:cs="仿宋_GB2312"/>
          <w:color w:val="auto"/>
          <w:sz w:val="32"/>
          <w:szCs w:val="32"/>
          <w:lang w:val="en-US" w:eastAsia="zh-CN"/>
        </w:rPr>
        <w:t>攻坚行动</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color w:val="auto"/>
          <w:sz w:val="32"/>
          <w:szCs w:val="32"/>
          <w:lang w:val="en-US" w:eastAsia="zh-CN"/>
        </w:rPr>
        <w:t>表现</w:t>
      </w:r>
      <w:r>
        <w:rPr>
          <w:rFonts w:hint="eastAsia" w:ascii="仿宋_GB2312" w:hAnsi="仿宋_GB2312" w:eastAsia="仿宋_GB2312" w:cs="仿宋_GB2312"/>
          <w:color w:val="auto"/>
          <w:sz w:val="32"/>
          <w:szCs w:val="32"/>
        </w:rPr>
        <w:t>优秀</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责任单位</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、区）给予正向激励的方案，并提交指挥部办公室会议审议。</w:t>
      </w:r>
    </w:p>
    <w:p w14:paraId="39CF9C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.研究制定</w:t>
      </w:r>
      <w:r>
        <w:rPr>
          <w:rFonts w:hint="eastAsia" w:ascii="仿宋_GB2312" w:hAnsi="仿宋_GB2312" w:eastAsia="仿宋_GB2312" w:cs="仿宋_GB2312"/>
          <w:color w:val="auto"/>
          <w:sz w:val="32"/>
          <w:szCs w:val="32"/>
          <w:lang w:val="en-US" w:eastAsia="zh-CN"/>
        </w:rPr>
        <w:t>全面优化</w:t>
      </w:r>
      <w:r>
        <w:rPr>
          <w:rFonts w:hint="eastAsia" w:ascii="仿宋_GB2312" w:hAnsi="仿宋_GB2312" w:eastAsia="仿宋_GB2312" w:cs="仿宋_GB2312"/>
          <w:color w:val="auto"/>
          <w:sz w:val="32"/>
          <w:szCs w:val="32"/>
          <w:lang w:eastAsia="zh-CN"/>
        </w:rPr>
        <w:t>营商环境</w:t>
      </w:r>
      <w:r>
        <w:rPr>
          <w:rFonts w:hint="eastAsia" w:ascii="仿宋_GB2312" w:hAnsi="仿宋_GB2312" w:eastAsia="仿宋_GB2312" w:cs="仿宋_GB2312"/>
          <w:color w:val="auto"/>
          <w:sz w:val="32"/>
          <w:szCs w:val="32"/>
          <w:lang w:val="en-US" w:eastAsia="zh-CN"/>
        </w:rPr>
        <w:t>攻坚行动</w:t>
      </w:r>
      <w:r>
        <w:rPr>
          <w:rFonts w:hint="eastAsia" w:ascii="仿宋_GB2312" w:hAnsi="仿宋_GB2312" w:eastAsia="仿宋_GB2312" w:cs="仿宋_GB2312"/>
          <w:color w:val="auto"/>
          <w:sz w:val="32"/>
          <w:szCs w:val="32"/>
        </w:rPr>
        <w:t>重点任务细化工作方案，并提交指挥部办公室会议审定。</w:t>
      </w:r>
    </w:p>
    <w:p w14:paraId="27AAC5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研究</w:t>
      </w:r>
      <w:r>
        <w:rPr>
          <w:rFonts w:hint="eastAsia" w:ascii="仿宋_GB2312" w:hAnsi="仿宋_GB2312" w:eastAsia="仿宋_GB2312" w:cs="仿宋_GB2312"/>
          <w:color w:val="auto"/>
          <w:sz w:val="32"/>
          <w:szCs w:val="32"/>
        </w:rPr>
        <w:t>其他需要提交工作组工作会议讨论的事项。</w:t>
      </w:r>
    </w:p>
    <w:p w14:paraId="0FEF5E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四、组织实施</w:t>
      </w:r>
    </w:p>
    <w:p w14:paraId="425260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(一)指挥部及办公室工作会议由</w:t>
      </w:r>
      <w:r>
        <w:rPr>
          <w:rFonts w:hint="eastAsia" w:ascii="仿宋_GB2312" w:hAnsi="仿宋_GB2312" w:eastAsia="仿宋_GB2312" w:cs="仿宋_GB2312"/>
          <w:color w:val="auto"/>
          <w:sz w:val="32"/>
          <w:szCs w:val="32"/>
          <w:lang w:eastAsia="zh-CN"/>
        </w:rPr>
        <w:t>综合协调专班</w:t>
      </w:r>
      <w:r>
        <w:rPr>
          <w:rFonts w:hint="eastAsia" w:ascii="仿宋_GB2312" w:hAnsi="仿宋_GB2312" w:eastAsia="仿宋_GB2312" w:cs="仿宋_GB2312"/>
          <w:color w:val="auto"/>
          <w:sz w:val="32"/>
          <w:szCs w:val="32"/>
        </w:rPr>
        <w:t>负责组织；</w:t>
      </w:r>
      <w:r>
        <w:rPr>
          <w:rFonts w:hint="eastAsia" w:ascii="仿宋_GB2312" w:hAnsi="仿宋_GB2312" w:eastAsia="仿宋_GB2312" w:cs="仿宋_GB2312"/>
          <w:color w:val="auto"/>
          <w:sz w:val="32"/>
          <w:szCs w:val="32"/>
          <w:lang w:eastAsia="zh-CN"/>
        </w:rPr>
        <w:t>专班</w:t>
      </w:r>
      <w:r>
        <w:rPr>
          <w:rFonts w:hint="eastAsia" w:ascii="仿宋_GB2312" w:hAnsi="仿宋_GB2312" w:eastAsia="仿宋_GB2312" w:cs="仿宋_GB2312"/>
          <w:color w:val="auto"/>
          <w:sz w:val="32"/>
          <w:szCs w:val="32"/>
        </w:rPr>
        <w:t>工作会议的由各</w:t>
      </w:r>
      <w:r>
        <w:rPr>
          <w:rFonts w:hint="eastAsia" w:ascii="仿宋_GB2312" w:hAnsi="仿宋_GB2312" w:eastAsia="仿宋_GB2312" w:cs="仿宋_GB2312"/>
          <w:color w:val="auto"/>
          <w:sz w:val="32"/>
          <w:szCs w:val="32"/>
          <w:lang w:eastAsia="zh-CN"/>
        </w:rPr>
        <w:t>专班</w:t>
      </w:r>
      <w:r>
        <w:rPr>
          <w:rFonts w:hint="eastAsia" w:ascii="仿宋_GB2312" w:hAnsi="仿宋_GB2312" w:eastAsia="仿宋_GB2312" w:cs="仿宋_GB2312"/>
          <w:color w:val="auto"/>
          <w:sz w:val="32"/>
          <w:szCs w:val="32"/>
        </w:rPr>
        <w:t>安排专人负责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需提交县政府常务会、县委常委会审定的事项按照相关规定流程办理。</w:t>
      </w:r>
    </w:p>
    <w:p w14:paraId="437C1E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(二)会议议题由相关责任单位提出并陈述，上会前应完成征求意见；拟提交审议事项经</w:t>
      </w:r>
      <w:r>
        <w:rPr>
          <w:rFonts w:hint="eastAsia" w:ascii="仿宋_GB2312" w:hAnsi="仿宋_GB2312" w:eastAsia="仿宋_GB2312" w:cs="仿宋_GB2312"/>
          <w:color w:val="auto"/>
          <w:sz w:val="32"/>
          <w:szCs w:val="32"/>
          <w:lang w:eastAsia="zh-CN"/>
        </w:rPr>
        <w:t>专班</w:t>
      </w:r>
      <w:r>
        <w:rPr>
          <w:rFonts w:hint="eastAsia" w:ascii="仿宋_GB2312" w:hAnsi="仿宋_GB2312" w:eastAsia="仿宋_GB2312" w:cs="仿宋_GB2312"/>
          <w:color w:val="auto"/>
          <w:sz w:val="32"/>
          <w:szCs w:val="32"/>
        </w:rPr>
        <w:t>组长审核并呈报会议召集领导审定后列入会议议题。</w:t>
      </w:r>
    </w:p>
    <w:p w14:paraId="49B91F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(三)会议议定事项、交办事项由办公室</w:t>
      </w:r>
      <w:r>
        <w:rPr>
          <w:rFonts w:hint="eastAsia" w:ascii="仿宋_GB2312" w:hAnsi="仿宋_GB2312" w:eastAsia="仿宋_GB2312" w:cs="仿宋_GB2312"/>
          <w:color w:val="auto"/>
          <w:sz w:val="32"/>
          <w:szCs w:val="32"/>
          <w:lang w:eastAsia="zh-CN"/>
        </w:rPr>
        <w:t>综合协调专班</w:t>
      </w:r>
      <w:r>
        <w:rPr>
          <w:rFonts w:hint="eastAsia" w:ascii="仿宋_GB2312" w:hAnsi="仿宋_GB2312" w:eastAsia="仿宋_GB2312" w:cs="仿宋_GB2312"/>
          <w:color w:val="auto"/>
          <w:sz w:val="32"/>
          <w:szCs w:val="32"/>
        </w:rPr>
        <w:t>纳入督查台账，定期开展督导、核查进度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向指挥部通报落实进展情况。会议重大事项，由指挥部办公室会同</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政府督查室对指挥部决定事项落实情况开展督查</w:t>
      </w:r>
      <w:r>
        <w:rPr>
          <w:rFonts w:hint="eastAsia" w:ascii="仿宋_GB2312" w:hAnsi="仿宋_GB2312" w:eastAsia="仿宋_GB2312" w:cs="仿宋_GB2312"/>
          <w:color w:val="auto"/>
          <w:sz w:val="32"/>
          <w:szCs w:val="32"/>
          <w:lang w:eastAsia="zh-CN"/>
        </w:rPr>
        <w:t>，必要时</w:t>
      </w:r>
      <w:r>
        <w:rPr>
          <w:rFonts w:hint="eastAsia" w:ascii="仿宋_GB2312" w:hAnsi="仿宋_GB2312" w:eastAsia="仿宋_GB2312" w:cs="仿宋_GB2312"/>
          <w:color w:val="auto"/>
          <w:sz w:val="32"/>
          <w:szCs w:val="32"/>
        </w:rPr>
        <w:t>提请指挥部进行专项督查。</w:t>
      </w:r>
    </w:p>
    <w:p w14:paraId="59D43F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(四)经审议议题需提交</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政府常务会议的，按流程</w:t>
      </w:r>
      <w:r>
        <w:rPr>
          <w:rFonts w:hint="eastAsia" w:ascii="仿宋_GB2312" w:hAnsi="仿宋_GB2312" w:eastAsia="仿宋_GB2312" w:cs="仿宋_GB2312"/>
          <w:color w:val="auto"/>
          <w:sz w:val="32"/>
          <w:szCs w:val="32"/>
          <w:lang w:val="en-US" w:eastAsia="zh-CN"/>
        </w:rPr>
        <w:t>向县委、县政府</w:t>
      </w:r>
      <w:r>
        <w:rPr>
          <w:rFonts w:hint="eastAsia" w:ascii="仿宋_GB2312" w:hAnsi="仿宋_GB2312" w:eastAsia="仿宋_GB2312" w:cs="仿宋_GB2312"/>
          <w:color w:val="auto"/>
          <w:sz w:val="32"/>
          <w:szCs w:val="32"/>
        </w:rPr>
        <w:t>逐级呈报。</w:t>
      </w:r>
    </w:p>
    <w:p w14:paraId="03EC39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(五)对会议议定事项落实不到位的相关责任单位，根据情况提请</w:t>
      </w:r>
      <w:r>
        <w:rPr>
          <w:rFonts w:hint="eastAsia" w:ascii="仿宋_GB2312" w:hAnsi="仿宋_GB2312" w:eastAsia="仿宋_GB2312" w:cs="仿宋_GB2312"/>
          <w:color w:val="auto"/>
          <w:sz w:val="32"/>
          <w:szCs w:val="32"/>
          <w:lang w:eastAsia="zh-CN"/>
        </w:rPr>
        <w:t>指挥部分管县领导</w:t>
      </w:r>
      <w:r>
        <w:rPr>
          <w:rFonts w:hint="eastAsia" w:ascii="仿宋_GB2312" w:hAnsi="仿宋_GB2312" w:eastAsia="仿宋_GB2312" w:cs="仿宋_GB2312"/>
          <w:color w:val="auto"/>
          <w:sz w:val="32"/>
          <w:szCs w:val="32"/>
        </w:rPr>
        <w:t>对其单位负责人进行约谈、督导。</w:t>
      </w:r>
    </w:p>
    <w:p w14:paraId="680BE640">
      <w:pPr>
        <w:pStyle w:val="2"/>
        <w:rPr>
          <w:rFonts w:hint="default"/>
          <w:lang w:val="en-US" w:eastAsia="zh-CN"/>
        </w:rPr>
      </w:pPr>
    </w:p>
    <w:sectPr>
      <w:pgSz w:w="11906" w:h="16838"/>
      <w:pgMar w:top="1440" w:right="1587" w:bottom="1440" w:left="1587" w:header="851" w:footer="992" w:gutter="0"/>
      <w:pgNumType w:fmt="numberInDash"/>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86389">
    <w:pPr>
      <w:pStyle w:val="7"/>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p w14:paraId="274744C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1DE97">
    <w:pPr>
      <w:pStyle w:val="7"/>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p w14:paraId="43DDD6FA">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evenAndOddHeaders w:val="1"/>
  <w:drawingGridHorizontalSpacing w:val="105"/>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mMTU2N2FhZTBiY2EzZmY0NzU5MTBlOTg4M2ZjMDEifQ=="/>
  </w:docVars>
  <w:rsids>
    <w:rsidRoot w:val="00172A27"/>
    <w:rsid w:val="00013F58"/>
    <w:rsid w:val="00016191"/>
    <w:rsid w:val="00025460"/>
    <w:rsid w:val="000B3C9F"/>
    <w:rsid w:val="001032B9"/>
    <w:rsid w:val="001144F1"/>
    <w:rsid w:val="00125E2C"/>
    <w:rsid w:val="001475F5"/>
    <w:rsid w:val="00174553"/>
    <w:rsid w:val="0018108B"/>
    <w:rsid w:val="00183675"/>
    <w:rsid w:val="00194293"/>
    <w:rsid w:val="00194A7E"/>
    <w:rsid w:val="001B739A"/>
    <w:rsid w:val="001E6665"/>
    <w:rsid w:val="001F15D9"/>
    <w:rsid w:val="001F26A7"/>
    <w:rsid w:val="00221F39"/>
    <w:rsid w:val="00224832"/>
    <w:rsid w:val="002664C2"/>
    <w:rsid w:val="002F5D30"/>
    <w:rsid w:val="00324037"/>
    <w:rsid w:val="003319ED"/>
    <w:rsid w:val="00360E24"/>
    <w:rsid w:val="00382C7D"/>
    <w:rsid w:val="00383E7E"/>
    <w:rsid w:val="0039368B"/>
    <w:rsid w:val="003A196A"/>
    <w:rsid w:val="003C32FF"/>
    <w:rsid w:val="003C3DDD"/>
    <w:rsid w:val="00424E8B"/>
    <w:rsid w:val="004914C6"/>
    <w:rsid w:val="00493B7A"/>
    <w:rsid w:val="004B6D15"/>
    <w:rsid w:val="004C218B"/>
    <w:rsid w:val="004F4003"/>
    <w:rsid w:val="004F489F"/>
    <w:rsid w:val="00511AE9"/>
    <w:rsid w:val="00536644"/>
    <w:rsid w:val="005763D0"/>
    <w:rsid w:val="00577CC4"/>
    <w:rsid w:val="00597AC7"/>
    <w:rsid w:val="005A433C"/>
    <w:rsid w:val="0060638D"/>
    <w:rsid w:val="00687A4B"/>
    <w:rsid w:val="00695651"/>
    <w:rsid w:val="006D2558"/>
    <w:rsid w:val="006D2B36"/>
    <w:rsid w:val="006D553E"/>
    <w:rsid w:val="00712F7A"/>
    <w:rsid w:val="007152E4"/>
    <w:rsid w:val="0073767B"/>
    <w:rsid w:val="00787B9C"/>
    <w:rsid w:val="00795E81"/>
    <w:rsid w:val="007C5725"/>
    <w:rsid w:val="00804B7E"/>
    <w:rsid w:val="00880334"/>
    <w:rsid w:val="008A3A4C"/>
    <w:rsid w:val="008B1B0C"/>
    <w:rsid w:val="008C1BAF"/>
    <w:rsid w:val="008C77D2"/>
    <w:rsid w:val="008D550D"/>
    <w:rsid w:val="008E62EF"/>
    <w:rsid w:val="008F6245"/>
    <w:rsid w:val="008F7535"/>
    <w:rsid w:val="009125D8"/>
    <w:rsid w:val="00916FF5"/>
    <w:rsid w:val="009619A5"/>
    <w:rsid w:val="00995406"/>
    <w:rsid w:val="009A3CC8"/>
    <w:rsid w:val="009A46EB"/>
    <w:rsid w:val="009E408A"/>
    <w:rsid w:val="00A37570"/>
    <w:rsid w:val="00A4094B"/>
    <w:rsid w:val="00A50BC9"/>
    <w:rsid w:val="00A71F8E"/>
    <w:rsid w:val="00A7783F"/>
    <w:rsid w:val="00A81955"/>
    <w:rsid w:val="00A83DEA"/>
    <w:rsid w:val="00AC113D"/>
    <w:rsid w:val="00AD10E6"/>
    <w:rsid w:val="00AE0F2F"/>
    <w:rsid w:val="00B11FDE"/>
    <w:rsid w:val="00B265BA"/>
    <w:rsid w:val="00BA3803"/>
    <w:rsid w:val="00BA5FF6"/>
    <w:rsid w:val="00BA6E04"/>
    <w:rsid w:val="00BD4E84"/>
    <w:rsid w:val="00BD7494"/>
    <w:rsid w:val="00BF0E19"/>
    <w:rsid w:val="00C1092A"/>
    <w:rsid w:val="00C303D2"/>
    <w:rsid w:val="00C34AEC"/>
    <w:rsid w:val="00C43869"/>
    <w:rsid w:val="00CB3CFB"/>
    <w:rsid w:val="00CD0B54"/>
    <w:rsid w:val="00D100DB"/>
    <w:rsid w:val="00D4000C"/>
    <w:rsid w:val="00DB6472"/>
    <w:rsid w:val="00DF3616"/>
    <w:rsid w:val="00E07BD6"/>
    <w:rsid w:val="00E30D29"/>
    <w:rsid w:val="00E61630"/>
    <w:rsid w:val="00E72FA4"/>
    <w:rsid w:val="00E76E3F"/>
    <w:rsid w:val="00E81EDA"/>
    <w:rsid w:val="00EF1BED"/>
    <w:rsid w:val="00F11270"/>
    <w:rsid w:val="00F47008"/>
    <w:rsid w:val="00FC00AC"/>
    <w:rsid w:val="00FE46F3"/>
    <w:rsid w:val="00FF5339"/>
    <w:rsid w:val="011651B0"/>
    <w:rsid w:val="01226B8B"/>
    <w:rsid w:val="013E5808"/>
    <w:rsid w:val="016C2D4F"/>
    <w:rsid w:val="016D6E1B"/>
    <w:rsid w:val="019348AE"/>
    <w:rsid w:val="01AE199C"/>
    <w:rsid w:val="01C7657A"/>
    <w:rsid w:val="01DE2DC2"/>
    <w:rsid w:val="01FF1E15"/>
    <w:rsid w:val="020016E9"/>
    <w:rsid w:val="020F382C"/>
    <w:rsid w:val="02217FDE"/>
    <w:rsid w:val="0248442C"/>
    <w:rsid w:val="025D66D9"/>
    <w:rsid w:val="02866093"/>
    <w:rsid w:val="02DE11BD"/>
    <w:rsid w:val="03101E00"/>
    <w:rsid w:val="0328714A"/>
    <w:rsid w:val="033E7B57"/>
    <w:rsid w:val="034447CE"/>
    <w:rsid w:val="03DD2ACB"/>
    <w:rsid w:val="04DA7A7F"/>
    <w:rsid w:val="04E63EF8"/>
    <w:rsid w:val="050F559D"/>
    <w:rsid w:val="052B23E6"/>
    <w:rsid w:val="05C1292A"/>
    <w:rsid w:val="05D50933"/>
    <w:rsid w:val="05D667B2"/>
    <w:rsid w:val="05F72E03"/>
    <w:rsid w:val="0607573C"/>
    <w:rsid w:val="06095989"/>
    <w:rsid w:val="061F462F"/>
    <w:rsid w:val="06294DC7"/>
    <w:rsid w:val="06383B48"/>
    <w:rsid w:val="067701FB"/>
    <w:rsid w:val="067B04B0"/>
    <w:rsid w:val="06A541E2"/>
    <w:rsid w:val="06C61153"/>
    <w:rsid w:val="06DD649D"/>
    <w:rsid w:val="07393E4C"/>
    <w:rsid w:val="07610E7C"/>
    <w:rsid w:val="07863E84"/>
    <w:rsid w:val="07923427"/>
    <w:rsid w:val="07A74B79"/>
    <w:rsid w:val="07A82607"/>
    <w:rsid w:val="07AA0F30"/>
    <w:rsid w:val="07B11A71"/>
    <w:rsid w:val="07C05676"/>
    <w:rsid w:val="07C2303B"/>
    <w:rsid w:val="07C37441"/>
    <w:rsid w:val="07C53A9A"/>
    <w:rsid w:val="07D94EB6"/>
    <w:rsid w:val="080A3A40"/>
    <w:rsid w:val="080E2E0C"/>
    <w:rsid w:val="0819252E"/>
    <w:rsid w:val="085D7792"/>
    <w:rsid w:val="089D5923"/>
    <w:rsid w:val="08BE5080"/>
    <w:rsid w:val="08D856D8"/>
    <w:rsid w:val="08DF5891"/>
    <w:rsid w:val="08E51639"/>
    <w:rsid w:val="08F8676E"/>
    <w:rsid w:val="091268D2"/>
    <w:rsid w:val="093019FF"/>
    <w:rsid w:val="09401C1D"/>
    <w:rsid w:val="094042B1"/>
    <w:rsid w:val="09572537"/>
    <w:rsid w:val="097A3F9A"/>
    <w:rsid w:val="09967E6B"/>
    <w:rsid w:val="0998698D"/>
    <w:rsid w:val="09AD4C7B"/>
    <w:rsid w:val="09BA6303"/>
    <w:rsid w:val="09C0632E"/>
    <w:rsid w:val="09F25F03"/>
    <w:rsid w:val="0A002BCE"/>
    <w:rsid w:val="0A0F072B"/>
    <w:rsid w:val="0A2166A1"/>
    <w:rsid w:val="0A27015B"/>
    <w:rsid w:val="0A2A5C97"/>
    <w:rsid w:val="0A7E1784"/>
    <w:rsid w:val="0A913826"/>
    <w:rsid w:val="0AAE1681"/>
    <w:rsid w:val="0AB329D8"/>
    <w:rsid w:val="0AC55A21"/>
    <w:rsid w:val="0AEC2D36"/>
    <w:rsid w:val="0AEE2A27"/>
    <w:rsid w:val="0AFA13CC"/>
    <w:rsid w:val="0AFD0EBC"/>
    <w:rsid w:val="0B156206"/>
    <w:rsid w:val="0B1D7DF8"/>
    <w:rsid w:val="0B6F0CE5"/>
    <w:rsid w:val="0B8E204F"/>
    <w:rsid w:val="0BAD194D"/>
    <w:rsid w:val="0BB24616"/>
    <w:rsid w:val="0BB51797"/>
    <w:rsid w:val="0BBA4FBB"/>
    <w:rsid w:val="0BBF6171"/>
    <w:rsid w:val="0BEF49FC"/>
    <w:rsid w:val="0BF61DCA"/>
    <w:rsid w:val="0C0B7609"/>
    <w:rsid w:val="0C116467"/>
    <w:rsid w:val="0C252478"/>
    <w:rsid w:val="0C601702"/>
    <w:rsid w:val="0C6A07D3"/>
    <w:rsid w:val="0C767416"/>
    <w:rsid w:val="0CB97065"/>
    <w:rsid w:val="0CFB6D7B"/>
    <w:rsid w:val="0D4C22FD"/>
    <w:rsid w:val="0D572D3E"/>
    <w:rsid w:val="0D700E1E"/>
    <w:rsid w:val="0DA033ED"/>
    <w:rsid w:val="0DBA12E6"/>
    <w:rsid w:val="0DD75901"/>
    <w:rsid w:val="0E087C76"/>
    <w:rsid w:val="0E184239"/>
    <w:rsid w:val="0E1F1149"/>
    <w:rsid w:val="0E22633F"/>
    <w:rsid w:val="0E250E55"/>
    <w:rsid w:val="0E5232CD"/>
    <w:rsid w:val="0E530908"/>
    <w:rsid w:val="0E7616B1"/>
    <w:rsid w:val="0E891760"/>
    <w:rsid w:val="0EA317EF"/>
    <w:rsid w:val="0EA31D7A"/>
    <w:rsid w:val="0EF375F0"/>
    <w:rsid w:val="0F3A26DF"/>
    <w:rsid w:val="0F3F5FB4"/>
    <w:rsid w:val="0F625791"/>
    <w:rsid w:val="0F7D25CB"/>
    <w:rsid w:val="0F8C0A60"/>
    <w:rsid w:val="0FBA2834"/>
    <w:rsid w:val="0FC30926"/>
    <w:rsid w:val="0FD23004"/>
    <w:rsid w:val="0FD962C1"/>
    <w:rsid w:val="102B18C4"/>
    <w:rsid w:val="1054739F"/>
    <w:rsid w:val="106F7099"/>
    <w:rsid w:val="107F1DE0"/>
    <w:rsid w:val="108C64EF"/>
    <w:rsid w:val="10AF113B"/>
    <w:rsid w:val="10E339B8"/>
    <w:rsid w:val="10EF008A"/>
    <w:rsid w:val="11221477"/>
    <w:rsid w:val="11360C84"/>
    <w:rsid w:val="1138342C"/>
    <w:rsid w:val="114E2471"/>
    <w:rsid w:val="11677D30"/>
    <w:rsid w:val="11FC686C"/>
    <w:rsid w:val="12072D64"/>
    <w:rsid w:val="121C08DA"/>
    <w:rsid w:val="12386C7D"/>
    <w:rsid w:val="12AA7B7B"/>
    <w:rsid w:val="12C72334"/>
    <w:rsid w:val="12F33EFE"/>
    <w:rsid w:val="13031659"/>
    <w:rsid w:val="13346BBC"/>
    <w:rsid w:val="13364BD5"/>
    <w:rsid w:val="133D0FC7"/>
    <w:rsid w:val="133E65E5"/>
    <w:rsid w:val="134C3083"/>
    <w:rsid w:val="135B2E93"/>
    <w:rsid w:val="13730A8B"/>
    <w:rsid w:val="13774C72"/>
    <w:rsid w:val="138B2838"/>
    <w:rsid w:val="138F3A15"/>
    <w:rsid w:val="13BC10A8"/>
    <w:rsid w:val="13D30CA1"/>
    <w:rsid w:val="140908D1"/>
    <w:rsid w:val="1450359E"/>
    <w:rsid w:val="14A260C5"/>
    <w:rsid w:val="14B0738F"/>
    <w:rsid w:val="14B45C97"/>
    <w:rsid w:val="14B77376"/>
    <w:rsid w:val="14B77EC5"/>
    <w:rsid w:val="14BE36C8"/>
    <w:rsid w:val="14C33176"/>
    <w:rsid w:val="14CC4EE2"/>
    <w:rsid w:val="14EC1DEB"/>
    <w:rsid w:val="15076AFF"/>
    <w:rsid w:val="152D23C7"/>
    <w:rsid w:val="154A5F5A"/>
    <w:rsid w:val="1560094B"/>
    <w:rsid w:val="15657D89"/>
    <w:rsid w:val="158F12AA"/>
    <w:rsid w:val="15CC7E09"/>
    <w:rsid w:val="15D13671"/>
    <w:rsid w:val="15D942D4"/>
    <w:rsid w:val="15E150B9"/>
    <w:rsid w:val="160A150C"/>
    <w:rsid w:val="161A6DC6"/>
    <w:rsid w:val="162B3BF7"/>
    <w:rsid w:val="16340A5B"/>
    <w:rsid w:val="16441F5B"/>
    <w:rsid w:val="16576CE8"/>
    <w:rsid w:val="165A3666"/>
    <w:rsid w:val="165F0C7D"/>
    <w:rsid w:val="166B6020"/>
    <w:rsid w:val="16766A61"/>
    <w:rsid w:val="167E55A7"/>
    <w:rsid w:val="16923636"/>
    <w:rsid w:val="16AF0031"/>
    <w:rsid w:val="16C05CA9"/>
    <w:rsid w:val="16CB00C0"/>
    <w:rsid w:val="16D51D69"/>
    <w:rsid w:val="16F1693C"/>
    <w:rsid w:val="17614581"/>
    <w:rsid w:val="176F6C9D"/>
    <w:rsid w:val="177469AA"/>
    <w:rsid w:val="178169D1"/>
    <w:rsid w:val="178255F0"/>
    <w:rsid w:val="179B7A92"/>
    <w:rsid w:val="17A10BE7"/>
    <w:rsid w:val="17A72DA2"/>
    <w:rsid w:val="17AD77C6"/>
    <w:rsid w:val="17D0203A"/>
    <w:rsid w:val="17D75EC5"/>
    <w:rsid w:val="181115CA"/>
    <w:rsid w:val="181A777F"/>
    <w:rsid w:val="182A0246"/>
    <w:rsid w:val="183740E4"/>
    <w:rsid w:val="18846779"/>
    <w:rsid w:val="18A94431"/>
    <w:rsid w:val="18B51028"/>
    <w:rsid w:val="18CB25F9"/>
    <w:rsid w:val="18D50833"/>
    <w:rsid w:val="18FF22A3"/>
    <w:rsid w:val="19063631"/>
    <w:rsid w:val="1917583F"/>
    <w:rsid w:val="192166BD"/>
    <w:rsid w:val="19277C1E"/>
    <w:rsid w:val="1943562E"/>
    <w:rsid w:val="19632832"/>
    <w:rsid w:val="19762161"/>
    <w:rsid w:val="19A930A8"/>
    <w:rsid w:val="19B33A36"/>
    <w:rsid w:val="19C463AE"/>
    <w:rsid w:val="19F93196"/>
    <w:rsid w:val="1A147FD0"/>
    <w:rsid w:val="1A4A39F2"/>
    <w:rsid w:val="1A4F5EE0"/>
    <w:rsid w:val="1A7840BB"/>
    <w:rsid w:val="1A840CB2"/>
    <w:rsid w:val="1A853E4C"/>
    <w:rsid w:val="1A8E6AFB"/>
    <w:rsid w:val="1A931C41"/>
    <w:rsid w:val="1A976C37"/>
    <w:rsid w:val="1AAA5275"/>
    <w:rsid w:val="1AB228B4"/>
    <w:rsid w:val="1AE17682"/>
    <w:rsid w:val="1AE43A4D"/>
    <w:rsid w:val="1B2D759B"/>
    <w:rsid w:val="1B357149"/>
    <w:rsid w:val="1B7E1BA5"/>
    <w:rsid w:val="1BBE1755"/>
    <w:rsid w:val="1BD765CC"/>
    <w:rsid w:val="1BDB1EE9"/>
    <w:rsid w:val="1BDC72F4"/>
    <w:rsid w:val="1BEC54DF"/>
    <w:rsid w:val="1BFA185A"/>
    <w:rsid w:val="1C0F6CA1"/>
    <w:rsid w:val="1C120EB7"/>
    <w:rsid w:val="1C480284"/>
    <w:rsid w:val="1C632C5D"/>
    <w:rsid w:val="1C6A3ED7"/>
    <w:rsid w:val="1C7E277C"/>
    <w:rsid w:val="1CA74D66"/>
    <w:rsid w:val="1CAF27B9"/>
    <w:rsid w:val="1CD13F56"/>
    <w:rsid w:val="1CDA7E81"/>
    <w:rsid w:val="1CDF0421"/>
    <w:rsid w:val="1D0E51AB"/>
    <w:rsid w:val="1D17405F"/>
    <w:rsid w:val="1D592AB3"/>
    <w:rsid w:val="1D6D0123"/>
    <w:rsid w:val="1DCF3281"/>
    <w:rsid w:val="1DE437EC"/>
    <w:rsid w:val="1DF93765"/>
    <w:rsid w:val="1E012678"/>
    <w:rsid w:val="1E3635C1"/>
    <w:rsid w:val="1E404BD6"/>
    <w:rsid w:val="1E477684"/>
    <w:rsid w:val="1E572B53"/>
    <w:rsid w:val="1E920C20"/>
    <w:rsid w:val="1EC42269"/>
    <w:rsid w:val="1F361A18"/>
    <w:rsid w:val="1F417171"/>
    <w:rsid w:val="1F5B4462"/>
    <w:rsid w:val="1FA9384F"/>
    <w:rsid w:val="1FF561AE"/>
    <w:rsid w:val="2000710B"/>
    <w:rsid w:val="200960E0"/>
    <w:rsid w:val="20100382"/>
    <w:rsid w:val="204100F6"/>
    <w:rsid w:val="2043516B"/>
    <w:rsid w:val="20586E69"/>
    <w:rsid w:val="2082035A"/>
    <w:rsid w:val="20967991"/>
    <w:rsid w:val="20D61B3B"/>
    <w:rsid w:val="20E74449"/>
    <w:rsid w:val="20FD736F"/>
    <w:rsid w:val="213C4B23"/>
    <w:rsid w:val="218D789F"/>
    <w:rsid w:val="21922F14"/>
    <w:rsid w:val="21E14A75"/>
    <w:rsid w:val="21E36C06"/>
    <w:rsid w:val="21F227D4"/>
    <w:rsid w:val="21F66939"/>
    <w:rsid w:val="2208666C"/>
    <w:rsid w:val="229F35AA"/>
    <w:rsid w:val="22B10D37"/>
    <w:rsid w:val="22B322DA"/>
    <w:rsid w:val="22BD1205"/>
    <w:rsid w:val="22BE4D1C"/>
    <w:rsid w:val="230B6B8E"/>
    <w:rsid w:val="231B0840"/>
    <w:rsid w:val="23331652"/>
    <w:rsid w:val="23A91789"/>
    <w:rsid w:val="23B336E2"/>
    <w:rsid w:val="2402130A"/>
    <w:rsid w:val="243841F5"/>
    <w:rsid w:val="245807FF"/>
    <w:rsid w:val="245E2574"/>
    <w:rsid w:val="249D2202"/>
    <w:rsid w:val="24A857B7"/>
    <w:rsid w:val="24F9229C"/>
    <w:rsid w:val="252C2672"/>
    <w:rsid w:val="25534332"/>
    <w:rsid w:val="258E0271"/>
    <w:rsid w:val="25AC1D18"/>
    <w:rsid w:val="25BF58AF"/>
    <w:rsid w:val="25C26B32"/>
    <w:rsid w:val="25E14986"/>
    <w:rsid w:val="26047FD8"/>
    <w:rsid w:val="260E715D"/>
    <w:rsid w:val="262275D1"/>
    <w:rsid w:val="26467763"/>
    <w:rsid w:val="264E60EA"/>
    <w:rsid w:val="265D6A7F"/>
    <w:rsid w:val="266B0F78"/>
    <w:rsid w:val="267918E7"/>
    <w:rsid w:val="26A055E1"/>
    <w:rsid w:val="26C97E82"/>
    <w:rsid w:val="26D7660D"/>
    <w:rsid w:val="26DE2F3B"/>
    <w:rsid w:val="26F576D6"/>
    <w:rsid w:val="26F722A9"/>
    <w:rsid w:val="270D202F"/>
    <w:rsid w:val="27402404"/>
    <w:rsid w:val="27423D6A"/>
    <w:rsid w:val="27437056"/>
    <w:rsid w:val="274A6DDF"/>
    <w:rsid w:val="274C2D69"/>
    <w:rsid w:val="27520F72"/>
    <w:rsid w:val="276C4FA7"/>
    <w:rsid w:val="27B54BA0"/>
    <w:rsid w:val="27C52E74"/>
    <w:rsid w:val="282B44B6"/>
    <w:rsid w:val="28322982"/>
    <w:rsid w:val="28E16A58"/>
    <w:rsid w:val="291E45D0"/>
    <w:rsid w:val="29257B04"/>
    <w:rsid w:val="293D4E4D"/>
    <w:rsid w:val="29540DEE"/>
    <w:rsid w:val="2955515E"/>
    <w:rsid w:val="29671C1F"/>
    <w:rsid w:val="29C42E79"/>
    <w:rsid w:val="29CE3CF8"/>
    <w:rsid w:val="2A1C4CF1"/>
    <w:rsid w:val="2A4346E5"/>
    <w:rsid w:val="2A5C5C10"/>
    <w:rsid w:val="2A652C39"/>
    <w:rsid w:val="2A754D4D"/>
    <w:rsid w:val="2A830F86"/>
    <w:rsid w:val="2A8C63D9"/>
    <w:rsid w:val="2A944CE5"/>
    <w:rsid w:val="2AA43797"/>
    <w:rsid w:val="2AF7022C"/>
    <w:rsid w:val="2B480D53"/>
    <w:rsid w:val="2B6449E3"/>
    <w:rsid w:val="2B715282"/>
    <w:rsid w:val="2B911C55"/>
    <w:rsid w:val="2BCC24B9"/>
    <w:rsid w:val="2BF93684"/>
    <w:rsid w:val="2C0E487F"/>
    <w:rsid w:val="2C362D03"/>
    <w:rsid w:val="2C3D6097"/>
    <w:rsid w:val="2C425EFD"/>
    <w:rsid w:val="2C4601E0"/>
    <w:rsid w:val="2C464B45"/>
    <w:rsid w:val="2C6E128A"/>
    <w:rsid w:val="2C88720A"/>
    <w:rsid w:val="2C947149"/>
    <w:rsid w:val="2CA30524"/>
    <w:rsid w:val="2CA64AB8"/>
    <w:rsid w:val="2CE94BE1"/>
    <w:rsid w:val="2D2A3D2E"/>
    <w:rsid w:val="2D2D60EF"/>
    <w:rsid w:val="2D3E1194"/>
    <w:rsid w:val="2D53087C"/>
    <w:rsid w:val="2D793DBF"/>
    <w:rsid w:val="2D7A03DD"/>
    <w:rsid w:val="2D8738E4"/>
    <w:rsid w:val="2D937B8D"/>
    <w:rsid w:val="2DE06316"/>
    <w:rsid w:val="2E06027F"/>
    <w:rsid w:val="2E162111"/>
    <w:rsid w:val="2E1D6782"/>
    <w:rsid w:val="2E1E34F2"/>
    <w:rsid w:val="2E2F0AEA"/>
    <w:rsid w:val="2E5F0609"/>
    <w:rsid w:val="2E994DD6"/>
    <w:rsid w:val="2EA565FC"/>
    <w:rsid w:val="2EDC0C65"/>
    <w:rsid w:val="2F20078C"/>
    <w:rsid w:val="2F280137"/>
    <w:rsid w:val="2F2A4632"/>
    <w:rsid w:val="2F320885"/>
    <w:rsid w:val="2F8C02A3"/>
    <w:rsid w:val="2FC1162B"/>
    <w:rsid w:val="2FDB420D"/>
    <w:rsid w:val="2FFB6D06"/>
    <w:rsid w:val="301639B1"/>
    <w:rsid w:val="3022388D"/>
    <w:rsid w:val="30287A45"/>
    <w:rsid w:val="30395C43"/>
    <w:rsid w:val="304764D6"/>
    <w:rsid w:val="307F05B8"/>
    <w:rsid w:val="3095556F"/>
    <w:rsid w:val="309711BE"/>
    <w:rsid w:val="30AC28B9"/>
    <w:rsid w:val="30AD7443"/>
    <w:rsid w:val="30B3403A"/>
    <w:rsid w:val="30CB331F"/>
    <w:rsid w:val="30D361F6"/>
    <w:rsid w:val="31151799"/>
    <w:rsid w:val="311E23A6"/>
    <w:rsid w:val="312863E3"/>
    <w:rsid w:val="313947FC"/>
    <w:rsid w:val="31423888"/>
    <w:rsid w:val="3176570D"/>
    <w:rsid w:val="318A49A8"/>
    <w:rsid w:val="31D96497"/>
    <w:rsid w:val="31DC55DF"/>
    <w:rsid w:val="31FF3D7A"/>
    <w:rsid w:val="32034349"/>
    <w:rsid w:val="320D7E74"/>
    <w:rsid w:val="324A6745"/>
    <w:rsid w:val="326D51A5"/>
    <w:rsid w:val="326E0622"/>
    <w:rsid w:val="32711537"/>
    <w:rsid w:val="329E09DD"/>
    <w:rsid w:val="32A63A63"/>
    <w:rsid w:val="32C27510"/>
    <w:rsid w:val="32D54E22"/>
    <w:rsid w:val="32E15DE0"/>
    <w:rsid w:val="332901F1"/>
    <w:rsid w:val="337D105A"/>
    <w:rsid w:val="33811DDB"/>
    <w:rsid w:val="338F5385"/>
    <w:rsid w:val="33997415"/>
    <w:rsid w:val="33A1247D"/>
    <w:rsid w:val="33DA3A59"/>
    <w:rsid w:val="33E27357"/>
    <w:rsid w:val="34200A4E"/>
    <w:rsid w:val="34425A0E"/>
    <w:rsid w:val="346F2D1E"/>
    <w:rsid w:val="348663EF"/>
    <w:rsid w:val="34A84116"/>
    <w:rsid w:val="34C12DD7"/>
    <w:rsid w:val="34D2326B"/>
    <w:rsid w:val="34E17F64"/>
    <w:rsid w:val="350165D6"/>
    <w:rsid w:val="35494B7A"/>
    <w:rsid w:val="355807E8"/>
    <w:rsid w:val="3558670E"/>
    <w:rsid w:val="35760CA6"/>
    <w:rsid w:val="35E164DD"/>
    <w:rsid w:val="361433DA"/>
    <w:rsid w:val="363C3C0E"/>
    <w:rsid w:val="364A667D"/>
    <w:rsid w:val="365542C6"/>
    <w:rsid w:val="3662502C"/>
    <w:rsid w:val="367A0C4A"/>
    <w:rsid w:val="367D1C87"/>
    <w:rsid w:val="36961757"/>
    <w:rsid w:val="36963DEF"/>
    <w:rsid w:val="369938DF"/>
    <w:rsid w:val="36C50346"/>
    <w:rsid w:val="36C74AB2"/>
    <w:rsid w:val="36D40C9E"/>
    <w:rsid w:val="36D67D9E"/>
    <w:rsid w:val="36EE3C2B"/>
    <w:rsid w:val="36F53F51"/>
    <w:rsid w:val="37073438"/>
    <w:rsid w:val="370C5E5F"/>
    <w:rsid w:val="3761589A"/>
    <w:rsid w:val="3784633D"/>
    <w:rsid w:val="37914885"/>
    <w:rsid w:val="37A4078E"/>
    <w:rsid w:val="37BE184F"/>
    <w:rsid w:val="37CA7581"/>
    <w:rsid w:val="38213B8C"/>
    <w:rsid w:val="3836414E"/>
    <w:rsid w:val="384E4283"/>
    <w:rsid w:val="386A78AC"/>
    <w:rsid w:val="386F0221"/>
    <w:rsid w:val="387E0FDF"/>
    <w:rsid w:val="3887617B"/>
    <w:rsid w:val="38C0134E"/>
    <w:rsid w:val="390B5EF9"/>
    <w:rsid w:val="39103B90"/>
    <w:rsid w:val="39333C1C"/>
    <w:rsid w:val="394928D8"/>
    <w:rsid w:val="398603D9"/>
    <w:rsid w:val="39AE6C9D"/>
    <w:rsid w:val="39B70E6E"/>
    <w:rsid w:val="39B95231"/>
    <w:rsid w:val="39D60D18"/>
    <w:rsid w:val="39DA5D11"/>
    <w:rsid w:val="3A20637C"/>
    <w:rsid w:val="3A5169AB"/>
    <w:rsid w:val="3A55778D"/>
    <w:rsid w:val="3A9E09FA"/>
    <w:rsid w:val="3AF617F6"/>
    <w:rsid w:val="3B4133E3"/>
    <w:rsid w:val="3B4F7A0A"/>
    <w:rsid w:val="3B5A363D"/>
    <w:rsid w:val="3B7C5C6A"/>
    <w:rsid w:val="3BA577A8"/>
    <w:rsid w:val="3BD46EAB"/>
    <w:rsid w:val="3BF43750"/>
    <w:rsid w:val="3BFA097C"/>
    <w:rsid w:val="3C0F7E4C"/>
    <w:rsid w:val="3C1E7191"/>
    <w:rsid w:val="3C5F365B"/>
    <w:rsid w:val="3C612F42"/>
    <w:rsid w:val="3C765909"/>
    <w:rsid w:val="3CA03C50"/>
    <w:rsid w:val="3CC7205B"/>
    <w:rsid w:val="3CE77152"/>
    <w:rsid w:val="3CF03B2D"/>
    <w:rsid w:val="3D6556CF"/>
    <w:rsid w:val="3D6C7658"/>
    <w:rsid w:val="3D8863BF"/>
    <w:rsid w:val="3DA05BC5"/>
    <w:rsid w:val="3DB6325A"/>
    <w:rsid w:val="3E4E4FAF"/>
    <w:rsid w:val="3E912910"/>
    <w:rsid w:val="3E97414F"/>
    <w:rsid w:val="3EA409C2"/>
    <w:rsid w:val="3EA813E6"/>
    <w:rsid w:val="3EBC26AA"/>
    <w:rsid w:val="3EBD29D9"/>
    <w:rsid w:val="3EF21DDE"/>
    <w:rsid w:val="3F4A3259"/>
    <w:rsid w:val="3F705D90"/>
    <w:rsid w:val="3F745E52"/>
    <w:rsid w:val="3FA5340F"/>
    <w:rsid w:val="3FAA73D0"/>
    <w:rsid w:val="3FD740F4"/>
    <w:rsid w:val="404723C0"/>
    <w:rsid w:val="407C0005"/>
    <w:rsid w:val="40BB2E19"/>
    <w:rsid w:val="40E6691A"/>
    <w:rsid w:val="40E92683"/>
    <w:rsid w:val="40F345F4"/>
    <w:rsid w:val="413C2806"/>
    <w:rsid w:val="41421CDA"/>
    <w:rsid w:val="41427AA2"/>
    <w:rsid w:val="415E7BBD"/>
    <w:rsid w:val="41924434"/>
    <w:rsid w:val="419378A9"/>
    <w:rsid w:val="41967399"/>
    <w:rsid w:val="41A35627"/>
    <w:rsid w:val="41A529BE"/>
    <w:rsid w:val="41B11ADD"/>
    <w:rsid w:val="41BE6ABB"/>
    <w:rsid w:val="41C45CB4"/>
    <w:rsid w:val="42042555"/>
    <w:rsid w:val="42553A33"/>
    <w:rsid w:val="42804840"/>
    <w:rsid w:val="42A65108"/>
    <w:rsid w:val="42BD5576"/>
    <w:rsid w:val="42DB5A4F"/>
    <w:rsid w:val="42F33C63"/>
    <w:rsid w:val="430C0962"/>
    <w:rsid w:val="430F7403"/>
    <w:rsid w:val="43780194"/>
    <w:rsid w:val="437B05F4"/>
    <w:rsid w:val="438635F8"/>
    <w:rsid w:val="43881456"/>
    <w:rsid w:val="43A81969"/>
    <w:rsid w:val="43AB2CA2"/>
    <w:rsid w:val="43AD2E8E"/>
    <w:rsid w:val="43C60750"/>
    <w:rsid w:val="43D14387"/>
    <w:rsid w:val="44094B5B"/>
    <w:rsid w:val="44637731"/>
    <w:rsid w:val="446735E1"/>
    <w:rsid w:val="44D206E8"/>
    <w:rsid w:val="44D53D3E"/>
    <w:rsid w:val="44E623E5"/>
    <w:rsid w:val="44F05CF6"/>
    <w:rsid w:val="45014B29"/>
    <w:rsid w:val="45213D93"/>
    <w:rsid w:val="45570BED"/>
    <w:rsid w:val="455D255C"/>
    <w:rsid w:val="456477C0"/>
    <w:rsid w:val="4582210E"/>
    <w:rsid w:val="45833790"/>
    <w:rsid w:val="45A65853"/>
    <w:rsid w:val="45B31EF9"/>
    <w:rsid w:val="45BC7DB8"/>
    <w:rsid w:val="45CD7101"/>
    <w:rsid w:val="46080C93"/>
    <w:rsid w:val="462B3200"/>
    <w:rsid w:val="463E69B7"/>
    <w:rsid w:val="463F50C4"/>
    <w:rsid w:val="465B1773"/>
    <w:rsid w:val="4678706D"/>
    <w:rsid w:val="469704BF"/>
    <w:rsid w:val="46C86F37"/>
    <w:rsid w:val="46CA6C24"/>
    <w:rsid w:val="46D30B47"/>
    <w:rsid w:val="46D908E2"/>
    <w:rsid w:val="47042221"/>
    <w:rsid w:val="471A4271"/>
    <w:rsid w:val="471C3AFB"/>
    <w:rsid w:val="474C4630"/>
    <w:rsid w:val="47602453"/>
    <w:rsid w:val="47A3011A"/>
    <w:rsid w:val="47B80365"/>
    <w:rsid w:val="48156DEC"/>
    <w:rsid w:val="482304EF"/>
    <w:rsid w:val="482B6406"/>
    <w:rsid w:val="482E032B"/>
    <w:rsid w:val="483F14CC"/>
    <w:rsid w:val="484F2519"/>
    <w:rsid w:val="48893EED"/>
    <w:rsid w:val="48AD6C07"/>
    <w:rsid w:val="48B73A6D"/>
    <w:rsid w:val="48C866C8"/>
    <w:rsid w:val="48E7357E"/>
    <w:rsid w:val="48E75101"/>
    <w:rsid w:val="496C7F16"/>
    <w:rsid w:val="498D0628"/>
    <w:rsid w:val="49A47A40"/>
    <w:rsid w:val="49B91F0B"/>
    <w:rsid w:val="49BA1CA4"/>
    <w:rsid w:val="49CF5311"/>
    <w:rsid w:val="49D24054"/>
    <w:rsid w:val="49D263C9"/>
    <w:rsid w:val="49E60903"/>
    <w:rsid w:val="49EE5A0F"/>
    <w:rsid w:val="4A080986"/>
    <w:rsid w:val="4A396288"/>
    <w:rsid w:val="4A620D47"/>
    <w:rsid w:val="4AB73042"/>
    <w:rsid w:val="4AB928C4"/>
    <w:rsid w:val="4AF23103"/>
    <w:rsid w:val="4B020B12"/>
    <w:rsid w:val="4B645E12"/>
    <w:rsid w:val="4B6F5CC6"/>
    <w:rsid w:val="4B893B0E"/>
    <w:rsid w:val="4BAF1783"/>
    <w:rsid w:val="4BBC3F1D"/>
    <w:rsid w:val="4C257DCD"/>
    <w:rsid w:val="4CA472CE"/>
    <w:rsid w:val="4CB5187B"/>
    <w:rsid w:val="4CB52C76"/>
    <w:rsid w:val="4D0B720D"/>
    <w:rsid w:val="4D584833"/>
    <w:rsid w:val="4DC807F9"/>
    <w:rsid w:val="4DE61C74"/>
    <w:rsid w:val="4DF801CE"/>
    <w:rsid w:val="4E0C363C"/>
    <w:rsid w:val="4E1C1D78"/>
    <w:rsid w:val="4E1E0CF6"/>
    <w:rsid w:val="4E2409AB"/>
    <w:rsid w:val="4E404423"/>
    <w:rsid w:val="4E567929"/>
    <w:rsid w:val="4E833E42"/>
    <w:rsid w:val="4E9E6C72"/>
    <w:rsid w:val="4F093341"/>
    <w:rsid w:val="4F114D2B"/>
    <w:rsid w:val="4F181292"/>
    <w:rsid w:val="4F745364"/>
    <w:rsid w:val="4F7D3946"/>
    <w:rsid w:val="4F8D23F4"/>
    <w:rsid w:val="4FC934D4"/>
    <w:rsid w:val="4FDD64E2"/>
    <w:rsid w:val="4FF63DD5"/>
    <w:rsid w:val="502D0221"/>
    <w:rsid w:val="503F67DB"/>
    <w:rsid w:val="504113BD"/>
    <w:rsid w:val="5055041F"/>
    <w:rsid w:val="506D2B13"/>
    <w:rsid w:val="506F328F"/>
    <w:rsid w:val="50B476EF"/>
    <w:rsid w:val="512027DB"/>
    <w:rsid w:val="51433BF3"/>
    <w:rsid w:val="51475FBA"/>
    <w:rsid w:val="51726FB2"/>
    <w:rsid w:val="518C30BF"/>
    <w:rsid w:val="51AE428B"/>
    <w:rsid w:val="51D103F4"/>
    <w:rsid w:val="51E71B8E"/>
    <w:rsid w:val="51E92447"/>
    <w:rsid w:val="51FE0D6E"/>
    <w:rsid w:val="522A244E"/>
    <w:rsid w:val="522D3402"/>
    <w:rsid w:val="52595FA5"/>
    <w:rsid w:val="5281172D"/>
    <w:rsid w:val="52B57D86"/>
    <w:rsid w:val="52D40F93"/>
    <w:rsid w:val="531C02A1"/>
    <w:rsid w:val="534A3B3F"/>
    <w:rsid w:val="534D31F5"/>
    <w:rsid w:val="535605B6"/>
    <w:rsid w:val="538668FC"/>
    <w:rsid w:val="53A92DFF"/>
    <w:rsid w:val="53D77AC9"/>
    <w:rsid w:val="541425A2"/>
    <w:rsid w:val="54161C73"/>
    <w:rsid w:val="542040CA"/>
    <w:rsid w:val="548829D0"/>
    <w:rsid w:val="55151B5D"/>
    <w:rsid w:val="55183DEF"/>
    <w:rsid w:val="552A241D"/>
    <w:rsid w:val="553A667C"/>
    <w:rsid w:val="55680D51"/>
    <w:rsid w:val="556A58F8"/>
    <w:rsid w:val="55900B7C"/>
    <w:rsid w:val="55913CA7"/>
    <w:rsid w:val="55A75525"/>
    <w:rsid w:val="55B17EA1"/>
    <w:rsid w:val="55B856D8"/>
    <w:rsid w:val="55BF21ED"/>
    <w:rsid w:val="55CA6940"/>
    <w:rsid w:val="55FF4FF2"/>
    <w:rsid w:val="55FF7DE2"/>
    <w:rsid w:val="56051FA0"/>
    <w:rsid w:val="56347E6E"/>
    <w:rsid w:val="56534B15"/>
    <w:rsid w:val="56633E46"/>
    <w:rsid w:val="567F2FFF"/>
    <w:rsid w:val="568632BB"/>
    <w:rsid w:val="568832FC"/>
    <w:rsid w:val="569C4808"/>
    <w:rsid w:val="56A619D5"/>
    <w:rsid w:val="56B034DE"/>
    <w:rsid w:val="570E1060"/>
    <w:rsid w:val="57573E1B"/>
    <w:rsid w:val="575C05AC"/>
    <w:rsid w:val="577C5CF1"/>
    <w:rsid w:val="5790169B"/>
    <w:rsid w:val="579C758B"/>
    <w:rsid w:val="57AD411B"/>
    <w:rsid w:val="57C41965"/>
    <w:rsid w:val="57DA5F20"/>
    <w:rsid w:val="57E13E23"/>
    <w:rsid w:val="57F56A17"/>
    <w:rsid w:val="581B7D0C"/>
    <w:rsid w:val="584D65AC"/>
    <w:rsid w:val="585C3966"/>
    <w:rsid w:val="585F6E0F"/>
    <w:rsid w:val="5883131E"/>
    <w:rsid w:val="588B0E82"/>
    <w:rsid w:val="58BD1B2C"/>
    <w:rsid w:val="58C63C68"/>
    <w:rsid w:val="591659E6"/>
    <w:rsid w:val="592B61C1"/>
    <w:rsid w:val="59455228"/>
    <w:rsid w:val="598B4E62"/>
    <w:rsid w:val="59C61106"/>
    <w:rsid w:val="59D67B61"/>
    <w:rsid w:val="5A035668"/>
    <w:rsid w:val="5A12461A"/>
    <w:rsid w:val="5A212A16"/>
    <w:rsid w:val="5A29432C"/>
    <w:rsid w:val="5A3D7F5A"/>
    <w:rsid w:val="5A4A7919"/>
    <w:rsid w:val="5A5B2F9B"/>
    <w:rsid w:val="5A7E45EB"/>
    <w:rsid w:val="5AA858B4"/>
    <w:rsid w:val="5ADF1A01"/>
    <w:rsid w:val="5AFB01B9"/>
    <w:rsid w:val="5AFE3B8D"/>
    <w:rsid w:val="5AFF10F2"/>
    <w:rsid w:val="5B080052"/>
    <w:rsid w:val="5B566AAB"/>
    <w:rsid w:val="5B912474"/>
    <w:rsid w:val="5BA109BC"/>
    <w:rsid w:val="5BAC5D59"/>
    <w:rsid w:val="5BBA22C9"/>
    <w:rsid w:val="5BEE669E"/>
    <w:rsid w:val="5BF07825"/>
    <w:rsid w:val="5C05719D"/>
    <w:rsid w:val="5C1F39A6"/>
    <w:rsid w:val="5C201D34"/>
    <w:rsid w:val="5C557C5C"/>
    <w:rsid w:val="5C713F24"/>
    <w:rsid w:val="5C78066B"/>
    <w:rsid w:val="5C887B9C"/>
    <w:rsid w:val="5C90471B"/>
    <w:rsid w:val="5CA818C7"/>
    <w:rsid w:val="5D2409E3"/>
    <w:rsid w:val="5D3721E2"/>
    <w:rsid w:val="5D535AFD"/>
    <w:rsid w:val="5D72616D"/>
    <w:rsid w:val="5D7661A8"/>
    <w:rsid w:val="5D7C0DD0"/>
    <w:rsid w:val="5DC33919"/>
    <w:rsid w:val="5E9B4F72"/>
    <w:rsid w:val="5EAE70E2"/>
    <w:rsid w:val="5ED57703"/>
    <w:rsid w:val="5EDA39C5"/>
    <w:rsid w:val="5EFC4888"/>
    <w:rsid w:val="5F055834"/>
    <w:rsid w:val="5F304531"/>
    <w:rsid w:val="5F3A715E"/>
    <w:rsid w:val="5F574894"/>
    <w:rsid w:val="5F61136D"/>
    <w:rsid w:val="5FCB66DA"/>
    <w:rsid w:val="5FD4145D"/>
    <w:rsid w:val="5FE86B26"/>
    <w:rsid w:val="5FFC4604"/>
    <w:rsid w:val="601B3FE0"/>
    <w:rsid w:val="602A0F80"/>
    <w:rsid w:val="603663B3"/>
    <w:rsid w:val="60824A74"/>
    <w:rsid w:val="6085365D"/>
    <w:rsid w:val="608F5B77"/>
    <w:rsid w:val="60E07891"/>
    <w:rsid w:val="61691F7C"/>
    <w:rsid w:val="61693D2A"/>
    <w:rsid w:val="617D3332"/>
    <w:rsid w:val="61895DE3"/>
    <w:rsid w:val="61902B0C"/>
    <w:rsid w:val="61A97176"/>
    <w:rsid w:val="61E138C1"/>
    <w:rsid w:val="61F7259C"/>
    <w:rsid w:val="6204284F"/>
    <w:rsid w:val="62427419"/>
    <w:rsid w:val="624D3E2E"/>
    <w:rsid w:val="62602BED"/>
    <w:rsid w:val="62630388"/>
    <w:rsid w:val="6278681A"/>
    <w:rsid w:val="628465F9"/>
    <w:rsid w:val="62B30009"/>
    <w:rsid w:val="62B37A48"/>
    <w:rsid w:val="62CB7C96"/>
    <w:rsid w:val="62F6358C"/>
    <w:rsid w:val="630413C7"/>
    <w:rsid w:val="634773F2"/>
    <w:rsid w:val="63537E70"/>
    <w:rsid w:val="63707F90"/>
    <w:rsid w:val="637D1A3E"/>
    <w:rsid w:val="637F12EB"/>
    <w:rsid w:val="63C11BFC"/>
    <w:rsid w:val="63E04063"/>
    <w:rsid w:val="6424700F"/>
    <w:rsid w:val="642E01E1"/>
    <w:rsid w:val="64304041"/>
    <w:rsid w:val="643718B7"/>
    <w:rsid w:val="643C5726"/>
    <w:rsid w:val="644F0FB6"/>
    <w:rsid w:val="646F2B8C"/>
    <w:rsid w:val="64EC4880"/>
    <w:rsid w:val="65361769"/>
    <w:rsid w:val="656D744A"/>
    <w:rsid w:val="65780E61"/>
    <w:rsid w:val="659F7D1B"/>
    <w:rsid w:val="65A17F37"/>
    <w:rsid w:val="65CB6D62"/>
    <w:rsid w:val="6615622F"/>
    <w:rsid w:val="66162700"/>
    <w:rsid w:val="66171246"/>
    <w:rsid w:val="662F069D"/>
    <w:rsid w:val="66320B8F"/>
    <w:rsid w:val="664C50DF"/>
    <w:rsid w:val="665A604D"/>
    <w:rsid w:val="666475AA"/>
    <w:rsid w:val="66664A32"/>
    <w:rsid w:val="6686434F"/>
    <w:rsid w:val="66A11E6A"/>
    <w:rsid w:val="66C20165"/>
    <w:rsid w:val="66D657E1"/>
    <w:rsid w:val="66E0683D"/>
    <w:rsid w:val="66EC16A6"/>
    <w:rsid w:val="66EC45D8"/>
    <w:rsid w:val="66FE4F15"/>
    <w:rsid w:val="67092E80"/>
    <w:rsid w:val="672F31C8"/>
    <w:rsid w:val="67442B53"/>
    <w:rsid w:val="674943E2"/>
    <w:rsid w:val="67530DBD"/>
    <w:rsid w:val="675C56DF"/>
    <w:rsid w:val="67846737"/>
    <w:rsid w:val="67A41618"/>
    <w:rsid w:val="67B101D9"/>
    <w:rsid w:val="67BD1C42"/>
    <w:rsid w:val="682D492F"/>
    <w:rsid w:val="68356714"/>
    <w:rsid w:val="685748DD"/>
    <w:rsid w:val="68762797"/>
    <w:rsid w:val="6877171C"/>
    <w:rsid w:val="687872F9"/>
    <w:rsid w:val="689A0184"/>
    <w:rsid w:val="68AD0DED"/>
    <w:rsid w:val="68C4706F"/>
    <w:rsid w:val="68DD74D8"/>
    <w:rsid w:val="68E31062"/>
    <w:rsid w:val="68E81BB8"/>
    <w:rsid w:val="68F71128"/>
    <w:rsid w:val="69004F74"/>
    <w:rsid w:val="691D5CEC"/>
    <w:rsid w:val="69434E61"/>
    <w:rsid w:val="695670B2"/>
    <w:rsid w:val="695F66BC"/>
    <w:rsid w:val="696541BC"/>
    <w:rsid w:val="698836B4"/>
    <w:rsid w:val="69A81E5E"/>
    <w:rsid w:val="69B16939"/>
    <w:rsid w:val="69B26A91"/>
    <w:rsid w:val="69C66F49"/>
    <w:rsid w:val="69CA10DE"/>
    <w:rsid w:val="69D106BF"/>
    <w:rsid w:val="69E228CC"/>
    <w:rsid w:val="6A251710"/>
    <w:rsid w:val="6A733EB1"/>
    <w:rsid w:val="6AA45DD3"/>
    <w:rsid w:val="6AA52917"/>
    <w:rsid w:val="6AB26742"/>
    <w:rsid w:val="6AED777A"/>
    <w:rsid w:val="6B283152"/>
    <w:rsid w:val="6B4859FC"/>
    <w:rsid w:val="6B552FA1"/>
    <w:rsid w:val="6B5F0A7C"/>
    <w:rsid w:val="6B691599"/>
    <w:rsid w:val="6B6C70D9"/>
    <w:rsid w:val="6B843DEC"/>
    <w:rsid w:val="6B8F6F7C"/>
    <w:rsid w:val="6BA3446B"/>
    <w:rsid w:val="6C1F5711"/>
    <w:rsid w:val="6C29540F"/>
    <w:rsid w:val="6C3A079D"/>
    <w:rsid w:val="6C7A503E"/>
    <w:rsid w:val="6C804586"/>
    <w:rsid w:val="6CC5739C"/>
    <w:rsid w:val="6CC84DBA"/>
    <w:rsid w:val="6CE453DF"/>
    <w:rsid w:val="6CF47ED0"/>
    <w:rsid w:val="6D1A237D"/>
    <w:rsid w:val="6D3521DB"/>
    <w:rsid w:val="6D467DD9"/>
    <w:rsid w:val="6D481B83"/>
    <w:rsid w:val="6D5415FE"/>
    <w:rsid w:val="6D7667FD"/>
    <w:rsid w:val="6DB620A5"/>
    <w:rsid w:val="6DD951FC"/>
    <w:rsid w:val="6DF613D6"/>
    <w:rsid w:val="6E0430BD"/>
    <w:rsid w:val="6E2711F5"/>
    <w:rsid w:val="6E2E4332"/>
    <w:rsid w:val="6E335F26"/>
    <w:rsid w:val="6E3D5348"/>
    <w:rsid w:val="6E5A0C83"/>
    <w:rsid w:val="6E9241E1"/>
    <w:rsid w:val="6ED30A35"/>
    <w:rsid w:val="6ED735E5"/>
    <w:rsid w:val="6EF12802"/>
    <w:rsid w:val="6F215C44"/>
    <w:rsid w:val="6F315A5D"/>
    <w:rsid w:val="6F316126"/>
    <w:rsid w:val="6F3B3881"/>
    <w:rsid w:val="6F445DAF"/>
    <w:rsid w:val="6FB70357"/>
    <w:rsid w:val="6FD805A7"/>
    <w:rsid w:val="6FF62C2D"/>
    <w:rsid w:val="70283432"/>
    <w:rsid w:val="7036571F"/>
    <w:rsid w:val="70481623"/>
    <w:rsid w:val="70553DF8"/>
    <w:rsid w:val="705979AB"/>
    <w:rsid w:val="70A145FB"/>
    <w:rsid w:val="70F51269"/>
    <w:rsid w:val="7122444D"/>
    <w:rsid w:val="7126159E"/>
    <w:rsid w:val="713E70C7"/>
    <w:rsid w:val="714240A8"/>
    <w:rsid w:val="71685DAD"/>
    <w:rsid w:val="716A169D"/>
    <w:rsid w:val="718A7AD1"/>
    <w:rsid w:val="71D56788"/>
    <w:rsid w:val="724238A4"/>
    <w:rsid w:val="725B32C3"/>
    <w:rsid w:val="725F4FD6"/>
    <w:rsid w:val="726F6CC7"/>
    <w:rsid w:val="72744B97"/>
    <w:rsid w:val="72960AAF"/>
    <w:rsid w:val="72BC63B0"/>
    <w:rsid w:val="72F93721"/>
    <w:rsid w:val="731812C3"/>
    <w:rsid w:val="737B2ADA"/>
    <w:rsid w:val="73873B09"/>
    <w:rsid w:val="73903399"/>
    <w:rsid w:val="73C02D36"/>
    <w:rsid w:val="73DE3CEE"/>
    <w:rsid w:val="743314D0"/>
    <w:rsid w:val="744679A8"/>
    <w:rsid w:val="74A92370"/>
    <w:rsid w:val="74E73D2E"/>
    <w:rsid w:val="74FB71A6"/>
    <w:rsid w:val="75181898"/>
    <w:rsid w:val="75272E46"/>
    <w:rsid w:val="75306FF7"/>
    <w:rsid w:val="75B3488E"/>
    <w:rsid w:val="75B40ED9"/>
    <w:rsid w:val="75B75742"/>
    <w:rsid w:val="75E41F91"/>
    <w:rsid w:val="75FC4D15"/>
    <w:rsid w:val="760C7559"/>
    <w:rsid w:val="762833CF"/>
    <w:rsid w:val="766D176F"/>
    <w:rsid w:val="768F7938"/>
    <w:rsid w:val="76962A74"/>
    <w:rsid w:val="76E61C4D"/>
    <w:rsid w:val="76EC2FDC"/>
    <w:rsid w:val="770519A8"/>
    <w:rsid w:val="77104E76"/>
    <w:rsid w:val="771F2A69"/>
    <w:rsid w:val="77660698"/>
    <w:rsid w:val="777B344E"/>
    <w:rsid w:val="77A318EC"/>
    <w:rsid w:val="77A80CB1"/>
    <w:rsid w:val="77B55F24"/>
    <w:rsid w:val="77BA6A6B"/>
    <w:rsid w:val="77BC650A"/>
    <w:rsid w:val="77DD03A6"/>
    <w:rsid w:val="77E115B3"/>
    <w:rsid w:val="77FA999B"/>
    <w:rsid w:val="78220765"/>
    <w:rsid w:val="782571E8"/>
    <w:rsid w:val="7840110D"/>
    <w:rsid w:val="787361FA"/>
    <w:rsid w:val="788C5EE6"/>
    <w:rsid w:val="78EC78C8"/>
    <w:rsid w:val="79022643"/>
    <w:rsid w:val="79033287"/>
    <w:rsid w:val="790C1713"/>
    <w:rsid w:val="790E511E"/>
    <w:rsid w:val="792019B8"/>
    <w:rsid w:val="79546389"/>
    <w:rsid w:val="79781927"/>
    <w:rsid w:val="79935E3C"/>
    <w:rsid w:val="79957900"/>
    <w:rsid w:val="79D271DB"/>
    <w:rsid w:val="79F53F55"/>
    <w:rsid w:val="7A04063C"/>
    <w:rsid w:val="7A29746E"/>
    <w:rsid w:val="7A772B74"/>
    <w:rsid w:val="7A794B87"/>
    <w:rsid w:val="7AA34397"/>
    <w:rsid w:val="7AB8188B"/>
    <w:rsid w:val="7ACB6604"/>
    <w:rsid w:val="7AF16E13"/>
    <w:rsid w:val="7AF84C83"/>
    <w:rsid w:val="7B0260E1"/>
    <w:rsid w:val="7B62561B"/>
    <w:rsid w:val="7B666059"/>
    <w:rsid w:val="7B9D265D"/>
    <w:rsid w:val="7BA07EF1"/>
    <w:rsid w:val="7BA9149B"/>
    <w:rsid w:val="7BB10350"/>
    <w:rsid w:val="7BFC2B1C"/>
    <w:rsid w:val="7C3D59AE"/>
    <w:rsid w:val="7C3E360E"/>
    <w:rsid w:val="7C57491F"/>
    <w:rsid w:val="7C866924"/>
    <w:rsid w:val="7C8C2EB4"/>
    <w:rsid w:val="7CEB28F0"/>
    <w:rsid w:val="7CEF1EAD"/>
    <w:rsid w:val="7D137814"/>
    <w:rsid w:val="7D1620D3"/>
    <w:rsid w:val="7D1B063A"/>
    <w:rsid w:val="7D4D40EF"/>
    <w:rsid w:val="7D57F641"/>
    <w:rsid w:val="7D687705"/>
    <w:rsid w:val="7D811DC7"/>
    <w:rsid w:val="7D9C7773"/>
    <w:rsid w:val="7DCD2590"/>
    <w:rsid w:val="7DF41EE6"/>
    <w:rsid w:val="7E1039CD"/>
    <w:rsid w:val="7E1B0471"/>
    <w:rsid w:val="7E234BDE"/>
    <w:rsid w:val="7E2576DE"/>
    <w:rsid w:val="7ECD35B8"/>
    <w:rsid w:val="7EE03426"/>
    <w:rsid w:val="7EEE6E8C"/>
    <w:rsid w:val="7F370CAE"/>
    <w:rsid w:val="7F3C04E3"/>
    <w:rsid w:val="7F59095D"/>
    <w:rsid w:val="7F855D7C"/>
    <w:rsid w:val="7F961D37"/>
    <w:rsid w:val="7F96218E"/>
    <w:rsid w:val="7FC05006"/>
    <w:rsid w:val="7FDA74DF"/>
    <w:rsid w:val="9EFED320"/>
    <w:rsid w:val="C9EF7953"/>
    <w:rsid w:val="DFF6F45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mbria" w:hAnsi="Cambria" w:eastAsia="宋体" w:cs="Times New Roman"/>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annotation text"/>
    <w:basedOn w:val="1"/>
    <w:link w:val="21"/>
    <w:qFormat/>
    <w:uiPriority w:val="0"/>
    <w:pPr>
      <w:jc w:val="left"/>
    </w:pPr>
  </w:style>
  <w:style w:type="paragraph" w:styleId="4">
    <w:name w:val="Body Text"/>
    <w:basedOn w:val="1"/>
    <w:next w:val="5"/>
    <w:qFormat/>
    <w:uiPriority w:val="0"/>
    <w:rPr>
      <w:sz w:val="32"/>
    </w:rPr>
  </w:style>
  <w:style w:type="paragraph" w:styleId="5">
    <w:name w:val="Title"/>
    <w:basedOn w:val="1"/>
    <w:next w:val="1"/>
    <w:qFormat/>
    <w:uiPriority w:val="99"/>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6">
    <w:name w:val="Body Text Indent"/>
    <w:basedOn w:val="1"/>
    <w:next w:val="1"/>
    <w:qFormat/>
    <w:uiPriority w:val="0"/>
    <w:rPr>
      <w:rFonts w:ascii="Times New Roman" w:hAnsi="Times New Roman"/>
      <w:szCs w:val="20"/>
    </w:rPr>
  </w:style>
  <w:style w:type="paragraph" w:styleId="7">
    <w:name w:val="footer"/>
    <w:basedOn w:val="1"/>
    <w:link w:val="22"/>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annotation subject"/>
    <w:basedOn w:val="3"/>
    <w:next w:val="3"/>
    <w:link w:val="23"/>
    <w:qFormat/>
    <w:uiPriority w:val="0"/>
    <w:rPr>
      <w:b/>
      <w:bCs/>
    </w:rPr>
  </w:style>
  <w:style w:type="paragraph" w:styleId="11">
    <w:name w:val="Body Text First Indent"/>
    <w:basedOn w:val="4"/>
    <w:qFormat/>
    <w:uiPriority w:val="0"/>
    <w:pPr>
      <w:ind w:firstLine="420" w:firstLineChars="100"/>
    </w:pPr>
  </w:style>
  <w:style w:type="paragraph" w:styleId="12">
    <w:name w:val="Body Text First Indent 2"/>
    <w:basedOn w:val="6"/>
    <w:next w:val="1"/>
    <w:qFormat/>
    <w:uiPriority w:val="0"/>
    <w:pPr>
      <w:ind w:firstLine="420" w:firstLineChars="200"/>
    </w:pPr>
    <w:rPr>
      <w:rFonts w:hint="eastAsia"/>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rPr>
  </w:style>
  <w:style w:type="character" w:styleId="17">
    <w:name w:val="FollowedHyperlink"/>
    <w:qFormat/>
    <w:uiPriority w:val="0"/>
    <w:rPr>
      <w:color w:val="666666"/>
      <w:u w:val="none"/>
    </w:rPr>
  </w:style>
  <w:style w:type="character" w:styleId="18">
    <w:name w:val="Emphasis"/>
    <w:qFormat/>
    <w:uiPriority w:val="0"/>
  </w:style>
  <w:style w:type="character" w:styleId="19">
    <w:name w:val="Hyperlink"/>
    <w:qFormat/>
    <w:uiPriority w:val="0"/>
    <w:rPr>
      <w:color w:val="666666"/>
      <w:u w:val="none"/>
    </w:rPr>
  </w:style>
  <w:style w:type="character" w:styleId="20">
    <w:name w:val="annotation reference"/>
    <w:qFormat/>
    <w:uiPriority w:val="0"/>
    <w:rPr>
      <w:sz w:val="21"/>
      <w:szCs w:val="21"/>
    </w:rPr>
  </w:style>
  <w:style w:type="character" w:customStyle="1" w:styleId="21">
    <w:name w:val="批注文字 字符"/>
    <w:link w:val="3"/>
    <w:qFormat/>
    <w:uiPriority w:val="0"/>
    <w:rPr>
      <w:rFonts w:ascii="Cambria" w:hAnsi="Cambria"/>
      <w:kern w:val="2"/>
      <w:sz w:val="21"/>
      <w:szCs w:val="24"/>
    </w:rPr>
  </w:style>
  <w:style w:type="character" w:customStyle="1" w:styleId="22">
    <w:name w:val="页脚 字符"/>
    <w:link w:val="7"/>
    <w:qFormat/>
    <w:uiPriority w:val="99"/>
    <w:rPr>
      <w:rFonts w:ascii="Cambria" w:hAnsi="Cambria"/>
      <w:kern w:val="2"/>
      <w:sz w:val="18"/>
      <w:szCs w:val="24"/>
    </w:rPr>
  </w:style>
  <w:style w:type="character" w:customStyle="1" w:styleId="23">
    <w:name w:val="批注主题 字符"/>
    <w:link w:val="10"/>
    <w:qFormat/>
    <w:uiPriority w:val="0"/>
    <w:rPr>
      <w:rFonts w:ascii="Cambria" w:hAnsi="Cambria"/>
      <w:b/>
      <w:bCs/>
      <w:kern w:val="2"/>
      <w:sz w:val="21"/>
      <w:szCs w:val="24"/>
    </w:rPr>
  </w:style>
  <w:style w:type="paragraph" w:customStyle="1" w:styleId="24">
    <w:name w:val="_Style 23"/>
    <w:unhideWhenUsed/>
    <w:qFormat/>
    <w:uiPriority w:val="99"/>
    <w:rPr>
      <w:rFonts w:ascii="Cambria" w:hAnsi="Cambria" w:eastAsia="宋体" w:cs="Times New Roman"/>
      <w:kern w:val="2"/>
      <w:sz w:val="21"/>
      <w:szCs w:val="24"/>
      <w:lang w:val="en-US" w:eastAsia="zh-CN" w:bidi="ar-SA"/>
    </w:rPr>
  </w:style>
  <w:style w:type="paragraph" w:customStyle="1" w:styleId="25">
    <w:name w:val="正文文本缩进 21"/>
    <w:basedOn w:val="1"/>
    <w:qFormat/>
    <w:uiPriority w:val="0"/>
    <w:pPr>
      <w:spacing w:after="120" w:line="480" w:lineRule="auto"/>
      <w:ind w:left="200" w:leftChars="200"/>
    </w:pPr>
  </w:style>
  <w:style w:type="paragraph" w:customStyle="1" w:styleId="26">
    <w:name w:val="正文-论文"/>
    <w:basedOn w:val="1"/>
    <w:qFormat/>
    <w:uiPriority w:val="99"/>
    <w:pPr>
      <w:spacing w:line="360" w:lineRule="auto"/>
      <w:ind w:firstLine="200" w:firstLineChars="200"/>
    </w:pPr>
    <w:rPr>
      <w:rFonts w:eastAsia="宋体"/>
      <w:color w:val="00000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59</Pages>
  <Words>1298</Words>
  <Characters>1331</Characters>
  <Lines>210</Lines>
  <Paragraphs>59</Paragraphs>
  <TotalTime>3</TotalTime>
  <ScaleCrop>false</ScaleCrop>
  <LinksUpToDate>false</LinksUpToDate>
  <CharactersWithSpaces>1331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2022-02-07T09:49:00Z</dcterms:created>
  <dc:creator>Administrator</dc:creator>
  <cp:lastModifiedBy>涼しい朝露</cp:lastModifiedBy>
  <cp:lastPrinted>2022-05-10T03:18:00Z</cp:lastPrinted>
  <dcterms:modified xsi:type="dcterms:W3CDTF">2025-12-19T02:51:55Z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5FD51E9811584AE1AFF4FF21C8839945</vt:lpwstr>
  </property>
  <property fmtid="{D5CDD505-2E9C-101B-9397-08002B2CF9AE}" pid="4" name="KSOTemplateDocerSaveRecord">
    <vt:lpwstr>eyJoZGlkIjoiYjk5ODM0YmMxOWJiYWQyNDU4MGIzYWRmYTA0ZmI5NDciLCJ1c2VySWQiOiIzMTk3NjE0NzUifQ==</vt:lpwstr>
  </property>
</Properties>
</file>