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748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海丰县</w:t>
      </w:r>
      <w:r>
        <w:rPr>
          <w:rFonts w:hint="eastAsia" w:ascii="方正小标宋简体" w:hAnsi="方正小标宋简体" w:eastAsia="方正小标宋简体" w:cs="方正小标宋简体"/>
          <w:b w:val="0"/>
          <w:bCs/>
          <w:sz w:val="44"/>
          <w:szCs w:val="44"/>
          <w:lang w:eastAsia="zh-CN"/>
        </w:rPr>
        <w:t>珠宝玉石产品质量监督抽查</w:t>
      </w:r>
    </w:p>
    <w:p w14:paraId="1583B8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实施细则</w:t>
      </w:r>
    </w:p>
    <w:p w14:paraId="6558521E">
      <w:pPr>
        <w:pStyle w:val="2"/>
        <w:rPr>
          <w:rFonts w:hint="eastAsia"/>
          <w:b/>
          <w:bCs/>
          <w:sz w:val="32"/>
          <w:szCs w:val="32"/>
        </w:rPr>
      </w:pPr>
    </w:p>
    <w:p w14:paraId="09D2E8C5">
      <w:pPr>
        <w:bidi w:val="0"/>
        <w:adjustRightInd/>
        <w:snapToGrid/>
        <w:spacing w:line="560" w:lineRule="exact"/>
        <w:ind w:firstLine="640" w:firstLineChars="200"/>
        <w:rPr>
          <w:rFonts w:hint="eastAsia" w:ascii="Times New Roman" w:hAnsi="Times New Roman" w:eastAsia="黑体" w:cs="Times New Roman"/>
          <w:sz w:val="32"/>
          <w:szCs w:val="32"/>
          <w:lang w:val="en-US" w:eastAsia="zh-CN"/>
        </w:rPr>
      </w:pPr>
      <w:bookmarkStart w:id="0" w:name="_GoBack"/>
      <w:bookmarkEnd w:id="0"/>
      <w:r>
        <w:rPr>
          <w:rFonts w:hint="eastAsia" w:ascii="Times New Roman" w:hAnsi="Times New Roman" w:eastAsia="黑体" w:cs="Times New Roman"/>
          <w:sz w:val="32"/>
          <w:szCs w:val="32"/>
          <w:lang w:val="en-US" w:eastAsia="zh-CN"/>
        </w:rPr>
        <w:t>1 抽样方法</w:t>
      </w:r>
    </w:p>
    <w:p w14:paraId="103C7F04">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以随机抽样的方式在被抽样生产者、销售者的待销产品中抽取。</w:t>
      </w:r>
    </w:p>
    <w:p w14:paraId="4893BC29">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随机数一般可使用随机数表等方法产生。</w:t>
      </w:r>
    </w:p>
    <w:p w14:paraId="7D563A65">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每批次随机抽取1组样本（无备样）。</w:t>
      </w:r>
    </w:p>
    <w:p w14:paraId="63C5C604">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具体抽样数量如下：</w:t>
      </w:r>
    </w:p>
    <w:tbl>
      <w:tblPr>
        <w:tblStyle w:val="3"/>
        <w:tblW w:w="8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3844"/>
        <w:gridCol w:w="3844"/>
      </w:tblGrid>
      <w:tr w14:paraId="293B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tcBorders>
              <w:top w:val="single" w:color="auto" w:sz="4" w:space="0"/>
              <w:left w:val="single" w:color="auto" w:sz="4" w:space="0"/>
              <w:bottom w:val="single" w:color="auto" w:sz="4" w:space="0"/>
              <w:right w:val="single" w:color="auto" w:sz="4" w:space="0"/>
            </w:tcBorders>
            <w:noWrap/>
            <w:vAlign w:val="center"/>
          </w:tcPr>
          <w:p w14:paraId="79C009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3844" w:type="dxa"/>
            <w:tcBorders>
              <w:top w:val="single" w:color="auto" w:sz="4" w:space="0"/>
              <w:left w:val="single" w:color="auto" w:sz="4" w:space="0"/>
              <w:bottom w:val="single" w:color="auto" w:sz="4" w:space="0"/>
              <w:right w:val="single" w:color="auto" w:sz="4" w:space="0"/>
            </w:tcBorders>
            <w:noWrap/>
            <w:vAlign w:val="center"/>
          </w:tcPr>
          <w:p w14:paraId="5A5704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产品名称</w:t>
            </w:r>
          </w:p>
        </w:tc>
        <w:tc>
          <w:tcPr>
            <w:tcW w:w="3844" w:type="dxa"/>
            <w:tcBorders>
              <w:top w:val="single" w:color="auto" w:sz="4" w:space="0"/>
              <w:left w:val="single" w:color="auto" w:sz="4" w:space="0"/>
              <w:bottom w:val="single" w:color="auto" w:sz="4" w:space="0"/>
              <w:right w:val="single" w:color="auto" w:sz="4" w:space="0"/>
            </w:tcBorders>
            <w:noWrap/>
            <w:vAlign w:val="center"/>
          </w:tcPr>
          <w:p w14:paraId="42DF68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数量</w:t>
            </w:r>
          </w:p>
        </w:tc>
      </w:tr>
      <w:tr w14:paraId="1F48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3" w:type="dxa"/>
            <w:tcBorders>
              <w:top w:val="single" w:color="auto" w:sz="4" w:space="0"/>
              <w:left w:val="single" w:color="auto" w:sz="4" w:space="0"/>
              <w:bottom w:val="single" w:color="auto" w:sz="4" w:space="0"/>
              <w:right w:val="single" w:color="auto" w:sz="4" w:space="0"/>
            </w:tcBorders>
            <w:noWrap/>
            <w:vAlign w:val="center"/>
          </w:tcPr>
          <w:p w14:paraId="4A4AC7D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844" w:type="dxa"/>
            <w:tcBorders>
              <w:top w:val="single" w:color="auto" w:sz="4" w:space="0"/>
              <w:left w:val="single" w:color="auto" w:sz="4" w:space="0"/>
              <w:bottom w:val="single" w:color="auto" w:sz="4" w:space="0"/>
              <w:right w:val="single" w:color="auto" w:sz="4" w:space="0"/>
            </w:tcBorders>
            <w:noWrap/>
            <w:vAlign w:val="center"/>
          </w:tcPr>
          <w:p w14:paraId="2C6D65A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珠宝玉石</w:t>
            </w:r>
          </w:p>
        </w:tc>
        <w:tc>
          <w:tcPr>
            <w:tcW w:w="3844" w:type="dxa"/>
            <w:tcBorders>
              <w:top w:val="single" w:color="auto" w:sz="4" w:space="0"/>
              <w:left w:val="single" w:color="auto" w:sz="4" w:space="0"/>
              <w:bottom w:val="single" w:color="auto" w:sz="4" w:space="0"/>
              <w:right w:val="single" w:color="auto" w:sz="4" w:space="0"/>
            </w:tcBorders>
            <w:noWrap/>
            <w:vAlign w:val="center"/>
          </w:tcPr>
          <w:p w14:paraId="2F025D8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1件</w:t>
            </w:r>
          </w:p>
        </w:tc>
      </w:tr>
    </w:tbl>
    <w:p w14:paraId="6B093228">
      <w:pPr>
        <w:bidi w:val="0"/>
        <w:adjustRightInd/>
        <w:snapToGrid/>
        <w:spacing w:line="560" w:lineRule="exact"/>
        <w:ind w:firstLine="640" w:firstLineChars="20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2 检验依据</w:t>
      </w:r>
    </w:p>
    <w:p w14:paraId="6FC9271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8"/>
          <w:szCs w:val="28"/>
        </w:rPr>
      </w:pPr>
      <w:r>
        <w:rPr>
          <w:rFonts w:hint="eastAsia"/>
          <w:sz w:val="28"/>
          <w:szCs w:val="28"/>
        </w:rPr>
        <w:t>表1 珠宝玉石</w:t>
      </w:r>
    </w:p>
    <w:tbl>
      <w:tblPr>
        <w:tblStyle w:val="3"/>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3806"/>
        <w:gridCol w:w="3487"/>
      </w:tblGrid>
      <w:tr w14:paraId="191F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1211" w:type="dxa"/>
            <w:noWrap w:val="0"/>
            <w:vAlign w:val="center"/>
          </w:tcPr>
          <w:p w14:paraId="225CD07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3806" w:type="dxa"/>
            <w:noWrap w:val="0"/>
            <w:vAlign w:val="center"/>
          </w:tcPr>
          <w:p w14:paraId="326B6F9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bCs/>
                <w:color w:val="auto"/>
                <w:sz w:val="21"/>
                <w:szCs w:val="21"/>
              </w:rPr>
            </w:pPr>
            <w:r>
              <w:rPr>
                <w:rFonts w:hint="eastAsia" w:ascii="宋体" w:hAnsi="宋体" w:eastAsia="宋体" w:cs="宋体"/>
                <w:b/>
                <w:bCs/>
                <w:sz w:val="21"/>
                <w:szCs w:val="21"/>
              </w:rPr>
              <w:t>检验项目</w:t>
            </w:r>
          </w:p>
        </w:tc>
        <w:tc>
          <w:tcPr>
            <w:tcW w:w="3487" w:type="dxa"/>
            <w:noWrap w:val="0"/>
            <w:vAlign w:val="center"/>
          </w:tcPr>
          <w:p w14:paraId="3F6B3DD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bCs/>
                <w:color w:val="auto"/>
                <w:sz w:val="21"/>
                <w:szCs w:val="21"/>
              </w:rPr>
            </w:pPr>
            <w:r>
              <w:rPr>
                <w:rFonts w:hint="eastAsia" w:ascii="宋体" w:hAnsi="宋体" w:eastAsia="宋体" w:cs="宋体"/>
                <w:b/>
                <w:bCs/>
                <w:sz w:val="21"/>
                <w:szCs w:val="21"/>
              </w:rPr>
              <w:t>检验方法</w:t>
            </w:r>
          </w:p>
        </w:tc>
      </w:tr>
      <w:tr w14:paraId="0E09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1211" w:type="dxa"/>
            <w:noWrap w:val="0"/>
            <w:vAlign w:val="center"/>
          </w:tcPr>
          <w:p w14:paraId="7601AD5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806" w:type="dxa"/>
            <w:noWrap w:val="0"/>
            <w:vAlign w:val="center"/>
          </w:tcPr>
          <w:p w14:paraId="4A29DC44">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sz w:val="21"/>
                <w:szCs w:val="21"/>
              </w:rPr>
              <w:t>珠宝玉石鉴定及命名</w:t>
            </w:r>
          </w:p>
        </w:tc>
        <w:tc>
          <w:tcPr>
            <w:tcW w:w="3487" w:type="dxa"/>
            <w:noWrap w:val="0"/>
            <w:vAlign w:val="center"/>
          </w:tcPr>
          <w:p w14:paraId="613F471C">
            <w:pPr>
              <w:pStyle w:val="2"/>
              <w:rPr>
                <w:rFonts w:hint="eastAsia" w:ascii="宋体" w:hAnsi="宋体" w:eastAsia="宋体" w:cs="宋体"/>
                <w:sz w:val="21"/>
                <w:szCs w:val="21"/>
              </w:rPr>
            </w:pPr>
            <w:r>
              <w:rPr>
                <w:rFonts w:hint="eastAsia" w:ascii="宋体" w:hAnsi="宋体" w:eastAsia="宋体" w:cs="宋体"/>
                <w:sz w:val="21"/>
                <w:szCs w:val="21"/>
              </w:rPr>
              <w:t>GB/T 16552-2017</w:t>
            </w:r>
          </w:p>
          <w:p w14:paraId="0C82F1B9">
            <w:pPr>
              <w:pStyle w:val="2"/>
              <w:rPr>
                <w:rFonts w:hint="eastAsia" w:ascii="宋体" w:hAnsi="宋体" w:eastAsia="宋体" w:cs="宋体"/>
                <w:color w:val="auto"/>
                <w:sz w:val="21"/>
                <w:szCs w:val="21"/>
                <w:lang w:val="en-US" w:eastAsia="zh-CN"/>
              </w:rPr>
            </w:pPr>
            <w:r>
              <w:rPr>
                <w:rFonts w:hint="eastAsia" w:ascii="宋体" w:hAnsi="宋体" w:eastAsia="宋体" w:cs="宋体"/>
                <w:sz w:val="21"/>
                <w:szCs w:val="21"/>
              </w:rPr>
              <w:t>GB/T 1655</w:t>
            </w:r>
            <w:r>
              <w:rPr>
                <w:rFonts w:hint="eastAsia" w:ascii="宋体" w:hAnsi="宋体" w:eastAsia="宋体" w:cs="宋体"/>
                <w:sz w:val="21"/>
                <w:szCs w:val="21"/>
                <w:lang w:val="en-US" w:eastAsia="zh-CN"/>
              </w:rPr>
              <w:t>3</w:t>
            </w:r>
            <w:r>
              <w:rPr>
                <w:rFonts w:hint="eastAsia" w:ascii="宋体" w:hAnsi="宋体" w:eastAsia="宋体" w:cs="宋体"/>
                <w:sz w:val="21"/>
                <w:szCs w:val="21"/>
              </w:rPr>
              <w:t>-2017</w:t>
            </w:r>
          </w:p>
        </w:tc>
      </w:tr>
    </w:tbl>
    <w:p w14:paraId="3D87E802">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执行企业标准、团体标准、地方标准的产品，检验项目参照上述内容执行。</w:t>
      </w:r>
    </w:p>
    <w:p w14:paraId="6F3421B7">
      <w:pPr>
        <w:bidi w:val="0"/>
        <w:adjustRightInd/>
        <w:snapToGrid/>
        <w:spacing w:line="560" w:lineRule="exact"/>
        <w:ind w:firstLine="640" w:firstLineChars="20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3 判定原则</w:t>
      </w:r>
    </w:p>
    <w:p w14:paraId="7420ECBF">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lang w:val="en-US" w:eastAsia="zh-CN"/>
        </w:rPr>
      </w:pPr>
      <w:r>
        <w:rPr>
          <w:rFonts w:hint="eastAsia" w:ascii="Times New Roman" w:hAnsi="Times New Roman" w:eastAsia="仿宋_GB2312" w:cs="Times New Roman"/>
          <w:color w:val="000000"/>
          <w:spacing w:val="-6"/>
          <w:sz w:val="32"/>
          <w:szCs w:val="32"/>
          <w:lang w:val="en-US" w:eastAsia="zh-CN"/>
        </w:rPr>
        <w:t>3.1依据标准</w:t>
      </w:r>
    </w:p>
    <w:p w14:paraId="33568488">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16552-2017   珠宝玉石 名称</w:t>
      </w:r>
    </w:p>
    <w:p w14:paraId="4DD8C26D">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16553-2017   珠宝玉石 鉴定</w:t>
      </w:r>
    </w:p>
    <w:p w14:paraId="3C2FE404">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现行有效的企业标准、团体标准、地方标准及产品明示质量要求。</w:t>
      </w:r>
    </w:p>
    <w:p w14:paraId="6BCFAF9C">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判定原则</w:t>
      </w:r>
    </w:p>
    <w:p w14:paraId="2597BB62">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经检验，检验项目全部合格，判定为被抽查产品所检项目未发现不合格；检验项目中任一项或一项以上不合格，判定为被抽查产品不合格。</w:t>
      </w:r>
    </w:p>
    <w:p w14:paraId="3E85B6F2">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若被检产品明示的质量要求高于本细则中检验项目依据的标准要求时，应按被检产品明示的质量要求判定。</w:t>
      </w:r>
    </w:p>
    <w:p w14:paraId="5E2CC0F4">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若被检产品明示的质量要求低于本细则中检验项目依据的强制性标准要求时，应按照强制性标准要求判定。</w:t>
      </w:r>
    </w:p>
    <w:p w14:paraId="702BC656">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若被检产品明示的质量要求低于或包含本细则中检验项目依据的推荐性标准要求时，应以被检产品明示的质量要求判定。</w:t>
      </w:r>
    </w:p>
    <w:p w14:paraId="3AA144ED">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若被检产品明示的质量要求缺少本细则中检验项目依据的强制性标准要求时，应按照强制性标准要求判定。</w:t>
      </w:r>
    </w:p>
    <w:p w14:paraId="527DE23B">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若被检产品明示的质量要求缺少本细则中检验项目依据的推荐性标准要求时，该项目不参与判定。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B0D6D"/>
    <w:rsid w:val="0C4130AA"/>
    <w:rsid w:val="0D693500"/>
    <w:rsid w:val="0F476BAA"/>
    <w:rsid w:val="1A0A62AD"/>
    <w:rsid w:val="256D67ED"/>
    <w:rsid w:val="26CA3EF0"/>
    <w:rsid w:val="396F0447"/>
    <w:rsid w:val="3B247C1B"/>
    <w:rsid w:val="46D31764"/>
    <w:rsid w:val="47F25B59"/>
    <w:rsid w:val="55252895"/>
    <w:rsid w:val="708C17E3"/>
    <w:rsid w:val="7D0A6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pPr>
      <w:widowControl w:val="0"/>
      <w:jc w:val="both"/>
    </w:pPr>
    <w:rPr>
      <w:rFonts w:ascii="宋体" w:hAnsi="Courier New" w:eastAsia="宋体" w:cs="Times New Roman"/>
      <w:kern w:val="2"/>
      <w:sz w:val="32"/>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537</Words>
  <Characters>589</Characters>
  <Lines>0</Lines>
  <Paragraphs>0</Paragraphs>
  <TotalTime>0</TotalTime>
  <ScaleCrop>false</ScaleCrop>
  <LinksUpToDate>false</LinksUpToDate>
  <CharactersWithSpaces>606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2026-05-14T07:06:00Z</dcterms:created>
  <dc:creator>Administrator</dc:creator>
  <cp:lastModifiedBy>张洪静</cp:lastModifiedBy>
  <dcterms:modified xsi:type="dcterms:W3CDTF">2026-05-14T07:27:18Z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eyJoZGlkIjoiZWU5Mjg5MWI0OTkxNTM4MDBkOTRmOTVlOTU3NGY0ZjAifQ==</vt:lpwstr>
  </property>
  <property fmtid="{D5CDD505-2E9C-101B-9397-08002B2CF9AE}" pid="4" name="ICV">
    <vt:lpwstr>463749D2911B4D3F966CA91643A36B99_12</vt:lpwstr>
  </property>
</Properties>
</file>