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Calibri" w:hAnsi="Calibri" w:eastAsia="宋体" w:cs="Times New Roman"/>
          <w:color w:val="4F81BD" w:themeColor="accent1"/>
          <w:kern w:val="2"/>
          <w:sz w:val="21"/>
          <w14:textFill>
            <w14:solidFill>
              <w14:schemeClr w14:val="accent1"/>
            </w14:solidFill>
          </w14:textFill>
        </w:rPr>
        <w:id w:val="1772346559"/>
        <w:docPartObj>
          <w:docPartGallery w:val="autotext"/>
        </w:docPartObj>
      </w:sdtPr>
      <w:sdtEndPr>
        <w:rPr>
          <w:rStyle w:val="23"/>
          <w:rFonts w:ascii="Calibri" w:hAnsi="Calibri" w:eastAsia="宋体" w:cs="Times New Roman"/>
          <w:color w:val="0000FF" w:themeColor="hyperlink"/>
          <w:kern w:val="2"/>
          <w:sz w:val="21"/>
          <w:u w:val="single"/>
          <w14:textFill>
            <w14:solidFill>
              <w14:schemeClr w14:val="hlink"/>
            </w14:solidFill>
          </w14:textFill>
        </w:rPr>
      </w:sdtEndPr>
      <w:sdtContent>
        <w:p w14:paraId="2591F253">
          <w:pPr>
            <w:pStyle w:val="42"/>
            <w:spacing w:before="1540" w:after="240"/>
            <w:jc w:val="center"/>
            <w:rPr>
              <w:color w:val="4F81BD" w:themeColor="accent1"/>
              <w14:textFill>
                <w14:solidFill>
                  <w14:schemeClr w14:val="accent1"/>
                </w14:solidFill>
              </w14:textFill>
            </w:rPr>
          </w:pPr>
        </w:p>
        <w:p w14:paraId="6B0A30EB">
          <w:pPr>
            <w:pStyle w:val="42"/>
            <w:pBdr>
              <w:top w:val="single" w:color="4F81BD" w:themeColor="accent1" w:sz="6" w:space="6"/>
              <w:bottom w:val="single" w:color="4F81BD" w:themeColor="accent1" w:sz="6" w:space="6"/>
            </w:pBdr>
            <w:spacing w:after="240"/>
            <w:jc w:val="center"/>
            <w:rPr>
              <w:rFonts w:asciiTheme="majorHAnsi" w:hAnsiTheme="majorHAnsi" w:eastAsiaTheme="majorEastAsia" w:cstheme="majorBidi"/>
              <w:caps/>
              <w:sz w:val="72"/>
              <w:szCs w:val="72"/>
            </w:rPr>
          </w:pPr>
          <w:sdt>
            <w:sdtPr>
              <w:rPr>
                <w:rFonts w:asciiTheme="majorHAnsi" w:hAnsiTheme="majorHAnsi" w:eastAsiaTheme="majorEastAsia" w:cstheme="majorBidi"/>
                <w:caps/>
                <w:color w:val="0000FF" w:themeColor="hyperlink"/>
                <w:sz w:val="56"/>
                <w:szCs w:val="56"/>
                <w:u w:val="single"/>
                <w14:textFill>
                  <w14:solidFill>
                    <w14:schemeClr w14:val="hlink"/>
                  </w14:solidFill>
                </w14:textFill>
              </w:rPr>
              <w:alias w:val="标题"/>
              <w:id w:val="1735040861"/>
              <w:placeholder>
                <w:docPart w:val="786A51BC409F4A1195AC53D9B6174103"/>
              </w:placeholder>
              <w:dataBinding w:prefixMappings="xmlns:ns0='http://purl.org/dc/elements/1.1/' xmlns:ns1='http://schemas.openxmlformats.org/package/2006/metadata/core-properties' " w:xpath="/ns1:coreProperties[1]/ns0:title[1]" w:storeItemID="{6C3C8BC8-F283-45AE-878A-BAB7291924A1}"/>
              <w:text/>
            </w:sdtPr>
            <w:sdtEndPr>
              <w:rPr>
                <w:rFonts w:asciiTheme="majorHAnsi" w:hAnsiTheme="majorHAnsi" w:eastAsiaTheme="majorEastAsia" w:cstheme="majorBidi"/>
                <w:caps/>
                <w:color w:val="0000FF" w:themeColor="hyperlink"/>
                <w:sz w:val="56"/>
                <w:szCs w:val="56"/>
                <w:u w:val="single"/>
                <w14:textFill>
                  <w14:solidFill>
                    <w14:schemeClr w14:val="hlink"/>
                  </w14:solidFill>
                </w14:textFill>
              </w:rPr>
            </w:sdtEndPr>
            <w:sdtContent>
              <w:r>
                <w:rPr>
                  <w:rFonts w:hint="eastAsia" w:asciiTheme="majorHAnsi" w:hAnsiTheme="majorHAnsi" w:eastAsiaTheme="majorEastAsia" w:cstheme="majorBidi"/>
                  <w:caps/>
                  <w:sz w:val="56"/>
                  <w:szCs w:val="56"/>
                  <w:lang w:eastAsia="zh-CN"/>
                </w:rPr>
                <w:t xml:space="preserve">深圳市-汕尾市产业转移合作园   （天星湖片区）通信规划（征求意见稿） </w:t>
              </w:r>
            </w:sdtContent>
          </w:sdt>
        </w:p>
        <w:p w14:paraId="01038E40">
          <w:pPr>
            <w:pStyle w:val="42"/>
            <w:jc w:val="center"/>
            <w:rPr>
              <w:color w:val="4F81BD" w:themeColor="accent1"/>
              <w:sz w:val="28"/>
              <w:szCs w:val="28"/>
              <w14:textFill>
                <w14:solidFill>
                  <w14:schemeClr w14:val="accent1"/>
                </w14:solidFill>
              </w14:textFill>
            </w:rPr>
          </w:pPr>
        </w:p>
        <w:p w14:paraId="0074EFDE">
          <w:pPr>
            <w:pStyle w:val="42"/>
            <w:spacing w:before="480"/>
            <w:jc w:val="center"/>
            <w:rPr>
              <w:color w:val="4F81BD" w:themeColor="accent1"/>
              <w14:textFill>
                <w14:solidFill>
                  <w14:schemeClr w14:val="accent1"/>
                </w14:solidFill>
              </w14:textFill>
            </w:rPr>
          </w:pPr>
          <w:r>
            <w:rPr>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posOffset>4445</wp:posOffset>
                    </wp:positionH>
                    <wp:positionV relativeFrom="page">
                      <wp:posOffset>8267700</wp:posOffset>
                    </wp:positionV>
                    <wp:extent cx="6553200" cy="1052830"/>
                    <wp:effectExtent l="0" t="0" r="12065" b="13970"/>
                    <wp:wrapNone/>
                    <wp:docPr id="142" name="文本框 142"/>
                    <wp:cNvGraphicFramePr/>
                    <a:graphic xmlns:a="http://schemas.openxmlformats.org/drawingml/2006/main">
                      <a:graphicData uri="http://schemas.microsoft.com/office/word/2010/wordprocessingShape">
                        <wps:wsp>
                          <wps:cNvSpPr txBox="1"/>
                          <wps:spPr>
                            <a:xfrm>
                              <a:off x="0" y="0"/>
                              <a:ext cx="6553200" cy="1052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3B54CC">
                                <w:pPr>
                                  <w:pStyle w:val="42"/>
                                  <w:spacing w:after="40"/>
                                  <w:rPr>
                                    <w:caps/>
                                    <w:color w:val="4F81BD" w:themeColor="accent1"/>
                                    <w:sz w:val="28"/>
                                    <w:szCs w:val="28"/>
                                    <w14:textFill>
                                      <w14:solidFill>
                                        <w14:schemeClr w14:val="accent1"/>
                                      </w14:solidFill>
                                    </w14:textFill>
                                  </w:rPr>
                                </w:pPr>
                                <w:sdt>
                                  <w:sdtPr>
                                    <w:rPr>
                                      <w:caps/>
                                      <w:color w:val="4F81BD" w:themeColor="accent1"/>
                                      <w:sz w:val="28"/>
                                      <w:szCs w:val="28"/>
                                      <w14:textFill>
                                        <w14:solidFill>
                                          <w14:schemeClr w14:val="accent1"/>
                                        </w14:solidFill>
                                      </w14:textFill>
                                    </w:rPr>
                                    <w:alias w:val="日期"/>
                                    <w:id w:val="197127006"/>
                                    <w:showingPlcHdr/>
                                    <w:dataBinding w:prefixMappings="xmlns:ns0='http://schemas.microsoft.com/office/2006/coverPageProps' " w:xpath="/ns0:CoverPageProperties[1]/ns0:PublishDate[1]" w:storeItemID="{55AF091B-3C7A-41E3-B477-F2FDAA23CFDA}"/>
                                    <w:date w:fullDate="2025-01-17T00:00:00Z">
                                      <w:dateFormat w:val="yyyy-M-d"/>
                                      <w:lid w:val="zh-CN"/>
                                      <w:storeMappedDataAs w:val="datetime"/>
                                      <w:calendar w:val="gregorian"/>
                                    </w:date>
                                  </w:sdtPr>
                                  <w:sdtEndPr>
                                    <w:rPr>
                                      <w:caps/>
                                      <w:color w:val="4F81BD" w:themeColor="accent1"/>
                                      <w:sz w:val="28"/>
                                      <w:szCs w:val="28"/>
                                      <w14:textFill>
                                        <w14:solidFill>
                                          <w14:schemeClr w14:val="accent1"/>
                                        </w14:solidFill>
                                      </w14:textFill>
                                    </w:rPr>
                                  </w:sdtEndPr>
                                  <w:sdtContent>
                                    <w:r>
                                      <w:rPr>
                                        <w:caps/>
                                        <w:color w:val="4F81BD" w:themeColor="accent1"/>
                                        <w:sz w:val="28"/>
                                        <w:szCs w:val="28"/>
                                        <w14:textFill>
                                          <w14:solidFill>
                                            <w14:schemeClr w14:val="accent1"/>
                                          </w14:solidFill>
                                        </w14:textFill>
                                      </w:rPr>
                                      <w:t xml:space="preserve">     </w:t>
                                    </w:r>
                                  </w:sdtContent>
                                </w:sdt>
                              </w:p>
                              <w:p w14:paraId="590DF601">
                                <w:pPr>
                                  <w:pStyle w:val="42"/>
                                  <w:spacing w:line="360" w:lineRule="auto"/>
                                  <w:rPr>
                                    <w:sz w:val="32"/>
                                    <w:szCs w:val="32"/>
                                  </w:rPr>
                                </w:pPr>
                                <w:r>
                                  <w:rPr>
                                    <w:rFonts w:hint="eastAsia"/>
                                    <w:sz w:val="28"/>
                                    <w:szCs w:val="28"/>
                                  </w:rPr>
                                  <w:t xml:space="preserve"> </w:t>
                                </w:r>
                                <w:r>
                                  <w:rPr>
                                    <w:sz w:val="28"/>
                                    <w:szCs w:val="28"/>
                                  </w:rPr>
                                  <w:t xml:space="preserve">         </w:t>
                                </w:r>
                                <w:sdt>
                                  <w:sdtPr>
                                    <w:rPr>
                                      <w:sz w:val="32"/>
                                      <w:szCs w:val="32"/>
                                    </w:rPr>
                                    <w:alias w:val="地址"/>
                                    <w:id w:val="-726379553"/>
                                    <w:dataBinding w:prefixMappings="xmlns:ns0='http://schemas.microsoft.com/office/2006/coverPageProps' " w:xpath="/ns0:CoverPageProperties[1]/ns0:CompanyAddress[1]" w:storeItemID="{55AF091B-3C7A-41E3-B477-F2FDAA23CFDA}"/>
                                    <w:text/>
                                  </w:sdtPr>
                                  <w:sdtEndPr>
                                    <w:rPr>
                                      <w:sz w:val="32"/>
                                      <w:szCs w:val="32"/>
                                    </w:rPr>
                                  </w:sdtEndPr>
                                  <w:sdtContent>
                                    <w:r>
                                      <w:rPr>
                                        <w:sz w:val="32"/>
                                        <w:szCs w:val="32"/>
                                      </w:rPr>
                                      <w:t>编制</w:t>
                                    </w:r>
                                    <w:r>
                                      <w:rPr>
                                        <w:rFonts w:hint="eastAsia"/>
                                        <w:sz w:val="32"/>
                                        <w:szCs w:val="32"/>
                                      </w:rPr>
                                      <w:t>单位：广东南方电信规划咨询设计院有限公司</w:t>
                                    </w:r>
                                  </w:sdtContent>
                                </w:sdt>
                              </w:p>
                              <w:p w14:paraId="33863245">
                                <w:pPr>
                                  <w:pStyle w:val="42"/>
                                  <w:spacing w:line="360" w:lineRule="auto"/>
                                  <w:jc w:val="center"/>
                                  <w:rPr>
                                    <w:sz w:val="32"/>
                                    <w:szCs w:val="32"/>
                                  </w:rPr>
                                </w:pPr>
                                <w:r>
                                  <w:rPr>
                                    <w:sz w:val="32"/>
                                    <w:szCs w:val="32"/>
                                  </w:rPr>
                                  <w:t>日期</w:t>
                                </w:r>
                                <w:r>
                                  <w:rPr>
                                    <w:rFonts w:hint="eastAsia"/>
                                    <w:sz w:val="32"/>
                                    <w:szCs w:val="32"/>
                                  </w:rPr>
                                  <w:t>：2</w:t>
                                </w:r>
                                <w:r>
                                  <w:rPr>
                                    <w:sz w:val="32"/>
                                    <w:szCs w:val="32"/>
                                  </w:rPr>
                                  <w:t>025年</w:t>
                                </w:r>
                                <w:r>
                                  <w:rPr>
                                    <w:rFonts w:hint="eastAsia"/>
                                    <w:sz w:val="32"/>
                                    <w:szCs w:val="32"/>
                                  </w:rPr>
                                  <w:t>1</w:t>
                                </w:r>
                                <w:r>
                                  <w:rPr>
                                    <w:sz w:val="32"/>
                                    <w:szCs w:val="32"/>
                                  </w:rPr>
                                  <w:t>月</w:t>
                                </w:r>
                              </w:p>
                            </w:txbxContent>
                          </wps:txbx>
                          <wps:bodyPr rot="0" spcFirstLastPara="0" vertOverflow="overflow" horzOverflow="overflow" vert="horz" wrap="square" lIns="0" tIns="0" rIns="0" bIns="0" numCol="1" spcCol="0" rtlCol="0" fromWordArt="0" anchor="b" anchorCtr="0" forceAA="0" compatLnSpc="1">
                            <a:no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left:0.35pt;margin-top:651pt;height:82.9pt;width:516pt;mso-position-horizontal-relative:margin;mso-position-vertical-relative:page;z-index:251659264;v-text-anchor:bottom;mso-width-relative:margin;mso-height-relative:page;mso-width-percent:1000;" filled="f" stroked="f" coordsize="21600,21600" o:gfxdata="UEsDBAoAAAAAAIdO4kAAAAAAAAAAAAAAAAAEAAAAZHJzL1BLAwQUAAAACACHTuJArNvTotQAAAAL&#10;AQAADwAAAGRycy9kb3ducmV2LnhtbE1Py07DMBC8I/EP1iJxQXTdNLRViFOpIM6IAHc3XpKIeB3F&#10;7oN+PdsT3HYemp0pNyc/qANNsQ9sYD7ToIib4HpuDXy8v9yvQcVk2dkhMBn4oQib6vqqtIULR36j&#10;Q51aJSEcC2ugS2ksEGPTkbdxFkZi0b7C5G0SOLXoJnuUcD9gpvUSve1ZPnR2pKeOmu967w3cnc/P&#10;DyPmn5NHrF9z3vYBt8bc3sz1I6hEp/Rnhkt9qQ6VdNqFPbuoBgMr8Qm70JlMuuh6kQm3kytfrtaA&#10;VYn/N1S/UEsDBBQAAAAIAIdO4kDVogIwOwIAAGkEAAAOAAAAZHJzL2Uyb0RvYy54bWytVM1uEzEQ&#10;viPxDpbvdPNDqirqpgqtipAqWqkgzo7Xm13J9hjb6W55AHgDTly481x9Dj57sykqHHrgshnPjL+Z&#10;+eZzTs96o9md8qElW/Lp0YQzZSVVrd2W/OOHy1cnnIUobCU0WVXyexX42erli9POLdWMGtKV8gwg&#10;Niw7V/ImRrcsiiAbZUQ4IqcsgjV5IyKOfltUXnRAN7qYTSbHRUe+cp6kCgHeiyHI94j+OYBU161U&#10;FyR3Rtk4oHqlRcRIoWld4KvcbV0rGa/rOqjIdMkxacxfFIG9Sd9idSqWWy9c08p9C+I5LTyZyYjW&#10;ougB6kJEwXa+/QvKtNJToDoeSTLFMEhmBFNMJ0+4uW2EU3kWUB3cgfTw/2Dl+7sbz9oKSng948wK&#10;g5U/fP/28OPXw8+vLDlBUefCEpm3Drmxf0M90kd/gDNN3tfepF/MxBAHwfcHglUfmYTzeLGYQwOc&#10;ScSmk8XsZJ5XUDxedz7Et4oMS0bJPTaYiRV3VyGiFaSOKamapctW67xFbVmHEvPFJF84RHBD25Sr&#10;sh72MGmkofVkxX7T7+fcUHWPMT0NWglOXrZo5UqEeCM8xIH28XziNT61JpSkvcVZQ/7Lv/wpHztD&#10;lLMOYit5+LwTXnGm31lsE5BxNPxobEbD7sw5Qb9TPEwns4kLPurRrD2ZT3hV61QFIWElapV8M5rn&#10;cZA8XqVU63VOgv6ciFf21skEPZC53kWq28xzomXgAqSnAxSY6d+/liTxP8856/EfYvU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NvTotQAAAALAQAADwAAAAAAAAABACAAAAAiAAAAZHJzL2Rvd25y&#10;ZXYueG1sUEsBAhQAFAAAAAgAh07iQNWiAjA7AgAAaQQAAA4AAAAAAAAAAQAgAAAAIwEAAGRycy9l&#10;Mm9Eb2MueG1sUEsFBgAAAAAGAAYAWQEAANAFAAAAAA==&#10;">
                    <v:fill on="f" focussize="0,0"/>
                    <v:stroke on="f" weight="0.5pt"/>
                    <v:imagedata o:title=""/>
                    <o:lock v:ext="edit" aspectratio="f"/>
                    <v:textbox inset="0mm,0mm,0mm,0mm">
                      <w:txbxContent>
                        <w:p w14:paraId="013B54CC">
                          <w:pPr>
                            <w:pStyle w:val="42"/>
                            <w:spacing w:after="40"/>
                            <w:rPr>
                              <w:caps/>
                              <w:color w:val="4F81BD" w:themeColor="accent1"/>
                              <w:sz w:val="28"/>
                              <w:szCs w:val="28"/>
                              <w14:textFill>
                                <w14:solidFill>
                                  <w14:schemeClr w14:val="accent1"/>
                                </w14:solidFill>
                              </w14:textFill>
                            </w:rPr>
                          </w:pPr>
                          <w:sdt>
                            <w:sdtPr>
                              <w:rPr>
                                <w:caps/>
                                <w:color w:val="4F81BD" w:themeColor="accent1"/>
                                <w:sz w:val="28"/>
                                <w:szCs w:val="28"/>
                                <w14:textFill>
                                  <w14:solidFill>
                                    <w14:schemeClr w14:val="accent1"/>
                                  </w14:solidFill>
                                </w14:textFill>
                              </w:rPr>
                              <w:alias w:val="日期"/>
                              <w:id w:val="197127006"/>
                              <w:showingPlcHdr/>
                              <w:dataBinding w:prefixMappings="xmlns:ns0='http://schemas.microsoft.com/office/2006/coverPageProps' " w:xpath="/ns0:CoverPageProperties[1]/ns0:PublishDate[1]" w:storeItemID="{55AF091B-3C7A-41E3-B477-F2FDAA23CFDA}"/>
                              <w:date w:fullDate="2025-01-17T00:00:00Z">
                                <w:dateFormat w:val="yyyy-M-d"/>
                                <w:lid w:val="zh-CN"/>
                                <w:storeMappedDataAs w:val="datetime"/>
                                <w:calendar w:val="gregorian"/>
                              </w:date>
                            </w:sdtPr>
                            <w:sdtEndPr>
                              <w:rPr>
                                <w:caps/>
                                <w:color w:val="4F81BD" w:themeColor="accent1"/>
                                <w:sz w:val="28"/>
                                <w:szCs w:val="28"/>
                                <w14:textFill>
                                  <w14:solidFill>
                                    <w14:schemeClr w14:val="accent1"/>
                                  </w14:solidFill>
                                </w14:textFill>
                              </w:rPr>
                            </w:sdtEndPr>
                            <w:sdtContent>
                              <w:r>
                                <w:rPr>
                                  <w:caps/>
                                  <w:color w:val="4F81BD" w:themeColor="accent1"/>
                                  <w:sz w:val="28"/>
                                  <w:szCs w:val="28"/>
                                  <w14:textFill>
                                    <w14:solidFill>
                                      <w14:schemeClr w14:val="accent1"/>
                                    </w14:solidFill>
                                  </w14:textFill>
                                </w:rPr>
                                <w:t xml:space="preserve">     </w:t>
                              </w:r>
                            </w:sdtContent>
                          </w:sdt>
                        </w:p>
                        <w:p w14:paraId="590DF601">
                          <w:pPr>
                            <w:pStyle w:val="42"/>
                            <w:spacing w:line="360" w:lineRule="auto"/>
                            <w:rPr>
                              <w:sz w:val="32"/>
                              <w:szCs w:val="32"/>
                            </w:rPr>
                          </w:pPr>
                          <w:r>
                            <w:rPr>
                              <w:rFonts w:hint="eastAsia"/>
                              <w:sz w:val="28"/>
                              <w:szCs w:val="28"/>
                            </w:rPr>
                            <w:t xml:space="preserve"> </w:t>
                          </w:r>
                          <w:r>
                            <w:rPr>
                              <w:sz w:val="28"/>
                              <w:szCs w:val="28"/>
                            </w:rPr>
                            <w:t xml:space="preserve">         </w:t>
                          </w:r>
                          <w:sdt>
                            <w:sdtPr>
                              <w:rPr>
                                <w:sz w:val="32"/>
                                <w:szCs w:val="32"/>
                              </w:rPr>
                              <w:alias w:val="地址"/>
                              <w:id w:val="-726379553"/>
                              <w:dataBinding w:prefixMappings="xmlns:ns0='http://schemas.microsoft.com/office/2006/coverPageProps' " w:xpath="/ns0:CoverPageProperties[1]/ns0:CompanyAddress[1]" w:storeItemID="{55AF091B-3C7A-41E3-B477-F2FDAA23CFDA}"/>
                              <w:text/>
                            </w:sdtPr>
                            <w:sdtEndPr>
                              <w:rPr>
                                <w:sz w:val="32"/>
                                <w:szCs w:val="32"/>
                              </w:rPr>
                            </w:sdtEndPr>
                            <w:sdtContent>
                              <w:r>
                                <w:rPr>
                                  <w:sz w:val="32"/>
                                  <w:szCs w:val="32"/>
                                </w:rPr>
                                <w:t>编制</w:t>
                              </w:r>
                              <w:r>
                                <w:rPr>
                                  <w:rFonts w:hint="eastAsia"/>
                                  <w:sz w:val="32"/>
                                  <w:szCs w:val="32"/>
                                </w:rPr>
                                <w:t>单位：广东南方电信规划咨询设计院有限公司</w:t>
                              </w:r>
                            </w:sdtContent>
                          </w:sdt>
                        </w:p>
                        <w:p w14:paraId="33863245">
                          <w:pPr>
                            <w:pStyle w:val="42"/>
                            <w:spacing w:line="360" w:lineRule="auto"/>
                            <w:jc w:val="center"/>
                            <w:rPr>
                              <w:sz w:val="32"/>
                              <w:szCs w:val="32"/>
                            </w:rPr>
                          </w:pPr>
                          <w:r>
                            <w:rPr>
                              <w:sz w:val="32"/>
                              <w:szCs w:val="32"/>
                            </w:rPr>
                            <w:t>日期</w:t>
                          </w:r>
                          <w:r>
                            <w:rPr>
                              <w:rFonts w:hint="eastAsia"/>
                              <w:sz w:val="32"/>
                              <w:szCs w:val="32"/>
                            </w:rPr>
                            <w:t>：2</w:t>
                          </w:r>
                          <w:r>
                            <w:rPr>
                              <w:sz w:val="32"/>
                              <w:szCs w:val="32"/>
                            </w:rPr>
                            <w:t>025年</w:t>
                          </w:r>
                          <w:r>
                            <w:rPr>
                              <w:rFonts w:hint="eastAsia"/>
                              <w:sz w:val="32"/>
                              <w:szCs w:val="32"/>
                            </w:rPr>
                            <w:t>1</w:t>
                          </w:r>
                          <w:r>
                            <w:rPr>
                              <w:sz w:val="32"/>
                              <w:szCs w:val="32"/>
                            </w:rPr>
                            <w:t>月</w:t>
                          </w:r>
                        </w:p>
                      </w:txbxContent>
                    </v:textbox>
                  </v:shape>
                </w:pict>
              </mc:Fallback>
            </mc:AlternateContent>
          </w:r>
        </w:p>
        <w:p w14:paraId="2332BD87">
          <w:pPr>
            <w:widowControl/>
            <w:jc w:val="left"/>
            <w:rPr>
              <w:rStyle w:val="23"/>
            </w:rPr>
            <w:sectPr>
              <w:footerReference r:id="rId4" w:type="first"/>
              <w:footerReference r:id="rId3" w:type="default"/>
              <w:pgSz w:w="11907" w:h="16840"/>
              <w:pgMar w:top="1418" w:right="1418" w:bottom="1418" w:left="1418" w:header="907" w:footer="397" w:gutter="0"/>
              <w:pgNumType w:start="0"/>
              <w:cols w:space="720" w:num="1"/>
              <w:titlePg/>
              <w:docGrid w:linePitch="326" w:charSpace="0"/>
            </w:sectPr>
          </w:pPr>
        </w:p>
        <w:p w14:paraId="04AFD3A8">
          <w:pPr>
            <w:widowControl/>
            <w:jc w:val="left"/>
            <w:rPr>
              <w:rStyle w:val="23"/>
            </w:rPr>
          </w:pPr>
        </w:p>
      </w:sdtContent>
    </w:sdt>
    <w:sdt>
      <w:sdtPr>
        <w:rPr>
          <w:rFonts w:ascii="Calibri" w:hAnsi="Calibri" w:eastAsia="宋体" w:cs="Times New Roman"/>
          <w:color w:val="0000FF" w:themeColor="hyperlink"/>
          <w:kern w:val="2"/>
          <w:sz w:val="21"/>
          <w:szCs w:val="22"/>
          <w:u w:val="single"/>
          <w:lang w:val="zh-CN"/>
          <w14:textFill>
            <w14:solidFill>
              <w14:schemeClr w14:val="hlink"/>
            </w14:solidFill>
          </w14:textFill>
        </w:rPr>
        <w:id w:val="44188674"/>
        <w:docPartObj>
          <w:docPartGallery w:val="Table of Contents"/>
          <w:docPartUnique/>
        </w:docPartObj>
      </w:sdtPr>
      <w:sdtEndPr>
        <w:rPr>
          <w:rFonts w:ascii="Calibri" w:hAnsi="Calibri" w:eastAsia="宋体" w:cs="Times New Roman"/>
          <w:b/>
          <w:bCs/>
          <w:color w:val="auto"/>
          <w:kern w:val="2"/>
          <w:sz w:val="21"/>
          <w:szCs w:val="22"/>
          <w:u w:val="single"/>
          <w:lang w:val="zh-CN"/>
        </w:rPr>
      </w:sdtEndPr>
      <w:sdtContent>
        <w:p w14:paraId="3680667E">
          <w:pPr>
            <w:pStyle w:val="41"/>
            <w:spacing w:after="360" w:afterLines="150"/>
            <w:jc w:val="center"/>
          </w:pPr>
          <w:r>
            <w:rPr>
              <w:lang w:val="zh-CN"/>
            </w:rPr>
            <w:t>目录</w:t>
          </w:r>
        </w:p>
        <w:p w14:paraId="1EDCA6E2">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TOC \o "1-3" \h \z \u </w:instrText>
          </w:r>
          <w:r>
            <w:fldChar w:fldCharType="separate"/>
          </w:r>
          <w:r>
            <w:fldChar w:fldCharType="begin"/>
          </w:r>
          <w:r>
            <w:instrText xml:space="preserve"> HYPERLINK \l "_Toc188027467" </w:instrText>
          </w:r>
          <w:r>
            <w:fldChar w:fldCharType="separate"/>
          </w:r>
          <w:r>
            <w:rPr>
              <w:rStyle w:val="23"/>
              <w:rFonts w:ascii="Arial" w:hAnsi="Arial"/>
            </w:rPr>
            <w:t>一.</w:t>
          </w:r>
          <w:r>
            <w:rPr>
              <w:rFonts w:asciiTheme="minorHAnsi" w:hAnsiTheme="minorHAnsi" w:eastAsiaTheme="minorEastAsia" w:cstheme="minorBidi"/>
            </w:rPr>
            <w:tab/>
          </w:r>
          <w:r>
            <w:rPr>
              <w:rStyle w:val="23"/>
            </w:rPr>
            <w:t>规划概述</w:t>
          </w:r>
          <w:r>
            <w:tab/>
          </w:r>
          <w:r>
            <w:fldChar w:fldCharType="begin"/>
          </w:r>
          <w:r>
            <w:instrText xml:space="preserve"> PAGEREF _Toc188027467 \h </w:instrText>
          </w:r>
          <w:r>
            <w:fldChar w:fldCharType="separate"/>
          </w:r>
          <w:r>
            <w:t>1</w:t>
          </w:r>
          <w:r>
            <w:fldChar w:fldCharType="end"/>
          </w:r>
          <w:r>
            <w:fldChar w:fldCharType="end"/>
          </w:r>
        </w:p>
        <w:p w14:paraId="11FAEE1E">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"_Toc188027468" </w:instrText>
          </w:r>
          <w:r>
            <w:fldChar w:fldCharType="separate"/>
          </w:r>
          <w:r>
            <w:rPr>
              <w:rStyle w:val="23"/>
              <w:rFonts w:ascii="Arial" w:hAnsi="Arial" w:cs="宋体"/>
              <w:kern w:val="0"/>
            </w:rPr>
            <w:t>1.1</w:t>
          </w:r>
          <w:r>
            <w:rPr>
              <w:rFonts w:asciiTheme="minorHAnsi" w:hAnsiTheme="minorHAnsi" w:eastAsiaTheme="minorEastAsia" w:cstheme="minorBidi"/>
            </w:rPr>
            <w:tab/>
          </w:r>
          <w:r>
            <w:rPr>
              <w:rStyle w:val="23"/>
              <w:rFonts w:cs="宋体" w:asciiTheme="minorEastAsia" w:hAnsiTheme="minorEastAsia"/>
              <w:kern w:val="0"/>
            </w:rPr>
            <w:t>规划背景</w:t>
          </w:r>
          <w:r>
            <w:tab/>
          </w:r>
          <w:r>
            <w:fldChar w:fldCharType="begin"/>
          </w:r>
          <w:r>
            <w:instrText xml:space="preserve"> PAGEREF _Toc188027468 \h </w:instrText>
          </w:r>
          <w:r>
            <w:fldChar w:fldCharType="separate"/>
          </w:r>
          <w:r>
            <w:t>1</w:t>
          </w:r>
          <w:r>
            <w:fldChar w:fldCharType="end"/>
          </w:r>
          <w:r>
            <w:fldChar w:fldCharType="end"/>
          </w:r>
        </w:p>
        <w:p w14:paraId="628DA959">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"_Toc188027469" </w:instrText>
          </w:r>
          <w:r>
            <w:fldChar w:fldCharType="separate"/>
          </w:r>
          <w:r>
            <w:rPr>
              <w:rStyle w:val="23"/>
              <w:rFonts w:ascii="Arial" w:hAnsi="Arial"/>
            </w:rPr>
            <w:t>1.2</w:t>
          </w:r>
          <w:r>
            <w:rPr>
              <w:rFonts w:asciiTheme="minorHAnsi" w:hAnsiTheme="minorHAnsi" w:eastAsiaTheme="minorEastAsia" w:cstheme="minorBidi"/>
            </w:rPr>
            <w:tab/>
          </w:r>
          <w:r>
            <w:rPr>
              <w:rStyle w:val="23"/>
            </w:rPr>
            <w:t>天星湖片区概况</w:t>
          </w:r>
          <w:r>
            <w:tab/>
          </w:r>
          <w:r>
            <w:fldChar w:fldCharType="begin"/>
          </w:r>
          <w:r>
            <w:instrText xml:space="preserve"> PAGEREF _Toc188027469 \h </w:instrText>
          </w:r>
          <w:r>
            <w:fldChar w:fldCharType="separate"/>
          </w:r>
          <w:r>
            <w:t>2</w:t>
          </w:r>
          <w:r>
            <w:fldChar w:fldCharType="end"/>
          </w:r>
          <w:r>
            <w:fldChar w:fldCharType="end"/>
          </w:r>
        </w:p>
        <w:p w14:paraId="6FA69ADD">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"_Toc188027470" </w:instrText>
          </w:r>
          <w:r>
            <w:fldChar w:fldCharType="separate"/>
          </w:r>
          <w:r>
            <w:rPr>
              <w:rStyle w:val="23"/>
              <w:rFonts w:ascii="Arial" w:hAnsi="Arial"/>
            </w:rPr>
            <w:t>1.3</w:t>
          </w:r>
          <w:r>
            <w:rPr>
              <w:rFonts w:asciiTheme="minorHAnsi" w:hAnsiTheme="minorHAnsi" w:eastAsiaTheme="minorEastAsia" w:cstheme="minorBidi"/>
            </w:rPr>
            <w:tab/>
          </w:r>
          <w:r>
            <w:rPr>
              <w:rStyle w:val="23"/>
            </w:rPr>
            <w:t>规划总体要求</w:t>
          </w:r>
          <w:r>
            <w:tab/>
          </w:r>
          <w:r>
            <w:fldChar w:fldCharType="begin"/>
          </w:r>
          <w:r>
            <w:instrText xml:space="preserve"> PAGEREF _Toc188027470 \h </w:instrText>
          </w:r>
          <w:r>
            <w:fldChar w:fldCharType="separate"/>
          </w:r>
          <w:r>
            <w:t>4</w:t>
          </w:r>
          <w:r>
            <w:fldChar w:fldCharType="end"/>
          </w:r>
          <w:r>
            <w:fldChar w:fldCharType="end"/>
          </w:r>
        </w:p>
        <w:p w14:paraId="659000D3">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"_Toc188027471" </w:instrText>
          </w:r>
          <w:r>
            <w:fldChar w:fldCharType="separate"/>
          </w:r>
          <w:r>
            <w:rPr>
              <w:rStyle w:val="23"/>
              <w:rFonts w:ascii="Arial" w:hAnsi="Arial"/>
            </w:rPr>
            <w:t>1.4</w:t>
          </w:r>
          <w:r>
            <w:rPr>
              <w:rFonts w:asciiTheme="minorHAnsi" w:hAnsiTheme="minorHAnsi" w:eastAsiaTheme="minorEastAsia" w:cstheme="minorBidi"/>
            </w:rPr>
            <w:tab/>
          </w:r>
          <w:r>
            <w:rPr>
              <w:rStyle w:val="23"/>
            </w:rPr>
            <w:t>规划目标</w:t>
          </w:r>
          <w:r>
            <w:tab/>
          </w:r>
          <w:r>
            <w:fldChar w:fldCharType="begin"/>
          </w:r>
          <w:r>
            <w:instrText xml:space="preserve"> PAGEREF _Toc188027471 \h </w:instrText>
          </w:r>
          <w:r>
            <w:fldChar w:fldCharType="separate"/>
          </w:r>
          <w:r>
            <w:t>4</w:t>
          </w:r>
          <w:r>
            <w:fldChar w:fldCharType="end"/>
          </w:r>
          <w:r>
            <w:fldChar w:fldCharType="end"/>
          </w:r>
        </w:p>
        <w:p w14:paraId="607C9842">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"_Toc188027472" </w:instrText>
          </w:r>
          <w:r>
            <w:fldChar w:fldCharType="separate"/>
          </w:r>
          <w:r>
            <w:rPr>
              <w:rStyle w:val="23"/>
              <w:rFonts w:ascii="Arial" w:hAnsi="Arial"/>
            </w:rPr>
            <w:t>1.5</w:t>
          </w:r>
          <w:r>
            <w:rPr>
              <w:rFonts w:asciiTheme="minorHAnsi" w:hAnsiTheme="minorHAnsi" w:eastAsiaTheme="minorEastAsia" w:cstheme="minorBidi"/>
            </w:rPr>
            <w:tab/>
          </w:r>
          <w:r>
            <w:rPr>
              <w:rStyle w:val="23"/>
            </w:rPr>
            <w:t>规划原则</w:t>
          </w:r>
          <w:r>
            <w:tab/>
          </w:r>
          <w:r>
            <w:fldChar w:fldCharType="begin"/>
          </w:r>
          <w:r>
            <w:instrText xml:space="preserve"> PAGEREF _Toc188027472 \h </w:instrText>
          </w:r>
          <w:r>
            <w:fldChar w:fldCharType="separate"/>
          </w:r>
          <w:r>
            <w:t>5</w:t>
          </w:r>
          <w:r>
            <w:fldChar w:fldCharType="end"/>
          </w:r>
          <w:r>
            <w:fldChar w:fldCharType="end"/>
          </w:r>
        </w:p>
        <w:p w14:paraId="26EA149D">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"_Toc188027473" </w:instrText>
          </w:r>
          <w:r>
            <w:fldChar w:fldCharType="separate"/>
          </w:r>
          <w:r>
            <w:rPr>
              <w:rStyle w:val="23"/>
              <w:rFonts w:ascii="Arial" w:hAnsi="Arial"/>
            </w:rPr>
            <w:t>1.6</w:t>
          </w:r>
          <w:r>
            <w:rPr>
              <w:rFonts w:asciiTheme="minorHAnsi" w:hAnsiTheme="minorHAnsi" w:eastAsiaTheme="minorEastAsia" w:cstheme="minorBidi"/>
            </w:rPr>
            <w:tab/>
          </w:r>
          <w:r>
            <w:rPr>
              <w:rStyle w:val="23"/>
            </w:rPr>
            <w:t>规划范围及期限</w:t>
          </w:r>
          <w:r>
            <w:tab/>
          </w:r>
          <w:r>
            <w:fldChar w:fldCharType="begin"/>
          </w:r>
          <w:r>
            <w:instrText xml:space="preserve"> PAGEREF _Toc188027473 \h </w:instrText>
          </w:r>
          <w:r>
            <w:fldChar w:fldCharType="separate"/>
          </w:r>
          <w:r>
            <w:t>6</w:t>
          </w:r>
          <w:r>
            <w:fldChar w:fldCharType="end"/>
          </w:r>
          <w:r>
            <w:fldChar w:fldCharType="end"/>
          </w:r>
        </w:p>
        <w:p w14:paraId="7D258F71">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"_Toc188027474" </w:instrText>
          </w:r>
          <w:r>
            <w:fldChar w:fldCharType="separate"/>
          </w:r>
          <w:r>
            <w:rPr>
              <w:rStyle w:val="23"/>
              <w:rFonts w:ascii="Arial" w:hAnsi="Arial"/>
            </w:rPr>
            <w:t>1.7</w:t>
          </w:r>
          <w:r>
            <w:rPr>
              <w:rFonts w:asciiTheme="minorHAnsi" w:hAnsiTheme="minorHAnsi" w:eastAsiaTheme="minorEastAsia" w:cstheme="minorBidi"/>
            </w:rPr>
            <w:tab/>
          </w:r>
          <w:r>
            <w:rPr>
              <w:rStyle w:val="23"/>
            </w:rPr>
            <w:t>规划依据</w:t>
          </w:r>
          <w:r>
            <w:tab/>
          </w:r>
          <w:r>
            <w:fldChar w:fldCharType="begin"/>
          </w:r>
          <w:r>
            <w:instrText xml:space="preserve"> PAGEREF _Toc188027474 \h </w:instrText>
          </w:r>
          <w:r>
            <w:fldChar w:fldCharType="separate"/>
          </w:r>
          <w:r>
            <w:t>7</w:t>
          </w:r>
          <w:r>
            <w:fldChar w:fldCharType="end"/>
          </w:r>
          <w:r>
            <w:fldChar w:fldCharType="end"/>
          </w:r>
        </w:p>
        <w:p w14:paraId="24FCDC09">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"_Toc188027475" </w:instrText>
          </w:r>
          <w:r>
            <w:fldChar w:fldCharType="separate"/>
          </w:r>
          <w:r>
            <w:rPr>
              <w:rStyle w:val="23"/>
              <w:rFonts w:ascii="Arial" w:hAnsi="Arial"/>
            </w:rPr>
            <w:t>二.</w:t>
          </w:r>
          <w:r>
            <w:rPr>
              <w:rFonts w:asciiTheme="minorHAnsi" w:hAnsiTheme="minorHAnsi" w:eastAsiaTheme="minorEastAsia" w:cstheme="minorBidi"/>
            </w:rPr>
            <w:tab/>
          </w:r>
          <w:r>
            <w:rPr>
              <w:rStyle w:val="23"/>
            </w:rPr>
            <w:t>天星湖片区现状分析与问题总结</w:t>
          </w:r>
          <w:r>
            <w:tab/>
          </w:r>
          <w:r>
            <w:fldChar w:fldCharType="begin"/>
          </w:r>
          <w:r>
            <w:instrText xml:space="preserve"> PAGEREF _Toc188027475 \h </w:instrText>
          </w:r>
          <w:r>
            <w:fldChar w:fldCharType="separate"/>
          </w:r>
          <w:r>
            <w:t>8</w:t>
          </w:r>
          <w:r>
            <w:fldChar w:fldCharType="end"/>
          </w:r>
          <w:r>
            <w:fldChar w:fldCharType="end"/>
          </w:r>
        </w:p>
        <w:p w14:paraId="13921406">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"_Toc188027478" </w:instrText>
          </w:r>
          <w:r>
            <w:fldChar w:fldCharType="separate"/>
          </w:r>
          <w:r>
            <w:rPr>
              <w:rStyle w:val="23"/>
              <w:rFonts w:ascii="Arial" w:hAnsi="Arial"/>
            </w:rPr>
            <w:t>2.1</w:t>
          </w:r>
          <w:r>
            <w:rPr>
              <w:rFonts w:asciiTheme="minorHAnsi" w:hAnsiTheme="minorHAnsi" w:eastAsiaTheme="minorEastAsia" w:cstheme="minorBidi"/>
            </w:rPr>
            <w:tab/>
          </w:r>
          <w:r>
            <w:rPr>
              <w:rStyle w:val="23"/>
            </w:rPr>
            <w:t>天星湖片区详细规划及城市设计情况概况</w:t>
          </w:r>
          <w:r>
            <w:tab/>
          </w:r>
          <w:r>
            <w:fldChar w:fldCharType="begin"/>
          </w:r>
          <w:r>
            <w:instrText xml:space="preserve"> PAGEREF _Toc188027478 \h </w:instrText>
          </w:r>
          <w:r>
            <w:fldChar w:fldCharType="separate"/>
          </w:r>
          <w:r>
            <w:t>8</w:t>
          </w:r>
          <w:r>
            <w:fldChar w:fldCharType="end"/>
          </w:r>
          <w:r>
            <w:fldChar w:fldCharType="end"/>
          </w:r>
        </w:p>
        <w:p w14:paraId="6616D9FB">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"_Toc188027479" </w:instrText>
          </w:r>
          <w:r>
            <w:fldChar w:fldCharType="separate"/>
          </w:r>
          <w:r>
            <w:rPr>
              <w:rStyle w:val="23"/>
              <w:rFonts w:ascii="Arial" w:hAnsi="Arial"/>
            </w:rPr>
            <w:t>2.2</w:t>
          </w:r>
          <w:r>
            <w:rPr>
              <w:rFonts w:asciiTheme="minorHAnsi" w:hAnsiTheme="minorHAnsi" w:eastAsiaTheme="minorEastAsia" w:cstheme="minorBidi"/>
            </w:rPr>
            <w:tab/>
          </w:r>
          <w:r>
            <w:rPr>
              <w:rStyle w:val="23"/>
            </w:rPr>
            <w:t>通信基础设施建设现状</w:t>
          </w:r>
          <w:r>
            <w:tab/>
          </w:r>
          <w:r>
            <w:fldChar w:fldCharType="begin"/>
          </w:r>
          <w:r>
            <w:instrText xml:space="preserve"> PAGEREF _Toc188027479 \h </w:instrText>
          </w:r>
          <w:r>
            <w:fldChar w:fldCharType="separate"/>
          </w:r>
          <w:r>
            <w:t>12</w:t>
          </w:r>
          <w:r>
            <w:fldChar w:fldCharType="end"/>
          </w:r>
          <w:r>
            <w:fldChar w:fldCharType="end"/>
          </w:r>
        </w:p>
        <w:p w14:paraId="15B56E0B">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"_Toc188027480" </w:instrText>
          </w:r>
          <w:r>
            <w:fldChar w:fldCharType="separate"/>
          </w:r>
          <w:r>
            <w:rPr>
              <w:rStyle w:val="23"/>
              <w:rFonts w:ascii="Arial" w:hAnsi="Arial"/>
            </w:rPr>
            <w:t>2.3</w:t>
          </w:r>
          <w:r>
            <w:rPr>
              <w:rFonts w:asciiTheme="minorHAnsi" w:hAnsiTheme="minorHAnsi" w:eastAsiaTheme="minorEastAsia" w:cstheme="minorBidi"/>
            </w:rPr>
            <w:tab/>
          </w:r>
          <w:r>
            <w:rPr>
              <w:rStyle w:val="23"/>
            </w:rPr>
            <w:t>存在问题及解决对策</w:t>
          </w:r>
          <w:r>
            <w:tab/>
          </w:r>
          <w:r>
            <w:fldChar w:fldCharType="begin"/>
          </w:r>
          <w:r>
            <w:instrText xml:space="preserve"> PAGEREF _Toc188027480 \h </w:instrText>
          </w:r>
          <w:r>
            <w:fldChar w:fldCharType="separate"/>
          </w:r>
          <w:r>
            <w:t>13</w:t>
          </w:r>
          <w:r>
            <w:fldChar w:fldCharType="end"/>
          </w:r>
          <w:r>
            <w:fldChar w:fldCharType="end"/>
          </w:r>
        </w:p>
        <w:p w14:paraId="6C4B5923">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"_Toc188027481" </w:instrText>
          </w:r>
          <w:r>
            <w:fldChar w:fldCharType="separate"/>
          </w:r>
          <w:r>
            <w:rPr>
              <w:rStyle w:val="23"/>
              <w:rFonts w:ascii="Arial" w:hAnsi="Arial"/>
            </w:rPr>
            <w:t>三.</w:t>
          </w:r>
          <w:r>
            <w:rPr>
              <w:rFonts w:asciiTheme="minorHAnsi" w:hAnsiTheme="minorHAnsi" w:eastAsiaTheme="minorEastAsia" w:cstheme="minorBidi"/>
            </w:rPr>
            <w:tab/>
          </w:r>
          <w:r>
            <w:rPr>
              <w:rStyle w:val="23"/>
            </w:rPr>
            <w:t>规划需求分析</w:t>
          </w:r>
          <w:r>
            <w:tab/>
          </w:r>
          <w:r>
            <w:fldChar w:fldCharType="begin"/>
          </w:r>
          <w:r>
            <w:instrText xml:space="preserve"> PAGEREF _Toc188027481 \h </w:instrText>
          </w:r>
          <w:r>
            <w:fldChar w:fldCharType="separate"/>
          </w:r>
          <w:r>
            <w:t>15</w:t>
          </w:r>
          <w:r>
            <w:fldChar w:fldCharType="end"/>
          </w:r>
          <w:r>
            <w:fldChar w:fldCharType="end"/>
          </w:r>
        </w:p>
        <w:p w14:paraId="21A775F3">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"_Toc188027485" </w:instrText>
          </w:r>
          <w:r>
            <w:fldChar w:fldCharType="separate"/>
          </w:r>
          <w:r>
            <w:rPr>
              <w:rStyle w:val="23"/>
              <w:rFonts w:ascii="Arial" w:hAnsi="Arial"/>
            </w:rPr>
            <w:t>3.1</w:t>
          </w:r>
          <w:r>
            <w:rPr>
              <w:rFonts w:asciiTheme="minorHAnsi" w:hAnsiTheme="minorHAnsi" w:eastAsiaTheme="minorEastAsia" w:cstheme="minorBidi"/>
            </w:rPr>
            <w:tab/>
          </w:r>
          <w:r>
            <w:rPr>
              <w:rStyle w:val="23"/>
            </w:rPr>
            <w:t>业务需求分析</w:t>
          </w:r>
          <w:r>
            <w:tab/>
          </w:r>
          <w:r>
            <w:fldChar w:fldCharType="begin"/>
          </w:r>
          <w:r>
            <w:instrText xml:space="preserve"> PAGEREF _Toc188027485 \h </w:instrText>
          </w:r>
          <w:r>
            <w:fldChar w:fldCharType="separate"/>
          </w:r>
          <w:r>
            <w:t>15</w:t>
          </w:r>
          <w:r>
            <w:fldChar w:fldCharType="end"/>
          </w:r>
          <w:r>
            <w:fldChar w:fldCharType="end"/>
          </w:r>
        </w:p>
        <w:p w14:paraId="3064A3D9">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"_Toc188027486" </w:instrText>
          </w:r>
          <w:r>
            <w:fldChar w:fldCharType="separate"/>
          </w:r>
          <w:r>
            <w:rPr>
              <w:rStyle w:val="23"/>
              <w:rFonts w:ascii="Arial" w:hAnsi="Arial"/>
            </w:rPr>
            <w:t>3.2</w:t>
          </w:r>
          <w:r>
            <w:rPr>
              <w:rFonts w:asciiTheme="minorHAnsi" w:hAnsiTheme="minorHAnsi" w:eastAsiaTheme="minorEastAsia" w:cstheme="minorBidi"/>
            </w:rPr>
            <w:tab/>
          </w:r>
          <w:r>
            <w:rPr>
              <w:rStyle w:val="23"/>
            </w:rPr>
            <w:t>共建共享需求分析</w:t>
          </w:r>
          <w:r>
            <w:tab/>
          </w:r>
          <w:r>
            <w:fldChar w:fldCharType="begin"/>
          </w:r>
          <w:r>
            <w:instrText xml:space="preserve"> PAGEREF _Toc188027486 \h </w:instrText>
          </w:r>
          <w:r>
            <w:fldChar w:fldCharType="separate"/>
          </w:r>
          <w:r>
            <w:t>17</w:t>
          </w:r>
          <w:r>
            <w:fldChar w:fldCharType="end"/>
          </w:r>
          <w:r>
            <w:fldChar w:fldCharType="end"/>
          </w:r>
        </w:p>
        <w:p w14:paraId="1FEE9AFE">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"_Toc188027487" </w:instrText>
          </w:r>
          <w:r>
            <w:fldChar w:fldCharType="separate"/>
          </w:r>
          <w:r>
            <w:rPr>
              <w:rStyle w:val="23"/>
              <w:rFonts w:ascii="Arial" w:hAnsi="Arial"/>
            </w:rPr>
            <w:t>四.</w:t>
          </w:r>
          <w:r>
            <w:rPr>
              <w:rFonts w:asciiTheme="minorHAnsi" w:hAnsiTheme="minorHAnsi" w:eastAsiaTheme="minorEastAsia" w:cstheme="minorBidi"/>
            </w:rPr>
            <w:tab/>
          </w:r>
          <w:r>
            <w:rPr>
              <w:rStyle w:val="23"/>
            </w:rPr>
            <w:t>通信基础设施规划</w:t>
          </w:r>
          <w:r>
            <w:tab/>
          </w:r>
          <w:r>
            <w:fldChar w:fldCharType="begin"/>
          </w:r>
          <w:r>
            <w:instrText xml:space="preserve"> PAGEREF _Toc188027487 \h </w:instrText>
          </w:r>
          <w:r>
            <w:fldChar w:fldCharType="separate"/>
          </w:r>
          <w:r>
            <w:t>18</w:t>
          </w:r>
          <w:r>
            <w:fldChar w:fldCharType="end"/>
          </w:r>
          <w:r>
            <w:fldChar w:fldCharType="end"/>
          </w:r>
        </w:p>
        <w:p w14:paraId="1FBCCFFA">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"_Toc188027492" </w:instrText>
          </w:r>
          <w:r>
            <w:fldChar w:fldCharType="separate"/>
          </w:r>
          <w:r>
            <w:rPr>
              <w:rStyle w:val="23"/>
              <w:rFonts w:ascii="Arial" w:hAnsi="Arial"/>
            </w:rPr>
            <w:t>4.1</w:t>
          </w:r>
          <w:r>
            <w:rPr>
              <w:rFonts w:asciiTheme="minorHAnsi" w:hAnsiTheme="minorHAnsi" w:eastAsiaTheme="minorEastAsia" w:cstheme="minorBidi"/>
            </w:rPr>
            <w:tab/>
          </w:r>
          <w:r>
            <w:rPr>
              <w:rStyle w:val="23"/>
            </w:rPr>
            <w:t>规划思路</w:t>
          </w:r>
          <w:r>
            <w:tab/>
          </w:r>
          <w:r>
            <w:fldChar w:fldCharType="begin"/>
          </w:r>
          <w:r>
            <w:instrText xml:space="preserve"> PAGEREF _Toc188027492 \h </w:instrText>
          </w:r>
          <w:r>
            <w:fldChar w:fldCharType="separate"/>
          </w:r>
          <w:r>
            <w:t>18</w:t>
          </w:r>
          <w:r>
            <w:fldChar w:fldCharType="end"/>
          </w:r>
          <w:r>
            <w:fldChar w:fldCharType="end"/>
          </w:r>
        </w:p>
        <w:p w14:paraId="29836B29">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"_Toc188027493" </w:instrText>
          </w:r>
          <w:r>
            <w:fldChar w:fldCharType="separate"/>
          </w:r>
          <w:r>
            <w:rPr>
              <w:rStyle w:val="23"/>
              <w:rFonts w:ascii="Arial" w:hAnsi="Arial"/>
            </w:rPr>
            <w:t>4.2</w:t>
          </w:r>
          <w:r>
            <w:rPr>
              <w:rFonts w:asciiTheme="minorHAnsi" w:hAnsiTheme="minorHAnsi" w:eastAsiaTheme="minorEastAsia" w:cstheme="minorBidi"/>
            </w:rPr>
            <w:tab/>
          </w:r>
          <w:r>
            <w:rPr>
              <w:rStyle w:val="23"/>
            </w:rPr>
            <w:t>规划基础</w:t>
          </w:r>
          <w:r>
            <w:tab/>
          </w:r>
          <w:r>
            <w:fldChar w:fldCharType="begin"/>
          </w:r>
          <w:r>
            <w:instrText xml:space="preserve"> PAGEREF _Toc188027493 \h </w:instrText>
          </w:r>
          <w:r>
            <w:fldChar w:fldCharType="separate"/>
          </w:r>
          <w:r>
            <w:t>19</w:t>
          </w:r>
          <w:r>
            <w:fldChar w:fldCharType="end"/>
          </w:r>
          <w:r>
            <w:fldChar w:fldCharType="end"/>
          </w:r>
        </w:p>
        <w:p w14:paraId="31B2C65B">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"_Toc188027494" </w:instrText>
          </w:r>
          <w:r>
            <w:fldChar w:fldCharType="separate"/>
          </w:r>
          <w:r>
            <w:rPr>
              <w:rStyle w:val="23"/>
              <w:rFonts w:ascii="Arial" w:hAnsi="Arial"/>
            </w:rPr>
            <w:t>4.3</w:t>
          </w:r>
          <w:r>
            <w:rPr>
              <w:rFonts w:asciiTheme="minorHAnsi" w:hAnsiTheme="minorHAnsi" w:eastAsiaTheme="minorEastAsia" w:cstheme="minorBidi"/>
            </w:rPr>
            <w:tab/>
          </w:r>
          <w:r>
            <w:rPr>
              <w:rStyle w:val="23"/>
            </w:rPr>
            <w:t>规划原则</w:t>
          </w:r>
          <w:r>
            <w:tab/>
          </w:r>
          <w:r>
            <w:fldChar w:fldCharType="begin"/>
          </w:r>
          <w:r>
            <w:instrText xml:space="preserve"> PAGEREF _Toc188027494 \h </w:instrText>
          </w:r>
          <w:r>
            <w:fldChar w:fldCharType="separate"/>
          </w:r>
          <w:r>
            <w:t>19</w:t>
          </w:r>
          <w:r>
            <w:fldChar w:fldCharType="end"/>
          </w:r>
          <w:r>
            <w:fldChar w:fldCharType="end"/>
          </w:r>
        </w:p>
        <w:p w14:paraId="32706F52">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"_Toc188027495" </w:instrText>
          </w:r>
          <w:r>
            <w:fldChar w:fldCharType="separate"/>
          </w:r>
          <w:r>
            <w:rPr>
              <w:rStyle w:val="23"/>
              <w:rFonts w:ascii="Arial" w:hAnsi="Arial"/>
            </w:rPr>
            <w:t>4.4</w:t>
          </w:r>
          <w:r>
            <w:rPr>
              <w:rFonts w:asciiTheme="minorHAnsi" w:hAnsiTheme="minorHAnsi" w:eastAsiaTheme="minorEastAsia" w:cstheme="minorBidi"/>
            </w:rPr>
            <w:tab/>
          </w:r>
          <w:r>
            <w:rPr>
              <w:rStyle w:val="23"/>
            </w:rPr>
            <w:t>移动通信站址规划</w:t>
          </w:r>
          <w:r>
            <w:tab/>
          </w:r>
          <w:r>
            <w:fldChar w:fldCharType="begin"/>
          </w:r>
          <w:r>
            <w:instrText xml:space="preserve"> PAGEREF _Toc188027495 \h </w:instrText>
          </w:r>
          <w:r>
            <w:fldChar w:fldCharType="separate"/>
          </w:r>
          <w:r>
            <w:t>23</w:t>
          </w:r>
          <w:r>
            <w:fldChar w:fldCharType="end"/>
          </w:r>
          <w:r>
            <w:fldChar w:fldCharType="end"/>
          </w:r>
        </w:p>
        <w:p w14:paraId="1E6B6399">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"_Toc188027496" </w:instrText>
          </w:r>
          <w:r>
            <w:fldChar w:fldCharType="separate"/>
          </w:r>
          <w:r>
            <w:rPr>
              <w:rStyle w:val="23"/>
              <w:rFonts w:ascii="Arial" w:hAnsi="Arial"/>
            </w:rPr>
            <w:t>4.5</w:t>
          </w:r>
          <w:r>
            <w:rPr>
              <w:rFonts w:asciiTheme="minorHAnsi" w:hAnsiTheme="minorHAnsi" w:eastAsiaTheme="minorEastAsia" w:cstheme="minorBidi"/>
            </w:rPr>
            <w:tab/>
          </w:r>
          <w:r>
            <w:rPr>
              <w:rStyle w:val="23"/>
            </w:rPr>
            <w:t>通信汇聚机房、管道及光交箱规划</w:t>
          </w:r>
          <w:r>
            <w:tab/>
          </w:r>
          <w:r>
            <w:fldChar w:fldCharType="begin"/>
          </w:r>
          <w:r>
            <w:instrText xml:space="preserve"> PAGEREF _Toc188027496 \h </w:instrText>
          </w:r>
          <w:r>
            <w:fldChar w:fldCharType="separate"/>
          </w:r>
          <w:r>
            <w:t>49</w:t>
          </w:r>
          <w:r>
            <w:fldChar w:fldCharType="end"/>
          </w:r>
          <w:r>
            <w:fldChar w:fldCharType="end"/>
          </w:r>
        </w:p>
        <w:p w14:paraId="18D8B103">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"_Toc188027497" </w:instrText>
          </w:r>
          <w:r>
            <w:fldChar w:fldCharType="separate"/>
          </w:r>
          <w:r>
            <w:rPr>
              <w:rStyle w:val="23"/>
              <w:rFonts w:ascii="Arial" w:hAnsi="Arial"/>
            </w:rPr>
            <w:t>4.6</w:t>
          </w:r>
          <w:r>
            <w:rPr>
              <w:rFonts w:asciiTheme="minorHAnsi" w:hAnsiTheme="minorHAnsi" w:eastAsiaTheme="minorEastAsia" w:cstheme="minorBidi"/>
            </w:rPr>
            <w:tab/>
          </w:r>
          <w:r>
            <w:rPr>
              <w:rStyle w:val="23"/>
            </w:rPr>
            <w:t>规划效果分析</w:t>
          </w:r>
          <w:r>
            <w:tab/>
          </w:r>
          <w:r>
            <w:fldChar w:fldCharType="begin"/>
          </w:r>
          <w:r>
            <w:instrText xml:space="preserve"> PAGEREF _Toc188027497 \h </w:instrText>
          </w:r>
          <w:r>
            <w:fldChar w:fldCharType="separate"/>
          </w:r>
          <w:r>
            <w:t>52</w:t>
          </w:r>
          <w:r>
            <w:fldChar w:fldCharType="end"/>
          </w:r>
          <w:r>
            <w:fldChar w:fldCharType="end"/>
          </w:r>
        </w:p>
        <w:p w14:paraId="4C0B7E0E">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"_Toc188027498" </w:instrText>
          </w:r>
          <w:r>
            <w:fldChar w:fldCharType="separate"/>
          </w:r>
          <w:r>
            <w:rPr>
              <w:rStyle w:val="23"/>
              <w:rFonts w:ascii="Arial" w:hAnsi="Arial"/>
            </w:rPr>
            <w:t>五.</w:t>
          </w:r>
          <w:r>
            <w:rPr>
              <w:rFonts w:asciiTheme="minorHAnsi" w:hAnsiTheme="minorHAnsi" w:eastAsiaTheme="minorEastAsia" w:cstheme="minorBidi"/>
            </w:rPr>
            <w:tab/>
          </w:r>
          <w:r>
            <w:rPr>
              <w:rStyle w:val="23"/>
            </w:rPr>
            <w:t>建设计划及投资估算</w:t>
          </w:r>
          <w:r>
            <w:tab/>
          </w:r>
          <w:r>
            <w:fldChar w:fldCharType="begin"/>
          </w:r>
          <w:r>
            <w:instrText xml:space="preserve"> PAGEREF _Toc188027498 \h </w:instrText>
          </w:r>
          <w:r>
            <w:fldChar w:fldCharType="separate"/>
          </w:r>
          <w:r>
            <w:t>52</w:t>
          </w:r>
          <w:r>
            <w:fldChar w:fldCharType="end"/>
          </w:r>
          <w:r>
            <w:fldChar w:fldCharType="end"/>
          </w:r>
        </w:p>
        <w:p w14:paraId="6FEFC13D">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"_Toc188027499" </w:instrText>
          </w:r>
          <w:r>
            <w:fldChar w:fldCharType="separate"/>
          </w:r>
          <w:r>
            <w:rPr>
              <w:rStyle w:val="23"/>
              <w:rFonts w:ascii="Arial" w:hAnsi="Arial"/>
            </w:rPr>
            <w:t>六.</w:t>
          </w:r>
          <w:r>
            <w:rPr>
              <w:rFonts w:asciiTheme="minorHAnsi" w:hAnsiTheme="minorHAnsi" w:eastAsiaTheme="minorEastAsia" w:cstheme="minorBidi"/>
            </w:rPr>
            <w:tab/>
          </w:r>
          <w:r>
            <w:rPr>
              <w:rStyle w:val="23"/>
            </w:rPr>
            <w:t>规划成果与国土空间规划的接口</w:t>
          </w:r>
          <w:r>
            <w:tab/>
          </w:r>
          <w:r>
            <w:fldChar w:fldCharType="begin"/>
          </w:r>
          <w:r>
            <w:instrText xml:space="preserve"> PAGEREF _Toc188027499 \h </w:instrText>
          </w:r>
          <w:r>
            <w:fldChar w:fldCharType="separate"/>
          </w:r>
          <w:r>
            <w:t>53</w:t>
          </w:r>
          <w:r>
            <w:fldChar w:fldCharType="end"/>
          </w:r>
          <w:r>
            <w:fldChar w:fldCharType="end"/>
          </w:r>
        </w:p>
        <w:p w14:paraId="5BD53F6A">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"_Toc188027506" </w:instrText>
          </w:r>
          <w:r>
            <w:fldChar w:fldCharType="separate"/>
          </w:r>
          <w:r>
            <w:rPr>
              <w:rStyle w:val="23"/>
              <w:rFonts w:ascii="Arial" w:hAnsi="Arial"/>
            </w:rPr>
            <w:t>6.1</w:t>
          </w:r>
          <w:r>
            <w:rPr>
              <w:rFonts w:asciiTheme="minorHAnsi" w:hAnsiTheme="minorHAnsi" w:eastAsiaTheme="minorEastAsia" w:cstheme="minorBidi"/>
            </w:rPr>
            <w:tab/>
          </w:r>
          <w:r>
            <w:rPr>
              <w:rStyle w:val="23"/>
            </w:rPr>
            <w:t>县政府对规划成果的认定</w:t>
          </w:r>
          <w:r>
            <w:tab/>
          </w:r>
          <w:r>
            <w:fldChar w:fldCharType="begin"/>
          </w:r>
          <w:r>
            <w:instrText xml:space="preserve"> PAGEREF _Toc188027506 \h </w:instrText>
          </w:r>
          <w:r>
            <w:fldChar w:fldCharType="separate"/>
          </w:r>
          <w:r>
            <w:t>53</w:t>
          </w:r>
          <w:r>
            <w:fldChar w:fldCharType="end"/>
          </w:r>
          <w:r>
            <w:fldChar w:fldCharType="end"/>
          </w:r>
        </w:p>
        <w:p w14:paraId="1EEEA1E6">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"_Toc188027507" </w:instrText>
          </w:r>
          <w:r>
            <w:fldChar w:fldCharType="separate"/>
          </w:r>
          <w:r>
            <w:rPr>
              <w:rStyle w:val="23"/>
              <w:rFonts w:ascii="Arial" w:hAnsi="Arial"/>
            </w:rPr>
            <w:t>6.2</w:t>
          </w:r>
          <w:r>
            <w:rPr>
              <w:rFonts w:asciiTheme="minorHAnsi" w:hAnsiTheme="minorHAnsi" w:eastAsiaTheme="minorEastAsia" w:cstheme="minorBidi"/>
            </w:rPr>
            <w:tab/>
          </w:r>
          <w:r>
            <w:rPr>
              <w:rStyle w:val="23"/>
            </w:rPr>
            <w:t>控</w:t>
          </w:r>
          <w:r>
            <w:rPr>
              <w:rStyle w:val="23"/>
              <w:rFonts w:ascii="宋体" w:hAnsi="宋体"/>
            </w:rPr>
            <w:t>制性详细规划编制区域</w:t>
          </w:r>
          <w:r>
            <w:rPr>
              <w:rStyle w:val="23"/>
            </w:rPr>
            <w:t>对规划成果的认定</w:t>
          </w:r>
          <w:r>
            <w:tab/>
          </w:r>
          <w:r>
            <w:fldChar w:fldCharType="begin"/>
          </w:r>
          <w:r>
            <w:instrText xml:space="preserve"> PAGEREF _Toc188027507 \h </w:instrText>
          </w:r>
          <w:r>
            <w:fldChar w:fldCharType="separate"/>
          </w:r>
          <w:r>
            <w:t>54</w:t>
          </w:r>
          <w:r>
            <w:fldChar w:fldCharType="end"/>
          </w:r>
          <w:r>
            <w:fldChar w:fldCharType="end"/>
          </w:r>
        </w:p>
        <w:p w14:paraId="43C5A69B">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"_Toc188027508" </w:instrText>
          </w:r>
          <w:r>
            <w:fldChar w:fldCharType="separate"/>
          </w:r>
          <w:r>
            <w:rPr>
              <w:rStyle w:val="23"/>
              <w:rFonts w:ascii="Arial" w:hAnsi="Arial"/>
            </w:rPr>
            <w:t>6.3</w:t>
          </w:r>
          <w:r>
            <w:rPr>
              <w:rFonts w:asciiTheme="minorHAnsi" w:hAnsiTheme="minorHAnsi" w:eastAsiaTheme="minorEastAsia" w:cstheme="minorBidi"/>
            </w:rPr>
            <w:tab/>
          </w:r>
          <w:r>
            <w:rPr>
              <w:rStyle w:val="23"/>
              <w:rFonts w:ascii="宋体" w:hAnsi="宋体"/>
            </w:rPr>
            <w:t>规划接口程序</w:t>
          </w:r>
          <w:r>
            <w:tab/>
          </w:r>
          <w:r>
            <w:fldChar w:fldCharType="begin"/>
          </w:r>
          <w:r>
            <w:instrText xml:space="preserve"> PAGEREF _Toc188027508 \h </w:instrText>
          </w:r>
          <w:r>
            <w:fldChar w:fldCharType="separate"/>
          </w:r>
          <w:r>
            <w:t>54</w:t>
          </w:r>
          <w:r>
            <w:fldChar w:fldCharType="end"/>
          </w:r>
          <w:r>
            <w:fldChar w:fldCharType="end"/>
          </w:r>
        </w:p>
        <w:p w14:paraId="10956F0A">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"_Toc188027509" </w:instrText>
          </w:r>
          <w:r>
            <w:fldChar w:fldCharType="separate"/>
          </w:r>
          <w:r>
            <w:rPr>
              <w:rStyle w:val="23"/>
              <w:rFonts w:ascii="Arial" w:hAnsi="Arial"/>
            </w:rPr>
            <w:t>七.</w:t>
          </w:r>
          <w:r>
            <w:rPr>
              <w:rFonts w:asciiTheme="minorHAnsi" w:hAnsiTheme="minorHAnsi" w:eastAsiaTheme="minorEastAsia" w:cstheme="minorBidi"/>
            </w:rPr>
            <w:tab/>
          </w:r>
          <w:r>
            <w:rPr>
              <w:rStyle w:val="23"/>
            </w:rPr>
            <w:t>环境影响评估及节能减排</w:t>
          </w:r>
          <w:r>
            <w:tab/>
          </w:r>
          <w:r>
            <w:fldChar w:fldCharType="begin"/>
          </w:r>
          <w:r>
            <w:instrText xml:space="preserve"> PAGEREF _Toc188027509 \h </w:instrText>
          </w:r>
          <w:r>
            <w:fldChar w:fldCharType="separate"/>
          </w:r>
          <w:r>
            <w:t>54</w:t>
          </w:r>
          <w:r>
            <w:fldChar w:fldCharType="end"/>
          </w:r>
          <w:r>
            <w:fldChar w:fldCharType="end"/>
          </w:r>
        </w:p>
        <w:p w14:paraId="4FD1873B">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"_Toc188027517" </w:instrText>
          </w:r>
          <w:r>
            <w:fldChar w:fldCharType="separate"/>
          </w:r>
          <w:r>
            <w:rPr>
              <w:rStyle w:val="23"/>
              <w:rFonts w:ascii="Arial" w:hAnsi="Arial"/>
            </w:rPr>
            <w:t>7.1</w:t>
          </w:r>
          <w:r>
            <w:rPr>
              <w:rFonts w:asciiTheme="minorHAnsi" w:hAnsiTheme="minorHAnsi" w:eastAsiaTheme="minorEastAsia" w:cstheme="minorBidi"/>
            </w:rPr>
            <w:tab/>
          </w:r>
          <w:r>
            <w:rPr>
              <w:rStyle w:val="23"/>
            </w:rPr>
            <w:t>环境保护要求</w:t>
          </w:r>
          <w:r>
            <w:tab/>
          </w:r>
          <w:r>
            <w:fldChar w:fldCharType="begin"/>
          </w:r>
          <w:r>
            <w:instrText xml:space="preserve"> PAGEREF _Toc188027517 \h </w:instrText>
          </w:r>
          <w:r>
            <w:fldChar w:fldCharType="separate"/>
          </w:r>
          <w:r>
            <w:t>54</w:t>
          </w:r>
          <w:r>
            <w:fldChar w:fldCharType="end"/>
          </w:r>
          <w:r>
            <w:fldChar w:fldCharType="end"/>
          </w:r>
        </w:p>
        <w:p w14:paraId="343DCFE8">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"_Toc188027518" </w:instrText>
          </w:r>
          <w:r>
            <w:fldChar w:fldCharType="separate"/>
          </w:r>
          <w:r>
            <w:rPr>
              <w:rStyle w:val="23"/>
              <w:rFonts w:ascii="Arial" w:hAnsi="Arial"/>
            </w:rPr>
            <w:t>7.2</w:t>
          </w:r>
          <w:r>
            <w:rPr>
              <w:rFonts w:asciiTheme="minorHAnsi" w:hAnsiTheme="minorHAnsi" w:eastAsiaTheme="minorEastAsia" w:cstheme="minorBidi"/>
            </w:rPr>
            <w:tab/>
          </w:r>
          <w:r>
            <w:rPr>
              <w:rStyle w:val="23"/>
            </w:rPr>
            <w:t>绿色通信</w:t>
          </w:r>
          <w:r>
            <w:tab/>
          </w:r>
          <w:r>
            <w:fldChar w:fldCharType="begin"/>
          </w:r>
          <w:r>
            <w:instrText xml:space="preserve"> PAGEREF _Toc188027518 \h </w:instrText>
          </w:r>
          <w:r>
            <w:fldChar w:fldCharType="separate"/>
          </w:r>
          <w:r>
            <w:t>55</w:t>
          </w:r>
          <w:r>
            <w:fldChar w:fldCharType="end"/>
          </w:r>
          <w:r>
            <w:fldChar w:fldCharType="end"/>
          </w:r>
        </w:p>
        <w:p w14:paraId="425DB938">
          <w:pPr>
            <w:pStyle w:val="16"/>
            <w:tabs>
              <w:tab w:val="left" w:pos="840"/>
              <w:tab w:val="right" w:leader="dot" w:pos="9061"/>
            </w:tabs>
            <w:spacing w:line="360" w:lineRule="auto"/>
            <w:rPr>
              <w:rFonts w:asciiTheme="minorHAnsi" w:hAnsiTheme="minorHAnsi" w:eastAsiaTheme="minorEastAsia" w:cstheme="minorBidi"/>
            </w:rPr>
          </w:pPr>
          <w:r>
            <w:fldChar w:fldCharType="begin"/>
          </w:r>
          <w:r>
            <w:instrText xml:space="preserve"> HYPERLINK \l "_Toc188027519" </w:instrText>
          </w:r>
          <w:r>
            <w:fldChar w:fldCharType="separate"/>
          </w:r>
          <w:r>
            <w:rPr>
              <w:rStyle w:val="23"/>
              <w:rFonts w:ascii="Arial" w:hAnsi="Arial"/>
            </w:rPr>
            <w:t>八.</w:t>
          </w:r>
          <w:r>
            <w:rPr>
              <w:rFonts w:asciiTheme="minorHAnsi" w:hAnsiTheme="minorHAnsi" w:eastAsiaTheme="minorEastAsia" w:cstheme="minorBidi"/>
            </w:rPr>
            <w:tab/>
          </w:r>
          <w:r>
            <w:rPr>
              <w:rStyle w:val="23"/>
            </w:rPr>
            <w:t>规划实施保障</w:t>
          </w:r>
          <w:r>
            <w:tab/>
          </w:r>
          <w:r>
            <w:fldChar w:fldCharType="begin"/>
          </w:r>
          <w:r>
            <w:instrText xml:space="preserve"> PAGEREF _Toc188027519 \h </w:instrText>
          </w:r>
          <w:r>
            <w:fldChar w:fldCharType="separate"/>
          </w:r>
          <w:r>
            <w:t>55</w:t>
          </w:r>
          <w:r>
            <w:fldChar w:fldCharType="end"/>
          </w:r>
          <w:r>
            <w:fldChar w:fldCharType="end"/>
          </w:r>
        </w:p>
        <w:p w14:paraId="20976D31">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"_Toc188027528" </w:instrText>
          </w:r>
          <w:r>
            <w:fldChar w:fldCharType="separate"/>
          </w:r>
          <w:r>
            <w:rPr>
              <w:rStyle w:val="23"/>
              <w:rFonts w:ascii="Arial" w:hAnsi="Arial"/>
            </w:rPr>
            <w:t>8.1</w:t>
          </w:r>
          <w:r>
            <w:rPr>
              <w:rFonts w:asciiTheme="minorHAnsi" w:hAnsiTheme="minorHAnsi" w:eastAsiaTheme="minorEastAsia" w:cstheme="minorBidi"/>
            </w:rPr>
            <w:tab/>
          </w:r>
          <w:r>
            <w:rPr>
              <w:rStyle w:val="23"/>
            </w:rPr>
            <w:t>规划保障</w:t>
          </w:r>
          <w:r>
            <w:tab/>
          </w:r>
          <w:r>
            <w:fldChar w:fldCharType="begin"/>
          </w:r>
          <w:r>
            <w:instrText xml:space="preserve"> PAGEREF _Toc188027528 \h </w:instrText>
          </w:r>
          <w:r>
            <w:fldChar w:fldCharType="separate"/>
          </w:r>
          <w:r>
            <w:t>55</w:t>
          </w:r>
          <w:r>
            <w:fldChar w:fldCharType="end"/>
          </w:r>
          <w:r>
            <w:fldChar w:fldCharType="end"/>
          </w:r>
        </w:p>
        <w:p w14:paraId="6C44AE17">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"_Toc188027529" </w:instrText>
          </w:r>
          <w:r>
            <w:fldChar w:fldCharType="separate"/>
          </w:r>
          <w:r>
            <w:rPr>
              <w:rStyle w:val="23"/>
              <w:rFonts w:ascii="Arial" w:hAnsi="Arial"/>
            </w:rPr>
            <w:t>8.2</w:t>
          </w:r>
          <w:r>
            <w:rPr>
              <w:rFonts w:asciiTheme="minorHAnsi" w:hAnsiTheme="minorHAnsi" w:eastAsiaTheme="minorEastAsia" w:cstheme="minorBidi"/>
            </w:rPr>
            <w:tab/>
          </w:r>
          <w:r>
            <w:rPr>
              <w:rStyle w:val="23"/>
            </w:rPr>
            <w:t>技术保障</w:t>
          </w:r>
          <w:r>
            <w:tab/>
          </w:r>
          <w:r>
            <w:fldChar w:fldCharType="begin"/>
          </w:r>
          <w:r>
            <w:instrText xml:space="preserve"> PAGEREF _Toc188027529 \h </w:instrText>
          </w:r>
          <w:r>
            <w:fldChar w:fldCharType="separate"/>
          </w:r>
          <w:r>
            <w:t>55</w:t>
          </w:r>
          <w:r>
            <w:fldChar w:fldCharType="end"/>
          </w:r>
          <w:r>
            <w:fldChar w:fldCharType="end"/>
          </w:r>
        </w:p>
        <w:p w14:paraId="21D79886">
          <w:pPr>
            <w:pStyle w:val="12"/>
            <w:tabs>
              <w:tab w:val="left" w:pos="1470"/>
              <w:tab w:val="right" w:leader="dot" w:pos="9061"/>
            </w:tabs>
            <w:spacing w:line="360" w:lineRule="auto"/>
            <w:rPr>
              <w:rFonts w:asciiTheme="minorHAnsi" w:hAnsiTheme="minorHAnsi" w:eastAsiaTheme="minorEastAsia" w:cstheme="minorBidi"/>
            </w:rPr>
          </w:pPr>
          <w:r>
            <w:fldChar w:fldCharType="begin"/>
          </w:r>
          <w:r>
            <w:instrText xml:space="preserve"> HYPERLINK \l "_Toc188027530" </w:instrText>
          </w:r>
          <w:r>
            <w:fldChar w:fldCharType="separate"/>
          </w:r>
          <w:r>
            <w:rPr>
              <w:rStyle w:val="23"/>
              <w:rFonts w:ascii="Arial" w:hAnsi="Arial"/>
            </w:rPr>
            <w:t>8.3</w:t>
          </w:r>
          <w:r>
            <w:rPr>
              <w:rFonts w:asciiTheme="minorHAnsi" w:hAnsiTheme="minorHAnsi" w:eastAsiaTheme="minorEastAsia" w:cstheme="minorBidi"/>
            </w:rPr>
            <w:tab/>
          </w:r>
          <w:r>
            <w:rPr>
              <w:rStyle w:val="23"/>
            </w:rPr>
            <w:t>实施保障</w:t>
          </w:r>
          <w:r>
            <w:tab/>
          </w:r>
          <w:r>
            <w:fldChar w:fldCharType="begin"/>
          </w:r>
          <w:r>
            <w:instrText xml:space="preserve"> PAGEREF _Toc188027530 \h </w:instrText>
          </w:r>
          <w:r>
            <w:fldChar w:fldCharType="separate"/>
          </w:r>
          <w:r>
            <w:t>56</w:t>
          </w:r>
          <w:r>
            <w:fldChar w:fldCharType="end"/>
          </w:r>
          <w:r>
            <w:fldChar w:fldCharType="end"/>
          </w:r>
        </w:p>
        <w:p w14:paraId="76E8BA79">
          <w:pPr>
            <w:spacing w:line="360" w:lineRule="auto"/>
          </w:pPr>
          <w:r>
            <w:rPr>
              <w:b/>
              <w:bCs/>
              <w:lang w:val="zh-CN"/>
            </w:rPr>
            <w:fldChar w:fldCharType="end"/>
          </w:r>
        </w:p>
      </w:sdtContent>
    </w:sdt>
    <w:p w14:paraId="303A68CF">
      <w:pPr>
        <w:rPr>
          <w:rFonts w:hint="eastAsia" w:asciiTheme="minorEastAsia" w:hAnsiTheme="minorEastAsia" w:eastAsiaTheme="minorEastAsia"/>
        </w:rPr>
        <w:sectPr>
          <w:footerReference r:id="rId5" w:type="first"/>
          <w:pgSz w:w="11907" w:h="16840"/>
          <w:pgMar w:top="1418" w:right="1418" w:bottom="1418" w:left="1418" w:header="907" w:footer="397" w:gutter="0"/>
          <w:pgNumType w:fmt="upperRoman" w:start="1"/>
          <w:cols w:space="720" w:num="1"/>
          <w:titlePg/>
          <w:docGrid w:linePitch="326" w:charSpace="0"/>
        </w:sectPr>
      </w:pPr>
    </w:p>
    <w:p w14:paraId="44CEF956">
      <w:pPr>
        <w:pStyle w:val="2"/>
      </w:pPr>
      <w:bookmarkStart w:id="0" w:name="_Toc188027467"/>
      <w:bookmarkStart w:id="1" w:name="_Toc42019852"/>
      <w:r>
        <w:rPr>
          <w:rFonts w:hint="eastAsia"/>
        </w:rPr>
        <w:t>规划</w:t>
      </w:r>
      <w:r>
        <w:t>概述</w:t>
      </w:r>
      <w:bookmarkEnd w:id="0"/>
      <w:bookmarkEnd w:id="1"/>
    </w:p>
    <w:p w14:paraId="5340353A">
      <w:pPr>
        <w:pStyle w:val="5"/>
        <w:rPr>
          <w:rFonts w:cs="宋体" w:asciiTheme="minorEastAsia" w:hAnsiTheme="minorEastAsia" w:eastAsiaTheme="minorEastAsia"/>
          <w:kern w:val="0"/>
          <w:sz w:val="28"/>
          <w:szCs w:val="28"/>
        </w:rPr>
      </w:pPr>
      <w:bookmarkStart w:id="2" w:name="_Toc188027468"/>
      <w:r>
        <w:rPr>
          <w:rFonts w:hint="eastAsia" w:cs="宋体" w:asciiTheme="minorEastAsia" w:hAnsiTheme="minorEastAsia" w:eastAsiaTheme="minorEastAsia"/>
          <w:kern w:val="0"/>
          <w:sz w:val="28"/>
          <w:szCs w:val="28"/>
        </w:rPr>
        <w:t>规划背景</w:t>
      </w:r>
      <w:bookmarkEnd w:id="2"/>
    </w:p>
    <w:p w14:paraId="40CBBA43">
      <w:pPr>
        <w:rPr>
          <w:rFonts w:hint="eastAsia"/>
        </w:rPr>
      </w:pPr>
    </w:p>
    <w:p w14:paraId="1D6D93D0">
      <w:pPr>
        <w:spacing w:line="360" w:lineRule="auto"/>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（1）广东省深化对口帮扶协作，支持帮扶协作双方共建产业转移合作园</w:t>
      </w:r>
    </w:p>
    <w:p w14:paraId="4C40F030">
      <w:pPr>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为支持引导珠三角地区产业向粤东粤西粤北地区有序转移,推动“一核一带一区”区域发展格局积厚成势,广东省深化对口帮扶协作，突出产业有序转移，支持珠三角与粤东粤西粤北各市依托对口帮扶协作关系，在粤东粤西粤北共建若干个产业转移合作园区，合作园区的开发建设、运营管理、招商引资以帮扶方为主负责，合作园区的土地供应、社会管理、配套服务以被帮扶方为主负责。</w:t>
      </w:r>
    </w:p>
    <w:p w14:paraId="3E20F794">
      <w:pPr>
        <w:spacing w:line="360" w:lineRule="auto"/>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(2)深圳、汕尾积极落实省委省政府要求，选取天星湖片区作为共建园区</w:t>
      </w:r>
    </w:p>
    <w:p w14:paraId="122CFA16">
      <w:pPr>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为贯彻落实广东省委办公厅、省人民政府办公厅《关于印发&lt;珠三角地区与粤东粤西粤北地区对口帮扶协作实施方案(2023年-2025年)&gt;的通知》部署要求，推动产业有序转移，促进区域协调发展，充分发挥深汕特别合作区产业辐射带动作用，在汕尾市省产业有序转移主平台范围内，选取深汕合作拓展区天星湖片区，作为两地共建产业转移合作园。</w:t>
      </w:r>
    </w:p>
    <w:p w14:paraId="79C32632">
      <w:pPr>
        <w:spacing w:line="360" w:lineRule="auto"/>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(3)深圳、汕尾全面启动园区各项工作，亟需规划引领园区高质量发展</w:t>
      </w:r>
    </w:p>
    <w:p w14:paraId="00CD0340">
      <w:pPr>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为扎实推进深圳市-汕尾市产业转移合作园建设，促进区域产业融合，协同发展，高起点规划产业转移合作园，强化顶层设计与规划引领，亟需开展规划编制工作，指导园区开发建设及项目落地。</w:t>
      </w:r>
    </w:p>
    <w:p w14:paraId="7AF30829">
      <w:pPr>
        <w:spacing w:line="360" w:lineRule="auto"/>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(4)通信基础设施对园区具有重要的意义</w:t>
      </w:r>
    </w:p>
    <w:p w14:paraId="01807E66">
      <w:pPr>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当前，全球处在新一代信息技术蓬勃发展的重要战略机遇期。通信基础设施是园区信息化的基石,通信基础设施对园区的意义体现在提升信息化水平、促进经济发展、增强竞争力、保障安全稳定以及提升居民生活质量等多个方面。</w:t>
      </w:r>
    </w:p>
    <w:p w14:paraId="46832095">
      <w:pPr>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通过铺设光纤、建设基站、部署无线网络等，园区能够实现高速、稳定的数据传输，为园区内的企业、机构和个人提供便捷的信息服务。信息化水平的提升有助于园区管理更加智能化、高效化，比如通过物联网技术实现园区内设备、人员的智能监控和管理。良好的通信基础设施能够吸引更多高科技企业和创新型人才入驻园区,还能够推动园区内电子商务、云计算、大数据等新兴产业的发展，为园区经济注入新的活力。</w:t>
      </w:r>
    </w:p>
    <w:p w14:paraId="3711430B">
      <w:pPr>
        <w:spacing w:line="360" w:lineRule="auto"/>
        <w:ind w:firstLine="56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8"/>
          <w:szCs w:val="28"/>
        </w:rPr>
        <w:t>本通信规划以《深圳市-汕尾市产业转移合作园（天星湖片区）详细规划及城市设计（调整）》为基础，结合通信和信息化发展趋势与技术要求，综合考虑城乡规划功能布局、人口分布、通信业务发展需求、各通信运营商对移动通信网络基站的建站需求等，在详实可靠的现状资料基础上，对深圳市-汕尾市产业转移合作园（天星湖片区）（以下简称“天星湖片区”）范围内的通信基础设施进行统筹规划，为天星湖片区未来通信基础设施建设提供规划指导和依据。</w:t>
      </w:r>
    </w:p>
    <w:p w14:paraId="13B1B3D4">
      <w:pPr>
        <w:pStyle w:val="5"/>
      </w:pPr>
      <w:bookmarkStart w:id="3" w:name="_Toc188027469"/>
      <w:r>
        <w:rPr>
          <w:rFonts w:hint="eastAsia"/>
        </w:rPr>
        <w:t>天星湖片区概况</w:t>
      </w:r>
      <w:bookmarkEnd w:id="3"/>
    </w:p>
    <w:p w14:paraId="5D9B91B5">
      <w:pPr>
        <w:widowControl/>
        <w:spacing w:line="360" w:lineRule="auto"/>
        <w:ind w:firstLine="562" w:firstLineChars="200"/>
        <w:jc w:val="left"/>
        <w:rPr>
          <w:rFonts w:hint="eastAsia" w:cs="宋体" w:asciiTheme="minorEastAsia" w:hAnsiTheme="minorEastAsia" w:eastAsiaTheme="minorEastAsia"/>
          <w:b/>
          <w:bCs/>
          <w:kern w:val="0"/>
          <w:sz w:val="28"/>
          <w:szCs w:val="28"/>
        </w:rPr>
      </w:pPr>
      <w:r>
        <w:rPr>
          <w:rFonts w:hint="eastAsia" w:cs="宋体" w:asciiTheme="minorEastAsia" w:hAnsiTheme="minorEastAsia" w:eastAsiaTheme="minorEastAsia"/>
          <w:b/>
          <w:bCs/>
          <w:kern w:val="0"/>
          <w:sz w:val="28"/>
          <w:szCs w:val="28"/>
        </w:rPr>
        <w:t>（1）深汕合作拓展区概况</w:t>
      </w:r>
    </w:p>
    <w:p w14:paraId="4CF39C18">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深汕合作拓展区位于汕尾市海丰县西部，紧邻深汕合作区，距离深圳170公里，西接深圳都市圈，东承汕潮揭都市圈，北联粤北（龙川、梅州）、赣南广大内陆腹地。深汕高铁建成通车后，与广州、深圳等城市均在一小时，交通圈内，战略区位优势明显。深圳市-汕尾市产业转移合作园区管理委员会，于2024年1月20日挂牌成立。</w:t>
      </w:r>
    </w:p>
    <w:p w14:paraId="1AD3B07A">
      <w:pPr>
        <w:widowControl/>
        <w:spacing w:line="360" w:lineRule="auto"/>
        <w:ind w:firstLine="562" w:firstLineChars="200"/>
        <w:jc w:val="left"/>
        <w:rPr>
          <w:rFonts w:hint="eastAsia" w:cs="宋体" w:asciiTheme="minorEastAsia" w:hAnsiTheme="minorEastAsia" w:eastAsiaTheme="minorEastAsia"/>
          <w:b/>
          <w:bCs/>
          <w:kern w:val="0"/>
          <w:sz w:val="28"/>
          <w:szCs w:val="28"/>
        </w:rPr>
      </w:pPr>
      <w:r>
        <w:rPr>
          <w:rFonts w:hint="eastAsia" w:cs="宋体" w:asciiTheme="minorEastAsia" w:hAnsiTheme="minorEastAsia" w:eastAsiaTheme="minorEastAsia"/>
          <w:b/>
          <w:bCs/>
          <w:kern w:val="0"/>
          <w:sz w:val="28"/>
          <w:szCs w:val="28"/>
        </w:rPr>
        <w:t>（2）天星湖片区概况</w:t>
      </w:r>
    </w:p>
    <w:p w14:paraId="29A5A2DD">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天星湖片区位于深汕合作拓展区西侧，北至甬莞高速、南至梅陇镇区、西至甬莞高速联络线、东至笔架山，面积约33.2平方公里，通过甬莞高速、甬莞-沈海高速联络线（规划）以及国道324等对外通道实现与深圳、汕尾、湾区、粤东片区交通联系。未来，深汕高铁的开通将实现从天星湖片区40分钟直达深圳，1小时通达广州。</w:t>
      </w:r>
    </w:p>
    <w:p w14:paraId="28C01DA3">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深圳市-汕尾市产业转移合作园（天星湖片区）详细规划及城市设计（调整）》于2024年12月10日经海丰县人民政府批准实施，规划区主导用途分区主要为城镇发展区，核心区主导功能引导主要为工业发展区，北部片区主导功能引导主要为商业居住区。规划总面积约8.37平方公里。核心区位于天星湖智造产业园南部，北至万中村、南临梅陇镇区、西至融湾大道、东临笔架山，规划面积约8.09平方公里；北部片区位于天星湖智造产业园北部，规划面积约0.29平方公里,天星湖片区范围详见图1</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1。</w:t>
      </w:r>
    </w:p>
    <w:p w14:paraId="7F9F3BCB">
      <w:pPr>
        <w:spacing w:line="360" w:lineRule="auto"/>
        <w:ind w:firstLine="420" w:firstLineChars="200"/>
        <w:jc w:val="center"/>
        <w:rPr>
          <w:rFonts w:hint="eastAsia" w:asciiTheme="minorEastAsia" w:hAnsiTheme="minorEastAsia" w:eastAsiaTheme="minorEastAsia"/>
        </w:rPr>
      </w:pPr>
      <w:r>
        <w:drawing>
          <wp:inline distT="0" distB="0" distL="0" distR="0">
            <wp:extent cx="4720590" cy="4015105"/>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724092" cy="4018193"/>
                    </a:xfrm>
                    <a:prstGeom prst="rect">
                      <a:avLst/>
                    </a:prstGeom>
                  </pic:spPr>
                </pic:pic>
              </a:graphicData>
            </a:graphic>
          </wp:inline>
        </w:drawing>
      </w:r>
    </w:p>
    <w:p w14:paraId="34A3E00F">
      <w:pPr>
        <w:spacing w:line="360" w:lineRule="auto"/>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图1</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：深圳市-汕尾市产业转移合作园（天星湖片区）范围示意图</w:t>
      </w:r>
    </w:p>
    <w:p w14:paraId="3630DE37">
      <w:pPr>
        <w:pStyle w:val="39"/>
        <w:ind w:firstLine="562"/>
        <w:rPr>
          <w:b/>
          <w:bCs/>
        </w:rPr>
      </w:pPr>
      <w:r>
        <w:rPr>
          <w:rFonts w:hint="eastAsia"/>
          <w:b/>
          <w:bCs/>
        </w:rPr>
        <w:t>（3）天星湖片区功能定位</w:t>
      </w:r>
    </w:p>
    <w:p w14:paraId="0FA8133F">
      <w:pPr>
        <w:pStyle w:val="39"/>
        <w:ind w:firstLine="560"/>
      </w:pPr>
      <w:r>
        <w:rPr>
          <w:rFonts w:hint="eastAsia"/>
        </w:rPr>
        <w:t>为落实深化上位规划“粤东融湾联深先行区，区域协同发展新征地，主动承接深圳城市功能疏解、产业外溢、社会服务延伸，加强与合作区全面深度合作，主动融入深汕特别合作区新能源新材料和先进制造产业链，构建临深产业发展新阵地”的战略要求，充分发挥共建园区优势资源，深化新能源汽车、超高清视频显示、新材料等产业领域合作，推动梅陇金银珠宝首饰加工等全链条提升，推进前沿技术研发与场景应用，构建企业主体、市场导向、产学研深度融合的先进制造业集聚区，建设生态优美、产城融合、绿色智慧的新一代产业园，打造新能源汽车零部件绿色制造中心、轻奢珠宝全产业链深度融合时尚高地和前沿技术应用示范样板。</w:t>
      </w:r>
    </w:p>
    <w:p w14:paraId="2CD26A39">
      <w:pPr>
        <w:pStyle w:val="5"/>
      </w:pPr>
      <w:bookmarkStart w:id="4" w:name="_Toc188027470"/>
      <w:r>
        <w:rPr>
          <w:rFonts w:hint="eastAsia"/>
        </w:rPr>
        <w:t>规划总体要求</w:t>
      </w:r>
      <w:bookmarkEnd w:id="4"/>
    </w:p>
    <w:p w14:paraId="765F6220">
      <w:pPr>
        <w:pStyle w:val="39"/>
        <w:ind w:firstLine="560"/>
      </w:pPr>
      <w:r>
        <w:rPr>
          <w:rFonts w:hint="eastAsia"/>
        </w:rPr>
        <w:t>加强统筹协调和规划布局，强化集约建设和资源共享，以移动通信基站为支撑，以应用示范为核心、以技术创新为关键，</w:t>
      </w:r>
      <w:bookmarkStart w:id="5" w:name="_Hlk187931120"/>
      <w:r>
        <w:rPr>
          <w:rFonts w:hint="eastAsia"/>
        </w:rPr>
        <w:t>将天星湖片区建设成为基础设施完善、核心技术领先、应用场景丰富、产业竞争力较强的信息化智慧园区</w:t>
      </w:r>
      <w:bookmarkEnd w:id="5"/>
      <w:r>
        <w:rPr>
          <w:rFonts w:hint="eastAsia"/>
        </w:rPr>
        <w:t>。以移动通信需求为主导功能，促进光纤宽带接入网有序建设。</w:t>
      </w:r>
    </w:p>
    <w:p w14:paraId="5112338C">
      <w:pPr>
        <w:pStyle w:val="5"/>
      </w:pPr>
      <w:bookmarkStart w:id="6" w:name="_Toc188027471"/>
      <w:r>
        <w:rPr>
          <w:rFonts w:hint="eastAsia"/>
        </w:rPr>
        <w:t>规划目标</w:t>
      </w:r>
      <w:bookmarkEnd w:id="6"/>
    </w:p>
    <w:p w14:paraId="65F24167">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通过对深圳市-汕尾市产业转移合作园（天星湖片区）范围内的通信基础设施进行统筹规划，为天星湖片区未来通信基础设施建设提供规划指导和依据,将天星湖片区建设成为基础设施完善、核心技术领先、应用场景丰富、产业竞争力较强的信息化智慧园区。</w:t>
      </w:r>
    </w:p>
    <w:p w14:paraId="19C3FF10">
      <w:pPr>
        <w:pStyle w:val="32"/>
        <w:numPr>
          <w:ilvl w:val="0"/>
          <w:numId w:val="3"/>
        </w:numPr>
        <w:autoSpaceDE w:val="0"/>
        <w:autoSpaceDN w:val="0"/>
        <w:adjustRightInd w:val="0"/>
        <w:spacing w:line="360" w:lineRule="auto"/>
        <w:ind w:left="0" w:firstLine="56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满足天星湖片区未来智慧生活、智慧社会、智慧工业等信息化需求，积极推动移动通信网络、光纤接入网的快速、合理、有序建设，实现移动通信网络、光纤接入网全覆盖，信息化技术得以广泛应用。</w:t>
      </w:r>
    </w:p>
    <w:p w14:paraId="0F1CB8D8">
      <w:pPr>
        <w:pStyle w:val="32"/>
        <w:numPr>
          <w:ilvl w:val="0"/>
          <w:numId w:val="3"/>
        </w:numPr>
        <w:autoSpaceDE w:val="0"/>
        <w:autoSpaceDN w:val="0"/>
        <w:adjustRightInd w:val="0"/>
        <w:spacing w:line="360" w:lineRule="auto"/>
        <w:ind w:left="0" w:firstLine="56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满足《深圳市-汕尾市产业转移合作园（天星湖片区）详细规划及城市设计（调整）》及国土空间基础平台管理要求，统一图纸坐标系，纳入相应的管理平台。</w:t>
      </w:r>
    </w:p>
    <w:p w14:paraId="5BEBFA81">
      <w:pPr>
        <w:pStyle w:val="32"/>
        <w:numPr>
          <w:ilvl w:val="0"/>
          <w:numId w:val="3"/>
        </w:numPr>
        <w:autoSpaceDE w:val="0"/>
        <w:autoSpaceDN w:val="0"/>
        <w:adjustRightInd w:val="0"/>
        <w:spacing w:line="360" w:lineRule="auto"/>
        <w:ind w:left="0" w:firstLine="56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推进移动网络</w:t>
      </w:r>
      <w:r>
        <w:rPr>
          <w:rFonts w:asciiTheme="minorEastAsia" w:hAnsiTheme="minorEastAsia" w:eastAsiaTheme="minorEastAsia"/>
          <w:kern w:val="24"/>
          <w:sz w:val="28"/>
          <w:szCs w:val="28"/>
        </w:rPr>
        <w:t>基站</w:t>
      </w:r>
      <w:r>
        <w:rPr>
          <w:rFonts w:hint="eastAsia" w:asciiTheme="minorEastAsia" w:hAnsiTheme="minorEastAsia" w:eastAsiaTheme="minorEastAsia"/>
          <w:kern w:val="24"/>
          <w:sz w:val="28"/>
          <w:szCs w:val="28"/>
        </w:rPr>
        <w:t>、光纤接入网规划先行、科学选址和规范建设，维护公众和通信企业合法权益。进一步推进共建共享工作，实现节能减排、集约美化的目标。</w:t>
      </w:r>
    </w:p>
    <w:p w14:paraId="06F5FE02">
      <w:pPr>
        <w:pStyle w:val="32"/>
        <w:numPr>
          <w:ilvl w:val="0"/>
          <w:numId w:val="3"/>
        </w:numPr>
        <w:autoSpaceDE w:val="0"/>
        <w:autoSpaceDN w:val="0"/>
        <w:adjustRightInd w:val="0"/>
        <w:spacing w:line="360" w:lineRule="auto"/>
        <w:ind w:left="0" w:firstLine="56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规划成果法定化，由政府主管部门牵头主导编制，经过政府主管部门审查同意后，使其成为基站建设的法定文件与依据，有效解决基站建设的合法性和可操作性方面的问题。为将基站站址纳入城市总体规划等创造先行条件。</w:t>
      </w:r>
    </w:p>
    <w:p w14:paraId="22A9535F">
      <w:pPr>
        <w:pStyle w:val="39"/>
        <w:numPr>
          <w:ilvl w:val="0"/>
          <w:numId w:val="3"/>
        </w:numPr>
        <w:ind w:left="0" w:firstLine="560"/>
      </w:pPr>
      <w:r>
        <w:rPr>
          <w:rFonts w:hint="eastAsia" w:asciiTheme="minorEastAsia" w:hAnsiTheme="minorEastAsia" w:eastAsiaTheme="minorEastAsia"/>
          <w:kern w:val="24"/>
          <w:szCs w:val="28"/>
        </w:rPr>
        <w:t>储备移动网络基站站址，加快园区通信基础设施建设步伐，培育新的经济增长点，促进区域经济高质量发展。</w:t>
      </w:r>
    </w:p>
    <w:p w14:paraId="32BCEA97">
      <w:pPr>
        <w:pStyle w:val="5"/>
      </w:pPr>
      <w:bookmarkStart w:id="7" w:name="_Toc188027472"/>
      <w:r>
        <w:rPr>
          <w:rFonts w:hint="eastAsia"/>
        </w:rPr>
        <w:t>规划原则</w:t>
      </w:r>
      <w:bookmarkEnd w:id="7"/>
    </w:p>
    <w:p w14:paraId="283D0CB5">
      <w:pPr>
        <w:pStyle w:val="39"/>
        <w:ind w:firstLine="560"/>
      </w:pPr>
      <w:r>
        <w:rPr>
          <w:rFonts w:hint="eastAsia"/>
        </w:rPr>
        <w:t>本规划按照“统筹规划，科学布局；政府引导，市场主导；集约建设，绿色节能；安全可靠，规范发展”的原则，结合天星湖片区规划，统筹各类通信基础设施和公共基础设施，推进移动通信基站、光纤接入网等通信基础设施建设，提升通信网络覆盖范围和服务质量。</w:t>
      </w:r>
    </w:p>
    <w:p w14:paraId="491D35D3">
      <w:pPr>
        <w:pStyle w:val="39"/>
        <w:numPr>
          <w:ilvl w:val="0"/>
          <w:numId w:val="4"/>
        </w:numPr>
        <w:ind w:firstLineChars="0"/>
      </w:pPr>
      <w:r>
        <w:rPr>
          <w:rFonts w:hint="eastAsia"/>
        </w:rPr>
        <w:t>统筹规划，科学布局</w:t>
      </w:r>
    </w:p>
    <w:p w14:paraId="00A6B0BB">
      <w:pPr>
        <w:pStyle w:val="39"/>
        <w:ind w:firstLine="560"/>
      </w:pPr>
      <w:r>
        <w:rPr>
          <w:rFonts w:hint="eastAsia"/>
        </w:rPr>
        <w:t>坚持立足当下、着眼长远，既统筹考虑自然环境、用地保障和能源供给等配置资源，又注重兼顾市场需求、产业环境、人才支撑等重要因素，统筹天星湖片区资源，坚持以高标准规划为引领、以因地制宜与科学布局为导向，以按需设计与按标建设为路径，统筹推进移动通信基站、光纤接入网建设。</w:t>
      </w:r>
    </w:p>
    <w:p w14:paraId="15D69794">
      <w:pPr>
        <w:pStyle w:val="39"/>
        <w:numPr>
          <w:ilvl w:val="0"/>
          <w:numId w:val="4"/>
        </w:numPr>
        <w:ind w:firstLineChars="0"/>
      </w:pPr>
      <w:r>
        <w:rPr>
          <w:rFonts w:hint="eastAsia"/>
        </w:rPr>
        <w:t>政府引导，市场主导</w:t>
      </w:r>
    </w:p>
    <w:p w14:paraId="6481D198">
      <w:pPr>
        <w:pStyle w:val="39"/>
        <w:ind w:firstLine="560"/>
      </w:pPr>
      <w:r>
        <w:rPr>
          <w:rFonts w:hint="eastAsia"/>
        </w:rPr>
        <w:t>加强和发挥政府的引导和协调作用，加大财政和政策扶持力度，以市场为主导创建公平竞争、互相促进、互惠互利的市场机制，坚持政府引导和市场机制相结合，以政府资源整合带动社会资源整合，促进通信基础设施高质量发展。</w:t>
      </w:r>
    </w:p>
    <w:p w14:paraId="6352AED6">
      <w:pPr>
        <w:pStyle w:val="39"/>
        <w:numPr>
          <w:ilvl w:val="0"/>
          <w:numId w:val="4"/>
        </w:numPr>
        <w:ind w:firstLineChars="0"/>
      </w:pPr>
      <w:r>
        <w:rPr>
          <w:rFonts w:hint="eastAsia"/>
        </w:rPr>
        <w:t>集约建设，绿色节能</w:t>
      </w:r>
    </w:p>
    <w:p w14:paraId="760A3E93">
      <w:pPr>
        <w:pStyle w:val="39"/>
        <w:ind w:firstLine="560"/>
      </w:pPr>
      <w:r>
        <w:rPr>
          <w:rFonts w:hint="eastAsia"/>
        </w:rPr>
        <w:t>强化信息基础设施的统筹规划和集约建设，促进存量与增量资源的互通共享，加强城市有限空间资源的有效利用，充分利用城市公共基础设施资源，推动集约化信息基础设施建设和发展。加快应用先进节能技术，提升资源能源利用效率，走高效、清洁、集约、循环的绿色发展道路。</w:t>
      </w:r>
    </w:p>
    <w:p w14:paraId="020F90C1">
      <w:pPr>
        <w:pStyle w:val="39"/>
        <w:numPr>
          <w:ilvl w:val="0"/>
          <w:numId w:val="4"/>
        </w:numPr>
        <w:ind w:firstLineChars="0"/>
      </w:pPr>
      <w:r>
        <w:rPr>
          <w:rFonts w:hint="eastAsia"/>
        </w:rPr>
        <w:t>安全可靠，规范发展</w:t>
      </w:r>
    </w:p>
    <w:p w14:paraId="5719E820">
      <w:pPr>
        <w:pStyle w:val="39"/>
        <w:ind w:firstLine="560"/>
      </w:pPr>
      <w:r>
        <w:rPr>
          <w:rFonts w:hint="eastAsia"/>
        </w:rPr>
        <w:t>坚持安全、可靠发展，按照国家相关法律法规，推进标准化、规范化、系统化体系建设，建立安全可靠的智能化运维管理模式，实现产业生态健康可持续发展。</w:t>
      </w:r>
    </w:p>
    <w:p w14:paraId="3A0F77B8">
      <w:pPr>
        <w:pStyle w:val="5"/>
        <w:tabs>
          <w:tab w:val="left" w:pos="0"/>
          <w:tab w:val="clear" w:pos="-1"/>
        </w:tabs>
      </w:pPr>
      <w:bookmarkStart w:id="8" w:name="_Toc188027473"/>
      <w:r>
        <w:rPr>
          <w:rFonts w:hint="eastAsia"/>
        </w:rPr>
        <w:t>规划范围及期限</w:t>
      </w:r>
      <w:bookmarkEnd w:id="8"/>
    </w:p>
    <w:p w14:paraId="6FD4E761">
      <w:pPr>
        <w:pStyle w:val="39"/>
        <w:ind w:firstLine="560"/>
      </w:pPr>
      <w:r>
        <w:rPr>
          <w:rFonts w:hint="eastAsia"/>
        </w:rPr>
        <w:t>本次</w:t>
      </w:r>
      <w:r>
        <w:rPr>
          <w:rFonts w:hint="eastAsia" w:cs="宋体" w:asciiTheme="minorEastAsia" w:hAnsiTheme="minorEastAsia" w:eastAsiaTheme="minorEastAsia"/>
          <w:kern w:val="0"/>
          <w:szCs w:val="28"/>
        </w:rPr>
        <w:t>规划的天星湖片区总面积8.37平方公里，核心区位于天星湖智造产业园南部，北至万中村、南临梅陇镇区、西至融湾大道、东临笔架山，规划面积约8.09平方公里；北部片区位于天星湖智造产业园北部，规划面积约0.29平方公里</w:t>
      </w:r>
      <w:r>
        <w:rPr>
          <w:rFonts w:hint="eastAsia"/>
        </w:rPr>
        <w:t>。</w:t>
      </w:r>
    </w:p>
    <w:p w14:paraId="7E709B8A">
      <w:pPr>
        <w:pStyle w:val="39"/>
        <w:ind w:firstLine="560"/>
      </w:pPr>
      <w:r>
        <w:rPr>
          <w:rFonts w:hint="eastAsia"/>
        </w:rPr>
        <w:t>本次规划内容仅限于移动通信基站、光纤接入网等通信基础设施，也包括相应的汇聚机房、通信管道等配套设施。</w:t>
      </w:r>
    </w:p>
    <w:p w14:paraId="410C0B32">
      <w:pPr>
        <w:pStyle w:val="39"/>
        <w:ind w:firstLine="560"/>
      </w:pPr>
      <w:r>
        <w:rPr>
          <w:rFonts w:hint="eastAsia"/>
        </w:rPr>
        <w:t>本次规划期限根据天星湖片区近期规划目标调整为20</w:t>
      </w:r>
      <w:r>
        <w:t>25</w:t>
      </w:r>
      <w:r>
        <w:rPr>
          <w:rFonts w:hint="eastAsia"/>
        </w:rPr>
        <w:t>年～202</w:t>
      </w:r>
      <w:r>
        <w:t>9</w:t>
      </w:r>
      <w:r>
        <w:rPr>
          <w:rFonts w:hint="eastAsia"/>
        </w:rPr>
        <w:t>年</w:t>
      </w:r>
      <w:bookmarkStart w:id="9" w:name="_Hlt10450957"/>
      <w:bookmarkEnd w:id="9"/>
      <w:r>
        <w:rPr>
          <w:rFonts w:hint="eastAsia"/>
        </w:rPr>
        <w:t>。</w:t>
      </w:r>
    </w:p>
    <w:p w14:paraId="5D84D748">
      <w:pPr>
        <w:pStyle w:val="5"/>
      </w:pPr>
      <w:bookmarkStart w:id="10" w:name="_Toc188027474"/>
      <w:r>
        <w:rPr>
          <w:rFonts w:hint="eastAsia"/>
        </w:rPr>
        <w:t>规划依据</w:t>
      </w:r>
      <w:bookmarkEnd w:id="10"/>
    </w:p>
    <w:p w14:paraId="5704DC66">
      <w:pPr>
        <w:pStyle w:val="6"/>
        <w:spacing w:before="260" w:after="260" w:line="416" w:lineRule="auto"/>
        <w:ind w:left="737"/>
      </w:pPr>
      <w:r>
        <w:rPr>
          <w:rFonts w:hint="eastAsia"/>
        </w:rPr>
        <w:t>法律法规</w:t>
      </w:r>
    </w:p>
    <w:p w14:paraId="708808AC">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中华人民共和国城乡规划法(2019修正)</w:t>
      </w:r>
      <w:r>
        <w:rPr>
          <w:rFonts w:hint="eastAsia" w:asciiTheme="minorEastAsia" w:hAnsiTheme="minorEastAsia" w:eastAsiaTheme="minorEastAsia"/>
          <w:sz w:val="24"/>
        </w:rPr>
        <w:t>》</w:t>
      </w:r>
      <w:r>
        <w:rPr>
          <w:rFonts w:asciiTheme="minorEastAsia" w:hAnsiTheme="minorEastAsia" w:eastAsiaTheme="minorEastAsia"/>
          <w:sz w:val="24"/>
        </w:rPr>
        <w:t>中华人民共和国主席令第</w:t>
      </w:r>
      <w:r>
        <w:rPr>
          <w:rFonts w:hint="eastAsia" w:asciiTheme="minorEastAsia" w:hAnsiTheme="minorEastAsia" w:eastAsiaTheme="minorEastAsia"/>
          <w:sz w:val="24"/>
        </w:rPr>
        <w:t>2</w:t>
      </w:r>
      <w:r>
        <w:rPr>
          <w:rFonts w:asciiTheme="minorEastAsia" w:hAnsiTheme="minorEastAsia" w:eastAsiaTheme="minorEastAsia"/>
          <w:sz w:val="24"/>
        </w:rPr>
        <w:t>9号</w:t>
      </w:r>
      <w:r>
        <w:rPr>
          <w:rFonts w:hint="eastAsia" w:asciiTheme="minorEastAsia" w:hAnsiTheme="minorEastAsia" w:eastAsiaTheme="minorEastAsia"/>
          <w:sz w:val="24"/>
        </w:rPr>
        <w:t>；</w:t>
      </w:r>
    </w:p>
    <w:p w14:paraId="2DC1A399">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《中华人民共和国土地管理法》</w:t>
      </w:r>
      <w:r>
        <w:rPr>
          <w:rFonts w:asciiTheme="minorEastAsia" w:hAnsiTheme="minorEastAsia" w:eastAsiaTheme="minorEastAsia"/>
          <w:sz w:val="24"/>
        </w:rPr>
        <w:t>中华人民共和国主席令第</w:t>
      </w:r>
      <w:r>
        <w:rPr>
          <w:rFonts w:hint="eastAsia" w:asciiTheme="minorEastAsia" w:hAnsiTheme="minorEastAsia" w:eastAsiaTheme="minorEastAsia"/>
          <w:sz w:val="24"/>
        </w:rPr>
        <w:t>2</w:t>
      </w:r>
      <w:r>
        <w:rPr>
          <w:rFonts w:asciiTheme="minorEastAsia" w:hAnsiTheme="minorEastAsia" w:eastAsiaTheme="minorEastAsia"/>
          <w:sz w:val="24"/>
        </w:rPr>
        <w:t>8号</w:t>
      </w:r>
      <w:r>
        <w:rPr>
          <w:rFonts w:hint="eastAsia" w:asciiTheme="minorEastAsia" w:hAnsiTheme="minorEastAsia" w:eastAsiaTheme="minorEastAsia"/>
          <w:sz w:val="24"/>
        </w:rPr>
        <w:t>；</w:t>
      </w:r>
    </w:p>
    <w:p w14:paraId="78ADFAD2">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《中华人民共和国环境保护法》</w:t>
      </w:r>
      <w:r>
        <w:rPr>
          <w:rFonts w:asciiTheme="minorEastAsia" w:hAnsiTheme="minorEastAsia" w:eastAsiaTheme="minorEastAsia"/>
          <w:sz w:val="24"/>
        </w:rPr>
        <w:t>中华人民共和国主席令第</w:t>
      </w:r>
      <w:r>
        <w:rPr>
          <w:rFonts w:hint="eastAsia" w:asciiTheme="minorEastAsia" w:hAnsiTheme="minorEastAsia" w:eastAsiaTheme="minorEastAsia"/>
          <w:sz w:val="24"/>
        </w:rPr>
        <w:t>9</w:t>
      </w:r>
      <w:r>
        <w:rPr>
          <w:rFonts w:asciiTheme="minorEastAsia" w:hAnsiTheme="minorEastAsia" w:eastAsiaTheme="minorEastAsia"/>
          <w:sz w:val="24"/>
        </w:rPr>
        <w:t>号</w:t>
      </w:r>
      <w:r>
        <w:rPr>
          <w:rFonts w:hint="eastAsia" w:asciiTheme="minorEastAsia" w:hAnsiTheme="minorEastAsia" w:eastAsiaTheme="minorEastAsia"/>
          <w:sz w:val="24"/>
        </w:rPr>
        <w:t>；</w:t>
      </w:r>
    </w:p>
    <w:p w14:paraId="457C4D1D">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中华人民共和国环境影响评价</w:t>
      </w:r>
      <w:r>
        <w:rPr>
          <w:rFonts w:asciiTheme="minorEastAsia" w:hAnsiTheme="minorEastAsia" w:eastAsiaTheme="minorEastAsia"/>
          <w:sz w:val="24"/>
        </w:rPr>
        <w:t>法</w:t>
      </w:r>
      <w:r>
        <w:rPr>
          <w:rFonts w:hint="eastAsia" w:asciiTheme="minorEastAsia" w:hAnsiTheme="minorEastAsia" w:eastAsiaTheme="minorEastAsia"/>
          <w:sz w:val="24"/>
        </w:rPr>
        <w:t>（2</w:t>
      </w:r>
      <w:r>
        <w:rPr>
          <w:rFonts w:asciiTheme="minorEastAsia" w:hAnsiTheme="minorEastAsia" w:eastAsiaTheme="minorEastAsia"/>
          <w:sz w:val="24"/>
        </w:rPr>
        <w:t>018修正</w:t>
      </w:r>
      <w:r>
        <w:rPr>
          <w:rFonts w:hint="eastAsia" w:asciiTheme="minorEastAsia" w:hAnsiTheme="minorEastAsia" w:eastAsiaTheme="minorEastAsia"/>
          <w:sz w:val="24"/>
        </w:rPr>
        <w:t>）》</w:t>
      </w:r>
      <w:r>
        <w:rPr>
          <w:rFonts w:asciiTheme="minorEastAsia" w:hAnsiTheme="minorEastAsia" w:eastAsiaTheme="minorEastAsia"/>
          <w:sz w:val="24"/>
        </w:rPr>
        <w:t>中华人民共和国主席令第</w:t>
      </w:r>
      <w:r>
        <w:rPr>
          <w:rFonts w:hint="eastAsia" w:asciiTheme="minorEastAsia" w:hAnsiTheme="minorEastAsia" w:eastAsiaTheme="minorEastAsia"/>
          <w:sz w:val="24"/>
        </w:rPr>
        <w:t>2</w:t>
      </w:r>
      <w:r>
        <w:rPr>
          <w:rFonts w:asciiTheme="minorEastAsia" w:hAnsiTheme="minorEastAsia" w:eastAsiaTheme="minorEastAsia"/>
          <w:sz w:val="24"/>
        </w:rPr>
        <w:t>4号</w:t>
      </w:r>
      <w:r>
        <w:rPr>
          <w:rFonts w:hint="eastAsia" w:asciiTheme="minorEastAsia" w:hAnsiTheme="minorEastAsia" w:eastAsiaTheme="minorEastAsia"/>
          <w:sz w:val="24"/>
        </w:rPr>
        <w:t>；</w:t>
      </w:r>
    </w:p>
    <w:p w14:paraId="4CA73111">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《城市黄线管理办法》中华人民共和国建设部令第14</w:t>
      </w:r>
      <w:r>
        <w:rPr>
          <w:rFonts w:asciiTheme="minorEastAsia" w:hAnsiTheme="minorEastAsia" w:eastAsiaTheme="minorEastAsia"/>
          <w:sz w:val="24"/>
        </w:rPr>
        <w:t>4</w:t>
      </w:r>
      <w:r>
        <w:rPr>
          <w:rFonts w:hint="eastAsia" w:asciiTheme="minorEastAsia" w:hAnsiTheme="minorEastAsia" w:eastAsiaTheme="minorEastAsia"/>
          <w:sz w:val="24"/>
        </w:rPr>
        <w:t>号；</w:t>
      </w:r>
      <w:bookmarkStart w:id="185" w:name="_GoBack"/>
      <w:bookmarkEnd w:id="185"/>
    </w:p>
    <w:p w14:paraId="451249B8">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《城市规划编制办法》中华人民共和国建设部令第146号；</w:t>
      </w:r>
    </w:p>
    <w:p w14:paraId="69A2EAF0">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《城市规划编制办法实施细则》建设部建规字第333号；</w:t>
      </w:r>
    </w:p>
    <w:p w14:paraId="2A1BE3E3">
      <w:pPr>
        <w:pStyle w:val="32"/>
        <w:numPr>
          <w:ilvl w:val="0"/>
          <w:numId w:val="5"/>
        </w:numPr>
        <w:spacing w:line="360" w:lineRule="auto"/>
        <w:ind w:firstLineChars="0"/>
        <w:rPr>
          <w:rFonts w:hint="eastAsia" w:asciiTheme="minorEastAsia" w:hAnsiTheme="minorEastAsia" w:eastAsiaTheme="minorEastAsia"/>
          <w:sz w:val="24"/>
        </w:rPr>
      </w:pPr>
      <w:r>
        <w:rPr>
          <w:rFonts w:asciiTheme="minorEastAsia" w:hAnsiTheme="minorEastAsia" w:eastAsiaTheme="minorEastAsia"/>
          <w:sz w:val="24"/>
        </w:rPr>
        <w:t>《</w:t>
      </w:r>
      <w:r>
        <w:rPr>
          <w:rFonts w:hint="eastAsia" w:asciiTheme="minorEastAsia" w:hAnsiTheme="minorEastAsia" w:eastAsiaTheme="minorEastAsia"/>
          <w:sz w:val="24"/>
        </w:rPr>
        <w:t>广东省通信设施建设与保护规定》广东省人民政府令第256号；</w:t>
      </w:r>
    </w:p>
    <w:p w14:paraId="0B02481F">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《广东省城乡规划条例》</w:t>
      </w:r>
      <w:r>
        <w:rPr>
          <w:rFonts w:asciiTheme="minorEastAsia" w:hAnsiTheme="minorEastAsia" w:eastAsiaTheme="minorEastAsia"/>
          <w:sz w:val="24"/>
        </w:rPr>
        <w:t>广东省第十一届人民代表大会常务委员会公告</w:t>
      </w:r>
      <w:r>
        <w:rPr>
          <w:rFonts w:hint="eastAsia" w:asciiTheme="minorEastAsia" w:hAnsiTheme="minorEastAsia" w:eastAsiaTheme="minorEastAsia"/>
          <w:sz w:val="24"/>
        </w:rPr>
        <w:t>（</w:t>
      </w:r>
      <w:r>
        <w:rPr>
          <w:rFonts w:asciiTheme="minorEastAsia" w:hAnsiTheme="minorEastAsia" w:eastAsiaTheme="minorEastAsia"/>
          <w:sz w:val="24"/>
        </w:rPr>
        <w:t>第90号</w:t>
      </w:r>
      <w:r>
        <w:rPr>
          <w:rFonts w:hint="eastAsia" w:asciiTheme="minorEastAsia" w:hAnsiTheme="minorEastAsia" w:eastAsiaTheme="minorEastAsia"/>
          <w:sz w:val="24"/>
        </w:rPr>
        <w:t>）；</w:t>
      </w:r>
    </w:p>
    <w:p w14:paraId="719579C4">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《广东省信息化促进条例》广东省第十二届人民代表大会常务委员会公告（第15号）；</w:t>
      </w:r>
    </w:p>
    <w:p w14:paraId="0E6D505D">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《广东省无线电管理条例》广东省第十三届人民代表大会常务委员会公告（第</w:t>
      </w:r>
      <w:r>
        <w:rPr>
          <w:rFonts w:asciiTheme="minorEastAsia" w:hAnsiTheme="minorEastAsia" w:eastAsiaTheme="minorEastAsia"/>
          <w:sz w:val="24"/>
        </w:rPr>
        <w:t>32</w:t>
      </w:r>
      <w:r>
        <w:rPr>
          <w:rFonts w:hint="eastAsia" w:asciiTheme="minorEastAsia" w:hAnsiTheme="minorEastAsia" w:eastAsiaTheme="minorEastAsia"/>
          <w:sz w:val="24"/>
        </w:rPr>
        <w:t>号）；</w:t>
      </w:r>
    </w:p>
    <w:p w14:paraId="12B0B284">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《广东省生态控制线管理条例》（草案）粤建公告（2</w:t>
      </w:r>
      <w:r>
        <w:rPr>
          <w:rFonts w:asciiTheme="minorEastAsia" w:hAnsiTheme="minorEastAsia" w:eastAsiaTheme="minorEastAsia"/>
          <w:sz w:val="24"/>
        </w:rPr>
        <w:t>016</w:t>
      </w:r>
      <w:r>
        <w:rPr>
          <w:rFonts w:hint="eastAsia" w:asciiTheme="minorEastAsia" w:hAnsiTheme="minorEastAsia" w:eastAsiaTheme="minorEastAsia"/>
          <w:sz w:val="24"/>
        </w:rPr>
        <w:t>）1</w:t>
      </w:r>
      <w:r>
        <w:rPr>
          <w:rFonts w:asciiTheme="minorEastAsia" w:hAnsiTheme="minorEastAsia" w:eastAsiaTheme="minorEastAsia"/>
          <w:sz w:val="24"/>
        </w:rPr>
        <w:t>2号</w:t>
      </w:r>
      <w:r>
        <w:rPr>
          <w:rFonts w:hint="eastAsia" w:asciiTheme="minorEastAsia" w:hAnsiTheme="minorEastAsia" w:eastAsiaTheme="minorEastAsia"/>
          <w:sz w:val="24"/>
        </w:rPr>
        <w:t>；</w:t>
      </w:r>
    </w:p>
    <w:p w14:paraId="1FBD244F">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《广东省饮用水源水质保护条例》广东省第十三届人民代表大会常务委员会第七次会议修正；</w:t>
      </w:r>
    </w:p>
    <w:p w14:paraId="3626A093">
      <w:pPr>
        <w:pStyle w:val="32"/>
        <w:numPr>
          <w:ilvl w:val="0"/>
          <w:numId w:val="5"/>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《广东省基本农田保护区管理条例》（201</w:t>
      </w:r>
      <w:r>
        <w:rPr>
          <w:rFonts w:asciiTheme="minorEastAsia" w:hAnsiTheme="minorEastAsia" w:eastAsiaTheme="minorEastAsia"/>
          <w:sz w:val="24"/>
        </w:rPr>
        <w:t>4年修正</w:t>
      </w:r>
      <w:r>
        <w:rPr>
          <w:rFonts w:hint="eastAsia" w:asciiTheme="minorEastAsia" w:hAnsiTheme="minorEastAsia" w:eastAsiaTheme="minorEastAsia"/>
          <w:sz w:val="24"/>
        </w:rPr>
        <w:t>）广东省第十二届人民代表大会常务委员会第十二次会议第二次修正。</w:t>
      </w:r>
    </w:p>
    <w:p w14:paraId="02EAF1E3">
      <w:pPr>
        <w:pStyle w:val="6"/>
        <w:spacing w:before="260" w:after="260" w:line="416" w:lineRule="auto"/>
        <w:ind w:left="737"/>
      </w:pPr>
      <w:bookmarkStart w:id="11" w:name="_Toc60177478"/>
      <w:r>
        <w:rPr>
          <w:rFonts w:hint="eastAsia"/>
        </w:rPr>
        <w:t>标准规范</w:t>
      </w:r>
      <w:bookmarkEnd w:id="11"/>
    </w:p>
    <w:p w14:paraId="0A4E33B6">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《城市用地分类与规划建设用地标准》中华人民共和国国家标准（GB50137-2011）；</w:t>
      </w:r>
    </w:p>
    <w:p w14:paraId="752280F8">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《城市通信工程规划规范》中华人民共和国国家标准（</w:t>
      </w:r>
      <w:r>
        <w:rPr>
          <w:rFonts w:asciiTheme="minorEastAsia" w:hAnsiTheme="minorEastAsia" w:eastAsiaTheme="minorEastAsia"/>
          <w:sz w:val="24"/>
        </w:rPr>
        <w:t>GB/T50853-2013</w:t>
      </w:r>
      <w:r>
        <w:rPr>
          <w:rFonts w:hint="eastAsia" w:asciiTheme="minorEastAsia" w:hAnsiTheme="minorEastAsia" w:eastAsiaTheme="minorEastAsia"/>
          <w:sz w:val="24"/>
        </w:rPr>
        <w:t>）；</w:t>
      </w:r>
    </w:p>
    <w:p w14:paraId="47BA8F3D">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《电磁环境控制限制》中华人民共和国国家标准（</w:t>
      </w:r>
      <w:r>
        <w:rPr>
          <w:rFonts w:asciiTheme="minorEastAsia" w:hAnsiTheme="minorEastAsia" w:eastAsiaTheme="minorEastAsia"/>
          <w:sz w:val="24"/>
        </w:rPr>
        <w:t>GB8702-2014）</w:t>
      </w:r>
      <w:r>
        <w:rPr>
          <w:rFonts w:hint="eastAsia" w:asciiTheme="minorEastAsia" w:hAnsiTheme="minorEastAsia" w:eastAsiaTheme="minorEastAsia"/>
          <w:sz w:val="24"/>
        </w:rPr>
        <w:t>；</w:t>
      </w:r>
    </w:p>
    <w:p w14:paraId="5B15EA1B">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《通信局站共建共享技术规范》（GB/T51</w:t>
      </w:r>
      <w:r>
        <w:rPr>
          <w:rFonts w:asciiTheme="minorEastAsia" w:hAnsiTheme="minorEastAsia" w:eastAsiaTheme="minorEastAsia"/>
          <w:sz w:val="24"/>
        </w:rPr>
        <w:t>125</w:t>
      </w:r>
      <w:r>
        <w:rPr>
          <w:rFonts w:hint="eastAsia" w:asciiTheme="minorEastAsia" w:hAnsiTheme="minorEastAsia" w:eastAsiaTheme="minorEastAsia"/>
          <w:sz w:val="24"/>
        </w:rPr>
        <w:t>-201</w:t>
      </w:r>
      <w:r>
        <w:rPr>
          <w:rFonts w:asciiTheme="minorEastAsia" w:hAnsiTheme="minorEastAsia" w:eastAsiaTheme="minorEastAsia"/>
          <w:sz w:val="24"/>
        </w:rPr>
        <w:t>5</w:t>
      </w:r>
      <w:r>
        <w:rPr>
          <w:rFonts w:hint="eastAsia" w:asciiTheme="minorEastAsia" w:hAnsiTheme="minorEastAsia" w:eastAsiaTheme="minorEastAsia"/>
          <w:sz w:val="24"/>
        </w:rPr>
        <w:t>）；</w:t>
      </w:r>
    </w:p>
    <w:p w14:paraId="72C2EA91">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《城市综合防灾规划标准》中华人民共和国国家标准（GB/T513</w:t>
      </w:r>
      <w:r>
        <w:rPr>
          <w:rFonts w:asciiTheme="minorEastAsia" w:hAnsiTheme="minorEastAsia" w:eastAsiaTheme="minorEastAsia"/>
          <w:sz w:val="24"/>
        </w:rPr>
        <w:t>27</w:t>
      </w:r>
      <w:r>
        <w:rPr>
          <w:rFonts w:hint="eastAsia" w:asciiTheme="minorEastAsia" w:hAnsiTheme="minorEastAsia" w:eastAsiaTheme="minorEastAsia"/>
          <w:sz w:val="24"/>
        </w:rPr>
        <w:t>-201</w:t>
      </w:r>
      <w:r>
        <w:rPr>
          <w:rFonts w:asciiTheme="minorEastAsia" w:hAnsiTheme="minorEastAsia" w:eastAsiaTheme="minorEastAsia"/>
          <w:sz w:val="24"/>
        </w:rPr>
        <w:t>8</w:t>
      </w:r>
      <w:r>
        <w:rPr>
          <w:rFonts w:hint="eastAsia" w:asciiTheme="minorEastAsia" w:hAnsiTheme="minorEastAsia" w:eastAsiaTheme="minorEastAsia"/>
          <w:sz w:val="24"/>
        </w:rPr>
        <w:t>）；</w:t>
      </w:r>
    </w:p>
    <w:p w14:paraId="35761E06">
      <w:pPr>
        <w:pStyle w:val="32"/>
        <w:numPr>
          <w:ilvl w:val="1"/>
          <w:numId w:val="6"/>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《通信工程建设环境保护技术标准》中华人民共和国国家标准（GB/T51391-2019）。</w:t>
      </w:r>
    </w:p>
    <w:p w14:paraId="0F6A89A0">
      <w:pPr>
        <w:pStyle w:val="6"/>
        <w:spacing w:before="260" w:after="260" w:line="416" w:lineRule="auto"/>
        <w:ind w:left="737"/>
      </w:pPr>
      <w:bookmarkStart w:id="12" w:name="_Toc60177479"/>
      <w:r>
        <w:rPr>
          <w:rFonts w:hint="eastAsia"/>
        </w:rPr>
        <w:t>政策文件</w:t>
      </w:r>
      <w:bookmarkEnd w:id="12"/>
    </w:p>
    <w:p w14:paraId="052E7082">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国务院《“宽带中国”战略及实施方案》（国发[2013]31号）；</w:t>
      </w:r>
    </w:p>
    <w:p w14:paraId="619ED33D">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国务院《关于加强城市基础设施建设的意见》（国发〔2013〕36号）；</w:t>
      </w:r>
    </w:p>
    <w:p w14:paraId="251AA4DA">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国务院《关于积极推进“互联网＋”行动的指导意见》（国发[2015]40号）；</w:t>
      </w:r>
    </w:p>
    <w:p w14:paraId="0A3302EF">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国务院《关于加快高速宽带网络建设推进网络提速降费的指导意见》（国办发[2015]41号）；</w:t>
      </w:r>
    </w:p>
    <w:p w14:paraId="62044617">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工业和信息化部、国土资源部、住房城乡建设部《关于加强移动通信铁塔站址用地及规划管理工作的通知》（工信部联通信〔2017〕234号）；</w:t>
      </w:r>
    </w:p>
    <w:p w14:paraId="5901D432">
      <w:pPr>
        <w:pStyle w:val="32"/>
        <w:numPr>
          <w:ilvl w:val="0"/>
          <w:numId w:val="7"/>
        </w:numPr>
        <w:spacing w:line="360" w:lineRule="auto"/>
        <w:ind w:firstLineChars="0"/>
        <w:rPr>
          <w:rFonts w:hint="eastAsia" w:asciiTheme="minorEastAsia" w:hAnsiTheme="minorEastAsia" w:eastAsiaTheme="minorEastAsia"/>
          <w:sz w:val="24"/>
        </w:rPr>
      </w:pPr>
      <w:r>
        <w:rPr>
          <w:rFonts w:hint="eastAsia" w:asciiTheme="minorEastAsia" w:hAnsiTheme="minorEastAsia" w:eastAsiaTheme="minorEastAsia"/>
          <w:sz w:val="24"/>
        </w:rPr>
        <w:t>住房和城乡建设部、工业和信息化部《关于加强城市通信基础设施规划的通知》（建规[2015]132号）。</w:t>
      </w:r>
    </w:p>
    <w:p w14:paraId="74F7FCBC">
      <w:pPr>
        <w:pStyle w:val="2"/>
      </w:pPr>
      <w:bookmarkStart w:id="13" w:name="_Toc188027475"/>
      <w:r>
        <w:rPr>
          <w:rFonts w:hint="eastAsia"/>
        </w:rPr>
        <w:t>天星湖片区现状分析与问题总结</w:t>
      </w:r>
      <w:bookmarkEnd w:id="13"/>
    </w:p>
    <w:p w14:paraId="35E61124">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4" w:name="_Toc187965712"/>
      <w:bookmarkEnd w:id="14"/>
      <w:bookmarkStart w:id="15" w:name="_Toc187966381"/>
      <w:bookmarkEnd w:id="15"/>
      <w:bookmarkStart w:id="16" w:name="_Toc187966445"/>
      <w:bookmarkEnd w:id="16"/>
      <w:bookmarkStart w:id="17" w:name="_Toc188025765"/>
      <w:bookmarkEnd w:id="17"/>
      <w:bookmarkStart w:id="18" w:name="_Toc188027476"/>
      <w:bookmarkEnd w:id="18"/>
    </w:p>
    <w:p w14:paraId="7F9CBA67">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9" w:name="_Toc188025766"/>
      <w:bookmarkEnd w:id="19"/>
      <w:bookmarkStart w:id="20" w:name="_Toc187965713"/>
      <w:bookmarkEnd w:id="20"/>
      <w:bookmarkStart w:id="21" w:name="_Toc188027477"/>
      <w:bookmarkEnd w:id="21"/>
      <w:bookmarkStart w:id="22" w:name="_Toc187966382"/>
      <w:bookmarkEnd w:id="22"/>
      <w:bookmarkStart w:id="23" w:name="_Toc187966446"/>
      <w:bookmarkEnd w:id="23"/>
    </w:p>
    <w:p w14:paraId="5B9FE08B">
      <w:pPr>
        <w:pStyle w:val="5"/>
      </w:pPr>
      <w:bookmarkStart w:id="24" w:name="_Toc188027478"/>
      <w:r>
        <w:rPr>
          <w:rFonts w:hint="eastAsia"/>
        </w:rPr>
        <w:t>天星湖片区详细规划及城市设计情况概况</w:t>
      </w:r>
      <w:bookmarkEnd w:id="24"/>
    </w:p>
    <w:p w14:paraId="1D61F487">
      <w:pPr>
        <w:spacing w:line="360" w:lineRule="auto"/>
        <w:ind w:firstLine="560" w:firstLineChars="200"/>
      </w:pPr>
      <w:r>
        <w:rPr>
          <w:rFonts w:hint="eastAsia"/>
          <w:sz w:val="28"/>
          <w:szCs w:val="21"/>
        </w:rPr>
        <w:t>通信基础设施建设与人口、用户、道路等息息相关，根据《深圳市-汕尾市产业转移合作园（天星湖片区）详细规划及城市设计（调整）》，天星湖片区人口、用地、道路规划如下：</w:t>
      </w:r>
    </w:p>
    <w:p w14:paraId="69625559">
      <w:pPr>
        <w:pStyle w:val="6"/>
      </w:pPr>
      <w:r>
        <w:rPr>
          <w:rFonts w:hint="eastAsia"/>
        </w:rPr>
        <w:t>规划的人口</w:t>
      </w:r>
    </w:p>
    <w:p w14:paraId="5884A380">
      <w:pPr>
        <w:pStyle w:val="39"/>
        <w:ind w:firstLine="560"/>
      </w:pPr>
      <w:r>
        <w:rPr>
          <w:rFonts w:hint="eastAsia"/>
        </w:rPr>
        <w:t>天星湖片区规划总人口为6.81万人，其中村庄保留人口0.33万人，园区产业人口4.16万人。核心区规划总人口5.91万人，其中居住小区可容纳0.96万人，园区宿舍可容纳4.95万人；北部片区居住小区可容纳0.57万人。</w:t>
      </w:r>
    </w:p>
    <w:p w14:paraId="40539F2F">
      <w:pPr>
        <w:pStyle w:val="6"/>
      </w:pPr>
      <w:r>
        <w:rPr>
          <w:rFonts w:hint="eastAsia"/>
        </w:rPr>
        <w:t>规划的用地布局</w:t>
      </w:r>
    </w:p>
    <w:p w14:paraId="42D11EC0">
      <w:pPr>
        <w:pStyle w:val="39"/>
        <w:ind w:firstLine="560"/>
      </w:pPr>
      <w:r>
        <w:rPr>
          <w:rFonts w:hint="eastAsia"/>
        </w:rPr>
        <w:t>总用地面积为837.27公顷，其中建设用地约553.96公顷，非建设283.31公顷，建设用地以工矿用地、交通运输用地、居住用地为主。</w:t>
      </w:r>
    </w:p>
    <w:p w14:paraId="4A5DEAFA">
      <w:pPr>
        <w:pStyle w:val="39"/>
        <w:ind w:firstLine="560"/>
      </w:pPr>
      <w:r>
        <w:rPr>
          <w:rFonts w:hint="eastAsia"/>
        </w:rPr>
        <w:t>核心区规划范围总面积为808.57公顷，其中建设用地约527.80公顷，非建设用地280.77公顷。建设用地以工矿用地、居住用地、商业服务业用地和交通运输用地为主，用地布局如图2</w:t>
      </w:r>
      <w:r>
        <w:t>-1</w:t>
      </w:r>
      <w:r>
        <w:rPr>
          <w:rFonts w:hint="eastAsia"/>
        </w:rPr>
        <w:t>所示。</w:t>
      </w:r>
    </w:p>
    <w:p w14:paraId="3408383C">
      <w:pPr>
        <w:pStyle w:val="39"/>
        <w:ind w:firstLine="0" w:firstLineChars="0"/>
        <w:jc w:val="center"/>
      </w:pPr>
      <w:r>
        <w:drawing>
          <wp:inline distT="0" distB="0" distL="0" distR="0">
            <wp:extent cx="5433060" cy="52222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436806" cy="5226289"/>
                    </a:xfrm>
                    <a:prstGeom prst="rect">
                      <a:avLst/>
                    </a:prstGeom>
                  </pic:spPr>
                </pic:pic>
              </a:graphicData>
            </a:graphic>
          </wp:inline>
        </w:drawing>
      </w:r>
    </w:p>
    <w:p w14:paraId="6077782A">
      <w:pPr>
        <w:pStyle w:val="39"/>
        <w:ind w:firstLine="560"/>
        <w:jc w:val="center"/>
      </w:pPr>
      <w:r>
        <w:rPr>
          <w:rFonts w:hint="eastAsia"/>
        </w:rPr>
        <w:t>图2</w:t>
      </w:r>
      <w:r>
        <w:t xml:space="preserve">-1 </w:t>
      </w:r>
      <w:r>
        <w:rPr>
          <w:rFonts w:hint="eastAsia"/>
        </w:rPr>
        <w:t>核心区用地规划图</w:t>
      </w:r>
    </w:p>
    <w:p w14:paraId="466BC5C4">
      <w:pPr>
        <w:pStyle w:val="39"/>
        <w:ind w:firstLine="560"/>
      </w:pPr>
      <w:r>
        <w:rPr>
          <w:rFonts w:hint="eastAsia"/>
        </w:rPr>
        <w:t>北部片区规划范围总面积为28.70公顷，其中建设用地约26.16公顷，非建设用地2.53公顷。建设用地以居住用地、商业服务业用地和绿地与开敞空间用地为主。</w:t>
      </w:r>
    </w:p>
    <w:p w14:paraId="12CA669B">
      <w:pPr>
        <w:pStyle w:val="39"/>
        <w:ind w:firstLine="0" w:firstLineChars="0"/>
        <w:jc w:val="center"/>
      </w:pPr>
      <w:r>
        <w:drawing>
          <wp:inline distT="0" distB="0" distL="0" distR="0">
            <wp:extent cx="4953000" cy="4724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4953000" cy="4724400"/>
                    </a:xfrm>
                    <a:prstGeom prst="rect">
                      <a:avLst/>
                    </a:prstGeom>
                  </pic:spPr>
                </pic:pic>
              </a:graphicData>
            </a:graphic>
          </wp:inline>
        </w:drawing>
      </w:r>
    </w:p>
    <w:p w14:paraId="7CAF6864">
      <w:pPr>
        <w:pStyle w:val="39"/>
        <w:ind w:firstLine="0" w:firstLineChars="0"/>
        <w:jc w:val="center"/>
      </w:pPr>
      <w:r>
        <w:rPr>
          <w:rFonts w:hint="eastAsia"/>
        </w:rPr>
        <w:t>图2</w:t>
      </w:r>
      <w:r>
        <w:t xml:space="preserve">-2 </w:t>
      </w:r>
      <w:r>
        <w:rPr>
          <w:rFonts w:hint="eastAsia"/>
        </w:rPr>
        <w:t>北部片区用地规划图</w:t>
      </w:r>
    </w:p>
    <w:p w14:paraId="1311718B">
      <w:pPr>
        <w:pStyle w:val="6"/>
      </w:pPr>
      <w:r>
        <w:rPr>
          <w:rFonts w:hint="eastAsia"/>
        </w:rPr>
        <w:t>规划的道路</w:t>
      </w:r>
    </w:p>
    <w:p w14:paraId="551977C3">
      <w:pPr>
        <w:pStyle w:val="39"/>
        <w:ind w:firstLine="560"/>
      </w:pPr>
      <w:r>
        <w:rPr>
          <w:rFonts w:hint="eastAsia"/>
        </w:rPr>
        <w:t>（1）规划的轨道交通</w:t>
      </w:r>
    </w:p>
    <w:p w14:paraId="4456281B">
      <w:pPr>
        <w:pStyle w:val="39"/>
        <w:ind w:firstLine="560"/>
      </w:pPr>
      <w:r>
        <w:rPr>
          <w:rFonts w:hint="eastAsia"/>
        </w:rPr>
        <w:t>深汕城际自深汕站向东引出，沿G324国道设天星湖站、海丰站，后沿海丽大道设红草站，末至红海湾浪；深汕城际支线经海丰中心城区，连通星都开发区、末至东海岸石化基地。</w:t>
      </w:r>
    </w:p>
    <w:p w14:paraId="3B386801">
      <w:pPr>
        <w:pStyle w:val="39"/>
        <w:ind w:firstLine="560"/>
      </w:pPr>
      <w:r>
        <w:rPr>
          <w:rFonts w:hint="eastAsia"/>
        </w:rPr>
        <w:t>天星湖片区有规划的深汕城际线经过，并设有天星湖城际站。</w:t>
      </w:r>
    </w:p>
    <w:p w14:paraId="195ADF01">
      <w:pPr>
        <w:pStyle w:val="39"/>
        <w:ind w:firstLine="560"/>
      </w:pPr>
    </w:p>
    <w:p w14:paraId="444A6960">
      <w:pPr>
        <w:pStyle w:val="39"/>
        <w:ind w:firstLine="0" w:firstLineChars="0"/>
        <w:jc w:val="center"/>
      </w:pPr>
      <w:r>
        <w:drawing>
          <wp:inline distT="0" distB="0" distL="0" distR="0">
            <wp:extent cx="5057140" cy="283210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062400" cy="2834986"/>
                    </a:xfrm>
                    <a:prstGeom prst="rect">
                      <a:avLst/>
                    </a:prstGeom>
                  </pic:spPr>
                </pic:pic>
              </a:graphicData>
            </a:graphic>
          </wp:inline>
        </w:drawing>
      </w:r>
    </w:p>
    <w:p w14:paraId="55BF67ED">
      <w:pPr>
        <w:pStyle w:val="39"/>
        <w:ind w:firstLine="0" w:firstLineChars="0"/>
        <w:jc w:val="center"/>
      </w:pPr>
      <w:r>
        <w:rPr>
          <w:rFonts w:hint="eastAsia"/>
        </w:rPr>
        <w:t>图2</w:t>
      </w:r>
      <w:r>
        <w:t xml:space="preserve">-3 </w:t>
      </w:r>
      <w:r>
        <w:rPr>
          <w:rFonts w:hint="eastAsia"/>
        </w:rPr>
        <w:t>轨道交通规划图</w:t>
      </w:r>
    </w:p>
    <w:p w14:paraId="52C34E22">
      <w:pPr>
        <w:pStyle w:val="39"/>
        <w:ind w:firstLine="560"/>
        <w:jc w:val="left"/>
      </w:pPr>
      <w:r>
        <w:rPr>
          <w:rFonts w:hint="eastAsia"/>
        </w:rPr>
        <w:t>（2）规划的干线及内部道路</w:t>
      </w:r>
    </w:p>
    <w:p w14:paraId="0B0A46C9">
      <w:pPr>
        <w:pStyle w:val="39"/>
        <w:ind w:firstLine="560"/>
        <w:jc w:val="left"/>
      </w:pPr>
      <w:r>
        <w:rPr>
          <w:rFonts w:hint="eastAsia"/>
        </w:rPr>
        <w:t>天星湖片区对外主要依托融湾大道、天星大道、新G324对外便捷联系，内部主干路主要有融湾大道、山下岭路、深汕大道（324国道）、天星大道，次干路共计10条，支路共计25条。</w:t>
      </w:r>
    </w:p>
    <w:p w14:paraId="7F6C8B2C">
      <w:pPr>
        <w:pStyle w:val="39"/>
        <w:ind w:firstLine="0" w:firstLineChars="0"/>
        <w:jc w:val="center"/>
      </w:pPr>
      <w:r>
        <w:drawing>
          <wp:inline distT="0" distB="0" distL="0" distR="0">
            <wp:extent cx="4184650" cy="376047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4188856" cy="3764310"/>
                    </a:xfrm>
                    <a:prstGeom prst="rect">
                      <a:avLst/>
                    </a:prstGeom>
                  </pic:spPr>
                </pic:pic>
              </a:graphicData>
            </a:graphic>
          </wp:inline>
        </w:drawing>
      </w:r>
    </w:p>
    <w:p w14:paraId="3EDC4FB3">
      <w:pPr>
        <w:pStyle w:val="39"/>
        <w:ind w:firstLine="560"/>
        <w:jc w:val="center"/>
      </w:pPr>
      <w:r>
        <w:rPr>
          <w:rFonts w:hint="eastAsia"/>
        </w:rPr>
        <w:t>图2</w:t>
      </w:r>
      <w:r>
        <w:t xml:space="preserve">-4 </w:t>
      </w:r>
      <w:r>
        <w:rPr>
          <w:rFonts w:hint="eastAsia"/>
        </w:rPr>
        <w:t>内部路网规划图</w:t>
      </w:r>
    </w:p>
    <w:p w14:paraId="4C309FFC">
      <w:pPr>
        <w:pStyle w:val="5"/>
      </w:pPr>
      <w:bookmarkStart w:id="25" w:name="_Toc188027479"/>
      <w:r>
        <w:rPr>
          <w:rFonts w:hint="eastAsia"/>
        </w:rPr>
        <w:t>通信基础设施建设现状</w:t>
      </w:r>
      <w:bookmarkEnd w:id="25"/>
    </w:p>
    <w:p w14:paraId="6FC001C6">
      <w:pPr>
        <w:pStyle w:val="39"/>
        <w:ind w:firstLine="560"/>
      </w:pPr>
      <w:r>
        <w:rPr>
          <w:rFonts w:hint="eastAsia"/>
        </w:rPr>
        <w:t>天星湖片区当前以农田、山地、荒地为主，仅有部分村落，当前通信基础设施以移动通信基站为主，部署有少量光交接箱、管道或杆路，没有通信汇聚机房，通信设施较薄弱。</w:t>
      </w:r>
    </w:p>
    <w:p w14:paraId="5EE97878">
      <w:pPr>
        <w:pStyle w:val="39"/>
        <w:ind w:firstLine="560"/>
      </w:pPr>
      <w:r>
        <w:rPr>
          <w:rFonts w:hint="eastAsia"/>
        </w:rPr>
        <w:t>（1）移动通信基站建设情况</w:t>
      </w:r>
    </w:p>
    <w:p w14:paraId="4FC216C1">
      <w:pPr>
        <w:pStyle w:val="39"/>
        <w:ind w:firstLine="560"/>
      </w:pPr>
      <w:r>
        <w:rPr>
          <w:rFonts w:hint="eastAsia"/>
        </w:rPr>
        <w:t>根据中国铁塔股份有限公司(以下简称“中国铁塔”)、中国移动通信集团有限公司(以下简称“中国移动”)、中国电信股份有限公司(以下简称“中国电信”)、中国联合网络通信有限公司(以下简称“中国联通”)、中国广播电视网络股份有限公司(以下简称“中国广电”)等单位提供的现状基础资料，天星湖片区现状存量室外基站</w:t>
      </w:r>
      <w:r>
        <w:t>13</w:t>
      </w:r>
      <w:r>
        <w:rPr>
          <w:rFonts w:hint="eastAsia"/>
        </w:rPr>
        <w:t>个，片区现有基站密度每平方公里为1</w:t>
      </w:r>
      <w:r>
        <w:t>.5</w:t>
      </w:r>
      <w:r>
        <w:rPr>
          <w:rFonts w:hint="eastAsia"/>
        </w:rPr>
        <w:t>个。从信号覆盖的角度看，片区尚未实现了2G、3G、4G的全覆盖，信号质量相对不足。</w:t>
      </w:r>
    </w:p>
    <w:p w14:paraId="41CF6D1C">
      <w:pPr>
        <w:pStyle w:val="39"/>
        <w:ind w:firstLine="560"/>
        <w:jc w:val="center"/>
      </w:pPr>
      <w:r>
        <w:rPr>
          <w:rFonts w:hint="eastAsia"/>
        </w:rPr>
        <w:t>表2</w:t>
      </w:r>
      <w:r>
        <w:t xml:space="preserve">-1 </w:t>
      </w:r>
      <w:r>
        <w:rPr>
          <w:rFonts w:hint="eastAsia"/>
        </w:rPr>
        <w:t>天星湖片区现有移动通信基站清单</w:t>
      </w:r>
    </w:p>
    <w:tbl>
      <w:tblPr>
        <w:tblStyle w:val="20"/>
        <w:tblW w:w="9640" w:type="dxa"/>
        <w:jc w:val="center"/>
        <w:tblLayout w:type="autofit"/>
        <w:tblCellMar>
          <w:top w:w="0" w:type="dxa"/>
          <w:left w:w="108" w:type="dxa"/>
          <w:bottom w:w="0" w:type="dxa"/>
          <w:right w:w="108" w:type="dxa"/>
        </w:tblCellMar>
      </w:tblPr>
      <w:tblGrid>
        <w:gridCol w:w="709"/>
        <w:gridCol w:w="2694"/>
        <w:gridCol w:w="1417"/>
        <w:gridCol w:w="1418"/>
        <w:gridCol w:w="1134"/>
        <w:gridCol w:w="1134"/>
        <w:gridCol w:w="1134"/>
      </w:tblGrid>
      <w:tr w14:paraId="0194E976">
        <w:tblPrEx>
          <w:tblCellMar>
            <w:top w:w="0" w:type="dxa"/>
            <w:left w:w="108" w:type="dxa"/>
            <w:bottom w:w="0" w:type="dxa"/>
            <w:right w:w="108" w:type="dxa"/>
          </w:tblCellMar>
        </w:tblPrEx>
        <w:trPr>
          <w:trHeight w:val="397"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24A43B">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序号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2BD4400">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规划站名</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21E6824D">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经度</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232196B2">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纬度</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5A9EF285">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站点类型</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ECAB993">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规划类型</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623E0D66">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备注</w:t>
            </w:r>
          </w:p>
        </w:tc>
      </w:tr>
      <w:tr w14:paraId="4329BC7A">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8CCFA7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w:t>
            </w:r>
          </w:p>
        </w:tc>
        <w:tc>
          <w:tcPr>
            <w:tcW w:w="2694" w:type="dxa"/>
            <w:tcBorders>
              <w:top w:val="nil"/>
              <w:left w:val="nil"/>
              <w:bottom w:val="single" w:color="auto" w:sz="4" w:space="0"/>
              <w:right w:val="single" w:color="auto" w:sz="4" w:space="0"/>
            </w:tcBorders>
            <w:shd w:val="clear" w:color="auto" w:fill="auto"/>
            <w:noWrap/>
            <w:vAlign w:val="center"/>
          </w:tcPr>
          <w:p w14:paraId="7AB122E2">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汕尾海丰梅陇汕尾午山龙</w:t>
            </w:r>
          </w:p>
        </w:tc>
        <w:tc>
          <w:tcPr>
            <w:tcW w:w="1417" w:type="dxa"/>
            <w:tcBorders>
              <w:top w:val="nil"/>
              <w:left w:val="nil"/>
              <w:bottom w:val="single" w:color="auto" w:sz="4" w:space="0"/>
              <w:right w:val="single" w:color="auto" w:sz="4" w:space="0"/>
            </w:tcBorders>
            <w:shd w:val="clear" w:color="auto" w:fill="auto"/>
            <w:noWrap/>
            <w:vAlign w:val="center"/>
          </w:tcPr>
          <w:p w14:paraId="78942F3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115.218754</w:t>
            </w:r>
          </w:p>
        </w:tc>
        <w:tc>
          <w:tcPr>
            <w:tcW w:w="1418" w:type="dxa"/>
            <w:tcBorders>
              <w:top w:val="nil"/>
              <w:left w:val="nil"/>
              <w:bottom w:val="single" w:color="auto" w:sz="4" w:space="0"/>
              <w:right w:val="single" w:color="auto" w:sz="4" w:space="0"/>
            </w:tcBorders>
            <w:shd w:val="clear" w:color="auto" w:fill="auto"/>
            <w:noWrap/>
            <w:vAlign w:val="center"/>
          </w:tcPr>
          <w:p w14:paraId="67E509C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22.916581</w:t>
            </w:r>
          </w:p>
        </w:tc>
        <w:tc>
          <w:tcPr>
            <w:tcW w:w="1134" w:type="dxa"/>
            <w:tcBorders>
              <w:top w:val="nil"/>
              <w:left w:val="nil"/>
              <w:bottom w:val="single" w:color="auto" w:sz="4" w:space="0"/>
              <w:right w:val="single" w:color="auto" w:sz="4" w:space="0"/>
            </w:tcBorders>
            <w:shd w:val="clear" w:color="auto" w:fill="auto"/>
            <w:noWrap/>
            <w:vAlign w:val="center"/>
          </w:tcPr>
          <w:p w14:paraId="58B60B2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5AD7103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0796E70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r w14:paraId="0FD5B18B">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330725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w:t>
            </w:r>
          </w:p>
        </w:tc>
        <w:tc>
          <w:tcPr>
            <w:tcW w:w="2694" w:type="dxa"/>
            <w:tcBorders>
              <w:top w:val="nil"/>
              <w:left w:val="nil"/>
              <w:bottom w:val="single" w:color="auto" w:sz="4" w:space="0"/>
              <w:right w:val="single" w:color="auto" w:sz="4" w:space="0"/>
            </w:tcBorders>
            <w:shd w:val="clear" w:color="auto" w:fill="auto"/>
            <w:noWrap/>
            <w:vAlign w:val="center"/>
          </w:tcPr>
          <w:p w14:paraId="649FE552">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汕尾海丰梅陇松柏围</w:t>
            </w:r>
          </w:p>
        </w:tc>
        <w:tc>
          <w:tcPr>
            <w:tcW w:w="1417" w:type="dxa"/>
            <w:tcBorders>
              <w:top w:val="nil"/>
              <w:left w:val="nil"/>
              <w:bottom w:val="single" w:color="auto" w:sz="4" w:space="0"/>
              <w:right w:val="single" w:color="auto" w:sz="4" w:space="0"/>
            </w:tcBorders>
            <w:shd w:val="clear" w:color="auto" w:fill="auto"/>
            <w:noWrap/>
            <w:vAlign w:val="center"/>
          </w:tcPr>
          <w:p w14:paraId="652D79F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115.218205</w:t>
            </w:r>
          </w:p>
        </w:tc>
        <w:tc>
          <w:tcPr>
            <w:tcW w:w="1418" w:type="dxa"/>
            <w:tcBorders>
              <w:top w:val="nil"/>
              <w:left w:val="nil"/>
              <w:bottom w:val="single" w:color="auto" w:sz="4" w:space="0"/>
              <w:right w:val="single" w:color="auto" w:sz="4" w:space="0"/>
            </w:tcBorders>
            <w:shd w:val="clear" w:color="auto" w:fill="auto"/>
            <w:noWrap/>
            <w:vAlign w:val="center"/>
          </w:tcPr>
          <w:p w14:paraId="1CABF5C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22.925678</w:t>
            </w:r>
          </w:p>
        </w:tc>
        <w:tc>
          <w:tcPr>
            <w:tcW w:w="1134" w:type="dxa"/>
            <w:tcBorders>
              <w:top w:val="nil"/>
              <w:left w:val="nil"/>
              <w:bottom w:val="single" w:color="auto" w:sz="4" w:space="0"/>
              <w:right w:val="single" w:color="auto" w:sz="4" w:space="0"/>
            </w:tcBorders>
            <w:shd w:val="clear" w:color="auto" w:fill="auto"/>
            <w:noWrap/>
            <w:vAlign w:val="center"/>
          </w:tcPr>
          <w:p w14:paraId="0BFFD9D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7154AFB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58E622E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规划搬迁</w:t>
            </w:r>
          </w:p>
        </w:tc>
      </w:tr>
      <w:tr w14:paraId="4AE7625E">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408C8C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3</w:t>
            </w:r>
          </w:p>
        </w:tc>
        <w:tc>
          <w:tcPr>
            <w:tcW w:w="2694" w:type="dxa"/>
            <w:tcBorders>
              <w:top w:val="nil"/>
              <w:left w:val="nil"/>
              <w:bottom w:val="single" w:color="auto" w:sz="4" w:space="0"/>
              <w:right w:val="single" w:color="auto" w:sz="4" w:space="0"/>
            </w:tcBorders>
            <w:shd w:val="clear" w:color="auto" w:fill="auto"/>
            <w:noWrap/>
            <w:vAlign w:val="center"/>
          </w:tcPr>
          <w:p w14:paraId="300A9B36">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汕尾海丰县银丰</w:t>
            </w:r>
          </w:p>
        </w:tc>
        <w:tc>
          <w:tcPr>
            <w:tcW w:w="1417" w:type="dxa"/>
            <w:tcBorders>
              <w:top w:val="nil"/>
              <w:left w:val="nil"/>
              <w:bottom w:val="single" w:color="auto" w:sz="4" w:space="0"/>
              <w:right w:val="single" w:color="auto" w:sz="4" w:space="0"/>
            </w:tcBorders>
            <w:shd w:val="clear" w:color="auto" w:fill="auto"/>
            <w:noWrap/>
            <w:vAlign w:val="center"/>
          </w:tcPr>
          <w:p w14:paraId="21F12D3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115.223744</w:t>
            </w:r>
          </w:p>
        </w:tc>
        <w:tc>
          <w:tcPr>
            <w:tcW w:w="1418" w:type="dxa"/>
            <w:tcBorders>
              <w:top w:val="nil"/>
              <w:left w:val="nil"/>
              <w:bottom w:val="single" w:color="auto" w:sz="4" w:space="0"/>
              <w:right w:val="single" w:color="auto" w:sz="4" w:space="0"/>
            </w:tcBorders>
            <w:shd w:val="clear" w:color="auto" w:fill="auto"/>
            <w:noWrap/>
            <w:vAlign w:val="center"/>
          </w:tcPr>
          <w:p w14:paraId="3C5FDB6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22.941505</w:t>
            </w:r>
          </w:p>
        </w:tc>
        <w:tc>
          <w:tcPr>
            <w:tcW w:w="1134" w:type="dxa"/>
            <w:tcBorders>
              <w:top w:val="nil"/>
              <w:left w:val="nil"/>
              <w:bottom w:val="single" w:color="auto" w:sz="4" w:space="0"/>
              <w:right w:val="single" w:color="auto" w:sz="4" w:space="0"/>
            </w:tcBorders>
            <w:shd w:val="clear" w:color="auto" w:fill="auto"/>
            <w:noWrap/>
            <w:vAlign w:val="center"/>
          </w:tcPr>
          <w:p w14:paraId="44713BD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471161C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00E0CB6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r w14:paraId="1075B995">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9B57BF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4</w:t>
            </w:r>
          </w:p>
        </w:tc>
        <w:tc>
          <w:tcPr>
            <w:tcW w:w="2694" w:type="dxa"/>
            <w:tcBorders>
              <w:top w:val="nil"/>
              <w:left w:val="nil"/>
              <w:bottom w:val="single" w:color="auto" w:sz="4" w:space="0"/>
              <w:right w:val="single" w:color="auto" w:sz="4" w:space="0"/>
            </w:tcBorders>
            <w:shd w:val="clear" w:color="auto" w:fill="auto"/>
            <w:noWrap/>
            <w:vAlign w:val="center"/>
          </w:tcPr>
          <w:p w14:paraId="3262043B">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海丰梅陇首饰城加工厂区</w:t>
            </w:r>
          </w:p>
        </w:tc>
        <w:tc>
          <w:tcPr>
            <w:tcW w:w="1417" w:type="dxa"/>
            <w:tcBorders>
              <w:top w:val="nil"/>
              <w:left w:val="nil"/>
              <w:bottom w:val="single" w:color="auto" w:sz="4" w:space="0"/>
              <w:right w:val="single" w:color="auto" w:sz="4" w:space="0"/>
            </w:tcBorders>
            <w:shd w:val="clear" w:color="auto" w:fill="auto"/>
            <w:noWrap/>
            <w:vAlign w:val="center"/>
          </w:tcPr>
          <w:p w14:paraId="7549202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115.229478</w:t>
            </w:r>
          </w:p>
        </w:tc>
        <w:tc>
          <w:tcPr>
            <w:tcW w:w="1418" w:type="dxa"/>
            <w:tcBorders>
              <w:top w:val="nil"/>
              <w:left w:val="nil"/>
              <w:bottom w:val="single" w:color="auto" w:sz="4" w:space="0"/>
              <w:right w:val="single" w:color="auto" w:sz="4" w:space="0"/>
            </w:tcBorders>
            <w:shd w:val="clear" w:color="auto" w:fill="auto"/>
            <w:noWrap/>
            <w:vAlign w:val="center"/>
          </w:tcPr>
          <w:p w14:paraId="116448E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22.928698</w:t>
            </w:r>
          </w:p>
        </w:tc>
        <w:tc>
          <w:tcPr>
            <w:tcW w:w="1134" w:type="dxa"/>
            <w:tcBorders>
              <w:top w:val="nil"/>
              <w:left w:val="nil"/>
              <w:bottom w:val="single" w:color="auto" w:sz="4" w:space="0"/>
              <w:right w:val="single" w:color="auto" w:sz="4" w:space="0"/>
            </w:tcBorders>
            <w:shd w:val="clear" w:color="auto" w:fill="auto"/>
            <w:noWrap/>
            <w:vAlign w:val="center"/>
          </w:tcPr>
          <w:p w14:paraId="4F4D5E6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62C17E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449E858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6CBF33BB">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F5D305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5</w:t>
            </w:r>
          </w:p>
        </w:tc>
        <w:tc>
          <w:tcPr>
            <w:tcW w:w="2694" w:type="dxa"/>
            <w:tcBorders>
              <w:top w:val="nil"/>
              <w:left w:val="nil"/>
              <w:bottom w:val="single" w:color="auto" w:sz="4" w:space="0"/>
              <w:right w:val="single" w:color="auto" w:sz="4" w:space="0"/>
            </w:tcBorders>
            <w:shd w:val="clear" w:color="auto" w:fill="auto"/>
            <w:noWrap/>
            <w:vAlign w:val="center"/>
          </w:tcPr>
          <w:p w14:paraId="05136D32">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汕尾海丰县天星湖</w:t>
            </w:r>
          </w:p>
        </w:tc>
        <w:tc>
          <w:tcPr>
            <w:tcW w:w="1417" w:type="dxa"/>
            <w:tcBorders>
              <w:top w:val="nil"/>
              <w:left w:val="nil"/>
              <w:bottom w:val="single" w:color="auto" w:sz="4" w:space="0"/>
              <w:right w:val="single" w:color="auto" w:sz="4" w:space="0"/>
            </w:tcBorders>
            <w:shd w:val="clear" w:color="auto" w:fill="auto"/>
            <w:noWrap/>
            <w:vAlign w:val="center"/>
          </w:tcPr>
          <w:p w14:paraId="5550BB8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115.238014</w:t>
            </w:r>
          </w:p>
        </w:tc>
        <w:tc>
          <w:tcPr>
            <w:tcW w:w="1418" w:type="dxa"/>
            <w:tcBorders>
              <w:top w:val="nil"/>
              <w:left w:val="nil"/>
              <w:bottom w:val="single" w:color="auto" w:sz="4" w:space="0"/>
              <w:right w:val="single" w:color="auto" w:sz="4" w:space="0"/>
            </w:tcBorders>
            <w:shd w:val="clear" w:color="auto" w:fill="auto"/>
            <w:noWrap/>
            <w:vAlign w:val="center"/>
          </w:tcPr>
          <w:p w14:paraId="1536216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22.934377</w:t>
            </w:r>
          </w:p>
        </w:tc>
        <w:tc>
          <w:tcPr>
            <w:tcW w:w="1134" w:type="dxa"/>
            <w:tcBorders>
              <w:top w:val="nil"/>
              <w:left w:val="nil"/>
              <w:bottom w:val="single" w:color="auto" w:sz="4" w:space="0"/>
              <w:right w:val="single" w:color="auto" w:sz="4" w:space="0"/>
            </w:tcBorders>
            <w:shd w:val="clear" w:color="auto" w:fill="auto"/>
            <w:noWrap/>
            <w:vAlign w:val="center"/>
          </w:tcPr>
          <w:p w14:paraId="58AB2DB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3A0607D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1467CA0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1625801A">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E30730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6</w:t>
            </w:r>
          </w:p>
        </w:tc>
        <w:tc>
          <w:tcPr>
            <w:tcW w:w="2694" w:type="dxa"/>
            <w:tcBorders>
              <w:top w:val="nil"/>
              <w:left w:val="nil"/>
              <w:bottom w:val="single" w:color="auto" w:sz="4" w:space="0"/>
              <w:right w:val="single" w:color="auto" w:sz="4" w:space="0"/>
            </w:tcBorders>
            <w:shd w:val="clear" w:color="auto" w:fill="auto"/>
            <w:noWrap/>
            <w:vAlign w:val="center"/>
          </w:tcPr>
          <w:p w14:paraId="23BAF678">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海丰梅陇大液桥</w:t>
            </w:r>
          </w:p>
        </w:tc>
        <w:tc>
          <w:tcPr>
            <w:tcW w:w="1417" w:type="dxa"/>
            <w:tcBorders>
              <w:top w:val="nil"/>
              <w:left w:val="nil"/>
              <w:bottom w:val="single" w:color="auto" w:sz="4" w:space="0"/>
              <w:right w:val="single" w:color="auto" w:sz="4" w:space="0"/>
            </w:tcBorders>
            <w:shd w:val="clear" w:color="auto" w:fill="auto"/>
            <w:noWrap/>
            <w:vAlign w:val="center"/>
          </w:tcPr>
          <w:p w14:paraId="568E225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115.247911</w:t>
            </w:r>
          </w:p>
        </w:tc>
        <w:tc>
          <w:tcPr>
            <w:tcW w:w="1418" w:type="dxa"/>
            <w:tcBorders>
              <w:top w:val="nil"/>
              <w:left w:val="nil"/>
              <w:bottom w:val="single" w:color="auto" w:sz="4" w:space="0"/>
              <w:right w:val="single" w:color="auto" w:sz="4" w:space="0"/>
            </w:tcBorders>
            <w:shd w:val="clear" w:color="auto" w:fill="auto"/>
            <w:noWrap/>
            <w:vAlign w:val="center"/>
          </w:tcPr>
          <w:p w14:paraId="25C8987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22.942219</w:t>
            </w:r>
          </w:p>
        </w:tc>
        <w:tc>
          <w:tcPr>
            <w:tcW w:w="1134" w:type="dxa"/>
            <w:tcBorders>
              <w:top w:val="nil"/>
              <w:left w:val="nil"/>
              <w:bottom w:val="single" w:color="auto" w:sz="4" w:space="0"/>
              <w:right w:val="single" w:color="auto" w:sz="4" w:space="0"/>
            </w:tcBorders>
            <w:shd w:val="clear" w:color="auto" w:fill="auto"/>
            <w:noWrap/>
            <w:vAlign w:val="center"/>
          </w:tcPr>
          <w:p w14:paraId="1B8E92F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47A8868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273E253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规划搬迁</w:t>
            </w:r>
          </w:p>
        </w:tc>
      </w:tr>
      <w:tr w14:paraId="1CDE2E3B">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7B01AD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7</w:t>
            </w:r>
          </w:p>
        </w:tc>
        <w:tc>
          <w:tcPr>
            <w:tcW w:w="2694" w:type="dxa"/>
            <w:tcBorders>
              <w:top w:val="nil"/>
              <w:left w:val="nil"/>
              <w:bottom w:val="single" w:color="auto" w:sz="4" w:space="0"/>
              <w:right w:val="single" w:color="auto" w:sz="4" w:space="0"/>
            </w:tcBorders>
            <w:shd w:val="clear" w:color="auto" w:fill="auto"/>
            <w:noWrap/>
            <w:vAlign w:val="center"/>
          </w:tcPr>
          <w:p w14:paraId="7A03A40A">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海丰银液C网基站机房</w:t>
            </w:r>
          </w:p>
        </w:tc>
        <w:tc>
          <w:tcPr>
            <w:tcW w:w="1417" w:type="dxa"/>
            <w:tcBorders>
              <w:top w:val="nil"/>
              <w:left w:val="nil"/>
              <w:bottom w:val="single" w:color="auto" w:sz="4" w:space="0"/>
              <w:right w:val="single" w:color="auto" w:sz="4" w:space="0"/>
            </w:tcBorders>
            <w:shd w:val="clear" w:color="auto" w:fill="auto"/>
            <w:noWrap/>
            <w:vAlign w:val="center"/>
          </w:tcPr>
          <w:p w14:paraId="78B91B5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115.257719</w:t>
            </w:r>
          </w:p>
        </w:tc>
        <w:tc>
          <w:tcPr>
            <w:tcW w:w="1418" w:type="dxa"/>
            <w:tcBorders>
              <w:top w:val="nil"/>
              <w:left w:val="nil"/>
              <w:bottom w:val="single" w:color="auto" w:sz="4" w:space="0"/>
              <w:right w:val="single" w:color="auto" w:sz="4" w:space="0"/>
            </w:tcBorders>
            <w:shd w:val="clear" w:color="auto" w:fill="auto"/>
            <w:noWrap/>
            <w:vAlign w:val="center"/>
          </w:tcPr>
          <w:p w14:paraId="705A3D8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22.939746</w:t>
            </w:r>
          </w:p>
        </w:tc>
        <w:tc>
          <w:tcPr>
            <w:tcW w:w="1134" w:type="dxa"/>
            <w:tcBorders>
              <w:top w:val="nil"/>
              <w:left w:val="nil"/>
              <w:bottom w:val="single" w:color="auto" w:sz="4" w:space="0"/>
              <w:right w:val="single" w:color="auto" w:sz="4" w:space="0"/>
            </w:tcBorders>
            <w:shd w:val="clear" w:color="auto" w:fill="auto"/>
            <w:noWrap/>
            <w:vAlign w:val="center"/>
          </w:tcPr>
          <w:p w14:paraId="50F85AE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2C46CE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2492554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3FA316E9">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2A0521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8</w:t>
            </w:r>
          </w:p>
        </w:tc>
        <w:tc>
          <w:tcPr>
            <w:tcW w:w="2694" w:type="dxa"/>
            <w:tcBorders>
              <w:top w:val="nil"/>
              <w:left w:val="nil"/>
              <w:bottom w:val="single" w:color="auto" w:sz="4" w:space="0"/>
              <w:right w:val="single" w:color="auto" w:sz="4" w:space="0"/>
            </w:tcBorders>
            <w:shd w:val="clear" w:color="auto" w:fill="auto"/>
            <w:noWrap/>
            <w:vAlign w:val="center"/>
          </w:tcPr>
          <w:p w14:paraId="2B793EB4">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汕尾海丰隆中山</w:t>
            </w:r>
          </w:p>
        </w:tc>
        <w:tc>
          <w:tcPr>
            <w:tcW w:w="1417" w:type="dxa"/>
            <w:tcBorders>
              <w:top w:val="nil"/>
              <w:left w:val="nil"/>
              <w:bottom w:val="single" w:color="auto" w:sz="4" w:space="0"/>
              <w:right w:val="single" w:color="auto" w:sz="4" w:space="0"/>
            </w:tcBorders>
            <w:shd w:val="clear" w:color="auto" w:fill="auto"/>
            <w:noWrap/>
            <w:vAlign w:val="center"/>
          </w:tcPr>
          <w:p w14:paraId="656741C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115.258491</w:t>
            </w:r>
          </w:p>
        </w:tc>
        <w:tc>
          <w:tcPr>
            <w:tcW w:w="1418" w:type="dxa"/>
            <w:tcBorders>
              <w:top w:val="nil"/>
              <w:left w:val="nil"/>
              <w:bottom w:val="single" w:color="auto" w:sz="4" w:space="0"/>
              <w:right w:val="single" w:color="auto" w:sz="4" w:space="0"/>
            </w:tcBorders>
            <w:shd w:val="clear" w:color="auto" w:fill="auto"/>
            <w:noWrap/>
            <w:vAlign w:val="center"/>
          </w:tcPr>
          <w:p w14:paraId="4553469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22.940106</w:t>
            </w:r>
          </w:p>
        </w:tc>
        <w:tc>
          <w:tcPr>
            <w:tcW w:w="1134" w:type="dxa"/>
            <w:tcBorders>
              <w:top w:val="nil"/>
              <w:left w:val="nil"/>
              <w:bottom w:val="single" w:color="auto" w:sz="4" w:space="0"/>
              <w:right w:val="single" w:color="auto" w:sz="4" w:space="0"/>
            </w:tcBorders>
            <w:shd w:val="clear" w:color="auto" w:fill="auto"/>
            <w:noWrap/>
            <w:vAlign w:val="center"/>
          </w:tcPr>
          <w:p w14:paraId="26C7B36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563B024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30D3925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06E53569">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EB2BEA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9</w:t>
            </w:r>
          </w:p>
        </w:tc>
        <w:tc>
          <w:tcPr>
            <w:tcW w:w="2694" w:type="dxa"/>
            <w:tcBorders>
              <w:top w:val="nil"/>
              <w:left w:val="nil"/>
              <w:bottom w:val="single" w:color="auto" w:sz="4" w:space="0"/>
              <w:right w:val="single" w:color="auto" w:sz="4" w:space="0"/>
            </w:tcBorders>
            <w:shd w:val="clear" w:color="auto" w:fill="auto"/>
            <w:noWrap/>
            <w:vAlign w:val="center"/>
          </w:tcPr>
          <w:p w14:paraId="5A494750">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汕尾海丰县联田</w:t>
            </w:r>
          </w:p>
        </w:tc>
        <w:tc>
          <w:tcPr>
            <w:tcW w:w="1417" w:type="dxa"/>
            <w:tcBorders>
              <w:top w:val="nil"/>
              <w:left w:val="nil"/>
              <w:bottom w:val="single" w:color="auto" w:sz="4" w:space="0"/>
              <w:right w:val="single" w:color="auto" w:sz="4" w:space="0"/>
            </w:tcBorders>
            <w:shd w:val="clear" w:color="auto" w:fill="auto"/>
            <w:noWrap/>
            <w:vAlign w:val="center"/>
          </w:tcPr>
          <w:p w14:paraId="4841B3E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115.262624</w:t>
            </w:r>
          </w:p>
        </w:tc>
        <w:tc>
          <w:tcPr>
            <w:tcW w:w="1418" w:type="dxa"/>
            <w:tcBorders>
              <w:top w:val="nil"/>
              <w:left w:val="nil"/>
              <w:bottom w:val="single" w:color="auto" w:sz="4" w:space="0"/>
              <w:right w:val="single" w:color="auto" w:sz="4" w:space="0"/>
            </w:tcBorders>
            <w:shd w:val="clear" w:color="auto" w:fill="auto"/>
            <w:noWrap/>
            <w:vAlign w:val="center"/>
          </w:tcPr>
          <w:p w14:paraId="1B9ECD8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22.940451</w:t>
            </w:r>
          </w:p>
        </w:tc>
        <w:tc>
          <w:tcPr>
            <w:tcW w:w="1134" w:type="dxa"/>
            <w:tcBorders>
              <w:top w:val="nil"/>
              <w:left w:val="nil"/>
              <w:bottom w:val="single" w:color="auto" w:sz="4" w:space="0"/>
              <w:right w:val="single" w:color="auto" w:sz="4" w:space="0"/>
            </w:tcBorders>
            <w:shd w:val="clear" w:color="auto" w:fill="auto"/>
            <w:noWrap/>
            <w:vAlign w:val="center"/>
          </w:tcPr>
          <w:p w14:paraId="36407C0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2E20DC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153755D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r w14:paraId="1F05F54C">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23EACE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10</w:t>
            </w:r>
          </w:p>
        </w:tc>
        <w:tc>
          <w:tcPr>
            <w:tcW w:w="2694" w:type="dxa"/>
            <w:tcBorders>
              <w:top w:val="nil"/>
              <w:left w:val="nil"/>
              <w:bottom w:val="single" w:color="auto" w:sz="4" w:space="0"/>
              <w:right w:val="single" w:color="auto" w:sz="4" w:space="0"/>
            </w:tcBorders>
            <w:shd w:val="clear" w:color="auto" w:fill="auto"/>
            <w:noWrap/>
            <w:vAlign w:val="center"/>
          </w:tcPr>
          <w:p w14:paraId="597ADBE6">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海丰梅陇银液九径</w:t>
            </w:r>
          </w:p>
        </w:tc>
        <w:tc>
          <w:tcPr>
            <w:tcW w:w="1417" w:type="dxa"/>
            <w:tcBorders>
              <w:top w:val="nil"/>
              <w:left w:val="nil"/>
              <w:bottom w:val="single" w:color="auto" w:sz="4" w:space="0"/>
              <w:right w:val="single" w:color="auto" w:sz="4" w:space="0"/>
            </w:tcBorders>
            <w:shd w:val="clear" w:color="auto" w:fill="auto"/>
            <w:noWrap/>
            <w:vAlign w:val="center"/>
          </w:tcPr>
          <w:p w14:paraId="5952EE2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115.241992</w:t>
            </w:r>
          </w:p>
        </w:tc>
        <w:tc>
          <w:tcPr>
            <w:tcW w:w="1418" w:type="dxa"/>
            <w:tcBorders>
              <w:top w:val="nil"/>
              <w:left w:val="nil"/>
              <w:bottom w:val="single" w:color="auto" w:sz="4" w:space="0"/>
              <w:right w:val="single" w:color="auto" w:sz="4" w:space="0"/>
            </w:tcBorders>
            <w:shd w:val="clear" w:color="auto" w:fill="auto"/>
            <w:noWrap/>
            <w:vAlign w:val="center"/>
          </w:tcPr>
          <w:p w14:paraId="5D883C9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22.948538</w:t>
            </w:r>
          </w:p>
        </w:tc>
        <w:tc>
          <w:tcPr>
            <w:tcW w:w="1134" w:type="dxa"/>
            <w:tcBorders>
              <w:top w:val="nil"/>
              <w:left w:val="nil"/>
              <w:bottom w:val="single" w:color="auto" w:sz="4" w:space="0"/>
              <w:right w:val="single" w:color="auto" w:sz="4" w:space="0"/>
            </w:tcBorders>
            <w:shd w:val="clear" w:color="auto" w:fill="auto"/>
            <w:noWrap/>
            <w:vAlign w:val="center"/>
          </w:tcPr>
          <w:p w14:paraId="4E88690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2332AE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6000F00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r w14:paraId="00C5089A">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2A01E8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w:t>
            </w:r>
          </w:p>
        </w:tc>
        <w:tc>
          <w:tcPr>
            <w:tcW w:w="2694" w:type="dxa"/>
            <w:tcBorders>
              <w:top w:val="nil"/>
              <w:left w:val="nil"/>
              <w:bottom w:val="single" w:color="auto" w:sz="4" w:space="0"/>
              <w:right w:val="single" w:color="auto" w:sz="4" w:space="0"/>
            </w:tcBorders>
            <w:shd w:val="clear" w:color="auto" w:fill="auto"/>
            <w:noWrap/>
            <w:vAlign w:val="center"/>
          </w:tcPr>
          <w:p w14:paraId="13C00A8C">
            <w:pPr>
              <w:widowControl/>
              <w:jc w:val="left"/>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汕尾海丰县万中</w:t>
            </w:r>
          </w:p>
        </w:tc>
        <w:tc>
          <w:tcPr>
            <w:tcW w:w="1417" w:type="dxa"/>
            <w:tcBorders>
              <w:top w:val="nil"/>
              <w:left w:val="nil"/>
              <w:bottom w:val="single" w:color="auto" w:sz="4" w:space="0"/>
              <w:right w:val="single" w:color="auto" w:sz="4" w:space="0"/>
            </w:tcBorders>
            <w:shd w:val="clear" w:color="auto" w:fill="auto"/>
            <w:noWrap/>
            <w:vAlign w:val="center"/>
          </w:tcPr>
          <w:p w14:paraId="496146B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115.230276</w:t>
            </w:r>
          </w:p>
        </w:tc>
        <w:tc>
          <w:tcPr>
            <w:tcW w:w="1418" w:type="dxa"/>
            <w:tcBorders>
              <w:top w:val="nil"/>
              <w:left w:val="nil"/>
              <w:bottom w:val="single" w:color="auto" w:sz="4" w:space="0"/>
              <w:right w:val="single" w:color="auto" w:sz="4" w:space="0"/>
            </w:tcBorders>
            <w:shd w:val="clear" w:color="auto" w:fill="auto"/>
            <w:noWrap/>
            <w:vAlign w:val="center"/>
          </w:tcPr>
          <w:p w14:paraId="33E3D57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22.959155</w:t>
            </w:r>
          </w:p>
        </w:tc>
        <w:tc>
          <w:tcPr>
            <w:tcW w:w="1134" w:type="dxa"/>
            <w:tcBorders>
              <w:top w:val="nil"/>
              <w:left w:val="nil"/>
              <w:bottom w:val="single" w:color="auto" w:sz="4" w:space="0"/>
              <w:right w:val="single" w:color="auto" w:sz="4" w:space="0"/>
            </w:tcBorders>
            <w:shd w:val="clear" w:color="auto" w:fill="auto"/>
            <w:noWrap/>
            <w:vAlign w:val="center"/>
          </w:tcPr>
          <w:p w14:paraId="46812C6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490E35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256DCFA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17A077B5">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1E7ACE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12</w:t>
            </w:r>
          </w:p>
        </w:tc>
        <w:tc>
          <w:tcPr>
            <w:tcW w:w="2694" w:type="dxa"/>
            <w:tcBorders>
              <w:top w:val="nil"/>
              <w:left w:val="nil"/>
              <w:bottom w:val="single" w:color="auto" w:sz="4" w:space="0"/>
              <w:right w:val="single" w:color="auto" w:sz="4" w:space="0"/>
            </w:tcBorders>
            <w:shd w:val="clear" w:color="auto" w:fill="auto"/>
            <w:noWrap/>
            <w:vAlign w:val="center"/>
          </w:tcPr>
          <w:p w14:paraId="4FDFD84E">
            <w:pPr>
              <w:widowControl/>
              <w:jc w:val="left"/>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汕尾海丰县埔仔洞</w:t>
            </w:r>
          </w:p>
        </w:tc>
        <w:tc>
          <w:tcPr>
            <w:tcW w:w="1417" w:type="dxa"/>
            <w:tcBorders>
              <w:top w:val="nil"/>
              <w:left w:val="nil"/>
              <w:bottom w:val="single" w:color="auto" w:sz="4" w:space="0"/>
              <w:right w:val="single" w:color="auto" w:sz="4" w:space="0"/>
            </w:tcBorders>
            <w:shd w:val="clear" w:color="auto" w:fill="auto"/>
            <w:noWrap/>
            <w:vAlign w:val="center"/>
          </w:tcPr>
          <w:p w14:paraId="5979FFE3">
            <w:pPr>
              <w:widowControl/>
              <w:jc w:val="center"/>
              <w:rPr>
                <w:rFonts w:hint="eastAsia"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115.207054</w:t>
            </w:r>
          </w:p>
        </w:tc>
        <w:tc>
          <w:tcPr>
            <w:tcW w:w="1418" w:type="dxa"/>
            <w:tcBorders>
              <w:top w:val="nil"/>
              <w:left w:val="nil"/>
              <w:bottom w:val="single" w:color="auto" w:sz="4" w:space="0"/>
              <w:right w:val="single" w:color="auto" w:sz="4" w:space="0"/>
            </w:tcBorders>
            <w:shd w:val="clear" w:color="auto" w:fill="auto"/>
            <w:noWrap/>
            <w:vAlign w:val="center"/>
          </w:tcPr>
          <w:p w14:paraId="385A9E01">
            <w:pPr>
              <w:widowControl/>
              <w:jc w:val="center"/>
              <w:rPr>
                <w:rFonts w:hint="eastAsia"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22.986147</w:t>
            </w:r>
          </w:p>
        </w:tc>
        <w:tc>
          <w:tcPr>
            <w:tcW w:w="1134" w:type="dxa"/>
            <w:tcBorders>
              <w:top w:val="nil"/>
              <w:left w:val="nil"/>
              <w:bottom w:val="single" w:color="auto" w:sz="4" w:space="0"/>
              <w:right w:val="single" w:color="auto" w:sz="4" w:space="0"/>
            </w:tcBorders>
            <w:shd w:val="clear" w:color="auto" w:fill="auto"/>
            <w:noWrap/>
            <w:vAlign w:val="center"/>
          </w:tcPr>
          <w:p w14:paraId="076C4D7B">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0E5153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4F6CAFC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r w14:paraId="5CC80852">
        <w:tblPrEx>
          <w:tblCellMar>
            <w:top w:w="0" w:type="dxa"/>
            <w:left w:w="108" w:type="dxa"/>
            <w:bottom w:w="0" w:type="dxa"/>
            <w:right w:w="108" w:type="dxa"/>
          </w:tblCellMar>
        </w:tblPrEx>
        <w:trPr>
          <w:trHeight w:val="397"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21D0B6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13</w:t>
            </w:r>
          </w:p>
        </w:tc>
        <w:tc>
          <w:tcPr>
            <w:tcW w:w="2694" w:type="dxa"/>
            <w:tcBorders>
              <w:top w:val="nil"/>
              <w:left w:val="nil"/>
              <w:bottom w:val="single" w:color="auto" w:sz="4" w:space="0"/>
              <w:right w:val="single" w:color="auto" w:sz="4" w:space="0"/>
            </w:tcBorders>
            <w:shd w:val="clear" w:color="auto" w:fill="auto"/>
            <w:noWrap/>
            <w:vAlign w:val="center"/>
          </w:tcPr>
          <w:p w14:paraId="2F4A8405">
            <w:pPr>
              <w:widowControl/>
              <w:jc w:val="left"/>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海丰莲花高速路口</w:t>
            </w:r>
          </w:p>
        </w:tc>
        <w:tc>
          <w:tcPr>
            <w:tcW w:w="1417" w:type="dxa"/>
            <w:tcBorders>
              <w:top w:val="nil"/>
              <w:left w:val="nil"/>
              <w:bottom w:val="single" w:color="auto" w:sz="4" w:space="0"/>
              <w:right w:val="single" w:color="auto" w:sz="4" w:space="0"/>
            </w:tcBorders>
            <w:shd w:val="clear" w:color="auto" w:fill="auto"/>
            <w:noWrap/>
            <w:vAlign w:val="center"/>
          </w:tcPr>
          <w:p w14:paraId="58B7905B">
            <w:pPr>
              <w:widowControl/>
              <w:jc w:val="center"/>
              <w:rPr>
                <w:rFonts w:hint="eastAsia"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115.212709</w:t>
            </w:r>
          </w:p>
        </w:tc>
        <w:tc>
          <w:tcPr>
            <w:tcW w:w="1418" w:type="dxa"/>
            <w:tcBorders>
              <w:top w:val="nil"/>
              <w:left w:val="nil"/>
              <w:bottom w:val="single" w:color="auto" w:sz="4" w:space="0"/>
              <w:right w:val="single" w:color="auto" w:sz="4" w:space="0"/>
            </w:tcBorders>
            <w:shd w:val="clear" w:color="auto" w:fill="auto"/>
            <w:noWrap/>
            <w:vAlign w:val="center"/>
          </w:tcPr>
          <w:p w14:paraId="1529CA0E">
            <w:pPr>
              <w:widowControl/>
              <w:jc w:val="center"/>
              <w:rPr>
                <w:rFonts w:hint="eastAsia"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22.991962</w:t>
            </w:r>
          </w:p>
        </w:tc>
        <w:tc>
          <w:tcPr>
            <w:tcW w:w="1134" w:type="dxa"/>
            <w:tcBorders>
              <w:top w:val="nil"/>
              <w:left w:val="nil"/>
              <w:bottom w:val="single" w:color="auto" w:sz="4" w:space="0"/>
              <w:right w:val="single" w:color="auto" w:sz="4" w:space="0"/>
            </w:tcBorders>
            <w:shd w:val="clear" w:color="auto" w:fill="auto"/>
            <w:noWrap/>
            <w:vAlign w:val="center"/>
          </w:tcPr>
          <w:p w14:paraId="7F392A23">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4F12839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现网基站</w:t>
            </w:r>
          </w:p>
        </w:tc>
        <w:tc>
          <w:tcPr>
            <w:tcW w:w="1134" w:type="dxa"/>
            <w:tcBorders>
              <w:top w:val="nil"/>
              <w:left w:val="nil"/>
              <w:bottom w:val="single" w:color="auto" w:sz="4" w:space="0"/>
              <w:right w:val="single" w:color="auto" w:sz="4" w:space="0"/>
            </w:tcBorders>
            <w:shd w:val="clear" w:color="auto" w:fill="auto"/>
            <w:noWrap/>
            <w:vAlign w:val="center"/>
          </w:tcPr>
          <w:p w14:paraId="1450047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外围覆盖</w:t>
            </w:r>
          </w:p>
        </w:tc>
      </w:tr>
    </w:tbl>
    <w:p w14:paraId="66A4EBD1">
      <w:pPr>
        <w:pStyle w:val="39"/>
        <w:ind w:firstLine="560"/>
      </w:pPr>
    </w:p>
    <w:p w14:paraId="08C1565F">
      <w:pPr>
        <w:pStyle w:val="39"/>
        <w:ind w:firstLine="560"/>
      </w:pPr>
      <w:r>
        <w:rPr>
          <w:rFonts w:hint="eastAsia"/>
        </w:rPr>
        <w:t>（2）光纤接入网建设情况</w:t>
      </w:r>
    </w:p>
    <w:p w14:paraId="1FE8238E">
      <w:pPr>
        <w:pStyle w:val="39"/>
        <w:ind w:firstLine="560"/>
      </w:pPr>
      <w:r>
        <w:rPr>
          <w:rFonts w:hint="eastAsia"/>
        </w:rPr>
        <w:t>当前各运营商已实现天星湖片区各村落光纤接入网覆盖，配套建设了光分纤箱、光交箱等，但因当前人口较少，片区内没有汇聚机房，没有O</w:t>
      </w:r>
      <w:r>
        <w:t>LT</w:t>
      </w:r>
      <w:r>
        <w:rPr>
          <w:rFonts w:hint="eastAsia"/>
        </w:rPr>
        <w:t>，光纤接入网络需上联至海丰县县城或梅陇镇区的汇聚机房O</w:t>
      </w:r>
      <w:r>
        <w:t>LT</w:t>
      </w:r>
      <w:r>
        <w:rPr>
          <w:rFonts w:hint="eastAsia"/>
        </w:rPr>
        <w:t>，宽带用户到运营商机房的O</w:t>
      </w:r>
      <w:r>
        <w:t>LT</w:t>
      </w:r>
      <w:r>
        <w:rPr>
          <w:rFonts w:hint="eastAsia"/>
        </w:rPr>
        <w:t>距离较远，部分宽带用户还需通过P</w:t>
      </w:r>
      <w:r>
        <w:t>ON</w:t>
      </w:r>
      <w:r>
        <w:rPr>
          <w:rFonts w:hint="eastAsia"/>
        </w:rPr>
        <w:t>口增益扩展设备实现覆盖，光纤接入网质量有待提高。</w:t>
      </w:r>
    </w:p>
    <w:p w14:paraId="109E00A4">
      <w:pPr>
        <w:pStyle w:val="39"/>
        <w:ind w:firstLine="560"/>
      </w:pPr>
      <w:r>
        <w:rPr>
          <w:rFonts w:hint="eastAsia"/>
        </w:rPr>
        <w:t>（3）通信传送网或承载网建设情况</w:t>
      </w:r>
    </w:p>
    <w:p w14:paraId="307CC96B">
      <w:pPr>
        <w:pStyle w:val="39"/>
        <w:ind w:firstLine="560"/>
      </w:pPr>
      <w:r>
        <w:rPr>
          <w:rFonts w:hint="eastAsia"/>
        </w:rPr>
        <w:t>因天星湖片区内当前没有汇聚机房，各运营商的城域网、O</w:t>
      </w:r>
      <w:r>
        <w:t>TN</w:t>
      </w:r>
      <w:r>
        <w:rPr>
          <w:rFonts w:hint="eastAsia"/>
        </w:rPr>
        <w:t>、I</w:t>
      </w:r>
      <w:r>
        <w:t>PRAN</w:t>
      </w:r>
      <w:r>
        <w:rPr>
          <w:rFonts w:hint="eastAsia"/>
        </w:rPr>
        <w:t>、O</w:t>
      </w:r>
      <w:r>
        <w:t>LT</w:t>
      </w:r>
      <w:r>
        <w:rPr>
          <w:rFonts w:hint="eastAsia"/>
        </w:rPr>
        <w:t>等均未覆盖到片区，不利于片区内企业专线开通。</w:t>
      </w:r>
    </w:p>
    <w:p w14:paraId="7EDE8916">
      <w:pPr>
        <w:pStyle w:val="5"/>
      </w:pPr>
      <w:bookmarkStart w:id="26" w:name="_Toc188027480"/>
      <w:r>
        <w:rPr>
          <w:rFonts w:hint="eastAsia"/>
        </w:rPr>
        <w:t>存在问题及解决对策</w:t>
      </w:r>
      <w:bookmarkEnd w:id="26"/>
    </w:p>
    <w:p w14:paraId="1BF613B7">
      <w:pPr>
        <w:pStyle w:val="6"/>
      </w:pPr>
      <w:r>
        <w:rPr>
          <w:rFonts w:hint="eastAsia"/>
        </w:rPr>
        <w:t>布局不尽合理</w:t>
      </w:r>
    </w:p>
    <w:p w14:paraId="4A5F108C">
      <w:pPr>
        <w:pStyle w:val="39"/>
        <w:numPr>
          <w:ilvl w:val="0"/>
          <w:numId w:val="8"/>
        </w:numPr>
        <w:ind w:firstLineChars="0"/>
      </w:pPr>
      <w:r>
        <w:rPr>
          <w:rFonts w:hint="eastAsia"/>
        </w:rPr>
        <w:t>部分现状基站有碍美观</w:t>
      </w:r>
    </w:p>
    <w:p w14:paraId="3C0AA61F">
      <w:pPr>
        <w:pStyle w:val="39"/>
        <w:ind w:firstLine="560"/>
      </w:pPr>
      <w:r>
        <w:rPr>
          <w:rFonts w:hint="eastAsia"/>
        </w:rPr>
        <w:t>由于缺乏规划指引及政策制约，天星湖内部分移动网络基站未与城市景观相协调，尤其在核心区等景观要求高的区域，一定程度损害了园区形象。</w:t>
      </w:r>
    </w:p>
    <w:p w14:paraId="7F93D63D">
      <w:pPr>
        <w:pStyle w:val="39"/>
        <w:ind w:firstLine="560"/>
      </w:pPr>
      <w:r>
        <w:rPr>
          <w:rFonts w:hint="eastAsia"/>
        </w:rPr>
        <w:t>解决对策:划分出园区景观要求高的区域，在区域内，对明显影响景观的现状基站进行美化改造，或者予以搬迁，对新建基站均直接建设成景观化基站。</w:t>
      </w:r>
    </w:p>
    <w:p w14:paraId="658EE056">
      <w:pPr>
        <w:pStyle w:val="39"/>
        <w:numPr>
          <w:ilvl w:val="0"/>
          <w:numId w:val="8"/>
        </w:numPr>
        <w:ind w:firstLineChars="0"/>
      </w:pPr>
      <w:r>
        <w:rPr>
          <w:rFonts w:hint="eastAsia"/>
        </w:rPr>
        <w:t>存在信号覆盖弱区及盲区</w:t>
      </w:r>
    </w:p>
    <w:p w14:paraId="35413EF3">
      <w:pPr>
        <w:pStyle w:val="39"/>
        <w:ind w:firstLine="560"/>
      </w:pPr>
      <w:r>
        <w:rPr>
          <w:rFonts w:hint="eastAsia"/>
        </w:rPr>
        <w:t>因片区功能性规划，天星湖片区较多区域由原来的山地、荒地规划为居民用地、商业用地、工业用地等，导致无线环境不断演变，各网络制式频段不同覆盖能力不同，新规划的该类区域存在网络覆盖盲区、弱区域。</w:t>
      </w:r>
    </w:p>
    <w:p w14:paraId="2318C5D9">
      <w:pPr>
        <w:pStyle w:val="39"/>
        <w:ind w:firstLine="560"/>
      </w:pPr>
      <w:r>
        <w:rPr>
          <w:rFonts w:hint="eastAsia"/>
        </w:rPr>
        <w:t>解决对策:结合天星湖片区详细规划和城市设计，优化基站布局，结合移动网络传播能力，确保通信基站规划具有前瞻性，并与城乡建设同步，消除信号覆盖弱区及盲区。</w:t>
      </w:r>
    </w:p>
    <w:p w14:paraId="086AD9F2">
      <w:pPr>
        <w:pStyle w:val="6"/>
      </w:pPr>
      <w:r>
        <w:rPr>
          <w:rFonts w:hint="eastAsia"/>
        </w:rPr>
        <w:t>公众认知误区</w:t>
      </w:r>
    </w:p>
    <w:p w14:paraId="0637D0AA">
      <w:pPr>
        <w:pStyle w:val="39"/>
        <w:ind w:firstLine="560"/>
      </w:pPr>
      <w:r>
        <w:rPr>
          <w:rFonts w:hint="eastAsia"/>
        </w:rPr>
        <w:t>长期以来，公众认知中认为基站发射无线信号，会带来电磁辐射。尽管基站的实测电磁场强度均远低于我国《电磁环境控制限值》(GB8702-2014)的规定-基站辐射电场强度的限值是2伏/米，功率密度限值为40微瓦/平方厘米，目前在国际上，也还没有明确证据显示基站电磁辐射会对人体造成有害影响。然而基站有限的辐射强度究竟是否会对人体形成实质性的危害，科学界尚无定论。无定论必然有争论，于是报刊、杂志、电视、网络等多种媒体便出现了大量的夸大基站电磁辐射危害的不实言论，这些不客观的宣传明显误导了普通民众对基站的认知，社会上几乎一边倒的将基站危害妖魔化,导致大家对基站越来越排斥。</w:t>
      </w:r>
    </w:p>
    <w:p w14:paraId="264CC2A1">
      <w:pPr>
        <w:pStyle w:val="39"/>
        <w:ind w:firstLine="560"/>
      </w:pPr>
      <w:r>
        <w:rPr>
          <w:rFonts w:hint="eastAsia"/>
        </w:rPr>
        <w:t>解决对策:在基站辐射强度上严格把好关的同时，做好环境环保许可工作。加强无线电知识的客观宣传,使民众走出基站认知误区,扭转基站不应有的负面形象，为今后的基站建设工作打好基础。</w:t>
      </w:r>
    </w:p>
    <w:p w14:paraId="12F12A2A">
      <w:pPr>
        <w:pStyle w:val="6"/>
      </w:pPr>
      <w:r>
        <w:rPr>
          <w:rFonts w:hint="eastAsia"/>
        </w:rPr>
        <w:t>用地资源浪费</w:t>
      </w:r>
    </w:p>
    <w:p w14:paraId="48EB5BC8">
      <w:pPr>
        <w:pStyle w:val="39"/>
        <w:ind w:firstLine="560"/>
      </w:pPr>
      <w:r>
        <w:rPr>
          <w:rFonts w:hint="eastAsia"/>
        </w:rPr>
        <w:t>目前，天星湖片区已建成的基站大部分为前期由三大电信运营商各自建设的，因而，不可避免出现在同一区域重复设置基站的情况，如此便占用大量的土地资源和楼面空间资源。随着片区的发展，未来土地和城市空间资源会越来越短缺，而基站规模数量却不断扩大增长，将占用更大的用地资源，从而加重用地资源匮乏问题。</w:t>
      </w:r>
    </w:p>
    <w:p w14:paraId="0B61BD12">
      <w:pPr>
        <w:pStyle w:val="39"/>
        <w:ind w:firstLine="560"/>
      </w:pPr>
      <w:r>
        <w:rPr>
          <w:rFonts w:hint="eastAsia"/>
        </w:rPr>
        <w:t>解决对策:贯彻执行电信基础设施共建共享，由汕尾铁塔公司结合运营商的实际信号覆盖需求统筹建设，避免在同一个区域重复设置基站，节约用地资源。</w:t>
      </w:r>
    </w:p>
    <w:p w14:paraId="16C71D2E">
      <w:pPr>
        <w:pStyle w:val="39"/>
        <w:ind w:firstLine="560"/>
      </w:pPr>
    </w:p>
    <w:p w14:paraId="6138CC52">
      <w:pPr>
        <w:pStyle w:val="2"/>
      </w:pPr>
      <w:bookmarkStart w:id="27" w:name="_Toc188027481"/>
      <w:r>
        <w:rPr>
          <w:rFonts w:hint="eastAsia"/>
        </w:rPr>
        <w:t>规划需求分析</w:t>
      </w:r>
      <w:bookmarkEnd w:id="27"/>
    </w:p>
    <w:p w14:paraId="71C1248D">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28" w:name="_Toc188027482"/>
      <w:bookmarkEnd w:id="28"/>
      <w:bookmarkStart w:id="29" w:name="_Toc187965718"/>
      <w:bookmarkEnd w:id="29"/>
      <w:bookmarkStart w:id="30" w:name="_Toc188025771"/>
      <w:bookmarkEnd w:id="30"/>
      <w:bookmarkStart w:id="31" w:name="_Toc187966387"/>
      <w:bookmarkEnd w:id="31"/>
      <w:bookmarkStart w:id="32" w:name="_Toc187966451"/>
      <w:bookmarkEnd w:id="32"/>
    </w:p>
    <w:p w14:paraId="4AB0F335">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33" w:name="_Toc188027483"/>
      <w:bookmarkEnd w:id="33"/>
      <w:bookmarkStart w:id="34" w:name="_Toc187965719"/>
      <w:bookmarkEnd w:id="34"/>
      <w:bookmarkStart w:id="35" w:name="_Toc188025772"/>
      <w:bookmarkEnd w:id="35"/>
      <w:bookmarkStart w:id="36" w:name="_Toc187966388"/>
      <w:bookmarkEnd w:id="36"/>
      <w:bookmarkStart w:id="37" w:name="_Toc187966452"/>
      <w:bookmarkEnd w:id="37"/>
    </w:p>
    <w:p w14:paraId="1E328797">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38" w:name="_Toc187966389"/>
      <w:bookmarkEnd w:id="38"/>
      <w:bookmarkStart w:id="39" w:name="_Toc187966453"/>
      <w:bookmarkEnd w:id="39"/>
      <w:bookmarkStart w:id="40" w:name="_Toc187965720"/>
      <w:bookmarkEnd w:id="40"/>
      <w:bookmarkStart w:id="41" w:name="_Toc188027484"/>
      <w:bookmarkEnd w:id="41"/>
      <w:bookmarkStart w:id="42" w:name="_Toc188025773"/>
      <w:bookmarkEnd w:id="42"/>
    </w:p>
    <w:p w14:paraId="64C98096">
      <w:pPr>
        <w:pStyle w:val="5"/>
      </w:pPr>
      <w:bookmarkStart w:id="43" w:name="_Toc188027485"/>
      <w:r>
        <w:rPr>
          <w:rFonts w:hint="eastAsia"/>
        </w:rPr>
        <w:t>业务需求分析</w:t>
      </w:r>
      <w:bookmarkEnd w:id="43"/>
    </w:p>
    <w:p w14:paraId="5A178997">
      <w:pPr>
        <w:pStyle w:val="6"/>
      </w:pPr>
      <w:r>
        <w:rPr>
          <w:rFonts w:hint="eastAsia"/>
        </w:rPr>
        <w:t>5G等移动通信业务需求</w:t>
      </w:r>
    </w:p>
    <w:p w14:paraId="19B494BB">
      <w:pPr>
        <w:pStyle w:val="39"/>
        <w:ind w:firstLine="562"/>
        <w:rPr>
          <w:b/>
          <w:bCs/>
        </w:rPr>
      </w:pPr>
      <w:r>
        <w:rPr>
          <w:rFonts w:hint="eastAsia"/>
          <w:b/>
          <w:bCs/>
        </w:rPr>
        <w:t>（1）移动通信用户预测</w:t>
      </w:r>
    </w:p>
    <w:p w14:paraId="0713AC45">
      <w:pPr>
        <w:pStyle w:val="39"/>
        <w:ind w:firstLine="560"/>
      </w:pPr>
      <w:r>
        <w:rPr>
          <w:rFonts w:hint="eastAsia"/>
        </w:rPr>
        <w:t>根据汕尾市2</w:t>
      </w:r>
      <w:r>
        <w:t>023</w:t>
      </w:r>
      <w:r>
        <w:rPr>
          <w:rFonts w:hint="eastAsia"/>
        </w:rPr>
        <w:t>年统计年鉴，汕尾市2</w:t>
      </w:r>
      <w:r>
        <w:t>022</w:t>
      </w:r>
      <w:r>
        <w:rPr>
          <w:rFonts w:hint="eastAsia"/>
        </w:rPr>
        <w:t>年末</w:t>
      </w:r>
      <w:r>
        <w:rPr>
          <w:rFonts w:hint="eastAsia"/>
          <w:lang w:val="en-US" w:eastAsia="zh-CN"/>
        </w:rPr>
        <w:t>常住</w:t>
      </w:r>
      <w:r>
        <w:rPr>
          <w:rFonts w:hint="eastAsia"/>
        </w:rPr>
        <w:t>人口</w:t>
      </w:r>
      <w:r>
        <w:t>268.26</w:t>
      </w:r>
      <w:r>
        <w:rPr>
          <w:rFonts w:hint="eastAsia"/>
        </w:rPr>
        <w:t>万人，移动通信用户达到</w:t>
      </w:r>
      <w:r>
        <w:t>261.7</w:t>
      </w:r>
      <w:r>
        <w:rPr>
          <w:rFonts w:hint="eastAsia"/>
        </w:rPr>
        <w:t>万，移动电话渗透率达</w:t>
      </w:r>
      <w:r>
        <w:t>97.55%</w:t>
      </w:r>
      <w:r>
        <w:rPr>
          <w:rFonts w:hint="eastAsia"/>
        </w:rPr>
        <w:t>。结合深圳市-汕尾市产业转移合作园（天星湖片区）详细规划及城市设计（调整）》，天星湖片区规划总人口为6.81万人，预计片区内移动电话数将达到6</w:t>
      </w:r>
      <w:r>
        <w:t>.65</w:t>
      </w:r>
      <w:r>
        <w:rPr>
          <w:rFonts w:hint="eastAsia"/>
        </w:rPr>
        <w:t>万户。</w:t>
      </w:r>
    </w:p>
    <w:p w14:paraId="46A0F1B6">
      <w:pPr>
        <w:pStyle w:val="39"/>
        <w:ind w:firstLine="562"/>
        <w:rPr>
          <w:b/>
          <w:bCs/>
        </w:rPr>
      </w:pPr>
      <w:r>
        <w:rPr>
          <w:rFonts w:hint="eastAsia"/>
          <w:b/>
          <w:bCs/>
        </w:rPr>
        <w:t>（2）移动通信业务场景分析</w:t>
      </w:r>
    </w:p>
    <w:p w14:paraId="1E02003F">
      <w:pPr>
        <w:pStyle w:val="39"/>
        <w:ind w:firstLine="560"/>
      </w:pPr>
      <w:r>
        <w:rPr>
          <w:rFonts w:hint="eastAsia"/>
        </w:rPr>
        <w:t>当前各运营商主要移动通信网络有2</w:t>
      </w:r>
      <w:r>
        <w:t>G</w:t>
      </w:r>
      <w:r>
        <w:rPr>
          <w:rFonts w:hint="eastAsia"/>
        </w:rPr>
        <w:t>、4</w:t>
      </w:r>
      <w:r>
        <w:t>G</w:t>
      </w:r>
      <w:r>
        <w:rPr>
          <w:rFonts w:hint="eastAsia"/>
        </w:rPr>
        <w:t>和5</w:t>
      </w:r>
      <w:r>
        <w:t>G</w:t>
      </w:r>
      <w:r>
        <w:rPr>
          <w:rFonts w:hint="eastAsia"/>
        </w:rPr>
        <w:t>，其中部分运营商2</w:t>
      </w:r>
      <w:r>
        <w:t>G</w:t>
      </w:r>
      <w:r>
        <w:rPr>
          <w:rFonts w:hint="eastAsia"/>
        </w:rPr>
        <w:t>已在退网中，同时移动通信网络建设以5</w:t>
      </w:r>
      <w:r>
        <w:t>G</w:t>
      </w:r>
      <w:r>
        <w:rPr>
          <w:rFonts w:hint="eastAsia"/>
        </w:rPr>
        <w:t>为主，故天星湖片区的移动通信网络覆盖和业务将以5</w:t>
      </w:r>
      <w:r>
        <w:t>G</w:t>
      </w:r>
      <w:r>
        <w:rPr>
          <w:rFonts w:hint="eastAsia"/>
        </w:rPr>
        <w:t>为主。结合5G网络高速率、大容量、低时延高可靠的特点，国际电信联盟（ITU-R）将5G的应用定义为三大场景：增强型移动宽带(eMBB)、超大规模机器类通信（mMTC）、超高可靠与超低时延通信（uRLLC）。在以4K/8K超高清视频、虚拟现实、增强现实、远程医疗、远程教育、外场支援等主要应用为代表的增强型移动宽带场景下，5G将以Gbit/s的带宽能力，满足人们在生活、工作、娱乐、医疗、教育等各方面的多样化业务需求，为用户提供极致业务体验。在以物联网智慧城市、智能家居、智能物流等主要应用为代表的超大规模机器类通信场景下，5G将使得万物互联、万物可感知成为可能。5G将有助于智慧城市的部署给包括照明、安全、能源、公用事业、环境监控和交通运输出行等行业带来新型智慧应用，提升社会治理能力和效率，实现社会治理现代化。5G在物联网方面的应用可以帮助现代产业向更高级的智慧产业升级，与农业、工业、电力能源、交通物流等深度融合，不断提升其信息化、智能化水平。在以车联网、网联无人机、远程控制等主要应用为代表的超高可靠与超低时延通信场景下，5G将助力车辆具备V2X的能力，实现车与人、车与车、车与路侧设施、车与网络等的通信，实现安全、可靠、高效的智能化交通。借助5G技术的无人机巡航可大幅提升在交通、安全防控、突发应急事件处理等方面的能力。</w:t>
      </w:r>
    </w:p>
    <w:p w14:paraId="54063E58">
      <w:pPr>
        <w:pStyle w:val="39"/>
        <w:ind w:firstLine="560"/>
      </w:pPr>
      <w:r>
        <w:rPr>
          <w:rFonts w:hint="eastAsia"/>
        </w:rPr>
        <w:t>在场景应用发展上，随着5G标准的完善、相关产业的成熟，将呈现初期聚焦eMBB业务、未来持续探索mMTC和uRLLC等新兴垂直行业应用的发展轨迹。在此过程中，同一应用场景下的不同使用群体（如无人机的消费级应用和工业级应用）、不同应用系统（如车联网的V2I和V2N）等对5G系统的需求是不同的，不同的应用场景在5G发展的不同时期对网络也有不同的要求，需求的多样性使得单一维度的分类不再适应规划的需求。因此，5G网络规划建设应充分考虑匹配业务需求因素，力争技术先进、经济高效。</w:t>
      </w:r>
    </w:p>
    <w:p w14:paraId="6065A685">
      <w:pPr>
        <w:pStyle w:val="6"/>
      </w:pPr>
      <w:r>
        <w:rPr>
          <w:rFonts w:hint="eastAsia"/>
        </w:rPr>
        <w:t>宽带业务</w:t>
      </w:r>
    </w:p>
    <w:p w14:paraId="0A5F5279">
      <w:pPr>
        <w:pStyle w:val="39"/>
        <w:ind w:firstLine="560"/>
      </w:pPr>
      <w:r>
        <w:rPr>
          <w:rFonts w:hint="eastAsia"/>
        </w:rPr>
        <w:t>根据汕尾市第七次全国人口普查公报，汕尾市2</w:t>
      </w:r>
      <w:r>
        <w:t>020</w:t>
      </w:r>
      <w:r>
        <w:rPr>
          <w:rFonts w:hint="eastAsia"/>
        </w:rPr>
        <w:t>年末平均每个家庭户的人口为3.41人，结合深圳市-汕尾市产业转移合作园（天星湖片区）详细规划及城市设计（调整）》，天星湖片区规划总人口为6.81万人，预计户数为2万户，根据汕尾市2023年统计年鉴，互联网宽带用户数渗透率为1</w:t>
      </w:r>
      <w:r>
        <w:t>00.32%</w:t>
      </w:r>
      <w:r>
        <w:rPr>
          <w:rFonts w:hint="eastAsia"/>
        </w:rPr>
        <w:t>，预计片区内互联网宽带用户数为2万户。</w:t>
      </w:r>
    </w:p>
    <w:p w14:paraId="190D7870">
      <w:pPr>
        <w:pStyle w:val="6"/>
      </w:pPr>
      <w:r>
        <w:rPr>
          <w:rFonts w:hint="eastAsia"/>
        </w:rPr>
        <w:t>专线业务</w:t>
      </w:r>
    </w:p>
    <w:p w14:paraId="6AFFD792">
      <w:pPr>
        <w:pStyle w:val="39"/>
        <w:ind w:firstLine="560"/>
      </w:pPr>
      <w:r>
        <w:rPr>
          <w:rFonts w:hint="eastAsia"/>
        </w:rPr>
        <w:t>专线业务（Private Line Service）指依托国内骨干网及宽带城域网资源，提供的专用链路接入方式，以满足企业集团客户接入Internet地市互联网络、开展各种应用的需求，是一种面向企业、政府以及其他有较高数据接入/互联要求、较高服务要求的客户的网络连接服务。</w:t>
      </w:r>
    </w:p>
    <w:p w14:paraId="403336E0">
      <w:pPr>
        <w:pStyle w:val="39"/>
        <w:ind w:firstLine="560"/>
      </w:pPr>
      <w:r>
        <w:rPr>
          <w:rFonts w:hint="eastAsia"/>
        </w:rPr>
        <w:t>专线业务的应用可分为专线接入和专线互联。</w:t>
      </w:r>
    </w:p>
    <w:p w14:paraId="5D551244">
      <w:pPr>
        <w:pStyle w:val="39"/>
        <w:ind w:firstLine="560"/>
      </w:pPr>
      <w:r>
        <w:rPr>
          <w:rFonts w:hint="eastAsia"/>
        </w:rPr>
        <w:t>（1）专线接入：一般指租用一定速率的端口或带宽，要求带宽扩展灵活方便、一定的QoS能力，以及1个或多个固定IP地址。接入方式较多，包括光纤接入、LAN接入，以及根据运营商网络部署情况提供的SDH/MSTP/PTN专线接入等。</w:t>
      </w:r>
    </w:p>
    <w:p w14:paraId="1FDA075A">
      <w:pPr>
        <w:pStyle w:val="39"/>
        <w:ind w:firstLine="560"/>
      </w:pPr>
      <w:r>
        <w:rPr>
          <w:rFonts w:hint="eastAsia"/>
        </w:rPr>
        <w:t>（2）专线互联：用于企业或行业集团用户各分支机构互联，组建内部信息传送网络。要求很高的安全性、很强的QoS能力、带宽扩展灵活方便、管理维护成本低。一般采用VPN专线进行互联，运营商网络部署一般用</w:t>
      </w:r>
      <w:r>
        <w:t>OTN</w:t>
      </w:r>
      <w:r>
        <w:rPr>
          <w:rFonts w:hint="eastAsia"/>
        </w:rPr>
        <w:t>、</w:t>
      </w:r>
      <w:r>
        <w:t>PTN</w:t>
      </w:r>
      <w:r>
        <w:rPr>
          <w:rFonts w:hint="eastAsia"/>
        </w:rPr>
        <w:t>、S</w:t>
      </w:r>
      <w:r>
        <w:t>PN</w:t>
      </w:r>
      <w:r>
        <w:rPr>
          <w:rFonts w:hint="eastAsia"/>
        </w:rPr>
        <w:t>、</w:t>
      </w:r>
      <w:r>
        <w:t>IPRAN</w:t>
      </w:r>
      <w:r>
        <w:rPr>
          <w:rFonts w:hint="eastAsia"/>
        </w:rPr>
        <w:t>、P</w:t>
      </w:r>
      <w:r>
        <w:t>ON</w:t>
      </w:r>
      <w:r>
        <w:rPr>
          <w:rFonts w:hint="eastAsia"/>
        </w:rPr>
        <w:t>等。</w:t>
      </w:r>
    </w:p>
    <w:p w14:paraId="2E63C90C">
      <w:pPr>
        <w:pStyle w:val="39"/>
        <w:ind w:firstLine="560"/>
      </w:pPr>
      <w:r>
        <w:rPr>
          <w:rFonts w:hint="eastAsia"/>
        </w:rPr>
        <w:t>专线业务数量和带宽将根据片区内入驻企业、政府的需求确定。</w:t>
      </w:r>
    </w:p>
    <w:p w14:paraId="4067F0A8">
      <w:pPr>
        <w:pStyle w:val="5"/>
      </w:pPr>
      <w:bookmarkStart w:id="44" w:name="_Toc188027486"/>
      <w:r>
        <w:rPr>
          <w:rFonts w:hint="eastAsia"/>
        </w:rPr>
        <w:t>共建共享需求分析</w:t>
      </w:r>
      <w:bookmarkEnd w:id="44"/>
    </w:p>
    <w:p w14:paraId="7A745D44">
      <w:pPr>
        <w:pStyle w:val="39"/>
        <w:ind w:firstLine="560"/>
      </w:pPr>
      <w:r>
        <w:rPr>
          <w:rFonts w:hint="eastAsia"/>
        </w:rPr>
        <w:t>共建共享是指多个电信运营商共同建设和使用通信基础设施，以实现资源的合理利用和成本的有效控制。共建共享可避免重复建设和资源浪费；运营商可以共同分担基站建设和维护成本，降低单个运营商的负担；可以促进运营商之间的合作与协调，提高通信基础设施的建设和维护的效率。</w:t>
      </w:r>
    </w:p>
    <w:p w14:paraId="19CE3D58">
      <w:pPr>
        <w:pStyle w:val="39"/>
        <w:ind w:firstLine="560"/>
      </w:pPr>
      <w:r>
        <w:rPr>
          <w:rFonts w:hint="eastAsia"/>
        </w:rPr>
        <w:t>当前天星湖片区各运营商基站、管道和汇聚机房等通信基础设施较少，在规划区内将需规划建设较多基站、管道和汇聚机房等通信基础设施，因此非常有必要加强通信基础设施资源共建共享、集约建设。</w:t>
      </w:r>
    </w:p>
    <w:p w14:paraId="1F762DCF">
      <w:pPr>
        <w:pStyle w:val="2"/>
      </w:pPr>
      <w:bookmarkStart w:id="45" w:name="_Toc188027487"/>
      <w:r>
        <w:rPr>
          <w:rFonts w:hint="eastAsia"/>
        </w:rPr>
        <w:t>通信基础设施规划</w:t>
      </w:r>
      <w:bookmarkEnd w:id="45"/>
    </w:p>
    <w:p w14:paraId="6D3704F1">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46" w:name="_Toc188025777"/>
      <w:bookmarkEnd w:id="46"/>
      <w:bookmarkStart w:id="47" w:name="_Toc187965724"/>
      <w:bookmarkEnd w:id="47"/>
      <w:bookmarkStart w:id="48" w:name="_Toc187966393"/>
      <w:bookmarkEnd w:id="48"/>
      <w:bookmarkStart w:id="49" w:name="_Toc187966457"/>
      <w:bookmarkEnd w:id="49"/>
      <w:bookmarkStart w:id="50" w:name="_Toc188027488"/>
      <w:bookmarkEnd w:id="50"/>
    </w:p>
    <w:p w14:paraId="1BACE1F5">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51" w:name="_Toc187966458"/>
      <w:bookmarkEnd w:id="51"/>
      <w:bookmarkStart w:id="52" w:name="_Toc187965725"/>
      <w:bookmarkEnd w:id="52"/>
      <w:bookmarkStart w:id="53" w:name="_Toc188025778"/>
      <w:bookmarkEnd w:id="53"/>
      <w:bookmarkStart w:id="54" w:name="_Toc188027489"/>
      <w:bookmarkEnd w:id="54"/>
      <w:bookmarkStart w:id="55" w:name="_Toc187966394"/>
      <w:bookmarkEnd w:id="55"/>
    </w:p>
    <w:p w14:paraId="0D46AFC2">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56" w:name="_Toc188025779"/>
      <w:bookmarkEnd w:id="56"/>
      <w:bookmarkStart w:id="57" w:name="_Toc187966459"/>
      <w:bookmarkEnd w:id="57"/>
      <w:bookmarkStart w:id="58" w:name="_Toc187966395"/>
      <w:bookmarkEnd w:id="58"/>
      <w:bookmarkStart w:id="59" w:name="_Toc188027490"/>
      <w:bookmarkEnd w:id="59"/>
      <w:bookmarkStart w:id="60" w:name="_Toc187965726"/>
      <w:bookmarkEnd w:id="60"/>
    </w:p>
    <w:p w14:paraId="573D721B">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61" w:name="_Toc187965727"/>
      <w:bookmarkEnd w:id="61"/>
      <w:bookmarkStart w:id="62" w:name="_Toc187966396"/>
      <w:bookmarkEnd w:id="62"/>
      <w:bookmarkStart w:id="63" w:name="_Toc187966460"/>
      <w:bookmarkEnd w:id="63"/>
      <w:bookmarkStart w:id="64" w:name="_Toc188027491"/>
      <w:bookmarkEnd w:id="64"/>
      <w:bookmarkStart w:id="65" w:name="_Toc188025780"/>
      <w:bookmarkEnd w:id="65"/>
    </w:p>
    <w:p w14:paraId="3FC75817">
      <w:pPr>
        <w:pStyle w:val="5"/>
      </w:pPr>
      <w:bookmarkStart w:id="66" w:name="_Toc188027492"/>
      <w:r>
        <w:rPr>
          <w:rFonts w:hint="eastAsia"/>
        </w:rPr>
        <w:t>规划思路</w:t>
      </w:r>
      <w:bookmarkEnd w:id="66"/>
    </w:p>
    <w:p w14:paraId="0A08450D">
      <w:pPr>
        <w:pStyle w:val="39"/>
        <w:ind w:firstLine="560"/>
      </w:pPr>
      <w:r>
        <w:rPr>
          <w:rFonts w:hint="eastAsia"/>
        </w:rPr>
        <w:t>本次通信规划将在《深圳市-汕尾市产业转移合作园（天星湖片区）详细规划及城市设计（调整）》基础上，结合天星湖片区现有通信基础设施基情况，针对移动通信网络、光纤接入网的覆盖能力，分析不同场景下移动通信基站站址密度、服务半径、服务容量、光路衰耗等建设标准或要求，并以此为基础，预测未来需要的基站规模、宽带接入网端口规模。</w:t>
      </w:r>
    </w:p>
    <w:p w14:paraId="7A4DC2A9">
      <w:pPr>
        <w:pStyle w:val="39"/>
        <w:numPr>
          <w:ilvl w:val="1"/>
          <w:numId w:val="9"/>
        </w:numPr>
        <w:ind w:left="0" w:firstLine="560"/>
      </w:pPr>
      <w:r>
        <w:rPr>
          <w:rFonts w:hint="eastAsia"/>
        </w:rPr>
        <w:t>结合天星湖片区总体规划；从城乡空间布局、用地性质类型这两个维度进行场景划分。</w:t>
      </w:r>
    </w:p>
    <w:p w14:paraId="1431BD6A">
      <w:pPr>
        <w:pStyle w:val="39"/>
        <w:numPr>
          <w:ilvl w:val="1"/>
          <w:numId w:val="9"/>
        </w:numPr>
        <w:ind w:left="0" w:firstLine="560"/>
      </w:pPr>
      <w:r>
        <w:rPr>
          <w:rFonts w:hint="eastAsia"/>
        </w:rPr>
        <w:t>根据相关建设标准和要求，研究汕尾市范围各场景的基站站址密度及服务半径。</w:t>
      </w:r>
    </w:p>
    <w:p w14:paraId="533C5443">
      <w:pPr>
        <w:pStyle w:val="39"/>
        <w:numPr>
          <w:ilvl w:val="1"/>
          <w:numId w:val="9"/>
        </w:numPr>
        <w:ind w:left="0" w:firstLine="560"/>
      </w:pPr>
      <w:r>
        <w:rPr>
          <w:rFonts w:hint="eastAsia"/>
        </w:rPr>
        <w:t>根据各运营公司提供建设标准及要求，综合整理归纳后，初步确定汕尾市各场景的基站站址密度及服务半径。</w:t>
      </w:r>
    </w:p>
    <w:p w14:paraId="4C79767D">
      <w:pPr>
        <w:pStyle w:val="39"/>
        <w:numPr>
          <w:ilvl w:val="1"/>
          <w:numId w:val="9"/>
        </w:numPr>
        <w:ind w:left="0" w:firstLine="560"/>
      </w:pPr>
      <w:r>
        <w:rPr>
          <w:rFonts w:hint="eastAsia"/>
        </w:rPr>
        <w:t>借鉴其他发达城市(如深圳市、揭阳市、重庆市)等实践经验，对比研究汕尾市各场景的基站站址密度及服务半径。</w:t>
      </w:r>
    </w:p>
    <w:p w14:paraId="6AC385AE">
      <w:pPr>
        <w:pStyle w:val="39"/>
        <w:numPr>
          <w:ilvl w:val="1"/>
          <w:numId w:val="9"/>
        </w:numPr>
        <w:ind w:left="0" w:firstLine="560"/>
      </w:pPr>
      <w:r>
        <w:rPr>
          <w:rFonts w:hint="eastAsia"/>
        </w:rPr>
        <w:t>以《深圳市-汕尾市产业转移合作园（天星湖片区）详细规划及城市设计（调整）》等为基础，按照不同场景、各类用地性质、人口密度等不同建设标准和要求，根据研究确定的各场景的基站服务半径进行基站布局。</w:t>
      </w:r>
    </w:p>
    <w:p w14:paraId="69EC501B">
      <w:pPr>
        <w:pStyle w:val="39"/>
        <w:numPr>
          <w:ilvl w:val="1"/>
          <w:numId w:val="9"/>
        </w:numPr>
        <w:ind w:left="0" w:firstLine="560"/>
      </w:pPr>
      <w:r>
        <w:rPr>
          <w:rFonts w:hint="eastAsia"/>
        </w:rPr>
        <w:t>根据5G应用场景、光纤接入场景，对重点区域、需求区域，根据研究确定的各场景的基站服务半径进行基站布局、光交箱布局。</w:t>
      </w:r>
    </w:p>
    <w:p w14:paraId="039258F5">
      <w:pPr>
        <w:pStyle w:val="39"/>
        <w:ind w:firstLine="560"/>
      </w:pPr>
      <w:r>
        <w:rPr>
          <w:rFonts w:hint="eastAsia"/>
        </w:rPr>
        <w:t>在对比分析各运营公司的技术规范以及国内城市的基站规划后,得出各类场景的基站站址密度及基站服务半径；根据各场景的基站站址密度,结合城市规划的用地面积和用地类型，即可预测出未来规划范围内的基站站址需求数量。</w:t>
      </w:r>
    </w:p>
    <w:p w14:paraId="3DE02FE5">
      <w:pPr>
        <w:pStyle w:val="5"/>
      </w:pPr>
      <w:bookmarkStart w:id="67" w:name="_Toc188027493"/>
      <w:r>
        <w:rPr>
          <w:rFonts w:hint="eastAsia"/>
        </w:rPr>
        <w:t>规划基础</w:t>
      </w:r>
      <w:bookmarkEnd w:id="67"/>
    </w:p>
    <w:p w14:paraId="7A0352D9">
      <w:pPr>
        <w:pStyle w:val="39"/>
        <w:ind w:firstLine="560"/>
      </w:pPr>
      <w:r>
        <w:rPr>
          <w:rFonts w:hint="eastAsia"/>
        </w:rPr>
        <w:t>本次通信规划</w:t>
      </w:r>
      <w:r>
        <w:t>的基础</w:t>
      </w:r>
      <w:r>
        <w:rPr>
          <w:rFonts w:hint="eastAsia"/>
        </w:rPr>
        <w:t>主要</w:t>
      </w:r>
      <w:r>
        <w:t>有：</w:t>
      </w:r>
    </w:p>
    <w:p w14:paraId="5FC88C99">
      <w:pPr>
        <w:pStyle w:val="39"/>
        <w:ind w:firstLine="560"/>
      </w:pPr>
      <w:r>
        <w:rPr>
          <w:rFonts w:hint="eastAsia"/>
        </w:rPr>
        <w:t>（1）《深圳市-汕尾市产业转移合作园（天星湖片区）详细规划及城市设计（调整）》；</w:t>
      </w:r>
    </w:p>
    <w:p w14:paraId="2AA31C35">
      <w:pPr>
        <w:pStyle w:val="39"/>
        <w:ind w:firstLine="560"/>
      </w:pPr>
      <w:r>
        <w:rPr>
          <w:rFonts w:hint="eastAsia"/>
        </w:rPr>
        <w:t>（2）汕尾市近期、远期的发展规划；</w:t>
      </w:r>
    </w:p>
    <w:p w14:paraId="4F947B60">
      <w:pPr>
        <w:pStyle w:val="39"/>
        <w:ind w:firstLine="560"/>
      </w:pPr>
      <w:r>
        <w:rPr>
          <w:rFonts w:hint="eastAsia"/>
        </w:rPr>
        <w:t>（</w:t>
      </w:r>
      <w:r>
        <w:t>3</w:t>
      </w:r>
      <w:r>
        <w:rPr>
          <w:rFonts w:hint="eastAsia"/>
        </w:rPr>
        <w:t>）汕尾各通信运营商企业网络建设需求；</w:t>
      </w:r>
    </w:p>
    <w:p w14:paraId="5C9A3F87">
      <w:pPr>
        <w:pStyle w:val="39"/>
        <w:ind w:firstLine="560"/>
      </w:pPr>
      <w:r>
        <w:rPr>
          <w:rFonts w:hint="eastAsia"/>
        </w:rPr>
        <w:t>（</w:t>
      </w:r>
      <w:r>
        <w:t>4</w:t>
      </w:r>
      <w:r>
        <w:rPr>
          <w:rFonts w:hint="eastAsia"/>
        </w:rPr>
        <w:t>）汕尾</w:t>
      </w:r>
      <w:r>
        <w:t>铁塔现有</w:t>
      </w:r>
      <w:r>
        <w:rPr>
          <w:rFonts w:hint="eastAsia"/>
        </w:rPr>
        <w:t>移动</w:t>
      </w:r>
      <w:r>
        <w:t>通信</w:t>
      </w:r>
      <w:r>
        <w:rPr>
          <w:rFonts w:hint="eastAsia"/>
        </w:rPr>
        <w:t>基站</w:t>
      </w:r>
      <w:r>
        <w:t>站址。</w:t>
      </w:r>
    </w:p>
    <w:p w14:paraId="3CA48772">
      <w:pPr>
        <w:pStyle w:val="39"/>
        <w:ind w:firstLine="560"/>
      </w:pPr>
    </w:p>
    <w:p w14:paraId="0EA9CD7F">
      <w:pPr>
        <w:pStyle w:val="5"/>
      </w:pPr>
      <w:bookmarkStart w:id="68" w:name="_Toc188027494"/>
      <w:r>
        <w:rPr>
          <w:rFonts w:hint="eastAsia"/>
        </w:rPr>
        <w:t>规划原则</w:t>
      </w:r>
      <w:bookmarkEnd w:id="68"/>
    </w:p>
    <w:p w14:paraId="233D4446">
      <w:pPr>
        <w:pStyle w:val="39"/>
        <w:ind w:firstLine="560"/>
      </w:pPr>
      <w:r>
        <w:rPr>
          <w:rFonts w:hint="eastAsia"/>
        </w:rPr>
        <w:t>满足园区规划对网络发展的需求。充分利用现有的站址资源，以存量站址为基础，根据城市发展和目前网络覆盖能力，针对不同覆盖场景进行站址规划布局，宏微结合，全网融合综合解决方案。后续根据通信技术发展和网络演进情况，完善园区的站址规划。</w:t>
      </w:r>
    </w:p>
    <w:p w14:paraId="007101AF">
      <w:pPr>
        <w:pStyle w:val="39"/>
        <w:ind w:firstLine="560"/>
      </w:pPr>
      <w:r>
        <w:rPr>
          <w:rFonts w:hint="eastAsia"/>
        </w:rPr>
        <w:t>紧跟技术发展持续跟踪通信技术发展对站址要求的变化，积极跟进站址建设相关技术的发展，不断完善网络站址规划。同一站址同时存在多张不同制式网络的状况将长期存在。站址规划必须考虑协同同站址的多张网络的需求（同一和/或不同运营商）。</w:t>
      </w:r>
    </w:p>
    <w:p w14:paraId="302C0B5F">
      <w:pPr>
        <w:pStyle w:val="6"/>
      </w:pPr>
      <w:bookmarkStart w:id="69" w:name="_Toc42019864"/>
      <w:r>
        <w:rPr>
          <w:rFonts w:hint="eastAsia"/>
        </w:rPr>
        <w:t>宏站</w:t>
      </w:r>
      <w:bookmarkEnd w:id="69"/>
    </w:p>
    <w:p w14:paraId="24BD1773">
      <w:pPr>
        <w:pStyle w:val="39"/>
        <w:ind w:firstLine="560"/>
      </w:pPr>
      <w:r>
        <w:rPr>
          <w:rFonts w:hint="eastAsia"/>
        </w:rPr>
        <w:t>宏站规划根据站间距模型规划站址，优先利用现网站址资源实现覆盖，再根据业务模型下的站址间距进行补点，宏站一般占地面积在</w:t>
      </w:r>
      <w:r>
        <w:t>5</w:t>
      </w:r>
      <w:r>
        <w:rPr>
          <w:rFonts w:ascii="宋体" w:hAnsi="宋体" w:cs="宋体"/>
          <w:color w:val="000000"/>
          <w:kern w:val="0"/>
        </w:rPr>
        <w:t>~</w:t>
      </w:r>
      <w:r>
        <w:t>16</w:t>
      </w:r>
      <w:r>
        <w:rPr>
          <w:rFonts w:hint="eastAsia"/>
        </w:rPr>
        <w:t>平方米之间。具体的站址规划，按以下优先级从高到低选择：</w:t>
      </w:r>
      <w:r>
        <w:rPr>
          <w:rFonts w:hint="eastAsia"/>
          <w:b/>
          <w:bCs/>
        </w:rPr>
        <w:t>利旧改造站址&gt;共享公共社会资源新建站址&gt;无共享公共社会资源新建站址</w:t>
      </w:r>
      <w:r>
        <w:rPr>
          <w:rFonts w:hint="eastAsia"/>
        </w:rPr>
        <w:t>。</w:t>
      </w:r>
    </w:p>
    <w:p w14:paraId="05396BC0">
      <w:pPr>
        <w:pStyle w:val="6"/>
      </w:pPr>
      <w:bookmarkStart w:id="70" w:name="_Toc42019866"/>
      <w:r>
        <w:rPr>
          <w:rFonts w:hint="eastAsia"/>
        </w:rPr>
        <w:t>室分</w:t>
      </w:r>
      <w:bookmarkEnd w:id="70"/>
    </w:p>
    <w:p w14:paraId="06E7577B">
      <w:pPr>
        <w:pStyle w:val="39"/>
        <w:ind w:firstLine="560"/>
      </w:pPr>
      <w:r>
        <w:rPr>
          <w:rFonts w:hint="eastAsia"/>
        </w:rPr>
        <w:t>优先</w:t>
      </w:r>
      <w:r>
        <w:t>考虑</w:t>
      </w:r>
      <w:r>
        <w:rPr>
          <w:rFonts w:hint="eastAsia"/>
        </w:rPr>
        <w:t>各运营商都有建设需求、业务量较大的重要场所市政规划及管理部门要给予政策支持，各运营商要成立规划协调机构统一进场及规划，通过共用一套分布系统的方式实现共建共享。根据不同的用户业务行为和系统的技术特性来确定室内分布系统的建设方式，机房面积、天线安装位置等；要考虑各系统共用分布系统或共存情况下的干扰问题，保证用户的业务体验。室分</w:t>
      </w:r>
      <w:r>
        <w:t>站址</w:t>
      </w:r>
      <w:r>
        <w:rPr>
          <w:rFonts w:hint="eastAsia"/>
        </w:rPr>
        <w:t>属于</w:t>
      </w:r>
      <w:r>
        <w:t>建筑物附设通信设施，</w:t>
      </w:r>
      <w:r>
        <w:rPr>
          <w:rFonts w:hint="eastAsia"/>
        </w:rPr>
        <w:t>不需要</w:t>
      </w:r>
      <w:r>
        <w:t>独立占地。</w:t>
      </w:r>
    </w:p>
    <w:p w14:paraId="7413BC08">
      <w:pPr>
        <w:pStyle w:val="6"/>
      </w:pPr>
      <w:bookmarkStart w:id="71" w:name="_Toc42019868"/>
      <w:r>
        <w:rPr>
          <w:rFonts w:hint="eastAsia"/>
        </w:rPr>
        <w:t>机房规划</w:t>
      </w:r>
      <w:r>
        <w:t>原则</w:t>
      </w:r>
      <w:bookmarkEnd w:id="71"/>
    </w:p>
    <w:p w14:paraId="34218182">
      <w:pPr>
        <w:pStyle w:val="39"/>
        <w:ind w:firstLine="560"/>
        <w:rPr>
          <w:rFonts w:hint="eastAsia" w:ascii="宋体" w:hAnsi="宋体"/>
        </w:rPr>
      </w:pPr>
      <w:r>
        <w:rPr>
          <w:rFonts w:hint="eastAsia" w:ascii="宋体" w:hAnsi="宋体"/>
        </w:rPr>
        <w:t>汇聚机房规划应面向未来网络架构演进和业务发展，综合考虑电信企业需求、综合解决方案统一接入需要和拓展业务需求，集中组网、就近接入。按照优先共享各类社会机房原则。优先利用已有机房资源，统筹规划，充分认证、合理布局，确保建设目标与业务开展一致。</w:t>
      </w:r>
      <w:r>
        <w:rPr>
          <w:rFonts w:ascii="宋体" w:hAnsi="宋体"/>
        </w:rPr>
        <w:t>应</w:t>
      </w:r>
      <w:r>
        <w:rPr>
          <w:rFonts w:hint="eastAsia" w:ascii="宋体" w:hAnsi="宋体"/>
        </w:rPr>
        <w:t>能适应</w:t>
      </w:r>
      <w:r>
        <w:rPr>
          <w:rFonts w:ascii="宋体" w:hAnsi="宋体"/>
        </w:rPr>
        <w:t>各个时期地市建设的发展计划，并考虑一定时期的云业务需求，</w:t>
      </w:r>
      <w:r>
        <w:rPr>
          <w:rFonts w:hint="eastAsia" w:ascii="宋体" w:hAnsi="宋体"/>
        </w:rPr>
        <w:t>同时</w:t>
      </w:r>
      <w:r>
        <w:rPr>
          <w:rFonts w:ascii="宋体" w:hAnsi="宋体"/>
        </w:rPr>
        <w:t>业务负荷相对均衡，避免</w:t>
      </w:r>
      <w:r>
        <w:rPr>
          <w:rFonts w:hint="eastAsia" w:ascii="宋体" w:hAnsi="宋体"/>
        </w:rPr>
        <w:t>频繁</w:t>
      </w:r>
      <w:r>
        <w:rPr>
          <w:rFonts w:ascii="宋体" w:hAnsi="宋体"/>
        </w:rPr>
        <w:t>进行重点区域的优化</w:t>
      </w:r>
      <w:r>
        <w:rPr>
          <w:rFonts w:hint="eastAsia" w:ascii="宋体" w:hAnsi="宋体"/>
        </w:rPr>
        <w:t>调整</w:t>
      </w:r>
      <w:r>
        <w:rPr>
          <w:rFonts w:ascii="宋体" w:hAnsi="宋体"/>
        </w:rPr>
        <w:t>。</w:t>
      </w:r>
    </w:p>
    <w:p w14:paraId="047222C9">
      <w:pPr>
        <w:pStyle w:val="6"/>
      </w:pPr>
      <w:r>
        <w:rPr>
          <w:rFonts w:hint="eastAsia"/>
        </w:rPr>
        <w:t>管道规划</w:t>
      </w:r>
      <w:r>
        <w:t>原则</w:t>
      </w:r>
    </w:p>
    <w:p w14:paraId="29AD223B">
      <w:pPr>
        <w:pStyle w:val="39"/>
        <w:ind w:firstLine="560"/>
        <w:rPr>
          <w:rFonts w:hint="eastAsia" w:ascii="宋体" w:hAnsi="宋体"/>
        </w:rPr>
      </w:pPr>
      <w:r>
        <w:rPr>
          <w:rFonts w:hint="eastAsia" w:ascii="宋体" w:hAnsi="宋体"/>
        </w:rPr>
        <w:t>由于道路空间资源有限，通信管道必须集中建设、集约使用。将优先疏通管道瓶颈，同时在整合现状资源的基础上，通过沿现状道路扩容（疏通管道瓶颈）、配合道路改造、与新建道路配套建设等途径，推进管道建设，形成通达性强、覆盖面广、全程全网的通信管网。</w:t>
      </w:r>
    </w:p>
    <w:p w14:paraId="72070786">
      <w:pPr>
        <w:pStyle w:val="39"/>
        <w:numPr>
          <w:ilvl w:val="1"/>
          <w:numId w:val="10"/>
        </w:numPr>
        <w:ind w:left="0" w:firstLine="560"/>
        <w:rPr>
          <w:rFonts w:hint="eastAsia" w:ascii="宋体" w:hAnsi="宋体"/>
        </w:rPr>
      </w:pPr>
      <w:r>
        <w:rPr>
          <w:rFonts w:hint="eastAsia" w:ascii="宋体" w:hAnsi="宋体"/>
        </w:rPr>
        <w:t>通信管道的建设应遵循“三统一”原则（统一规划、统一建设、统一管理），统筹多方共享使用需求，并应留有发展空间。</w:t>
      </w:r>
    </w:p>
    <w:p w14:paraId="12B89492">
      <w:pPr>
        <w:pStyle w:val="39"/>
        <w:numPr>
          <w:ilvl w:val="1"/>
          <w:numId w:val="10"/>
        </w:numPr>
        <w:ind w:left="0" w:firstLine="560"/>
        <w:rPr>
          <w:rFonts w:hint="eastAsia" w:ascii="宋体" w:hAnsi="宋体"/>
        </w:rPr>
      </w:pPr>
      <w:r>
        <w:rPr>
          <w:rFonts w:hint="eastAsia" w:ascii="宋体" w:hAnsi="宋体"/>
        </w:rPr>
        <w:t>城市通信管道网规划应以城市用地规划、道路交通规划和通信网络规划为主要依据，与城市地下管线规划相衔接，对通信管道路由和管孔容量提出要求。</w:t>
      </w:r>
    </w:p>
    <w:p w14:paraId="4E28664D">
      <w:pPr>
        <w:pStyle w:val="39"/>
        <w:numPr>
          <w:ilvl w:val="1"/>
          <w:numId w:val="10"/>
        </w:numPr>
        <w:ind w:left="0" w:firstLine="560"/>
        <w:rPr>
          <w:rFonts w:hint="eastAsia" w:ascii="宋体" w:hAnsi="宋体"/>
        </w:rPr>
      </w:pPr>
      <w:r>
        <w:rPr>
          <w:rFonts w:hint="eastAsia" w:ascii="宋体" w:hAnsi="宋体"/>
        </w:rPr>
        <w:t>通信管道规划与建设应纳入城市规划，原则上通信管道与道路同步建设，建设规模应充分考虑规划期需求，避免重复开挖道路。</w:t>
      </w:r>
    </w:p>
    <w:p w14:paraId="7EE979D3">
      <w:pPr>
        <w:pStyle w:val="39"/>
        <w:numPr>
          <w:ilvl w:val="1"/>
          <w:numId w:val="10"/>
        </w:numPr>
        <w:ind w:left="0" w:firstLine="560"/>
        <w:rPr>
          <w:rFonts w:hint="eastAsia" w:ascii="宋体" w:hAnsi="宋体"/>
        </w:rPr>
      </w:pPr>
      <w:r>
        <w:rPr>
          <w:rFonts w:hint="eastAsia" w:ascii="宋体" w:hAnsi="宋体"/>
        </w:rPr>
        <w:t>城市通信管道应与电力、水、气等管道规划相衔接，协同建设，城市通信管道与其他市政管线及建筑物的最小净间距应符合国标《城市工程管线综合规划规范》的基本要求。</w:t>
      </w:r>
    </w:p>
    <w:p w14:paraId="5DF39C65">
      <w:pPr>
        <w:pStyle w:val="39"/>
        <w:numPr>
          <w:ilvl w:val="1"/>
          <w:numId w:val="10"/>
        </w:numPr>
        <w:ind w:left="0" w:firstLine="560"/>
        <w:rPr>
          <w:rFonts w:hint="eastAsia" w:ascii="宋体" w:hAnsi="宋体"/>
        </w:rPr>
      </w:pPr>
      <w:r>
        <w:rPr>
          <w:rFonts w:hint="eastAsia" w:ascii="宋体" w:hAnsi="宋体"/>
        </w:rPr>
        <w:t>通常，当规划道路红线大于等于40米时，应在道路两侧修建管道，且管孔数量设置12孔，局部增加；当规划道路红线小于等于30米时，管道应在用户较多的一侧单侧建设，且管孔数量为9孔，并预留过路管。</w:t>
      </w:r>
    </w:p>
    <w:p w14:paraId="65C3BB8F">
      <w:pPr>
        <w:pStyle w:val="39"/>
        <w:numPr>
          <w:ilvl w:val="1"/>
          <w:numId w:val="10"/>
        </w:numPr>
        <w:ind w:left="0" w:firstLine="560"/>
        <w:rPr>
          <w:rFonts w:hint="eastAsia" w:ascii="宋体" w:hAnsi="宋体"/>
        </w:rPr>
      </w:pPr>
      <w:r>
        <w:rPr>
          <w:rFonts w:hint="eastAsia" w:ascii="宋体" w:hAnsi="宋体"/>
        </w:rPr>
        <w:t>局前管道规划应综合考虑规划局所的性质定位、局所位置、路网结构、业务覆盖范围、区域内各类电信用户规模和用户分布以及光缆纤芯利用率等因素。</w:t>
      </w:r>
    </w:p>
    <w:p w14:paraId="20FF5A3B">
      <w:pPr>
        <w:pStyle w:val="39"/>
        <w:numPr>
          <w:ilvl w:val="1"/>
          <w:numId w:val="10"/>
        </w:numPr>
        <w:ind w:left="0" w:firstLine="560"/>
        <w:rPr>
          <w:rFonts w:hint="eastAsia" w:ascii="宋体" w:hAnsi="宋体"/>
        </w:rPr>
      </w:pPr>
      <w:r>
        <w:rPr>
          <w:rFonts w:hint="eastAsia" w:ascii="宋体" w:hAnsi="宋体"/>
        </w:rPr>
        <w:t>城市通信管道容量应为干线、局间中继线、用户馈线、各种其他线路及备用线路等对管孔需要量的总和，并结合路网规划、光缆网规划以及通信管道建设情况（共建共享）等因素综合确定。</w:t>
      </w:r>
    </w:p>
    <w:p w14:paraId="7F3557E1">
      <w:pPr>
        <w:pStyle w:val="39"/>
        <w:numPr>
          <w:ilvl w:val="1"/>
          <w:numId w:val="10"/>
        </w:numPr>
        <w:ind w:left="0" w:firstLine="560"/>
        <w:rPr>
          <w:rFonts w:hint="eastAsia" w:ascii="宋体" w:hAnsi="宋体"/>
        </w:rPr>
      </w:pPr>
      <w:r>
        <w:rPr>
          <w:rFonts w:hint="eastAsia" w:ascii="宋体" w:hAnsi="宋体"/>
        </w:rPr>
        <w:t>通信管道路由应结合现状及规划道路布局，应避开地质灾害隐患地区修建管道；同时应远离电蚀和化学腐蚀地带以及地下、地上障碍物较多的路段。</w:t>
      </w:r>
    </w:p>
    <w:p w14:paraId="3C7959C2">
      <w:pPr>
        <w:pStyle w:val="39"/>
        <w:numPr>
          <w:ilvl w:val="1"/>
          <w:numId w:val="10"/>
        </w:numPr>
        <w:ind w:left="0" w:firstLine="560"/>
        <w:rPr>
          <w:rFonts w:hint="eastAsia" w:ascii="宋体" w:hAnsi="宋体"/>
        </w:rPr>
      </w:pPr>
      <w:r>
        <w:rPr>
          <w:rFonts w:hint="eastAsia" w:ascii="宋体" w:hAnsi="宋体"/>
        </w:rPr>
        <w:t>通过桥梁、隧道的通信管道应与桥梁、隧道等规划建设同步，管道敷设可选择管道、槽道、箱体、附架等方式，并符合桥梁、隧道建设的有关要求。</w:t>
      </w:r>
    </w:p>
    <w:p w14:paraId="16754D9B">
      <w:pPr>
        <w:pStyle w:val="39"/>
        <w:numPr>
          <w:ilvl w:val="1"/>
          <w:numId w:val="10"/>
        </w:numPr>
        <w:ind w:left="0" w:firstLine="560"/>
        <w:rPr>
          <w:rFonts w:hint="eastAsia" w:ascii="宋体" w:hAnsi="宋体"/>
        </w:rPr>
      </w:pPr>
      <w:r>
        <w:rPr>
          <w:rFonts w:hint="eastAsia" w:ascii="宋体" w:hAnsi="宋体"/>
        </w:rPr>
        <w:t>通信管道需布置在道路的慢车道、人行道下；无特殊情况，不考虑在快车道布置；应避免在路基尚未稳固及流沙地区、绿化带区布置。</w:t>
      </w:r>
    </w:p>
    <w:p w14:paraId="2D2EFCE4">
      <w:pPr>
        <w:pStyle w:val="39"/>
        <w:numPr>
          <w:ilvl w:val="1"/>
          <w:numId w:val="10"/>
        </w:numPr>
        <w:ind w:left="0" w:firstLine="560"/>
        <w:rPr>
          <w:rFonts w:hint="eastAsia" w:ascii="宋体" w:hAnsi="宋体"/>
        </w:rPr>
      </w:pPr>
      <w:r>
        <w:rPr>
          <w:rFonts w:hint="eastAsia" w:ascii="宋体" w:hAnsi="宋体"/>
        </w:rPr>
        <w:t>引上管道、小区接入管道需要充分考虑和城市通信管道的合理连接沟通，建立系统化和一体化的通信管道，确保满足通信系统综合管道的运行需求。</w:t>
      </w:r>
    </w:p>
    <w:p w14:paraId="7EA87889">
      <w:pPr>
        <w:pStyle w:val="39"/>
        <w:numPr>
          <w:ilvl w:val="1"/>
          <w:numId w:val="10"/>
        </w:numPr>
        <w:ind w:left="0" w:firstLine="560"/>
        <w:rPr>
          <w:rFonts w:hint="eastAsia" w:ascii="宋体" w:hAnsi="宋体"/>
        </w:rPr>
      </w:pPr>
      <w:r>
        <w:rPr>
          <w:rFonts w:hint="eastAsia" w:ascii="宋体" w:hAnsi="宋体"/>
        </w:rPr>
        <w:t>各运营商严格按照“共管道，分管孔”的原则穿放光缆，为避免出现光缆杂乱穿放的现象，建议各运营商的管孔材料（梅花管）由不同颜色标记区分。</w:t>
      </w:r>
    </w:p>
    <w:p w14:paraId="20252B70">
      <w:pPr>
        <w:pStyle w:val="39"/>
        <w:numPr>
          <w:ilvl w:val="1"/>
          <w:numId w:val="10"/>
        </w:numPr>
        <w:ind w:left="0" w:firstLine="560"/>
        <w:rPr>
          <w:rFonts w:hint="eastAsia" w:ascii="宋体" w:hAnsi="宋体"/>
        </w:rPr>
      </w:pPr>
      <w:r>
        <w:rPr>
          <w:rFonts w:hint="eastAsia" w:ascii="宋体" w:hAnsi="宋体"/>
        </w:rPr>
        <w:t>在市政道路管道工程建设期，预留光交位置，并在相应位置设立各运营商光交底座，且设置光交的地点，应有充足的管孔资源，原则上应具备双路由。</w:t>
      </w:r>
    </w:p>
    <w:p w14:paraId="4D003157">
      <w:pPr>
        <w:pStyle w:val="6"/>
      </w:pPr>
      <w:bookmarkStart w:id="72" w:name="_Toc42019869"/>
      <w:r>
        <w:rPr>
          <w:rFonts w:hint="eastAsia"/>
        </w:rPr>
        <w:t>规划方案动态调整原则</w:t>
      </w:r>
      <w:bookmarkEnd w:id="72"/>
    </w:p>
    <w:p w14:paraId="4F229DFC">
      <w:pPr>
        <w:pStyle w:val="39"/>
        <w:ind w:firstLine="560"/>
      </w:pPr>
      <w:r>
        <w:rPr>
          <w:rFonts w:hint="eastAsia"/>
        </w:rPr>
        <w:t>规划期内</w:t>
      </w:r>
      <w:r>
        <w:t>，在特殊情况下，</w:t>
      </w:r>
      <w:r>
        <w:rPr>
          <w:rFonts w:hint="eastAsia"/>
        </w:rPr>
        <w:t>后续可</w:t>
      </w:r>
      <w:r>
        <w:t>考虑对本次</w:t>
      </w:r>
      <w:r>
        <w:rPr>
          <w:rFonts w:hint="eastAsia"/>
        </w:rPr>
        <w:t>公众移动通信移动通信基站</w:t>
      </w:r>
      <w:r>
        <w:t>站址规划方案</w:t>
      </w:r>
      <w:r>
        <w:rPr>
          <w:rFonts w:hint="eastAsia"/>
        </w:rPr>
        <w:t>进行动态</w:t>
      </w:r>
      <w:r>
        <w:t>调整</w:t>
      </w:r>
      <w:r>
        <w:rPr>
          <w:rFonts w:hint="eastAsia"/>
        </w:rPr>
        <w:t>。</w:t>
      </w:r>
      <w:r>
        <w:t>一般来讲</w:t>
      </w:r>
      <w:r>
        <w:rPr>
          <w:rFonts w:hint="eastAsia"/>
        </w:rPr>
        <w:t>，有</w:t>
      </w:r>
      <w:r>
        <w:t>如下几种特殊情况：</w:t>
      </w:r>
    </w:p>
    <w:p w14:paraId="51C9424F">
      <w:pPr>
        <w:pStyle w:val="39"/>
        <w:ind w:firstLine="560"/>
      </w:pPr>
      <w:r>
        <w:rPr>
          <w:rFonts w:hint="eastAsia"/>
        </w:rPr>
        <w:t>（1）因</w:t>
      </w:r>
      <w:r>
        <w:t>城市</w:t>
      </w:r>
      <w:r>
        <w:rPr>
          <w:rFonts w:hint="eastAsia"/>
        </w:rPr>
        <w:t>发展，政府</w:t>
      </w:r>
      <w:r>
        <w:t>部门</w:t>
      </w:r>
      <w:r>
        <w:rPr>
          <w:rFonts w:hint="eastAsia"/>
        </w:rPr>
        <w:t>对现有</w:t>
      </w:r>
      <w:r>
        <w:t>城市规划</w:t>
      </w:r>
      <w:r>
        <w:rPr>
          <w:rFonts w:hint="eastAsia"/>
        </w:rPr>
        <w:t>方案做出</w:t>
      </w:r>
      <w:r>
        <w:t>新的调整</w:t>
      </w:r>
      <w:r>
        <w:rPr>
          <w:rFonts w:hint="eastAsia"/>
        </w:rPr>
        <w:t>；</w:t>
      </w:r>
    </w:p>
    <w:p w14:paraId="2AEF1FAA">
      <w:pPr>
        <w:pStyle w:val="39"/>
        <w:ind w:firstLine="560"/>
      </w:pPr>
      <w:r>
        <w:rPr>
          <w:rFonts w:hint="eastAsia"/>
        </w:rPr>
        <w:t>（2）移动</w:t>
      </w:r>
      <w:r>
        <w:t>通信技术</w:t>
      </w:r>
      <w:r>
        <w:rPr>
          <w:rFonts w:hint="eastAsia"/>
        </w:rPr>
        <w:t>、</w:t>
      </w:r>
      <w:r>
        <w:t>频段或运营</w:t>
      </w:r>
      <w:r>
        <w:rPr>
          <w:rFonts w:hint="eastAsia"/>
        </w:rPr>
        <w:t>商等发生</w:t>
      </w:r>
      <w:r>
        <w:t>较大变化；</w:t>
      </w:r>
    </w:p>
    <w:p w14:paraId="1B71C5A7">
      <w:pPr>
        <w:pStyle w:val="39"/>
        <w:ind w:firstLine="560"/>
      </w:pPr>
      <w:r>
        <w:rPr>
          <w:rFonts w:hint="eastAsia"/>
        </w:rPr>
        <w:t>（3）出现无法预期的突发/紧急情况（重大自然灾害、重大疫情等）等</w:t>
      </w:r>
      <w:r>
        <w:t>情况。</w:t>
      </w:r>
    </w:p>
    <w:p w14:paraId="76B8527C">
      <w:pPr>
        <w:pStyle w:val="39"/>
        <w:ind w:firstLine="420" w:firstLineChars="0"/>
      </w:pPr>
      <w:r>
        <w:rPr>
          <w:rFonts w:hint="eastAsia"/>
        </w:rPr>
        <w:t>上述</w:t>
      </w:r>
      <w:r>
        <w:t>特殊情况产生</w:t>
      </w:r>
      <w:r>
        <w:rPr>
          <w:rFonts w:hint="eastAsia"/>
        </w:rPr>
        <w:t>新</w:t>
      </w:r>
      <w:r>
        <w:t>的通信</w:t>
      </w:r>
      <w:r>
        <w:rPr>
          <w:rFonts w:hint="eastAsia"/>
        </w:rPr>
        <w:t>需求，在允许偏移范围内，区域无规划站址，需新规划</w:t>
      </w:r>
      <w:r>
        <w:t>基站</w:t>
      </w:r>
      <w:r>
        <w:rPr>
          <w:rFonts w:hint="eastAsia"/>
        </w:rPr>
        <w:t>站址，规划站址必须符合基站站址规划原则和站间距要求，优先共享现有存量站址资源和社会资源，并根据站址所在位置确定所属网络场景的站间距要求。</w:t>
      </w:r>
    </w:p>
    <w:p w14:paraId="322FD978">
      <w:pPr>
        <w:pStyle w:val="5"/>
      </w:pPr>
      <w:bookmarkStart w:id="73" w:name="_Toc188027495"/>
      <w:r>
        <w:rPr>
          <w:rFonts w:hint="eastAsia"/>
        </w:rPr>
        <w:t>移动通信站址规划</w:t>
      </w:r>
      <w:bookmarkEnd w:id="73"/>
    </w:p>
    <w:p w14:paraId="181971EB">
      <w:pPr>
        <w:pStyle w:val="6"/>
      </w:pPr>
      <w:r>
        <w:rPr>
          <w:rFonts w:hint="eastAsia"/>
        </w:rPr>
        <w:t>各通信运营企业移动通信网络演进策略及建设要求</w:t>
      </w:r>
    </w:p>
    <w:p w14:paraId="317AAC62">
      <w:pPr>
        <w:spacing w:line="360" w:lineRule="auto"/>
        <w:ind w:firstLine="560" w:firstLineChars="200"/>
        <w:rPr>
          <w:sz w:val="28"/>
          <w:szCs w:val="28"/>
        </w:rPr>
      </w:pPr>
      <w:r>
        <w:rPr>
          <w:rFonts w:hint="eastAsia"/>
          <w:sz w:val="28"/>
          <w:szCs w:val="28"/>
        </w:rPr>
        <w:t>目前中国国内通信运营企业主要有：</w:t>
      </w:r>
      <w:bookmarkStart w:id="74" w:name="_Hlk188105710"/>
      <w:r>
        <w:rPr>
          <w:rFonts w:hint="eastAsia"/>
          <w:sz w:val="28"/>
          <w:szCs w:val="28"/>
        </w:rPr>
        <w:t>中国移动通信集团有限公司(以下简称“中国移动”)、中国电信股份有限公司(以下简称“中国电信”)、中国联合网络通信有限公司(以下简称“中国联通”)、中国广播电视网络股份有限公司(以下简称“中国广电”)</w:t>
      </w:r>
      <w:bookmarkEnd w:id="74"/>
      <w:r>
        <w:rPr>
          <w:rFonts w:hint="eastAsia"/>
          <w:sz w:val="28"/>
          <w:szCs w:val="28"/>
        </w:rPr>
        <w:t>，部署的移动通信网络有2G/3G/4G/5G。</w:t>
      </w:r>
      <w:r>
        <w:rPr>
          <w:sz w:val="28"/>
          <w:szCs w:val="28"/>
        </w:rPr>
        <w:t>各运营商</w:t>
      </w:r>
      <w:r>
        <w:rPr>
          <w:rFonts w:hint="eastAsia"/>
          <w:sz w:val="28"/>
          <w:szCs w:val="28"/>
        </w:rPr>
        <w:t>2G/3G/4G/5G频率分配情况如下表：</w:t>
      </w:r>
    </w:p>
    <w:p w14:paraId="634C0266">
      <w:pPr>
        <w:pStyle w:val="32"/>
        <w:spacing w:line="500" w:lineRule="exact"/>
        <w:ind w:firstLine="0" w:firstLineChars="0"/>
        <w:jc w:val="center"/>
        <w:rPr>
          <w:rFonts w:hint="eastAsia" w:ascii="宋体" w:hAnsi="宋体" w:cs="宋体"/>
          <w:sz w:val="24"/>
        </w:rPr>
      </w:pPr>
      <w:r>
        <w:rPr>
          <w:rFonts w:hint="eastAsia" w:ascii="宋体" w:hAnsi="宋体" w:cs="宋体"/>
          <w:sz w:val="24"/>
        </w:rPr>
        <w:t>表</w:t>
      </w:r>
      <w:r>
        <w:rPr>
          <w:rFonts w:ascii="宋体" w:hAnsi="宋体" w:cs="宋体"/>
          <w:sz w:val="24"/>
        </w:rPr>
        <w:t>4</w:t>
      </w:r>
      <w:r>
        <w:rPr>
          <w:rFonts w:hint="eastAsia" w:ascii="宋体" w:hAnsi="宋体" w:cs="宋体"/>
          <w:sz w:val="24"/>
        </w:rPr>
        <w:t>-</w:t>
      </w:r>
      <w:r>
        <w:rPr>
          <w:rFonts w:ascii="宋体" w:hAnsi="宋体" w:cs="宋体"/>
          <w:sz w:val="24"/>
        </w:rPr>
        <w:t xml:space="preserve">1 </w:t>
      </w:r>
      <w:r>
        <w:rPr>
          <w:rFonts w:hint="eastAsia" w:ascii="宋体" w:hAnsi="宋体" w:cs="宋体"/>
          <w:sz w:val="24"/>
        </w:rPr>
        <w:t>各运营商</w:t>
      </w:r>
      <w:r>
        <w:rPr>
          <w:rFonts w:hint="eastAsia"/>
          <w:sz w:val="24"/>
        </w:rPr>
        <w:t>2G/3G/4G/5G</w:t>
      </w:r>
      <w:r>
        <w:rPr>
          <w:rFonts w:hint="eastAsia" w:ascii="宋体" w:hAnsi="宋体" w:cs="宋体"/>
          <w:sz w:val="24"/>
        </w:rPr>
        <w:t>移动通信网络频段资源表</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275"/>
        <w:gridCol w:w="1975"/>
        <w:gridCol w:w="1973"/>
        <w:gridCol w:w="591"/>
        <w:gridCol w:w="593"/>
        <w:gridCol w:w="1596"/>
        <w:gridCol w:w="901"/>
      </w:tblGrid>
      <w:tr w14:paraId="61B96B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716" w:type="pct"/>
            <w:shd w:val="clear" w:color="auto" w:fill="EEECE1" w:themeFill="background2"/>
            <w:noWrap/>
            <w:vAlign w:val="center"/>
          </w:tcPr>
          <w:p w14:paraId="7604F937">
            <w:pPr>
              <w:jc w:val="center"/>
              <w:rPr>
                <w:rFonts w:hint="eastAsia" w:asciiTheme="minorEastAsia" w:hAnsiTheme="minorEastAsia" w:eastAsiaTheme="minorEastAsia"/>
                <w:b/>
                <w:sz w:val="24"/>
              </w:rPr>
            </w:pPr>
            <w:r>
              <w:rPr>
                <w:rFonts w:hint="eastAsia" w:asciiTheme="minorEastAsia" w:hAnsiTheme="minorEastAsia" w:eastAsiaTheme="minorEastAsia"/>
                <w:b/>
                <w:sz w:val="24"/>
              </w:rPr>
              <w:t>运营商</w:t>
            </w:r>
          </w:p>
        </w:tc>
        <w:tc>
          <w:tcPr>
            <w:tcW w:w="1109" w:type="pct"/>
            <w:shd w:val="clear" w:color="auto" w:fill="EEECE1" w:themeFill="background2"/>
            <w:noWrap/>
            <w:vAlign w:val="center"/>
          </w:tcPr>
          <w:p w14:paraId="37D99DFB">
            <w:pPr>
              <w:jc w:val="center"/>
              <w:rPr>
                <w:rFonts w:hint="eastAsia" w:asciiTheme="minorEastAsia" w:hAnsiTheme="minorEastAsia" w:eastAsiaTheme="minorEastAsia"/>
                <w:b/>
                <w:sz w:val="24"/>
              </w:rPr>
            </w:pPr>
            <w:r>
              <w:rPr>
                <w:rFonts w:hint="eastAsia" w:asciiTheme="minorEastAsia" w:hAnsiTheme="minorEastAsia" w:eastAsiaTheme="minorEastAsia"/>
                <w:b/>
                <w:sz w:val="24"/>
              </w:rPr>
              <w:t>上行频率MHz</w:t>
            </w:r>
          </w:p>
        </w:tc>
        <w:tc>
          <w:tcPr>
            <w:tcW w:w="1108" w:type="pct"/>
            <w:shd w:val="clear" w:color="auto" w:fill="EEECE1" w:themeFill="background2"/>
            <w:noWrap/>
            <w:vAlign w:val="center"/>
          </w:tcPr>
          <w:p w14:paraId="328E6859">
            <w:pPr>
              <w:jc w:val="center"/>
              <w:rPr>
                <w:rFonts w:hint="eastAsia" w:asciiTheme="minorEastAsia" w:hAnsiTheme="minorEastAsia" w:eastAsiaTheme="minorEastAsia"/>
                <w:b/>
                <w:sz w:val="24"/>
              </w:rPr>
            </w:pPr>
            <w:r>
              <w:rPr>
                <w:rFonts w:hint="eastAsia" w:asciiTheme="minorEastAsia" w:hAnsiTheme="minorEastAsia" w:eastAsiaTheme="minorEastAsia"/>
                <w:b/>
                <w:sz w:val="24"/>
              </w:rPr>
              <w:t>下行频率MHz</w:t>
            </w:r>
          </w:p>
        </w:tc>
        <w:tc>
          <w:tcPr>
            <w:tcW w:w="665" w:type="pct"/>
            <w:gridSpan w:val="2"/>
            <w:shd w:val="clear" w:color="auto" w:fill="EEECE1" w:themeFill="background2"/>
            <w:noWrap/>
            <w:vAlign w:val="center"/>
          </w:tcPr>
          <w:p w14:paraId="1C45E0B9">
            <w:pPr>
              <w:jc w:val="center"/>
              <w:rPr>
                <w:rFonts w:hint="eastAsia" w:asciiTheme="minorEastAsia" w:hAnsiTheme="minorEastAsia" w:eastAsiaTheme="minorEastAsia"/>
                <w:b/>
                <w:sz w:val="24"/>
              </w:rPr>
            </w:pPr>
            <w:r>
              <w:rPr>
                <w:rFonts w:hint="eastAsia" w:asciiTheme="minorEastAsia" w:hAnsiTheme="minorEastAsia" w:eastAsiaTheme="minorEastAsia"/>
                <w:b/>
                <w:sz w:val="24"/>
              </w:rPr>
              <w:t>频宽MHz</w:t>
            </w:r>
          </w:p>
        </w:tc>
        <w:tc>
          <w:tcPr>
            <w:tcW w:w="1402" w:type="pct"/>
            <w:gridSpan w:val="2"/>
            <w:shd w:val="clear" w:color="auto" w:fill="EEECE1" w:themeFill="background2"/>
            <w:noWrap/>
            <w:vAlign w:val="center"/>
          </w:tcPr>
          <w:p w14:paraId="3FCACA23">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制式</w:t>
            </w:r>
          </w:p>
        </w:tc>
      </w:tr>
      <w:tr w14:paraId="46E0DD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restart"/>
            <w:shd w:val="clear" w:color="auto" w:fill="auto"/>
            <w:noWrap/>
            <w:vAlign w:val="center"/>
          </w:tcPr>
          <w:p w14:paraId="216364FF">
            <w:pPr>
              <w:jc w:val="center"/>
              <w:rPr>
                <w:rFonts w:hint="eastAsia" w:asciiTheme="minorEastAsia" w:hAnsiTheme="minorEastAsia" w:eastAsiaTheme="minorEastAsia"/>
                <w:sz w:val="24"/>
              </w:rPr>
            </w:pPr>
            <w:r>
              <w:rPr>
                <w:rFonts w:hint="eastAsia" w:asciiTheme="minorEastAsia" w:hAnsiTheme="minorEastAsia" w:eastAsiaTheme="minorEastAsia"/>
                <w:sz w:val="24"/>
              </w:rPr>
              <w:t>中国移动</w:t>
            </w:r>
          </w:p>
        </w:tc>
        <w:tc>
          <w:tcPr>
            <w:tcW w:w="1109" w:type="pct"/>
            <w:shd w:val="clear" w:color="auto" w:fill="auto"/>
            <w:noWrap/>
            <w:vAlign w:val="center"/>
          </w:tcPr>
          <w:p w14:paraId="7D264C1F">
            <w:pPr>
              <w:jc w:val="center"/>
              <w:rPr>
                <w:rFonts w:hint="eastAsia" w:asciiTheme="minorEastAsia" w:hAnsiTheme="minorEastAsia" w:eastAsiaTheme="minorEastAsia"/>
                <w:sz w:val="24"/>
              </w:rPr>
            </w:pPr>
            <w:r>
              <w:rPr>
                <w:rFonts w:hint="eastAsia" w:asciiTheme="minorEastAsia" w:hAnsiTheme="minorEastAsia" w:eastAsiaTheme="minorEastAsia"/>
                <w:sz w:val="24"/>
              </w:rPr>
              <w:t>885-892</w:t>
            </w:r>
          </w:p>
        </w:tc>
        <w:tc>
          <w:tcPr>
            <w:tcW w:w="1108" w:type="pct"/>
            <w:shd w:val="clear" w:color="auto" w:fill="auto"/>
            <w:noWrap/>
            <w:vAlign w:val="center"/>
          </w:tcPr>
          <w:p w14:paraId="41433806">
            <w:pPr>
              <w:jc w:val="center"/>
              <w:rPr>
                <w:rFonts w:hint="eastAsia" w:asciiTheme="minorEastAsia" w:hAnsiTheme="minorEastAsia" w:eastAsiaTheme="minorEastAsia"/>
                <w:sz w:val="24"/>
              </w:rPr>
            </w:pPr>
            <w:r>
              <w:rPr>
                <w:rFonts w:hint="eastAsia" w:asciiTheme="minorEastAsia" w:hAnsiTheme="minorEastAsia" w:eastAsiaTheme="minorEastAsia"/>
                <w:sz w:val="24"/>
              </w:rPr>
              <w:t>930-937</w:t>
            </w:r>
          </w:p>
        </w:tc>
        <w:tc>
          <w:tcPr>
            <w:tcW w:w="332" w:type="pct"/>
            <w:shd w:val="clear" w:color="auto" w:fill="auto"/>
            <w:noWrap/>
            <w:vAlign w:val="center"/>
          </w:tcPr>
          <w:p w14:paraId="4AC91446">
            <w:pPr>
              <w:jc w:val="center"/>
              <w:rPr>
                <w:rFonts w:hint="eastAsia" w:asciiTheme="minorEastAsia" w:hAnsiTheme="minorEastAsia" w:eastAsiaTheme="minorEastAsia"/>
                <w:sz w:val="24"/>
              </w:rPr>
            </w:pPr>
            <w:r>
              <w:rPr>
                <w:rFonts w:hint="eastAsia" w:asciiTheme="minorEastAsia" w:hAnsiTheme="minorEastAsia" w:eastAsiaTheme="minorEastAsia"/>
                <w:sz w:val="24"/>
              </w:rPr>
              <w:t>7</w:t>
            </w:r>
          </w:p>
        </w:tc>
        <w:tc>
          <w:tcPr>
            <w:tcW w:w="332" w:type="pct"/>
            <w:vMerge w:val="restart"/>
            <w:shd w:val="clear" w:color="auto" w:fill="auto"/>
            <w:noWrap/>
            <w:vAlign w:val="center"/>
          </w:tcPr>
          <w:p w14:paraId="1F1B8FF5">
            <w:pPr>
              <w:jc w:val="center"/>
              <w:rPr>
                <w:rFonts w:hint="eastAsia" w:asciiTheme="minorEastAsia" w:hAnsiTheme="minorEastAsia" w:eastAsiaTheme="minorEastAsia"/>
                <w:sz w:val="24"/>
              </w:rPr>
            </w:pPr>
            <w:r>
              <w:rPr>
                <w:rFonts w:hint="eastAsia" w:asciiTheme="minorEastAsia" w:hAnsiTheme="minorEastAsia" w:eastAsiaTheme="minorEastAsia"/>
                <w:sz w:val="24"/>
              </w:rPr>
              <w:t>22</w:t>
            </w:r>
          </w:p>
        </w:tc>
        <w:tc>
          <w:tcPr>
            <w:tcW w:w="896" w:type="pct"/>
            <w:shd w:val="clear" w:color="auto" w:fill="auto"/>
            <w:noWrap/>
            <w:vAlign w:val="center"/>
          </w:tcPr>
          <w:p w14:paraId="7F6E6B43">
            <w:pPr>
              <w:jc w:val="center"/>
              <w:rPr>
                <w:rFonts w:hint="eastAsia" w:asciiTheme="minorEastAsia" w:hAnsiTheme="minorEastAsia" w:eastAsiaTheme="minorEastAsia"/>
                <w:sz w:val="24"/>
              </w:rPr>
            </w:pPr>
            <w:r>
              <w:rPr>
                <w:rFonts w:hint="eastAsia" w:asciiTheme="minorEastAsia" w:hAnsiTheme="minorEastAsia" w:eastAsiaTheme="minorEastAsia"/>
                <w:sz w:val="24"/>
              </w:rPr>
              <w:t>GSM900</w:t>
            </w:r>
          </w:p>
        </w:tc>
        <w:tc>
          <w:tcPr>
            <w:tcW w:w="506" w:type="pct"/>
            <w:shd w:val="clear" w:color="auto" w:fill="auto"/>
            <w:noWrap/>
            <w:vAlign w:val="center"/>
          </w:tcPr>
          <w:p w14:paraId="4A15F18F">
            <w:pPr>
              <w:jc w:val="center"/>
              <w:rPr>
                <w:rFonts w:hint="eastAsia" w:asciiTheme="minorEastAsia" w:hAnsiTheme="minorEastAsia" w:eastAsiaTheme="minorEastAsia"/>
                <w:sz w:val="24"/>
              </w:rPr>
            </w:pPr>
            <w:r>
              <w:rPr>
                <w:rFonts w:hint="eastAsia" w:asciiTheme="minorEastAsia" w:hAnsiTheme="minorEastAsia" w:eastAsiaTheme="minorEastAsia"/>
                <w:sz w:val="24"/>
              </w:rPr>
              <w:t>2G</w:t>
            </w:r>
          </w:p>
        </w:tc>
      </w:tr>
      <w:tr w14:paraId="2F4D2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3B9D8C0E">
            <w:pPr>
              <w:jc w:val="center"/>
              <w:rPr>
                <w:rFonts w:hint="eastAsia" w:asciiTheme="minorEastAsia" w:hAnsiTheme="minorEastAsia" w:eastAsiaTheme="minorEastAsia"/>
                <w:sz w:val="24"/>
              </w:rPr>
            </w:pPr>
          </w:p>
        </w:tc>
        <w:tc>
          <w:tcPr>
            <w:tcW w:w="1109" w:type="pct"/>
            <w:shd w:val="clear" w:color="auto" w:fill="auto"/>
            <w:noWrap/>
            <w:vAlign w:val="center"/>
          </w:tcPr>
          <w:p w14:paraId="2612BCCB">
            <w:pPr>
              <w:jc w:val="center"/>
              <w:rPr>
                <w:rFonts w:hint="eastAsia" w:asciiTheme="minorEastAsia" w:hAnsiTheme="minorEastAsia" w:eastAsiaTheme="minorEastAsia"/>
                <w:sz w:val="24"/>
              </w:rPr>
            </w:pPr>
            <w:r>
              <w:rPr>
                <w:rFonts w:hint="eastAsia" w:asciiTheme="minorEastAsia" w:hAnsiTheme="minorEastAsia" w:eastAsiaTheme="minorEastAsia"/>
                <w:sz w:val="24"/>
              </w:rPr>
              <w:t>1710-1725</w:t>
            </w:r>
          </w:p>
        </w:tc>
        <w:tc>
          <w:tcPr>
            <w:tcW w:w="1108" w:type="pct"/>
            <w:shd w:val="clear" w:color="auto" w:fill="auto"/>
            <w:noWrap/>
            <w:vAlign w:val="center"/>
          </w:tcPr>
          <w:p w14:paraId="37E18B11">
            <w:pPr>
              <w:jc w:val="center"/>
              <w:rPr>
                <w:rFonts w:hint="eastAsia" w:asciiTheme="minorEastAsia" w:hAnsiTheme="minorEastAsia" w:eastAsiaTheme="minorEastAsia"/>
                <w:sz w:val="24"/>
              </w:rPr>
            </w:pPr>
            <w:r>
              <w:rPr>
                <w:rFonts w:hint="eastAsia" w:asciiTheme="minorEastAsia" w:hAnsiTheme="minorEastAsia" w:eastAsiaTheme="minorEastAsia"/>
                <w:sz w:val="24"/>
              </w:rPr>
              <w:t>1805-1820</w:t>
            </w:r>
          </w:p>
        </w:tc>
        <w:tc>
          <w:tcPr>
            <w:tcW w:w="332" w:type="pct"/>
            <w:shd w:val="clear" w:color="auto" w:fill="auto"/>
            <w:noWrap/>
            <w:vAlign w:val="center"/>
          </w:tcPr>
          <w:p w14:paraId="62A0E46A">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vMerge w:val="continue"/>
            <w:shd w:val="clear" w:color="auto" w:fill="auto"/>
            <w:vAlign w:val="center"/>
          </w:tcPr>
          <w:p w14:paraId="51679D29">
            <w:pPr>
              <w:jc w:val="center"/>
              <w:rPr>
                <w:rFonts w:hint="eastAsia" w:asciiTheme="minorEastAsia" w:hAnsiTheme="minorEastAsia" w:eastAsiaTheme="minorEastAsia"/>
                <w:sz w:val="24"/>
              </w:rPr>
            </w:pPr>
          </w:p>
        </w:tc>
        <w:tc>
          <w:tcPr>
            <w:tcW w:w="896" w:type="pct"/>
            <w:shd w:val="clear" w:color="auto" w:fill="auto"/>
            <w:noWrap/>
            <w:vAlign w:val="center"/>
          </w:tcPr>
          <w:p w14:paraId="0F0501E4">
            <w:pPr>
              <w:jc w:val="center"/>
              <w:rPr>
                <w:rFonts w:hint="eastAsia" w:asciiTheme="minorEastAsia" w:hAnsiTheme="minorEastAsia" w:eastAsiaTheme="minorEastAsia"/>
                <w:sz w:val="24"/>
              </w:rPr>
            </w:pPr>
            <w:r>
              <w:rPr>
                <w:rFonts w:hint="eastAsia" w:asciiTheme="minorEastAsia" w:hAnsiTheme="minorEastAsia" w:eastAsiaTheme="minorEastAsia"/>
                <w:sz w:val="24"/>
              </w:rPr>
              <w:t>GSM1800</w:t>
            </w:r>
          </w:p>
        </w:tc>
        <w:tc>
          <w:tcPr>
            <w:tcW w:w="506" w:type="pct"/>
            <w:shd w:val="clear" w:color="auto" w:fill="auto"/>
            <w:noWrap/>
            <w:vAlign w:val="center"/>
          </w:tcPr>
          <w:p w14:paraId="4E26530E">
            <w:pPr>
              <w:jc w:val="center"/>
              <w:rPr>
                <w:rFonts w:hint="eastAsia" w:asciiTheme="minorEastAsia" w:hAnsiTheme="minorEastAsia" w:eastAsiaTheme="minorEastAsia"/>
                <w:sz w:val="24"/>
              </w:rPr>
            </w:pPr>
            <w:r>
              <w:rPr>
                <w:rFonts w:hint="eastAsia" w:asciiTheme="minorEastAsia" w:hAnsiTheme="minorEastAsia" w:eastAsiaTheme="minorEastAsia"/>
                <w:sz w:val="24"/>
              </w:rPr>
              <w:t>2G</w:t>
            </w:r>
          </w:p>
        </w:tc>
      </w:tr>
      <w:tr w14:paraId="5605CC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3E04D275">
            <w:pPr>
              <w:jc w:val="center"/>
              <w:rPr>
                <w:rFonts w:hint="eastAsia" w:asciiTheme="minorEastAsia" w:hAnsiTheme="minorEastAsia" w:eastAsiaTheme="minorEastAsia"/>
                <w:sz w:val="24"/>
              </w:rPr>
            </w:pPr>
          </w:p>
        </w:tc>
        <w:tc>
          <w:tcPr>
            <w:tcW w:w="1109" w:type="pct"/>
            <w:shd w:val="clear" w:color="auto" w:fill="auto"/>
            <w:noWrap/>
            <w:vAlign w:val="center"/>
          </w:tcPr>
          <w:p w14:paraId="5A0AA466">
            <w:pPr>
              <w:jc w:val="center"/>
              <w:rPr>
                <w:rFonts w:hint="eastAsia" w:asciiTheme="minorEastAsia" w:hAnsiTheme="minorEastAsia" w:eastAsiaTheme="minorEastAsia"/>
                <w:sz w:val="24"/>
              </w:rPr>
            </w:pPr>
            <w:r>
              <w:rPr>
                <w:rFonts w:hint="eastAsia" w:asciiTheme="minorEastAsia" w:hAnsiTheme="minorEastAsia" w:eastAsiaTheme="minorEastAsia"/>
                <w:sz w:val="24"/>
              </w:rPr>
              <w:t>2010-2025</w:t>
            </w:r>
          </w:p>
        </w:tc>
        <w:tc>
          <w:tcPr>
            <w:tcW w:w="1108" w:type="pct"/>
            <w:shd w:val="clear" w:color="auto" w:fill="auto"/>
            <w:noWrap/>
            <w:vAlign w:val="center"/>
          </w:tcPr>
          <w:p w14:paraId="6551CB59">
            <w:pPr>
              <w:jc w:val="center"/>
              <w:rPr>
                <w:rFonts w:hint="eastAsia" w:asciiTheme="minorEastAsia" w:hAnsiTheme="minorEastAsia" w:eastAsiaTheme="minorEastAsia"/>
                <w:sz w:val="24"/>
              </w:rPr>
            </w:pPr>
            <w:r>
              <w:rPr>
                <w:rFonts w:hint="eastAsia" w:asciiTheme="minorEastAsia" w:hAnsiTheme="minorEastAsia" w:eastAsiaTheme="minorEastAsia"/>
                <w:sz w:val="24"/>
              </w:rPr>
              <w:t>2010-2025</w:t>
            </w:r>
          </w:p>
        </w:tc>
        <w:tc>
          <w:tcPr>
            <w:tcW w:w="332" w:type="pct"/>
            <w:shd w:val="clear" w:color="auto" w:fill="auto"/>
            <w:noWrap/>
            <w:vAlign w:val="center"/>
          </w:tcPr>
          <w:p w14:paraId="0DF2FD90">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shd w:val="clear" w:color="auto" w:fill="auto"/>
            <w:noWrap/>
            <w:vAlign w:val="center"/>
          </w:tcPr>
          <w:p w14:paraId="3DF623D3">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896" w:type="pct"/>
            <w:shd w:val="clear" w:color="auto" w:fill="auto"/>
            <w:noWrap/>
            <w:vAlign w:val="center"/>
          </w:tcPr>
          <w:p w14:paraId="26C93D6E">
            <w:pPr>
              <w:jc w:val="center"/>
              <w:rPr>
                <w:rFonts w:hint="eastAsia" w:asciiTheme="minorEastAsia" w:hAnsiTheme="minorEastAsia" w:eastAsiaTheme="minorEastAsia"/>
                <w:sz w:val="24"/>
              </w:rPr>
            </w:pPr>
            <w:r>
              <w:rPr>
                <w:rFonts w:hint="eastAsia" w:asciiTheme="minorEastAsia" w:hAnsiTheme="minorEastAsia" w:eastAsiaTheme="minorEastAsia"/>
                <w:sz w:val="24"/>
              </w:rPr>
              <w:t>TD-SCDMA</w:t>
            </w:r>
          </w:p>
        </w:tc>
        <w:tc>
          <w:tcPr>
            <w:tcW w:w="506" w:type="pct"/>
            <w:shd w:val="clear" w:color="auto" w:fill="auto"/>
            <w:noWrap/>
            <w:vAlign w:val="center"/>
          </w:tcPr>
          <w:p w14:paraId="11466E65">
            <w:pPr>
              <w:jc w:val="center"/>
              <w:rPr>
                <w:rFonts w:hint="eastAsia" w:asciiTheme="minorEastAsia" w:hAnsiTheme="minorEastAsia" w:eastAsiaTheme="minorEastAsia"/>
                <w:sz w:val="24"/>
              </w:rPr>
            </w:pPr>
            <w:r>
              <w:rPr>
                <w:rFonts w:hint="eastAsia" w:asciiTheme="minorEastAsia" w:hAnsiTheme="minorEastAsia" w:eastAsiaTheme="minorEastAsia"/>
                <w:sz w:val="24"/>
              </w:rPr>
              <w:t>3G</w:t>
            </w:r>
          </w:p>
        </w:tc>
      </w:tr>
      <w:tr w14:paraId="59E7D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3781DEC7">
            <w:pPr>
              <w:jc w:val="center"/>
              <w:rPr>
                <w:rFonts w:hint="eastAsia" w:asciiTheme="minorEastAsia" w:hAnsiTheme="minorEastAsia" w:eastAsiaTheme="minorEastAsia"/>
                <w:sz w:val="24"/>
              </w:rPr>
            </w:pPr>
          </w:p>
        </w:tc>
        <w:tc>
          <w:tcPr>
            <w:tcW w:w="1109" w:type="pct"/>
            <w:shd w:val="clear" w:color="auto" w:fill="auto"/>
            <w:noWrap/>
            <w:vAlign w:val="center"/>
          </w:tcPr>
          <w:p w14:paraId="0C4C4134">
            <w:pPr>
              <w:jc w:val="center"/>
              <w:rPr>
                <w:rFonts w:hint="eastAsia" w:asciiTheme="minorEastAsia" w:hAnsiTheme="minorEastAsia" w:eastAsiaTheme="minorEastAsia"/>
                <w:sz w:val="24"/>
              </w:rPr>
            </w:pPr>
            <w:r>
              <w:rPr>
                <w:rFonts w:hint="eastAsia" w:asciiTheme="minorEastAsia" w:hAnsiTheme="minorEastAsia" w:eastAsiaTheme="minorEastAsia"/>
                <w:sz w:val="24"/>
              </w:rPr>
              <w:t>892-904</w:t>
            </w:r>
          </w:p>
        </w:tc>
        <w:tc>
          <w:tcPr>
            <w:tcW w:w="1108" w:type="pct"/>
            <w:shd w:val="clear" w:color="auto" w:fill="auto"/>
            <w:noWrap/>
            <w:vAlign w:val="center"/>
          </w:tcPr>
          <w:p w14:paraId="646E1140">
            <w:pPr>
              <w:jc w:val="center"/>
              <w:rPr>
                <w:rFonts w:hint="eastAsia" w:asciiTheme="minorEastAsia" w:hAnsiTheme="minorEastAsia" w:eastAsiaTheme="minorEastAsia"/>
                <w:sz w:val="24"/>
              </w:rPr>
            </w:pPr>
            <w:r>
              <w:rPr>
                <w:rFonts w:hint="eastAsia" w:asciiTheme="minorEastAsia" w:hAnsiTheme="minorEastAsia" w:eastAsiaTheme="minorEastAsia"/>
                <w:sz w:val="24"/>
              </w:rPr>
              <w:t>937-949</w:t>
            </w:r>
          </w:p>
        </w:tc>
        <w:tc>
          <w:tcPr>
            <w:tcW w:w="332" w:type="pct"/>
            <w:shd w:val="clear" w:color="auto" w:fill="auto"/>
            <w:noWrap/>
            <w:vAlign w:val="center"/>
          </w:tcPr>
          <w:p w14:paraId="6D98A847">
            <w:pPr>
              <w:jc w:val="center"/>
              <w:rPr>
                <w:rFonts w:hint="eastAsia" w:asciiTheme="minorEastAsia" w:hAnsiTheme="minorEastAsia" w:eastAsiaTheme="minorEastAsia"/>
                <w:sz w:val="24"/>
              </w:rPr>
            </w:pPr>
            <w:r>
              <w:rPr>
                <w:rFonts w:hint="eastAsia" w:asciiTheme="minorEastAsia" w:hAnsiTheme="minorEastAsia" w:eastAsiaTheme="minorEastAsia"/>
                <w:sz w:val="24"/>
              </w:rPr>
              <w:t>12</w:t>
            </w:r>
          </w:p>
        </w:tc>
        <w:tc>
          <w:tcPr>
            <w:tcW w:w="332" w:type="pct"/>
            <w:shd w:val="clear" w:color="auto" w:fill="auto"/>
            <w:noWrap/>
            <w:vAlign w:val="center"/>
          </w:tcPr>
          <w:p w14:paraId="147C9871">
            <w:pPr>
              <w:jc w:val="center"/>
              <w:rPr>
                <w:rFonts w:hint="eastAsia" w:asciiTheme="minorEastAsia" w:hAnsiTheme="minorEastAsia" w:eastAsiaTheme="minorEastAsia"/>
                <w:sz w:val="24"/>
              </w:rPr>
            </w:pPr>
            <w:r>
              <w:rPr>
                <w:rFonts w:hint="eastAsia" w:asciiTheme="minorEastAsia" w:hAnsiTheme="minorEastAsia" w:eastAsiaTheme="minorEastAsia"/>
                <w:sz w:val="24"/>
              </w:rPr>
              <w:t>12</w:t>
            </w:r>
          </w:p>
        </w:tc>
        <w:tc>
          <w:tcPr>
            <w:tcW w:w="896" w:type="pct"/>
            <w:shd w:val="clear" w:color="auto" w:fill="auto"/>
            <w:noWrap/>
            <w:vAlign w:val="center"/>
          </w:tcPr>
          <w:p w14:paraId="0AF0E937">
            <w:pPr>
              <w:jc w:val="center"/>
              <w:rPr>
                <w:rFonts w:hint="eastAsia" w:asciiTheme="minorEastAsia" w:hAnsiTheme="minorEastAsia" w:eastAsiaTheme="minorEastAsia"/>
                <w:sz w:val="24"/>
              </w:rPr>
            </w:pPr>
            <w:r>
              <w:rPr>
                <w:rFonts w:hint="eastAsia" w:asciiTheme="minorEastAsia" w:hAnsiTheme="minorEastAsia" w:eastAsiaTheme="minorEastAsia"/>
                <w:sz w:val="24"/>
              </w:rPr>
              <w:t>LTE-FDD</w:t>
            </w:r>
          </w:p>
        </w:tc>
        <w:tc>
          <w:tcPr>
            <w:tcW w:w="506" w:type="pct"/>
            <w:shd w:val="clear" w:color="auto" w:fill="auto"/>
            <w:noWrap/>
            <w:vAlign w:val="center"/>
          </w:tcPr>
          <w:p w14:paraId="572FA55E">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3D561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2F4D5FFB">
            <w:pPr>
              <w:jc w:val="center"/>
              <w:rPr>
                <w:rFonts w:hint="eastAsia" w:asciiTheme="minorEastAsia" w:hAnsiTheme="minorEastAsia" w:eastAsiaTheme="minorEastAsia"/>
                <w:sz w:val="24"/>
              </w:rPr>
            </w:pPr>
          </w:p>
        </w:tc>
        <w:tc>
          <w:tcPr>
            <w:tcW w:w="1109" w:type="pct"/>
            <w:shd w:val="clear" w:color="auto" w:fill="auto"/>
            <w:noWrap/>
            <w:vAlign w:val="center"/>
          </w:tcPr>
          <w:p w14:paraId="4667EC3C">
            <w:pPr>
              <w:jc w:val="center"/>
              <w:rPr>
                <w:rFonts w:hint="eastAsia" w:asciiTheme="minorEastAsia" w:hAnsiTheme="minorEastAsia" w:eastAsiaTheme="minorEastAsia"/>
                <w:sz w:val="24"/>
              </w:rPr>
            </w:pPr>
            <w:r>
              <w:rPr>
                <w:rFonts w:hint="eastAsia" w:asciiTheme="minorEastAsia" w:hAnsiTheme="minorEastAsia" w:eastAsiaTheme="minorEastAsia"/>
                <w:sz w:val="24"/>
              </w:rPr>
              <w:t>1880-1890</w:t>
            </w:r>
          </w:p>
        </w:tc>
        <w:tc>
          <w:tcPr>
            <w:tcW w:w="1108" w:type="pct"/>
            <w:shd w:val="clear" w:color="auto" w:fill="auto"/>
            <w:noWrap/>
            <w:vAlign w:val="center"/>
          </w:tcPr>
          <w:p w14:paraId="1BDEA1A6">
            <w:pPr>
              <w:jc w:val="center"/>
              <w:rPr>
                <w:rFonts w:hint="eastAsia" w:asciiTheme="minorEastAsia" w:hAnsiTheme="minorEastAsia" w:eastAsiaTheme="minorEastAsia"/>
                <w:sz w:val="24"/>
              </w:rPr>
            </w:pPr>
            <w:r>
              <w:rPr>
                <w:rFonts w:hint="eastAsia" w:asciiTheme="minorEastAsia" w:hAnsiTheme="minorEastAsia" w:eastAsiaTheme="minorEastAsia"/>
                <w:sz w:val="24"/>
              </w:rPr>
              <w:t>1880-1890</w:t>
            </w:r>
          </w:p>
        </w:tc>
        <w:tc>
          <w:tcPr>
            <w:tcW w:w="332" w:type="pct"/>
            <w:shd w:val="clear" w:color="auto" w:fill="auto"/>
            <w:noWrap/>
            <w:vAlign w:val="center"/>
          </w:tcPr>
          <w:p w14:paraId="46EC2DB4">
            <w:pPr>
              <w:jc w:val="center"/>
              <w:rPr>
                <w:rFonts w:hint="eastAsia" w:asciiTheme="minorEastAsia" w:hAnsiTheme="minorEastAsia" w:eastAsiaTheme="minorEastAsia"/>
                <w:sz w:val="24"/>
              </w:rPr>
            </w:pPr>
            <w:r>
              <w:rPr>
                <w:rFonts w:hint="eastAsia" w:asciiTheme="minorEastAsia" w:hAnsiTheme="minorEastAsia" w:eastAsiaTheme="minorEastAsia"/>
                <w:sz w:val="24"/>
              </w:rPr>
              <w:t>10</w:t>
            </w:r>
          </w:p>
        </w:tc>
        <w:tc>
          <w:tcPr>
            <w:tcW w:w="332" w:type="pct"/>
            <w:vMerge w:val="restart"/>
            <w:shd w:val="clear" w:color="auto" w:fill="auto"/>
            <w:noWrap/>
            <w:vAlign w:val="center"/>
          </w:tcPr>
          <w:p w14:paraId="6DA22868">
            <w:pPr>
              <w:jc w:val="center"/>
              <w:rPr>
                <w:rFonts w:hint="eastAsia" w:asciiTheme="minorEastAsia" w:hAnsiTheme="minorEastAsia" w:eastAsiaTheme="minorEastAsia"/>
                <w:sz w:val="24"/>
              </w:rPr>
            </w:pPr>
            <w:r>
              <w:rPr>
                <w:rFonts w:hint="eastAsia" w:asciiTheme="minorEastAsia" w:hAnsiTheme="minorEastAsia" w:eastAsiaTheme="minorEastAsia"/>
                <w:sz w:val="24"/>
              </w:rPr>
              <w:t>60</w:t>
            </w:r>
          </w:p>
        </w:tc>
        <w:tc>
          <w:tcPr>
            <w:tcW w:w="896" w:type="pct"/>
            <w:vMerge w:val="restart"/>
            <w:shd w:val="clear" w:color="auto" w:fill="auto"/>
            <w:noWrap/>
            <w:vAlign w:val="center"/>
          </w:tcPr>
          <w:p w14:paraId="00F50BB5">
            <w:pPr>
              <w:jc w:val="center"/>
              <w:rPr>
                <w:rFonts w:hint="eastAsia" w:asciiTheme="minorEastAsia" w:hAnsiTheme="minorEastAsia" w:eastAsiaTheme="minorEastAsia"/>
                <w:sz w:val="24"/>
              </w:rPr>
            </w:pPr>
            <w:r>
              <w:rPr>
                <w:rFonts w:hint="eastAsia" w:asciiTheme="minorEastAsia" w:hAnsiTheme="minorEastAsia" w:eastAsiaTheme="minorEastAsia"/>
                <w:sz w:val="24"/>
              </w:rPr>
              <w:t>TD-LTE</w:t>
            </w:r>
          </w:p>
        </w:tc>
        <w:tc>
          <w:tcPr>
            <w:tcW w:w="506" w:type="pct"/>
            <w:vMerge w:val="restart"/>
            <w:shd w:val="clear" w:color="auto" w:fill="auto"/>
            <w:noWrap/>
            <w:vAlign w:val="center"/>
          </w:tcPr>
          <w:p w14:paraId="53CEBDD9">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018C1B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2AA1B567">
            <w:pPr>
              <w:jc w:val="center"/>
              <w:rPr>
                <w:rFonts w:hint="eastAsia" w:asciiTheme="minorEastAsia" w:hAnsiTheme="minorEastAsia" w:eastAsiaTheme="minorEastAsia"/>
                <w:sz w:val="24"/>
              </w:rPr>
            </w:pPr>
          </w:p>
        </w:tc>
        <w:tc>
          <w:tcPr>
            <w:tcW w:w="1109" w:type="pct"/>
            <w:shd w:val="clear" w:color="auto" w:fill="auto"/>
            <w:noWrap/>
            <w:vAlign w:val="center"/>
          </w:tcPr>
          <w:p w14:paraId="18B903D1">
            <w:pPr>
              <w:jc w:val="center"/>
              <w:rPr>
                <w:rFonts w:hint="eastAsia" w:asciiTheme="minorEastAsia" w:hAnsiTheme="minorEastAsia" w:eastAsiaTheme="minorEastAsia"/>
                <w:sz w:val="24"/>
              </w:rPr>
            </w:pPr>
            <w:r>
              <w:rPr>
                <w:rFonts w:hint="eastAsia" w:asciiTheme="minorEastAsia" w:hAnsiTheme="minorEastAsia" w:eastAsiaTheme="minorEastAsia"/>
                <w:sz w:val="24"/>
              </w:rPr>
              <w:t>2320-2370</w:t>
            </w:r>
          </w:p>
        </w:tc>
        <w:tc>
          <w:tcPr>
            <w:tcW w:w="1108" w:type="pct"/>
            <w:shd w:val="clear" w:color="auto" w:fill="auto"/>
            <w:noWrap/>
            <w:vAlign w:val="center"/>
          </w:tcPr>
          <w:p w14:paraId="0CD422C6">
            <w:pPr>
              <w:jc w:val="center"/>
              <w:rPr>
                <w:rFonts w:hint="eastAsia" w:asciiTheme="minorEastAsia" w:hAnsiTheme="minorEastAsia" w:eastAsiaTheme="minorEastAsia"/>
                <w:sz w:val="24"/>
              </w:rPr>
            </w:pPr>
            <w:r>
              <w:rPr>
                <w:rFonts w:hint="eastAsia" w:asciiTheme="minorEastAsia" w:hAnsiTheme="minorEastAsia" w:eastAsiaTheme="minorEastAsia"/>
                <w:sz w:val="24"/>
              </w:rPr>
              <w:t>2320-2370</w:t>
            </w:r>
          </w:p>
        </w:tc>
        <w:tc>
          <w:tcPr>
            <w:tcW w:w="332" w:type="pct"/>
            <w:shd w:val="clear" w:color="auto" w:fill="auto"/>
            <w:noWrap/>
            <w:vAlign w:val="center"/>
          </w:tcPr>
          <w:p w14:paraId="4146C219">
            <w:pPr>
              <w:jc w:val="center"/>
              <w:rPr>
                <w:rFonts w:hint="eastAsia" w:asciiTheme="minorEastAsia" w:hAnsiTheme="minorEastAsia" w:eastAsiaTheme="minorEastAsia"/>
                <w:sz w:val="24"/>
              </w:rPr>
            </w:pPr>
            <w:r>
              <w:rPr>
                <w:rFonts w:hint="eastAsia" w:asciiTheme="minorEastAsia" w:hAnsiTheme="minorEastAsia" w:eastAsiaTheme="minorEastAsia"/>
                <w:sz w:val="24"/>
              </w:rPr>
              <w:t>50</w:t>
            </w:r>
          </w:p>
        </w:tc>
        <w:tc>
          <w:tcPr>
            <w:tcW w:w="332" w:type="pct"/>
            <w:vMerge w:val="continue"/>
            <w:shd w:val="clear" w:color="auto" w:fill="auto"/>
            <w:vAlign w:val="center"/>
          </w:tcPr>
          <w:p w14:paraId="52910D73">
            <w:pPr>
              <w:jc w:val="center"/>
              <w:rPr>
                <w:rFonts w:hint="eastAsia" w:asciiTheme="minorEastAsia" w:hAnsiTheme="minorEastAsia" w:eastAsiaTheme="minorEastAsia"/>
                <w:sz w:val="24"/>
              </w:rPr>
            </w:pPr>
          </w:p>
        </w:tc>
        <w:tc>
          <w:tcPr>
            <w:tcW w:w="896" w:type="pct"/>
            <w:vMerge w:val="continue"/>
            <w:shd w:val="clear" w:color="auto" w:fill="auto"/>
            <w:vAlign w:val="center"/>
          </w:tcPr>
          <w:p w14:paraId="21BDE2D9">
            <w:pPr>
              <w:jc w:val="center"/>
              <w:rPr>
                <w:rFonts w:hint="eastAsia" w:asciiTheme="minorEastAsia" w:hAnsiTheme="minorEastAsia" w:eastAsiaTheme="minorEastAsia"/>
                <w:sz w:val="24"/>
              </w:rPr>
            </w:pPr>
          </w:p>
        </w:tc>
        <w:tc>
          <w:tcPr>
            <w:tcW w:w="506" w:type="pct"/>
            <w:vMerge w:val="continue"/>
            <w:shd w:val="clear" w:color="auto" w:fill="auto"/>
            <w:vAlign w:val="center"/>
          </w:tcPr>
          <w:p w14:paraId="0CB47228">
            <w:pPr>
              <w:jc w:val="center"/>
              <w:rPr>
                <w:rFonts w:hint="eastAsia" w:asciiTheme="minorEastAsia" w:hAnsiTheme="minorEastAsia" w:eastAsiaTheme="minorEastAsia"/>
                <w:sz w:val="24"/>
              </w:rPr>
            </w:pPr>
          </w:p>
        </w:tc>
      </w:tr>
      <w:tr w14:paraId="33203D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77044B6E">
            <w:pPr>
              <w:jc w:val="center"/>
              <w:rPr>
                <w:rFonts w:hint="eastAsia" w:asciiTheme="minorEastAsia" w:hAnsiTheme="minorEastAsia" w:eastAsiaTheme="minorEastAsia"/>
                <w:sz w:val="24"/>
              </w:rPr>
            </w:pPr>
          </w:p>
        </w:tc>
        <w:tc>
          <w:tcPr>
            <w:tcW w:w="1109" w:type="pct"/>
            <w:shd w:val="clear" w:color="auto" w:fill="auto"/>
            <w:noWrap/>
            <w:vAlign w:val="center"/>
          </w:tcPr>
          <w:p w14:paraId="7ACEB551">
            <w:pPr>
              <w:jc w:val="center"/>
              <w:rPr>
                <w:rFonts w:hint="eastAsia" w:asciiTheme="minorEastAsia" w:hAnsiTheme="minorEastAsia" w:eastAsiaTheme="minorEastAsia"/>
                <w:sz w:val="24"/>
              </w:rPr>
            </w:pPr>
            <w:r>
              <w:rPr>
                <w:rFonts w:hint="eastAsia" w:asciiTheme="minorEastAsia" w:hAnsiTheme="minorEastAsia" w:eastAsiaTheme="minorEastAsia"/>
                <w:sz w:val="24"/>
              </w:rPr>
              <w:t>2515-2675</w:t>
            </w:r>
          </w:p>
        </w:tc>
        <w:tc>
          <w:tcPr>
            <w:tcW w:w="1108" w:type="pct"/>
            <w:shd w:val="clear" w:color="auto" w:fill="auto"/>
            <w:noWrap/>
            <w:vAlign w:val="center"/>
          </w:tcPr>
          <w:p w14:paraId="670EE1A1">
            <w:pPr>
              <w:jc w:val="center"/>
              <w:rPr>
                <w:rFonts w:hint="eastAsia" w:asciiTheme="minorEastAsia" w:hAnsiTheme="minorEastAsia" w:eastAsiaTheme="minorEastAsia"/>
                <w:sz w:val="24"/>
              </w:rPr>
            </w:pPr>
            <w:r>
              <w:rPr>
                <w:rFonts w:hint="eastAsia" w:asciiTheme="minorEastAsia" w:hAnsiTheme="minorEastAsia" w:eastAsiaTheme="minorEastAsia"/>
                <w:sz w:val="24"/>
              </w:rPr>
              <w:t>2515-2675</w:t>
            </w:r>
          </w:p>
        </w:tc>
        <w:tc>
          <w:tcPr>
            <w:tcW w:w="332" w:type="pct"/>
            <w:shd w:val="clear" w:color="auto" w:fill="auto"/>
            <w:noWrap/>
            <w:vAlign w:val="center"/>
          </w:tcPr>
          <w:p w14:paraId="40F2CB69">
            <w:pPr>
              <w:jc w:val="center"/>
              <w:rPr>
                <w:rFonts w:hint="eastAsia" w:asciiTheme="minorEastAsia" w:hAnsiTheme="minorEastAsia" w:eastAsiaTheme="minorEastAsia"/>
                <w:sz w:val="24"/>
              </w:rPr>
            </w:pPr>
            <w:r>
              <w:rPr>
                <w:rFonts w:hint="eastAsia" w:asciiTheme="minorEastAsia" w:hAnsiTheme="minorEastAsia" w:eastAsiaTheme="minorEastAsia"/>
                <w:sz w:val="24"/>
              </w:rPr>
              <w:t>160</w:t>
            </w:r>
          </w:p>
        </w:tc>
        <w:tc>
          <w:tcPr>
            <w:tcW w:w="332" w:type="pct"/>
            <w:vMerge w:val="restart"/>
            <w:shd w:val="clear" w:color="auto" w:fill="auto"/>
            <w:noWrap/>
            <w:vAlign w:val="center"/>
          </w:tcPr>
          <w:p w14:paraId="3D724087">
            <w:pPr>
              <w:jc w:val="center"/>
              <w:rPr>
                <w:rFonts w:hint="eastAsia" w:asciiTheme="minorEastAsia" w:hAnsiTheme="minorEastAsia" w:eastAsiaTheme="minorEastAsia"/>
                <w:sz w:val="24"/>
              </w:rPr>
            </w:pPr>
            <w:r>
              <w:rPr>
                <w:rFonts w:hint="eastAsia" w:asciiTheme="minorEastAsia" w:hAnsiTheme="minorEastAsia" w:eastAsiaTheme="minorEastAsia"/>
                <w:sz w:val="24"/>
              </w:rPr>
              <w:t>260</w:t>
            </w:r>
          </w:p>
        </w:tc>
        <w:tc>
          <w:tcPr>
            <w:tcW w:w="896" w:type="pct"/>
            <w:vMerge w:val="restart"/>
            <w:shd w:val="clear" w:color="auto" w:fill="auto"/>
            <w:noWrap/>
            <w:vAlign w:val="center"/>
          </w:tcPr>
          <w:p w14:paraId="63225C86">
            <w:pPr>
              <w:jc w:val="center"/>
              <w:rPr>
                <w:rFonts w:hint="eastAsia" w:asciiTheme="minorEastAsia" w:hAnsiTheme="minorEastAsia" w:eastAsiaTheme="minorEastAsia"/>
                <w:sz w:val="24"/>
              </w:rPr>
            </w:pPr>
            <w:r>
              <w:rPr>
                <w:rFonts w:hint="eastAsia" w:asciiTheme="minorEastAsia" w:hAnsiTheme="minorEastAsia" w:eastAsiaTheme="minorEastAsia"/>
                <w:sz w:val="24"/>
              </w:rPr>
              <w:t>IMT-2020</w:t>
            </w:r>
          </w:p>
        </w:tc>
        <w:tc>
          <w:tcPr>
            <w:tcW w:w="506" w:type="pct"/>
            <w:vMerge w:val="restart"/>
            <w:shd w:val="clear" w:color="auto" w:fill="auto"/>
            <w:noWrap/>
            <w:vAlign w:val="center"/>
          </w:tcPr>
          <w:p w14:paraId="38446695">
            <w:pPr>
              <w:jc w:val="center"/>
              <w:rPr>
                <w:rFonts w:hint="eastAsia" w:asciiTheme="minorEastAsia" w:hAnsiTheme="minorEastAsia" w:eastAsiaTheme="minorEastAsia"/>
                <w:sz w:val="24"/>
              </w:rPr>
            </w:pPr>
            <w:r>
              <w:rPr>
                <w:rFonts w:hint="eastAsia" w:asciiTheme="minorEastAsia" w:hAnsiTheme="minorEastAsia" w:eastAsiaTheme="minorEastAsia"/>
                <w:sz w:val="24"/>
              </w:rPr>
              <w:t>5G</w:t>
            </w:r>
          </w:p>
        </w:tc>
      </w:tr>
      <w:tr w14:paraId="659CC4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76D768B1">
            <w:pPr>
              <w:jc w:val="center"/>
              <w:rPr>
                <w:rFonts w:hint="eastAsia" w:asciiTheme="minorEastAsia" w:hAnsiTheme="minorEastAsia" w:eastAsiaTheme="minorEastAsia"/>
                <w:sz w:val="24"/>
              </w:rPr>
            </w:pPr>
          </w:p>
        </w:tc>
        <w:tc>
          <w:tcPr>
            <w:tcW w:w="1109" w:type="pct"/>
            <w:shd w:val="clear" w:color="auto" w:fill="auto"/>
            <w:noWrap/>
            <w:vAlign w:val="center"/>
          </w:tcPr>
          <w:p w14:paraId="40D858D8">
            <w:pPr>
              <w:jc w:val="center"/>
              <w:rPr>
                <w:rFonts w:hint="eastAsia" w:asciiTheme="minorEastAsia" w:hAnsiTheme="minorEastAsia" w:eastAsiaTheme="minorEastAsia"/>
                <w:sz w:val="24"/>
              </w:rPr>
            </w:pPr>
            <w:r>
              <w:rPr>
                <w:rFonts w:hint="eastAsia" w:asciiTheme="minorEastAsia" w:hAnsiTheme="minorEastAsia" w:eastAsiaTheme="minorEastAsia"/>
                <w:sz w:val="24"/>
              </w:rPr>
              <w:t>4800-4900</w:t>
            </w:r>
          </w:p>
        </w:tc>
        <w:tc>
          <w:tcPr>
            <w:tcW w:w="1108" w:type="pct"/>
            <w:shd w:val="clear" w:color="auto" w:fill="auto"/>
            <w:noWrap/>
            <w:vAlign w:val="center"/>
          </w:tcPr>
          <w:p w14:paraId="46D52AC3">
            <w:pPr>
              <w:jc w:val="center"/>
              <w:rPr>
                <w:rFonts w:hint="eastAsia" w:asciiTheme="minorEastAsia" w:hAnsiTheme="minorEastAsia" w:eastAsiaTheme="minorEastAsia"/>
                <w:sz w:val="24"/>
              </w:rPr>
            </w:pPr>
            <w:r>
              <w:rPr>
                <w:rFonts w:hint="eastAsia" w:asciiTheme="minorEastAsia" w:hAnsiTheme="minorEastAsia" w:eastAsiaTheme="minorEastAsia"/>
                <w:sz w:val="24"/>
              </w:rPr>
              <w:t>4800-4900</w:t>
            </w:r>
          </w:p>
        </w:tc>
        <w:tc>
          <w:tcPr>
            <w:tcW w:w="332" w:type="pct"/>
            <w:shd w:val="clear" w:color="auto" w:fill="auto"/>
            <w:noWrap/>
            <w:vAlign w:val="center"/>
          </w:tcPr>
          <w:p w14:paraId="7AD661F0">
            <w:pPr>
              <w:jc w:val="center"/>
              <w:rPr>
                <w:rFonts w:hint="eastAsia" w:asciiTheme="minorEastAsia" w:hAnsiTheme="minorEastAsia" w:eastAsiaTheme="minorEastAsia"/>
                <w:sz w:val="24"/>
              </w:rPr>
            </w:pPr>
            <w:r>
              <w:rPr>
                <w:rFonts w:hint="eastAsia" w:asciiTheme="minorEastAsia" w:hAnsiTheme="minorEastAsia" w:eastAsiaTheme="minorEastAsia"/>
                <w:sz w:val="24"/>
              </w:rPr>
              <w:t>100</w:t>
            </w:r>
          </w:p>
        </w:tc>
        <w:tc>
          <w:tcPr>
            <w:tcW w:w="332" w:type="pct"/>
            <w:vMerge w:val="continue"/>
            <w:shd w:val="clear" w:color="auto" w:fill="auto"/>
            <w:vAlign w:val="center"/>
          </w:tcPr>
          <w:p w14:paraId="0D7831FF">
            <w:pPr>
              <w:jc w:val="center"/>
              <w:rPr>
                <w:rFonts w:hint="eastAsia" w:asciiTheme="minorEastAsia" w:hAnsiTheme="minorEastAsia" w:eastAsiaTheme="minorEastAsia"/>
                <w:sz w:val="24"/>
              </w:rPr>
            </w:pPr>
          </w:p>
        </w:tc>
        <w:tc>
          <w:tcPr>
            <w:tcW w:w="896" w:type="pct"/>
            <w:vMerge w:val="continue"/>
            <w:shd w:val="clear" w:color="auto" w:fill="auto"/>
            <w:vAlign w:val="center"/>
          </w:tcPr>
          <w:p w14:paraId="5722B636">
            <w:pPr>
              <w:jc w:val="center"/>
              <w:rPr>
                <w:rFonts w:hint="eastAsia" w:asciiTheme="minorEastAsia" w:hAnsiTheme="minorEastAsia" w:eastAsiaTheme="minorEastAsia"/>
                <w:sz w:val="24"/>
              </w:rPr>
            </w:pPr>
          </w:p>
        </w:tc>
        <w:tc>
          <w:tcPr>
            <w:tcW w:w="506" w:type="pct"/>
            <w:vMerge w:val="continue"/>
            <w:shd w:val="clear" w:color="auto" w:fill="auto"/>
            <w:vAlign w:val="center"/>
          </w:tcPr>
          <w:p w14:paraId="69B526C2">
            <w:pPr>
              <w:jc w:val="center"/>
              <w:rPr>
                <w:rFonts w:hint="eastAsia" w:asciiTheme="minorEastAsia" w:hAnsiTheme="minorEastAsia" w:eastAsiaTheme="minorEastAsia"/>
                <w:sz w:val="24"/>
              </w:rPr>
            </w:pPr>
          </w:p>
        </w:tc>
      </w:tr>
      <w:tr w14:paraId="2ECD10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285" w:hRule="atLeast"/>
          <w:jc w:val="center"/>
        </w:trPr>
        <w:tc>
          <w:tcPr>
            <w:tcW w:w="716" w:type="pct"/>
            <w:vMerge w:val="restart"/>
            <w:shd w:val="clear" w:color="auto" w:fill="auto"/>
            <w:noWrap/>
            <w:vAlign w:val="center"/>
          </w:tcPr>
          <w:p w14:paraId="4A3CB4BC">
            <w:pPr>
              <w:jc w:val="center"/>
              <w:rPr>
                <w:rFonts w:hint="eastAsia" w:asciiTheme="minorEastAsia" w:hAnsiTheme="minorEastAsia" w:eastAsiaTheme="minorEastAsia"/>
                <w:sz w:val="24"/>
              </w:rPr>
            </w:pPr>
            <w:r>
              <w:rPr>
                <w:rFonts w:hint="eastAsia" w:asciiTheme="minorEastAsia" w:hAnsiTheme="minorEastAsia" w:eastAsiaTheme="minorEastAsia"/>
                <w:sz w:val="24"/>
              </w:rPr>
              <w:t>中国联通</w:t>
            </w:r>
          </w:p>
        </w:tc>
        <w:tc>
          <w:tcPr>
            <w:tcW w:w="1109" w:type="pct"/>
            <w:shd w:val="clear" w:color="auto" w:fill="auto"/>
            <w:noWrap/>
            <w:vAlign w:val="center"/>
          </w:tcPr>
          <w:p w14:paraId="15EE5FF3">
            <w:pPr>
              <w:jc w:val="center"/>
              <w:rPr>
                <w:rFonts w:hint="eastAsia" w:asciiTheme="minorEastAsia" w:hAnsiTheme="minorEastAsia" w:eastAsiaTheme="minorEastAsia"/>
                <w:sz w:val="24"/>
              </w:rPr>
            </w:pPr>
            <w:r>
              <w:rPr>
                <w:rFonts w:hint="eastAsia" w:asciiTheme="minorEastAsia" w:hAnsiTheme="minorEastAsia" w:eastAsiaTheme="minorEastAsia"/>
                <w:sz w:val="24"/>
              </w:rPr>
              <w:t>1745-1755</w:t>
            </w:r>
          </w:p>
        </w:tc>
        <w:tc>
          <w:tcPr>
            <w:tcW w:w="1108" w:type="pct"/>
            <w:shd w:val="clear" w:color="auto" w:fill="auto"/>
            <w:noWrap/>
            <w:vAlign w:val="center"/>
          </w:tcPr>
          <w:p w14:paraId="74E3A3F9">
            <w:pPr>
              <w:jc w:val="center"/>
              <w:rPr>
                <w:rFonts w:hint="eastAsia" w:asciiTheme="minorEastAsia" w:hAnsiTheme="minorEastAsia" w:eastAsiaTheme="minorEastAsia"/>
                <w:sz w:val="24"/>
              </w:rPr>
            </w:pPr>
            <w:r>
              <w:rPr>
                <w:rFonts w:hint="eastAsia" w:asciiTheme="minorEastAsia" w:hAnsiTheme="minorEastAsia" w:eastAsiaTheme="minorEastAsia"/>
                <w:sz w:val="24"/>
              </w:rPr>
              <w:t>1840-1850</w:t>
            </w:r>
          </w:p>
        </w:tc>
        <w:tc>
          <w:tcPr>
            <w:tcW w:w="332" w:type="pct"/>
            <w:shd w:val="clear" w:color="auto" w:fill="auto"/>
            <w:noWrap/>
            <w:vAlign w:val="center"/>
          </w:tcPr>
          <w:p w14:paraId="5C167839">
            <w:pPr>
              <w:jc w:val="center"/>
              <w:rPr>
                <w:rFonts w:hint="eastAsia" w:asciiTheme="minorEastAsia" w:hAnsiTheme="minorEastAsia" w:eastAsiaTheme="minorEastAsia"/>
                <w:sz w:val="24"/>
              </w:rPr>
            </w:pPr>
            <w:r>
              <w:rPr>
                <w:rFonts w:hint="eastAsia" w:asciiTheme="minorEastAsia" w:hAnsiTheme="minorEastAsia" w:eastAsiaTheme="minorEastAsia"/>
                <w:sz w:val="24"/>
              </w:rPr>
              <w:t>10</w:t>
            </w:r>
          </w:p>
        </w:tc>
        <w:tc>
          <w:tcPr>
            <w:tcW w:w="332" w:type="pct"/>
            <w:shd w:val="clear" w:color="auto" w:fill="auto"/>
            <w:noWrap/>
            <w:vAlign w:val="center"/>
          </w:tcPr>
          <w:p w14:paraId="650F0AC8">
            <w:pPr>
              <w:jc w:val="center"/>
              <w:rPr>
                <w:rFonts w:hint="eastAsia" w:asciiTheme="minorEastAsia" w:hAnsiTheme="minorEastAsia" w:eastAsiaTheme="minorEastAsia"/>
                <w:sz w:val="24"/>
              </w:rPr>
            </w:pPr>
            <w:r>
              <w:rPr>
                <w:rFonts w:hint="eastAsia" w:asciiTheme="minorEastAsia" w:hAnsiTheme="minorEastAsia" w:eastAsiaTheme="minorEastAsia"/>
                <w:sz w:val="24"/>
              </w:rPr>
              <w:t>10</w:t>
            </w:r>
          </w:p>
        </w:tc>
        <w:tc>
          <w:tcPr>
            <w:tcW w:w="896" w:type="pct"/>
            <w:shd w:val="clear" w:color="auto" w:fill="auto"/>
            <w:noWrap/>
            <w:vAlign w:val="center"/>
          </w:tcPr>
          <w:p w14:paraId="0D1D7FF6">
            <w:pPr>
              <w:jc w:val="center"/>
              <w:rPr>
                <w:rFonts w:hint="eastAsia" w:asciiTheme="minorEastAsia" w:hAnsiTheme="minorEastAsia" w:eastAsiaTheme="minorEastAsia"/>
                <w:sz w:val="24"/>
              </w:rPr>
            </w:pPr>
            <w:r>
              <w:rPr>
                <w:rFonts w:hint="eastAsia" w:asciiTheme="minorEastAsia" w:hAnsiTheme="minorEastAsia" w:eastAsiaTheme="minorEastAsia"/>
                <w:sz w:val="24"/>
              </w:rPr>
              <w:t>GSM</w:t>
            </w:r>
          </w:p>
        </w:tc>
        <w:tc>
          <w:tcPr>
            <w:tcW w:w="506" w:type="pct"/>
            <w:shd w:val="clear" w:color="auto" w:fill="auto"/>
            <w:noWrap/>
            <w:vAlign w:val="center"/>
          </w:tcPr>
          <w:p w14:paraId="3FC2CA06">
            <w:pPr>
              <w:jc w:val="center"/>
              <w:rPr>
                <w:rFonts w:hint="eastAsia" w:asciiTheme="minorEastAsia" w:hAnsiTheme="minorEastAsia" w:eastAsiaTheme="minorEastAsia"/>
                <w:sz w:val="24"/>
              </w:rPr>
            </w:pPr>
            <w:r>
              <w:rPr>
                <w:rFonts w:hint="eastAsia" w:asciiTheme="minorEastAsia" w:hAnsiTheme="minorEastAsia" w:eastAsiaTheme="minorEastAsia"/>
                <w:sz w:val="24"/>
              </w:rPr>
              <w:t>2G</w:t>
            </w:r>
          </w:p>
        </w:tc>
      </w:tr>
      <w:tr w14:paraId="1564D1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0C0CA91B">
            <w:pPr>
              <w:jc w:val="center"/>
              <w:rPr>
                <w:rFonts w:hint="eastAsia" w:asciiTheme="minorEastAsia" w:hAnsiTheme="minorEastAsia" w:eastAsiaTheme="minorEastAsia"/>
                <w:sz w:val="24"/>
              </w:rPr>
            </w:pPr>
          </w:p>
        </w:tc>
        <w:tc>
          <w:tcPr>
            <w:tcW w:w="1109" w:type="pct"/>
            <w:shd w:val="clear" w:color="auto" w:fill="auto"/>
            <w:noWrap/>
            <w:vAlign w:val="center"/>
          </w:tcPr>
          <w:p w14:paraId="5CC03AD6">
            <w:pPr>
              <w:jc w:val="center"/>
              <w:rPr>
                <w:rFonts w:hint="eastAsia" w:asciiTheme="minorEastAsia" w:hAnsiTheme="minorEastAsia" w:eastAsiaTheme="minorEastAsia"/>
                <w:sz w:val="24"/>
              </w:rPr>
            </w:pPr>
            <w:r>
              <w:rPr>
                <w:rFonts w:hint="eastAsia" w:asciiTheme="minorEastAsia" w:hAnsiTheme="minorEastAsia" w:eastAsiaTheme="minorEastAsia"/>
                <w:sz w:val="24"/>
              </w:rPr>
              <w:t>1940-1955</w:t>
            </w:r>
          </w:p>
        </w:tc>
        <w:tc>
          <w:tcPr>
            <w:tcW w:w="1108" w:type="pct"/>
            <w:shd w:val="clear" w:color="auto" w:fill="auto"/>
            <w:noWrap/>
            <w:vAlign w:val="center"/>
          </w:tcPr>
          <w:p w14:paraId="559E0F43">
            <w:pPr>
              <w:jc w:val="center"/>
              <w:rPr>
                <w:rFonts w:hint="eastAsia" w:asciiTheme="minorEastAsia" w:hAnsiTheme="minorEastAsia" w:eastAsiaTheme="minorEastAsia"/>
                <w:sz w:val="24"/>
              </w:rPr>
            </w:pPr>
            <w:r>
              <w:rPr>
                <w:rFonts w:hint="eastAsia" w:asciiTheme="minorEastAsia" w:hAnsiTheme="minorEastAsia" w:eastAsiaTheme="minorEastAsia"/>
                <w:sz w:val="24"/>
              </w:rPr>
              <w:t>2130-2145</w:t>
            </w:r>
          </w:p>
        </w:tc>
        <w:tc>
          <w:tcPr>
            <w:tcW w:w="332" w:type="pct"/>
            <w:shd w:val="clear" w:color="auto" w:fill="auto"/>
            <w:noWrap/>
            <w:vAlign w:val="center"/>
          </w:tcPr>
          <w:p w14:paraId="2BBC7048">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shd w:val="clear" w:color="auto" w:fill="auto"/>
            <w:noWrap/>
            <w:vAlign w:val="center"/>
          </w:tcPr>
          <w:p w14:paraId="772C460E">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896" w:type="pct"/>
            <w:shd w:val="clear" w:color="auto" w:fill="auto"/>
            <w:noWrap/>
            <w:vAlign w:val="center"/>
          </w:tcPr>
          <w:p w14:paraId="7888875C">
            <w:pPr>
              <w:jc w:val="center"/>
              <w:rPr>
                <w:rFonts w:hint="eastAsia" w:asciiTheme="minorEastAsia" w:hAnsiTheme="minorEastAsia" w:eastAsiaTheme="minorEastAsia"/>
                <w:sz w:val="24"/>
              </w:rPr>
            </w:pPr>
            <w:r>
              <w:rPr>
                <w:rFonts w:hint="eastAsia" w:asciiTheme="minorEastAsia" w:hAnsiTheme="minorEastAsia" w:eastAsiaTheme="minorEastAsia"/>
                <w:sz w:val="24"/>
              </w:rPr>
              <w:t>WCDMA</w:t>
            </w:r>
          </w:p>
        </w:tc>
        <w:tc>
          <w:tcPr>
            <w:tcW w:w="506" w:type="pct"/>
            <w:shd w:val="clear" w:color="auto" w:fill="auto"/>
            <w:noWrap/>
            <w:vAlign w:val="center"/>
          </w:tcPr>
          <w:p w14:paraId="28BDD36D">
            <w:pPr>
              <w:jc w:val="center"/>
              <w:rPr>
                <w:rFonts w:hint="eastAsia" w:asciiTheme="minorEastAsia" w:hAnsiTheme="minorEastAsia" w:eastAsiaTheme="minorEastAsia"/>
                <w:sz w:val="24"/>
              </w:rPr>
            </w:pPr>
            <w:r>
              <w:rPr>
                <w:rFonts w:hint="eastAsia" w:asciiTheme="minorEastAsia" w:hAnsiTheme="minorEastAsia" w:eastAsiaTheme="minorEastAsia"/>
                <w:sz w:val="24"/>
              </w:rPr>
              <w:t>3G</w:t>
            </w:r>
          </w:p>
        </w:tc>
      </w:tr>
      <w:tr w14:paraId="5E9124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57D6E01E">
            <w:pPr>
              <w:jc w:val="center"/>
              <w:rPr>
                <w:rFonts w:hint="eastAsia" w:asciiTheme="minorEastAsia" w:hAnsiTheme="minorEastAsia" w:eastAsiaTheme="minorEastAsia"/>
                <w:sz w:val="24"/>
              </w:rPr>
            </w:pPr>
          </w:p>
        </w:tc>
        <w:tc>
          <w:tcPr>
            <w:tcW w:w="1109" w:type="pct"/>
            <w:shd w:val="clear" w:color="auto" w:fill="auto"/>
            <w:noWrap/>
            <w:vAlign w:val="center"/>
          </w:tcPr>
          <w:p w14:paraId="6960C95F">
            <w:pPr>
              <w:jc w:val="center"/>
              <w:rPr>
                <w:rFonts w:hint="eastAsia" w:asciiTheme="minorEastAsia" w:hAnsiTheme="minorEastAsia" w:eastAsiaTheme="minorEastAsia"/>
                <w:sz w:val="24"/>
              </w:rPr>
            </w:pPr>
            <w:r>
              <w:rPr>
                <w:rFonts w:hint="eastAsia" w:asciiTheme="minorEastAsia" w:hAnsiTheme="minorEastAsia" w:eastAsiaTheme="minorEastAsia"/>
                <w:sz w:val="24"/>
              </w:rPr>
              <w:t>904-915</w:t>
            </w:r>
          </w:p>
        </w:tc>
        <w:tc>
          <w:tcPr>
            <w:tcW w:w="1108" w:type="pct"/>
            <w:shd w:val="clear" w:color="auto" w:fill="auto"/>
            <w:noWrap/>
            <w:vAlign w:val="center"/>
          </w:tcPr>
          <w:p w14:paraId="411A1F9F">
            <w:pPr>
              <w:jc w:val="center"/>
              <w:rPr>
                <w:rFonts w:hint="eastAsia" w:asciiTheme="minorEastAsia" w:hAnsiTheme="minorEastAsia" w:eastAsiaTheme="minorEastAsia"/>
                <w:sz w:val="24"/>
              </w:rPr>
            </w:pPr>
            <w:r>
              <w:rPr>
                <w:rFonts w:hint="eastAsia" w:asciiTheme="minorEastAsia" w:hAnsiTheme="minorEastAsia" w:eastAsiaTheme="minorEastAsia"/>
                <w:sz w:val="24"/>
              </w:rPr>
              <w:t>949-960</w:t>
            </w:r>
          </w:p>
        </w:tc>
        <w:tc>
          <w:tcPr>
            <w:tcW w:w="332" w:type="pct"/>
            <w:shd w:val="clear" w:color="auto" w:fill="auto"/>
            <w:noWrap/>
            <w:vAlign w:val="center"/>
          </w:tcPr>
          <w:p w14:paraId="223BF5FF">
            <w:pPr>
              <w:jc w:val="center"/>
              <w:rPr>
                <w:rFonts w:hint="eastAsia" w:asciiTheme="minorEastAsia" w:hAnsiTheme="minorEastAsia" w:eastAsiaTheme="minorEastAsia"/>
                <w:sz w:val="24"/>
              </w:rPr>
            </w:pPr>
            <w:r>
              <w:rPr>
                <w:rFonts w:hint="eastAsia" w:asciiTheme="minorEastAsia" w:hAnsiTheme="minorEastAsia" w:eastAsiaTheme="minorEastAsia"/>
                <w:sz w:val="24"/>
              </w:rPr>
              <w:t>11</w:t>
            </w:r>
          </w:p>
        </w:tc>
        <w:tc>
          <w:tcPr>
            <w:tcW w:w="332" w:type="pct"/>
            <w:vMerge w:val="restart"/>
            <w:shd w:val="clear" w:color="auto" w:fill="auto"/>
            <w:noWrap/>
            <w:vAlign w:val="center"/>
          </w:tcPr>
          <w:p w14:paraId="71590C4E">
            <w:pPr>
              <w:jc w:val="center"/>
              <w:rPr>
                <w:rFonts w:hint="eastAsia" w:asciiTheme="minorEastAsia" w:hAnsiTheme="minorEastAsia" w:eastAsiaTheme="minorEastAsia"/>
                <w:sz w:val="24"/>
              </w:rPr>
            </w:pPr>
            <w:r>
              <w:rPr>
                <w:rFonts w:hint="eastAsia" w:asciiTheme="minorEastAsia" w:hAnsiTheme="minorEastAsia" w:eastAsiaTheme="minorEastAsia"/>
                <w:sz w:val="24"/>
              </w:rPr>
              <w:t>21</w:t>
            </w:r>
          </w:p>
        </w:tc>
        <w:tc>
          <w:tcPr>
            <w:tcW w:w="896" w:type="pct"/>
            <w:vMerge w:val="restart"/>
            <w:shd w:val="clear" w:color="auto" w:fill="auto"/>
            <w:noWrap/>
            <w:vAlign w:val="center"/>
          </w:tcPr>
          <w:p w14:paraId="0039EFEB">
            <w:pPr>
              <w:jc w:val="center"/>
              <w:rPr>
                <w:rFonts w:hint="eastAsia" w:asciiTheme="minorEastAsia" w:hAnsiTheme="minorEastAsia" w:eastAsiaTheme="minorEastAsia"/>
                <w:sz w:val="24"/>
              </w:rPr>
            </w:pPr>
            <w:r>
              <w:rPr>
                <w:rFonts w:hint="eastAsia" w:asciiTheme="minorEastAsia" w:hAnsiTheme="minorEastAsia" w:eastAsiaTheme="minorEastAsia"/>
                <w:sz w:val="24"/>
              </w:rPr>
              <w:t>LTE-FDD</w:t>
            </w:r>
          </w:p>
        </w:tc>
        <w:tc>
          <w:tcPr>
            <w:tcW w:w="506" w:type="pct"/>
            <w:vMerge w:val="restart"/>
            <w:shd w:val="clear" w:color="auto" w:fill="auto"/>
            <w:noWrap/>
            <w:vAlign w:val="center"/>
          </w:tcPr>
          <w:p w14:paraId="49B5CD48">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40A5D0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0140151F">
            <w:pPr>
              <w:jc w:val="center"/>
              <w:rPr>
                <w:rFonts w:hint="eastAsia" w:asciiTheme="minorEastAsia" w:hAnsiTheme="minorEastAsia" w:eastAsiaTheme="minorEastAsia"/>
                <w:sz w:val="24"/>
              </w:rPr>
            </w:pPr>
          </w:p>
        </w:tc>
        <w:tc>
          <w:tcPr>
            <w:tcW w:w="1109" w:type="pct"/>
            <w:shd w:val="clear" w:color="auto" w:fill="auto"/>
            <w:noWrap/>
            <w:vAlign w:val="center"/>
          </w:tcPr>
          <w:p w14:paraId="1276E9C8">
            <w:pPr>
              <w:jc w:val="center"/>
              <w:rPr>
                <w:rFonts w:hint="eastAsia" w:asciiTheme="minorEastAsia" w:hAnsiTheme="minorEastAsia" w:eastAsiaTheme="minorEastAsia"/>
                <w:sz w:val="24"/>
              </w:rPr>
            </w:pPr>
            <w:r>
              <w:rPr>
                <w:rFonts w:hint="eastAsia" w:asciiTheme="minorEastAsia" w:hAnsiTheme="minorEastAsia" w:eastAsiaTheme="minorEastAsia"/>
                <w:sz w:val="24"/>
              </w:rPr>
              <w:t>1755-1765</w:t>
            </w:r>
          </w:p>
        </w:tc>
        <w:tc>
          <w:tcPr>
            <w:tcW w:w="1108" w:type="pct"/>
            <w:shd w:val="clear" w:color="auto" w:fill="auto"/>
            <w:noWrap/>
            <w:vAlign w:val="center"/>
          </w:tcPr>
          <w:p w14:paraId="76F354E0">
            <w:pPr>
              <w:jc w:val="center"/>
              <w:rPr>
                <w:rFonts w:hint="eastAsia" w:asciiTheme="minorEastAsia" w:hAnsiTheme="minorEastAsia" w:eastAsiaTheme="minorEastAsia"/>
                <w:sz w:val="24"/>
              </w:rPr>
            </w:pPr>
            <w:r>
              <w:rPr>
                <w:rFonts w:hint="eastAsia" w:asciiTheme="minorEastAsia" w:hAnsiTheme="minorEastAsia" w:eastAsiaTheme="minorEastAsia"/>
                <w:sz w:val="24"/>
              </w:rPr>
              <w:t>1850-1860</w:t>
            </w:r>
          </w:p>
        </w:tc>
        <w:tc>
          <w:tcPr>
            <w:tcW w:w="332" w:type="pct"/>
            <w:shd w:val="clear" w:color="auto" w:fill="auto"/>
            <w:noWrap/>
            <w:vAlign w:val="center"/>
          </w:tcPr>
          <w:p w14:paraId="700C1C0E">
            <w:pPr>
              <w:jc w:val="center"/>
              <w:rPr>
                <w:rFonts w:hint="eastAsia" w:asciiTheme="minorEastAsia" w:hAnsiTheme="minorEastAsia" w:eastAsiaTheme="minorEastAsia"/>
                <w:sz w:val="24"/>
              </w:rPr>
            </w:pPr>
            <w:r>
              <w:rPr>
                <w:rFonts w:hint="eastAsia" w:asciiTheme="minorEastAsia" w:hAnsiTheme="minorEastAsia" w:eastAsiaTheme="minorEastAsia"/>
                <w:sz w:val="24"/>
              </w:rPr>
              <w:t>10</w:t>
            </w:r>
          </w:p>
        </w:tc>
        <w:tc>
          <w:tcPr>
            <w:tcW w:w="332" w:type="pct"/>
            <w:vMerge w:val="continue"/>
            <w:shd w:val="clear" w:color="auto" w:fill="auto"/>
            <w:vAlign w:val="center"/>
          </w:tcPr>
          <w:p w14:paraId="1B9D454A">
            <w:pPr>
              <w:jc w:val="center"/>
              <w:rPr>
                <w:rFonts w:hint="eastAsia" w:asciiTheme="minorEastAsia" w:hAnsiTheme="minorEastAsia" w:eastAsiaTheme="minorEastAsia"/>
                <w:sz w:val="24"/>
              </w:rPr>
            </w:pPr>
          </w:p>
        </w:tc>
        <w:tc>
          <w:tcPr>
            <w:tcW w:w="896" w:type="pct"/>
            <w:vMerge w:val="continue"/>
            <w:shd w:val="clear" w:color="auto" w:fill="auto"/>
            <w:vAlign w:val="center"/>
          </w:tcPr>
          <w:p w14:paraId="7B77F9A0">
            <w:pPr>
              <w:jc w:val="center"/>
              <w:rPr>
                <w:rFonts w:hint="eastAsia" w:asciiTheme="minorEastAsia" w:hAnsiTheme="minorEastAsia" w:eastAsiaTheme="minorEastAsia"/>
                <w:sz w:val="24"/>
              </w:rPr>
            </w:pPr>
          </w:p>
        </w:tc>
        <w:tc>
          <w:tcPr>
            <w:tcW w:w="506" w:type="pct"/>
            <w:vMerge w:val="continue"/>
            <w:shd w:val="clear" w:color="auto" w:fill="auto"/>
            <w:vAlign w:val="center"/>
          </w:tcPr>
          <w:p w14:paraId="44B075D9">
            <w:pPr>
              <w:jc w:val="center"/>
              <w:rPr>
                <w:rFonts w:hint="eastAsia" w:asciiTheme="minorEastAsia" w:hAnsiTheme="minorEastAsia" w:eastAsiaTheme="minorEastAsia"/>
                <w:sz w:val="24"/>
              </w:rPr>
            </w:pPr>
          </w:p>
        </w:tc>
      </w:tr>
      <w:tr w14:paraId="59B329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342CB60F">
            <w:pPr>
              <w:jc w:val="center"/>
              <w:rPr>
                <w:rFonts w:hint="eastAsia" w:asciiTheme="minorEastAsia" w:hAnsiTheme="minorEastAsia" w:eastAsiaTheme="minorEastAsia"/>
                <w:sz w:val="24"/>
              </w:rPr>
            </w:pPr>
          </w:p>
        </w:tc>
        <w:tc>
          <w:tcPr>
            <w:tcW w:w="1109" w:type="pct"/>
            <w:shd w:val="clear" w:color="auto" w:fill="auto"/>
            <w:noWrap/>
            <w:vAlign w:val="center"/>
          </w:tcPr>
          <w:p w14:paraId="32511DAA">
            <w:pPr>
              <w:jc w:val="center"/>
              <w:rPr>
                <w:rFonts w:hint="eastAsia" w:asciiTheme="minorEastAsia" w:hAnsiTheme="minorEastAsia" w:eastAsiaTheme="minorEastAsia"/>
                <w:sz w:val="24"/>
              </w:rPr>
            </w:pPr>
            <w:r>
              <w:rPr>
                <w:rFonts w:hint="eastAsia" w:asciiTheme="minorEastAsia" w:hAnsiTheme="minorEastAsia" w:eastAsiaTheme="minorEastAsia"/>
                <w:sz w:val="24"/>
              </w:rPr>
              <w:t>2300-2320</w:t>
            </w:r>
          </w:p>
        </w:tc>
        <w:tc>
          <w:tcPr>
            <w:tcW w:w="1108" w:type="pct"/>
            <w:shd w:val="clear" w:color="auto" w:fill="auto"/>
            <w:noWrap/>
            <w:vAlign w:val="center"/>
          </w:tcPr>
          <w:p w14:paraId="6CEBCFC8">
            <w:pPr>
              <w:jc w:val="center"/>
              <w:rPr>
                <w:rFonts w:hint="eastAsia" w:asciiTheme="minorEastAsia" w:hAnsiTheme="minorEastAsia" w:eastAsiaTheme="minorEastAsia"/>
                <w:sz w:val="24"/>
              </w:rPr>
            </w:pPr>
            <w:r>
              <w:rPr>
                <w:rFonts w:hint="eastAsia" w:asciiTheme="minorEastAsia" w:hAnsiTheme="minorEastAsia" w:eastAsiaTheme="minorEastAsia"/>
                <w:sz w:val="24"/>
              </w:rPr>
              <w:t>2300-2320</w:t>
            </w:r>
          </w:p>
        </w:tc>
        <w:tc>
          <w:tcPr>
            <w:tcW w:w="332" w:type="pct"/>
            <w:shd w:val="clear" w:color="auto" w:fill="auto"/>
            <w:noWrap/>
            <w:vAlign w:val="center"/>
          </w:tcPr>
          <w:p w14:paraId="2D8F215F">
            <w:pPr>
              <w:jc w:val="center"/>
              <w:rPr>
                <w:rFonts w:hint="eastAsia" w:asciiTheme="minorEastAsia" w:hAnsiTheme="minorEastAsia" w:eastAsiaTheme="minorEastAsia"/>
                <w:sz w:val="24"/>
              </w:rPr>
            </w:pPr>
            <w:r>
              <w:rPr>
                <w:rFonts w:hint="eastAsia" w:asciiTheme="minorEastAsia" w:hAnsiTheme="minorEastAsia" w:eastAsiaTheme="minorEastAsia"/>
                <w:sz w:val="24"/>
              </w:rPr>
              <w:t>20</w:t>
            </w:r>
          </w:p>
        </w:tc>
        <w:tc>
          <w:tcPr>
            <w:tcW w:w="332" w:type="pct"/>
            <w:shd w:val="clear" w:color="auto" w:fill="auto"/>
            <w:noWrap/>
            <w:vAlign w:val="center"/>
          </w:tcPr>
          <w:p w14:paraId="66FFFAC6">
            <w:pPr>
              <w:jc w:val="center"/>
              <w:rPr>
                <w:rFonts w:hint="eastAsia" w:asciiTheme="minorEastAsia" w:hAnsiTheme="minorEastAsia" w:eastAsiaTheme="minorEastAsia"/>
                <w:sz w:val="24"/>
              </w:rPr>
            </w:pPr>
            <w:r>
              <w:rPr>
                <w:rFonts w:hint="eastAsia" w:asciiTheme="minorEastAsia" w:hAnsiTheme="minorEastAsia" w:eastAsiaTheme="minorEastAsia"/>
                <w:sz w:val="24"/>
              </w:rPr>
              <w:t>20</w:t>
            </w:r>
          </w:p>
        </w:tc>
        <w:tc>
          <w:tcPr>
            <w:tcW w:w="896" w:type="pct"/>
            <w:shd w:val="clear" w:color="auto" w:fill="auto"/>
            <w:noWrap/>
            <w:vAlign w:val="center"/>
          </w:tcPr>
          <w:p w14:paraId="05445FCA">
            <w:pPr>
              <w:jc w:val="center"/>
              <w:rPr>
                <w:rFonts w:hint="eastAsia" w:asciiTheme="minorEastAsia" w:hAnsiTheme="minorEastAsia" w:eastAsiaTheme="minorEastAsia"/>
                <w:sz w:val="24"/>
              </w:rPr>
            </w:pPr>
            <w:r>
              <w:rPr>
                <w:rFonts w:hint="eastAsia" w:asciiTheme="minorEastAsia" w:hAnsiTheme="minorEastAsia" w:eastAsiaTheme="minorEastAsia"/>
                <w:sz w:val="24"/>
              </w:rPr>
              <w:t>TD-LTE</w:t>
            </w:r>
          </w:p>
        </w:tc>
        <w:tc>
          <w:tcPr>
            <w:tcW w:w="506" w:type="pct"/>
            <w:shd w:val="clear" w:color="auto" w:fill="auto"/>
            <w:noWrap/>
            <w:vAlign w:val="center"/>
          </w:tcPr>
          <w:p w14:paraId="2B1B8467">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37697D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49596025">
            <w:pPr>
              <w:jc w:val="center"/>
              <w:rPr>
                <w:rFonts w:hint="eastAsia" w:asciiTheme="minorEastAsia" w:hAnsiTheme="minorEastAsia" w:eastAsiaTheme="minorEastAsia"/>
                <w:sz w:val="24"/>
              </w:rPr>
            </w:pPr>
          </w:p>
        </w:tc>
        <w:tc>
          <w:tcPr>
            <w:tcW w:w="1109" w:type="pct"/>
            <w:shd w:val="clear" w:color="auto" w:fill="auto"/>
            <w:noWrap/>
            <w:vAlign w:val="center"/>
          </w:tcPr>
          <w:p w14:paraId="04CA3E04">
            <w:pPr>
              <w:jc w:val="center"/>
              <w:rPr>
                <w:rFonts w:hint="eastAsia" w:asciiTheme="minorEastAsia" w:hAnsiTheme="minorEastAsia" w:eastAsiaTheme="minorEastAsia"/>
                <w:sz w:val="24"/>
              </w:rPr>
            </w:pPr>
            <w:r>
              <w:rPr>
                <w:rFonts w:hint="eastAsia" w:asciiTheme="minorEastAsia" w:hAnsiTheme="minorEastAsia" w:eastAsiaTheme="minorEastAsia"/>
                <w:sz w:val="24"/>
              </w:rPr>
              <w:t>3500-3600</w:t>
            </w:r>
          </w:p>
        </w:tc>
        <w:tc>
          <w:tcPr>
            <w:tcW w:w="1108" w:type="pct"/>
            <w:shd w:val="clear" w:color="auto" w:fill="auto"/>
            <w:noWrap/>
            <w:vAlign w:val="center"/>
          </w:tcPr>
          <w:p w14:paraId="5DB9D95F">
            <w:pPr>
              <w:jc w:val="center"/>
              <w:rPr>
                <w:rFonts w:hint="eastAsia" w:asciiTheme="minorEastAsia" w:hAnsiTheme="minorEastAsia" w:eastAsiaTheme="minorEastAsia"/>
                <w:sz w:val="24"/>
              </w:rPr>
            </w:pPr>
            <w:r>
              <w:rPr>
                <w:rFonts w:hint="eastAsia" w:asciiTheme="minorEastAsia" w:hAnsiTheme="minorEastAsia" w:eastAsiaTheme="minorEastAsia"/>
                <w:sz w:val="24"/>
              </w:rPr>
              <w:t>3500-3600</w:t>
            </w:r>
          </w:p>
        </w:tc>
        <w:tc>
          <w:tcPr>
            <w:tcW w:w="332" w:type="pct"/>
            <w:shd w:val="clear" w:color="auto" w:fill="auto"/>
            <w:noWrap/>
            <w:vAlign w:val="center"/>
          </w:tcPr>
          <w:p w14:paraId="3DD4FB03">
            <w:pPr>
              <w:jc w:val="center"/>
              <w:rPr>
                <w:rFonts w:hint="eastAsia" w:asciiTheme="minorEastAsia" w:hAnsiTheme="minorEastAsia" w:eastAsiaTheme="minorEastAsia"/>
                <w:sz w:val="24"/>
              </w:rPr>
            </w:pPr>
            <w:r>
              <w:rPr>
                <w:rFonts w:hint="eastAsia" w:asciiTheme="minorEastAsia" w:hAnsiTheme="minorEastAsia" w:eastAsiaTheme="minorEastAsia"/>
                <w:sz w:val="24"/>
              </w:rPr>
              <w:t>100</w:t>
            </w:r>
          </w:p>
        </w:tc>
        <w:tc>
          <w:tcPr>
            <w:tcW w:w="332" w:type="pct"/>
            <w:shd w:val="clear" w:color="auto" w:fill="auto"/>
            <w:noWrap/>
            <w:vAlign w:val="center"/>
          </w:tcPr>
          <w:p w14:paraId="2EAE7257">
            <w:pPr>
              <w:jc w:val="center"/>
              <w:rPr>
                <w:rFonts w:hint="eastAsia" w:asciiTheme="minorEastAsia" w:hAnsiTheme="minorEastAsia" w:eastAsiaTheme="minorEastAsia"/>
                <w:sz w:val="24"/>
              </w:rPr>
            </w:pPr>
            <w:r>
              <w:rPr>
                <w:rFonts w:hint="eastAsia" w:asciiTheme="minorEastAsia" w:hAnsiTheme="minorEastAsia" w:eastAsiaTheme="minorEastAsia"/>
                <w:sz w:val="24"/>
              </w:rPr>
              <w:t>100</w:t>
            </w:r>
          </w:p>
        </w:tc>
        <w:tc>
          <w:tcPr>
            <w:tcW w:w="896" w:type="pct"/>
            <w:shd w:val="clear" w:color="auto" w:fill="auto"/>
            <w:noWrap/>
            <w:vAlign w:val="center"/>
          </w:tcPr>
          <w:p w14:paraId="75653BAF">
            <w:pPr>
              <w:jc w:val="center"/>
              <w:rPr>
                <w:rFonts w:hint="eastAsia" w:asciiTheme="minorEastAsia" w:hAnsiTheme="minorEastAsia" w:eastAsiaTheme="minorEastAsia"/>
                <w:sz w:val="24"/>
              </w:rPr>
            </w:pPr>
            <w:r>
              <w:rPr>
                <w:rFonts w:hint="eastAsia" w:asciiTheme="minorEastAsia" w:hAnsiTheme="minorEastAsia" w:eastAsiaTheme="minorEastAsia"/>
                <w:sz w:val="24"/>
              </w:rPr>
              <w:t>IMT-2020</w:t>
            </w:r>
          </w:p>
        </w:tc>
        <w:tc>
          <w:tcPr>
            <w:tcW w:w="506" w:type="pct"/>
            <w:shd w:val="clear" w:color="auto" w:fill="auto"/>
            <w:noWrap/>
            <w:vAlign w:val="center"/>
          </w:tcPr>
          <w:p w14:paraId="47AF9EBC">
            <w:pPr>
              <w:jc w:val="center"/>
              <w:rPr>
                <w:rFonts w:hint="eastAsia" w:asciiTheme="minorEastAsia" w:hAnsiTheme="minorEastAsia" w:eastAsiaTheme="minorEastAsia"/>
                <w:sz w:val="24"/>
              </w:rPr>
            </w:pPr>
            <w:r>
              <w:rPr>
                <w:rFonts w:hint="eastAsia" w:asciiTheme="minorEastAsia" w:hAnsiTheme="minorEastAsia" w:eastAsiaTheme="minorEastAsia"/>
                <w:sz w:val="24"/>
              </w:rPr>
              <w:t>5G</w:t>
            </w:r>
          </w:p>
        </w:tc>
      </w:tr>
      <w:tr w14:paraId="31A7C0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restart"/>
            <w:shd w:val="clear" w:color="auto" w:fill="auto"/>
            <w:noWrap/>
            <w:vAlign w:val="center"/>
          </w:tcPr>
          <w:p w14:paraId="64FB6EA4">
            <w:pPr>
              <w:jc w:val="center"/>
              <w:rPr>
                <w:rFonts w:hint="eastAsia" w:asciiTheme="minorEastAsia" w:hAnsiTheme="minorEastAsia" w:eastAsiaTheme="minorEastAsia"/>
                <w:sz w:val="24"/>
              </w:rPr>
            </w:pPr>
            <w:r>
              <w:rPr>
                <w:rFonts w:hint="eastAsia" w:asciiTheme="minorEastAsia" w:hAnsiTheme="minorEastAsia" w:eastAsiaTheme="minorEastAsia"/>
                <w:sz w:val="24"/>
              </w:rPr>
              <w:t>中国电信</w:t>
            </w:r>
          </w:p>
        </w:tc>
        <w:tc>
          <w:tcPr>
            <w:tcW w:w="1109" w:type="pct"/>
            <w:shd w:val="clear" w:color="auto" w:fill="auto"/>
            <w:noWrap/>
            <w:vAlign w:val="center"/>
          </w:tcPr>
          <w:p w14:paraId="1CD06E36">
            <w:pPr>
              <w:jc w:val="center"/>
              <w:rPr>
                <w:rFonts w:hint="eastAsia" w:asciiTheme="minorEastAsia" w:hAnsiTheme="minorEastAsia" w:eastAsiaTheme="minorEastAsia"/>
                <w:sz w:val="24"/>
              </w:rPr>
            </w:pPr>
            <w:r>
              <w:rPr>
                <w:rFonts w:hint="eastAsia" w:asciiTheme="minorEastAsia" w:hAnsiTheme="minorEastAsia" w:eastAsiaTheme="minorEastAsia"/>
                <w:sz w:val="24"/>
              </w:rPr>
              <w:t>825-840</w:t>
            </w:r>
          </w:p>
        </w:tc>
        <w:tc>
          <w:tcPr>
            <w:tcW w:w="1108" w:type="pct"/>
            <w:shd w:val="clear" w:color="auto" w:fill="auto"/>
            <w:noWrap/>
            <w:vAlign w:val="center"/>
          </w:tcPr>
          <w:p w14:paraId="0320BEED">
            <w:pPr>
              <w:jc w:val="center"/>
              <w:rPr>
                <w:rFonts w:hint="eastAsia" w:asciiTheme="minorEastAsia" w:hAnsiTheme="minorEastAsia" w:eastAsiaTheme="minorEastAsia"/>
                <w:sz w:val="24"/>
              </w:rPr>
            </w:pPr>
            <w:r>
              <w:rPr>
                <w:rFonts w:hint="eastAsia" w:asciiTheme="minorEastAsia" w:hAnsiTheme="minorEastAsia" w:eastAsiaTheme="minorEastAsia"/>
                <w:sz w:val="24"/>
              </w:rPr>
              <w:t>870-885</w:t>
            </w:r>
          </w:p>
        </w:tc>
        <w:tc>
          <w:tcPr>
            <w:tcW w:w="332" w:type="pct"/>
            <w:shd w:val="clear" w:color="auto" w:fill="auto"/>
            <w:noWrap/>
            <w:vAlign w:val="center"/>
          </w:tcPr>
          <w:p w14:paraId="1A492B25">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shd w:val="clear" w:color="auto" w:fill="auto"/>
            <w:noWrap/>
            <w:vAlign w:val="center"/>
          </w:tcPr>
          <w:p w14:paraId="0408E1E5">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896" w:type="pct"/>
            <w:shd w:val="clear" w:color="auto" w:fill="auto"/>
            <w:noWrap/>
            <w:vAlign w:val="center"/>
          </w:tcPr>
          <w:p w14:paraId="63CEC231">
            <w:pPr>
              <w:jc w:val="center"/>
              <w:rPr>
                <w:rFonts w:hint="eastAsia" w:asciiTheme="minorEastAsia" w:hAnsiTheme="minorEastAsia" w:eastAsiaTheme="minorEastAsia"/>
                <w:sz w:val="24"/>
              </w:rPr>
            </w:pPr>
            <w:r>
              <w:rPr>
                <w:rFonts w:hint="eastAsia" w:asciiTheme="minorEastAsia" w:hAnsiTheme="minorEastAsia" w:eastAsiaTheme="minorEastAsia"/>
                <w:sz w:val="24"/>
              </w:rPr>
              <w:t>CDMA/FDD</w:t>
            </w:r>
          </w:p>
        </w:tc>
        <w:tc>
          <w:tcPr>
            <w:tcW w:w="506" w:type="pct"/>
            <w:shd w:val="clear" w:color="auto" w:fill="auto"/>
            <w:noWrap/>
            <w:vAlign w:val="center"/>
          </w:tcPr>
          <w:p w14:paraId="0DFCADE4">
            <w:pPr>
              <w:jc w:val="center"/>
              <w:rPr>
                <w:rFonts w:hint="eastAsia" w:asciiTheme="minorEastAsia" w:hAnsiTheme="minorEastAsia" w:eastAsiaTheme="minorEastAsia"/>
                <w:sz w:val="24"/>
              </w:rPr>
            </w:pPr>
            <w:r>
              <w:rPr>
                <w:rFonts w:hint="eastAsia" w:asciiTheme="minorEastAsia" w:hAnsiTheme="minorEastAsia" w:eastAsiaTheme="minorEastAsia"/>
                <w:sz w:val="24"/>
              </w:rPr>
              <w:t>2G/4G</w:t>
            </w:r>
          </w:p>
        </w:tc>
      </w:tr>
      <w:tr w14:paraId="5B357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0B8BCD5D">
            <w:pPr>
              <w:jc w:val="center"/>
              <w:rPr>
                <w:rFonts w:hint="eastAsia" w:asciiTheme="minorEastAsia" w:hAnsiTheme="minorEastAsia" w:eastAsiaTheme="minorEastAsia"/>
                <w:sz w:val="24"/>
              </w:rPr>
            </w:pPr>
          </w:p>
        </w:tc>
        <w:tc>
          <w:tcPr>
            <w:tcW w:w="1109" w:type="pct"/>
            <w:shd w:val="clear" w:color="auto" w:fill="auto"/>
            <w:noWrap/>
            <w:vAlign w:val="center"/>
          </w:tcPr>
          <w:p w14:paraId="0D521BE4">
            <w:pPr>
              <w:jc w:val="center"/>
              <w:rPr>
                <w:rFonts w:hint="eastAsia" w:asciiTheme="minorEastAsia" w:hAnsiTheme="minorEastAsia" w:eastAsiaTheme="minorEastAsia"/>
                <w:sz w:val="24"/>
              </w:rPr>
            </w:pPr>
            <w:r>
              <w:rPr>
                <w:rFonts w:hint="eastAsia" w:asciiTheme="minorEastAsia" w:hAnsiTheme="minorEastAsia" w:eastAsiaTheme="minorEastAsia"/>
                <w:sz w:val="24"/>
              </w:rPr>
              <w:t>1920-1935</w:t>
            </w:r>
          </w:p>
        </w:tc>
        <w:tc>
          <w:tcPr>
            <w:tcW w:w="1108" w:type="pct"/>
            <w:shd w:val="clear" w:color="auto" w:fill="auto"/>
            <w:noWrap/>
            <w:vAlign w:val="center"/>
          </w:tcPr>
          <w:p w14:paraId="2204A8A9">
            <w:pPr>
              <w:jc w:val="center"/>
              <w:rPr>
                <w:rFonts w:hint="eastAsia" w:asciiTheme="minorEastAsia" w:hAnsiTheme="minorEastAsia" w:eastAsiaTheme="minorEastAsia"/>
                <w:sz w:val="24"/>
              </w:rPr>
            </w:pPr>
            <w:r>
              <w:rPr>
                <w:rFonts w:hint="eastAsia" w:asciiTheme="minorEastAsia" w:hAnsiTheme="minorEastAsia" w:eastAsiaTheme="minorEastAsia"/>
                <w:sz w:val="24"/>
              </w:rPr>
              <w:t>2110-2125</w:t>
            </w:r>
          </w:p>
        </w:tc>
        <w:tc>
          <w:tcPr>
            <w:tcW w:w="332" w:type="pct"/>
            <w:shd w:val="clear" w:color="auto" w:fill="auto"/>
            <w:noWrap/>
            <w:vAlign w:val="center"/>
          </w:tcPr>
          <w:p w14:paraId="27C72307">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shd w:val="clear" w:color="auto" w:fill="auto"/>
            <w:noWrap/>
            <w:vAlign w:val="center"/>
          </w:tcPr>
          <w:p w14:paraId="1D978FE6">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896" w:type="pct"/>
            <w:shd w:val="clear" w:color="auto" w:fill="auto"/>
            <w:noWrap/>
            <w:vAlign w:val="center"/>
          </w:tcPr>
          <w:p w14:paraId="5A78218D">
            <w:pPr>
              <w:jc w:val="center"/>
              <w:rPr>
                <w:rFonts w:hint="eastAsia" w:asciiTheme="minorEastAsia" w:hAnsiTheme="minorEastAsia" w:eastAsiaTheme="minorEastAsia"/>
                <w:sz w:val="24"/>
              </w:rPr>
            </w:pPr>
            <w:r>
              <w:rPr>
                <w:rFonts w:hint="eastAsia" w:asciiTheme="minorEastAsia" w:hAnsiTheme="minorEastAsia" w:eastAsiaTheme="minorEastAsia"/>
                <w:sz w:val="24"/>
              </w:rPr>
              <w:t>CDMA2000</w:t>
            </w:r>
          </w:p>
        </w:tc>
        <w:tc>
          <w:tcPr>
            <w:tcW w:w="506" w:type="pct"/>
            <w:shd w:val="clear" w:color="auto" w:fill="auto"/>
            <w:noWrap/>
            <w:vAlign w:val="center"/>
          </w:tcPr>
          <w:p w14:paraId="4DAC0480">
            <w:pPr>
              <w:jc w:val="center"/>
              <w:rPr>
                <w:rFonts w:hint="eastAsia" w:asciiTheme="minorEastAsia" w:hAnsiTheme="minorEastAsia" w:eastAsiaTheme="minorEastAsia"/>
                <w:sz w:val="24"/>
              </w:rPr>
            </w:pPr>
            <w:r>
              <w:rPr>
                <w:rFonts w:hint="eastAsia" w:asciiTheme="minorEastAsia" w:hAnsiTheme="minorEastAsia" w:eastAsiaTheme="minorEastAsia"/>
                <w:sz w:val="24"/>
              </w:rPr>
              <w:t>3G</w:t>
            </w:r>
          </w:p>
        </w:tc>
      </w:tr>
      <w:tr w14:paraId="3B9C4B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2D96CB4A">
            <w:pPr>
              <w:jc w:val="center"/>
              <w:rPr>
                <w:rFonts w:hint="eastAsia" w:asciiTheme="minorEastAsia" w:hAnsiTheme="minorEastAsia" w:eastAsiaTheme="minorEastAsia"/>
                <w:sz w:val="24"/>
              </w:rPr>
            </w:pPr>
          </w:p>
        </w:tc>
        <w:tc>
          <w:tcPr>
            <w:tcW w:w="1109" w:type="pct"/>
            <w:shd w:val="clear" w:color="auto" w:fill="auto"/>
            <w:noWrap/>
            <w:vAlign w:val="center"/>
          </w:tcPr>
          <w:p w14:paraId="0D019593">
            <w:pPr>
              <w:jc w:val="center"/>
              <w:rPr>
                <w:rFonts w:hint="eastAsia" w:asciiTheme="minorEastAsia" w:hAnsiTheme="minorEastAsia" w:eastAsiaTheme="minorEastAsia"/>
                <w:sz w:val="24"/>
              </w:rPr>
            </w:pPr>
            <w:r>
              <w:rPr>
                <w:rFonts w:hint="eastAsia" w:asciiTheme="minorEastAsia" w:hAnsiTheme="minorEastAsia" w:eastAsiaTheme="minorEastAsia"/>
                <w:sz w:val="24"/>
              </w:rPr>
              <w:t>826.7-837.7</w:t>
            </w:r>
          </w:p>
        </w:tc>
        <w:tc>
          <w:tcPr>
            <w:tcW w:w="1108" w:type="pct"/>
            <w:shd w:val="clear" w:color="auto" w:fill="auto"/>
            <w:noWrap/>
            <w:vAlign w:val="center"/>
          </w:tcPr>
          <w:p w14:paraId="10D3EB04">
            <w:pPr>
              <w:jc w:val="center"/>
              <w:rPr>
                <w:rFonts w:hint="eastAsia" w:asciiTheme="minorEastAsia" w:hAnsiTheme="minorEastAsia" w:eastAsiaTheme="minorEastAsia"/>
                <w:sz w:val="24"/>
              </w:rPr>
            </w:pPr>
            <w:r>
              <w:rPr>
                <w:rFonts w:hint="eastAsia" w:asciiTheme="minorEastAsia" w:hAnsiTheme="minorEastAsia" w:eastAsiaTheme="minorEastAsia"/>
                <w:sz w:val="24"/>
              </w:rPr>
              <w:t>871.7-876.7</w:t>
            </w:r>
          </w:p>
        </w:tc>
        <w:tc>
          <w:tcPr>
            <w:tcW w:w="332" w:type="pct"/>
            <w:shd w:val="clear" w:color="auto" w:fill="auto"/>
            <w:noWrap/>
            <w:vAlign w:val="center"/>
          </w:tcPr>
          <w:p w14:paraId="2CEBBE4A">
            <w:pPr>
              <w:jc w:val="center"/>
              <w:rPr>
                <w:rFonts w:hint="eastAsia" w:asciiTheme="minorEastAsia" w:hAnsiTheme="minorEastAsia" w:eastAsiaTheme="minorEastAsia"/>
                <w:sz w:val="24"/>
              </w:rPr>
            </w:pPr>
            <w:r>
              <w:rPr>
                <w:rFonts w:hint="eastAsia" w:asciiTheme="minorEastAsia" w:hAnsiTheme="minorEastAsia" w:eastAsiaTheme="minorEastAsia"/>
                <w:sz w:val="24"/>
              </w:rPr>
              <w:t>5</w:t>
            </w:r>
          </w:p>
        </w:tc>
        <w:tc>
          <w:tcPr>
            <w:tcW w:w="332" w:type="pct"/>
            <w:shd w:val="clear" w:color="auto" w:fill="auto"/>
            <w:noWrap/>
            <w:vAlign w:val="center"/>
          </w:tcPr>
          <w:p w14:paraId="6AEFDB72">
            <w:pPr>
              <w:jc w:val="center"/>
              <w:rPr>
                <w:rFonts w:hint="eastAsia" w:asciiTheme="minorEastAsia" w:hAnsiTheme="minorEastAsia" w:eastAsiaTheme="minorEastAsia"/>
                <w:sz w:val="24"/>
              </w:rPr>
            </w:pPr>
            <w:r>
              <w:rPr>
                <w:rFonts w:hint="eastAsia" w:asciiTheme="minorEastAsia" w:hAnsiTheme="minorEastAsia" w:eastAsiaTheme="minorEastAsia"/>
                <w:sz w:val="24"/>
              </w:rPr>
              <w:t>5</w:t>
            </w:r>
          </w:p>
        </w:tc>
        <w:tc>
          <w:tcPr>
            <w:tcW w:w="896" w:type="pct"/>
            <w:shd w:val="clear" w:color="auto" w:fill="auto"/>
            <w:noWrap/>
            <w:vAlign w:val="center"/>
          </w:tcPr>
          <w:p w14:paraId="0EC297F5">
            <w:pPr>
              <w:jc w:val="center"/>
              <w:rPr>
                <w:rFonts w:hint="eastAsia" w:asciiTheme="minorEastAsia" w:hAnsiTheme="minorEastAsia" w:eastAsiaTheme="minorEastAsia"/>
                <w:sz w:val="24"/>
              </w:rPr>
            </w:pPr>
            <w:r>
              <w:rPr>
                <w:rFonts w:hint="eastAsia" w:asciiTheme="minorEastAsia" w:hAnsiTheme="minorEastAsia" w:eastAsiaTheme="minorEastAsia"/>
                <w:sz w:val="24"/>
              </w:rPr>
              <w:t>LTE-FDD</w:t>
            </w:r>
          </w:p>
        </w:tc>
        <w:tc>
          <w:tcPr>
            <w:tcW w:w="506" w:type="pct"/>
            <w:shd w:val="clear" w:color="auto" w:fill="auto"/>
            <w:noWrap/>
            <w:vAlign w:val="center"/>
          </w:tcPr>
          <w:p w14:paraId="5A4C4913">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4515DC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75FBC432">
            <w:pPr>
              <w:jc w:val="center"/>
              <w:rPr>
                <w:rFonts w:hint="eastAsia" w:asciiTheme="minorEastAsia" w:hAnsiTheme="minorEastAsia" w:eastAsiaTheme="minorEastAsia"/>
                <w:sz w:val="24"/>
              </w:rPr>
            </w:pPr>
          </w:p>
        </w:tc>
        <w:tc>
          <w:tcPr>
            <w:tcW w:w="1109" w:type="pct"/>
            <w:shd w:val="clear" w:color="auto" w:fill="auto"/>
            <w:noWrap/>
            <w:vAlign w:val="center"/>
          </w:tcPr>
          <w:p w14:paraId="56A2B8BC">
            <w:pPr>
              <w:jc w:val="center"/>
              <w:rPr>
                <w:rFonts w:hint="eastAsia" w:asciiTheme="minorEastAsia" w:hAnsiTheme="minorEastAsia" w:eastAsiaTheme="minorEastAsia"/>
                <w:sz w:val="24"/>
              </w:rPr>
            </w:pPr>
            <w:r>
              <w:rPr>
                <w:rFonts w:hint="eastAsia" w:asciiTheme="minorEastAsia" w:hAnsiTheme="minorEastAsia" w:eastAsiaTheme="minorEastAsia"/>
                <w:sz w:val="24"/>
              </w:rPr>
              <w:t>1765-1780</w:t>
            </w:r>
          </w:p>
        </w:tc>
        <w:tc>
          <w:tcPr>
            <w:tcW w:w="1108" w:type="pct"/>
            <w:shd w:val="clear" w:color="auto" w:fill="auto"/>
            <w:noWrap/>
            <w:vAlign w:val="center"/>
          </w:tcPr>
          <w:p w14:paraId="3B95E6D4">
            <w:pPr>
              <w:jc w:val="center"/>
              <w:rPr>
                <w:rFonts w:hint="eastAsia" w:asciiTheme="minorEastAsia" w:hAnsiTheme="minorEastAsia" w:eastAsiaTheme="minorEastAsia"/>
                <w:sz w:val="24"/>
              </w:rPr>
            </w:pPr>
            <w:r>
              <w:rPr>
                <w:rFonts w:hint="eastAsia" w:asciiTheme="minorEastAsia" w:hAnsiTheme="minorEastAsia" w:eastAsiaTheme="minorEastAsia"/>
                <w:sz w:val="24"/>
              </w:rPr>
              <w:t>1860-1875</w:t>
            </w:r>
          </w:p>
        </w:tc>
        <w:tc>
          <w:tcPr>
            <w:tcW w:w="332" w:type="pct"/>
            <w:shd w:val="clear" w:color="auto" w:fill="auto"/>
            <w:noWrap/>
            <w:vAlign w:val="center"/>
          </w:tcPr>
          <w:p w14:paraId="00C52764">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332" w:type="pct"/>
            <w:shd w:val="clear" w:color="auto" w:fill="auto"/>
            <w:noWrap/>
            <w:vAlign w:val="center"/>
          </w:tcPr>
          <w:p w14:paraId="2684C8AC">
            <w:pPr>
              <w:jc w:val="center"/>
              <w:rPr>
                <w:rFonts w:hint="eastAsia" w:asciiTheme="minorEastAsia" w:hAnsiTheme="minorEastAsia" w:eastAsiaTheme="minorEastAsia"/>
                <w:sz w:val="24"/>
              </w:rPr>
            </w:pPr>
            <w:r>
              <w:rPr>
                <w:rFonts w:hint="eastAsia" w:asciiTheme="minorEastAsia" w:hAnsiTheme="minorEastAsia" w:eastAsiaTheme="minorEastAsia"/>
                <w:sz w:val="24"/>
              </w:rPr>
              <w:t>15</w:t>
            </w:r>
          </w:p>
        </w:tc>
        <w:tc>
          <w:tcPr>
            <w:tcW w:w="896" w:type="pct"/>
            <w:shd w:val="clear" w:color="auto" w:fill="auto"/>
            <w:noWrap/>
            <w:vAlign w:val="center"/>
          </w:tcPr>
          <w:p w14:paraId="4F1341CE">
            <w:pPr>
              <w:jc w:val="center"/>
              <w:rPr>
                <w:rFonts w:hint="eastAsia" w:asciiTheme="minorEastAsia" w:hAnsiTheme="minorEastAsia" w:eastAsiaTheme="minorEastAsia"/>
                <w:sz w:val="24"/>
              </w:rPr>
            </w:pPr>
            <w:r>
              <w:rPr>
                <w:rFonts w:hint="eastAsia" w:asciiTheme="minorEastAsia" w:hAnsiTheme="minorEastAsia" w:eastAsiaTheme="minorEastAsia"/>
                <w:sz w:val="24"/>
              </w:rPr>
              <w:t>LTE-FDD</w:t>
            </w:r>
          </w:p>
        </w:tc>
        <w:tc>
          <w:tcPr>
            <w:tcW w:w="506" w:type="pct"/>
            <w:shd w:val="clear" w:color="auto" w:fill="auto"/>
            <w:noWrap/>
            <w:vAlign w:val="center"/>
          </w:tcPr>
          <w:p w14:paraId="30D06094">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59810C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72C229BB">
            <w:pPr>
              <w:jc w:val="center"/>
              <w:rPr>
                <w:rFonts w:hint="eastAsia" w:asciiTheme="minorEastAsia" w:hAnsiTheme="minorEastAsia" w:eastAsiaTheme="minorEastAsia"/>
                <w:sz w:val="24"/>
              </w:rPr>
            </w:pPr>
          </w:p>
        </w:tc>
        <w:tc>
          <w:tcPr>
            <w:tcW w:w="1109" w:type="pct"/>
            <w:shd w:val="clear" w:color="auto" w:fill="auto"/>
            <w:noWrap/>
            <w:vAlign w:val="center"/>
          </w:tcPr>
          <w:p w14:paraId="1DC7DA6E">
            <w:pPr>
              <w:jc w:val="center"/>
              <w:rPr>
                <w:rFonts w:hint="eastAsia" w:asciiTheme="minorEastAsia" w:hAnsiTheme="minorEastAsia" w:eastAsiaTheme="minorEastAsia"/>
                <w:sz w:val="24"/>
              </w:rPr>
            </w:pPr>
            <w:r>
              <w:rPr>
                <w:rFonts w:hint="eastAsia" w:asciiTheme="minorEastAsia" w:hAnsiTheme="minorEastAsia" w:eastAsiaTheme="minorEastAsia"/>
                <w:sz w:val="24"/>
              </w:rPr>
              <w:t>2370-2390</w:t>
            </w:r>
          </w:p>
        </w:tc>
        <w:tc>
          <w:tcPr>
            <w:tcW w:w="1108" w:type="pct"/>
            <w:shd w:val="clear" w:color="auto" w:fill="auto"/>
            <w:noWrap/>
            <w:vAlign w:val="center"/>
          </w:tcPr>
          <w:p w14:paraId="17136C3B">
            <w:pPr>
              <w:jc w:val="center"/>
              <w:rPr>
                <w:rFonts w:hint="eastAsia" w:asciiTheme="minorEastAsia" w:hAnsiTheme="minorEastAsia" w:eastAsiaTheme="minorEastAsia"/>
                <w:sz w:val="24"/>
              </w:rPr>
            </w:pPr>
            <w:r>
              <w:rPr>
                <w:rFonts w:hint="eastAsia" w:asciiTheme="minorEastAsia" w:hAnsiTheme="minorEastAsia" w:eastAsiaTheme="minorEastAsia"/>
                <w:sz w:val="24"/>
              </w:rPr>
              <w:t>2370-2390</w:t>
            </w:r>
          </w:p>
        </w:tc>
        <w:tc>
          <w:tcPr>
            <w:tcW w:w="332" w:type="pct"/>
            <w:shd w:val="clear" w:color="auto" w:fill="auto"/>
            <w:noWrap/>
            <w:vAlign w:val="center"/>
          </w:tcPr>
          <w:p w14:paraId="5F2BC4BC">
            <w:pPr>
              <w:jc w:val="center"/>
              <w:rPr>
                <w:rFonts w:hint="eastAsia" w:asciiTheme="minorEastAsia" w:hAnsiTheme="minorEastAsia" w:eastAsiaTheme="minorEastAsia"/>
                <w:sz w:val="24"/>
              </w:rPr>
            </w:pPr>
            <w:r>
              <w:rPr>
                <w:rFonts w:hint="eastAsia" w:asciiTheme="minorEastAsia" w:hAnsiTheme="minorEastAsia" w:eastAsiaTheme="minorEastAsia"/>
                <w:sz w:val="24"/>
              </w:rPr>
              <w:t>20</w:t>
            </w:r>
          </w:p>
        </w:tc>
        <w:tc>
          <w:tcPr>
            <w:tcW w:w="332" w:type="pct"/>
            <w:shd w:val="clear" w:color="auto" w:fill="auto"/>
            <w:noWrap/>
            <w:vAlign w:val="center"/>
          </w:tcPr>
          <w:p w14:paraId="2D274E11">
            <w:pPr>
              <w:jc w:val="center"/>
              <w:rPr>
                <w:rFonts w:hint="eastAsia" w:asciiTheme="minorEastAsia" w:hAnsiTheme="minorEastAsia" w:eastAsiaTheme="minorEastAsia"/>
                <w:sz w:val="24"/>
              </w:rPr>
            </w:pPr>
            <w:r>
              <w:rPr>
                <w:rFonts w:hint="eastAsia" w:asciiTheme="minorEastAsia" w:hAnsiTheme="minorEastAsia" w:eastAsiaTheme="minorEastAsia"/>
                <w:sz w:val="24"/>
              </w:rPr>
              <w:t>20</w:t>
            </w:r>
          </w:p>
        </w:tc>
        <w:tc>
          <w:tcPr>
            <w:tcW w:w="896" w:type="pct"/>
            <w:shd w:val="clear" w:color="auto" w:fill="auto"/>
            <w:noWrap/>
            <w:vAlign w:val="center"/>
          </w:tcPr>
          <w:p w14:paraId="57EABFFC">
            <w:pPr>
              <w:jc w:val="center"/>
              <w:rPr>
                <w:rFonts w:hint="eastAsia" w:asciiTheme="minorEastAsia" w:hAnsiTheme="minorEastAsia" w:eastAsiaTheme="minorEastAsia"/>
                <w:sz w:val="24"/>
              </w:rPr>
            </w:pPr>
            <w:r>
              <w:rPr>
                <w:rFonts w:hint="eastAsia" w:asciiTheme="minorEastAsia" w:hAnsiTheme="minorEastAsia" w:eastAsiaTheme="minorEastAsia"/>
                <w:sz w:val="24"/>
              </w:rPr>
              <w:t>TD-LTE</w:t>
            </w:r>
          </w:p>
        </w:tc>
        <w:tc>
          <w:tcPr>
            <w:tcW w:w="506" w:type="pct"/>
            <w:shd w:val="clear" w:color="auto" w:fill="auto"/>
            <w:noWrap/>
            <w:vAlign w:val="center"/>
          </w:tcPr>
          <w:p w14:paraId="63D41045">
            <w:pPr>
              <w:jc w:val="center"/>
              <w:rPr>
                <w:rFonts w:hint="eastAsia" w:asciiTheme="minorEastAsia" w:hAnsiTheme="minorEastAsia" w:eastAsiaTheme="minorEastAsia"/>
                <w:sz w:val="24"/>
              </w:rPr>
            </w:pPr>
            <w:r>
              <w:rPr>
                <w:rFonts w:hint="eastAsia" w:asciiTheme="minorEastAsia" w:hAnsiTheme="minorEastAsia" w:eastAsiaTheme="minorEastAsia"/>
                <w:sz w:val="24"/>
              </w:rPr>
              <w:t>4G</w:t>
            </w:r>
          </w:p>
        </w:tc>
      </w:tr>
      <w:tr w14:paraId="5EFC42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46BEA26D">
            <w:pPr>
              <w:jc w:val="center"/>
              <w:rPr>
                <w:rFonts w:hint="eastAsia" w:asciiTheme="minorEastAsia" w:hAnsiTheme="minorEastAsia" w:eastAsiaTheme="minorEastAsia"/>
                <w:sz w:val="24"/>
              </w:rPr>
            </w:pPr>
          </w:p>
        </w:tc>
        <w:tc>
          <w:tcPr>
            <w:tcW w:w="1109" w:type="pct"/>
            <w:shd w:val="clear" w:color="auto" w:fill="auto"/>
            <w:noWrap/>
            <w:vAlign w:val="center"/>
          </w:tcPr>
          <w:p w14:paraId="1A6A0086">
            <w:pPr>
              <w:jc w:val="center"/>
              <w:rPr>
                <w:rFonts w:hint="eastAsia" w:asciiTheme="minorEastAsia" w:hAnsiTheme="minorEastAsia" w:eastAsiaTheme="minorEastAsia"/>
                <w:sz w:val="24"/>
              </w:rPr>
            </w:pPr>
            <w:r>
              <w:rPr>
                <w:rFonts w:hint="eastAsia" w:asciiTheme="minorEastAsia" w:hAnsiTheme="minorEastAsia" w:eastAsiaTheme="minorEastAsia"/>
                <w:sz w:val="24"/>
              </w:rPr>
              <w:t>3400-3500</w:t>
            </w:r>
          </w:p>
        </w:tc>
        <w:tc>
          <w:tcPr>
            <w:tcW w:w="1108" w:type="pct"/>
            <w:shd w:val="clear" w:color="auto" w:fill="auto"/>
            <w:noWrap/>
            <w:vAlign w:val="center"/>
          </w:tcPr>
          <w:p w14:paraId="6FA2CEBF">
            <w:pPr>
              <w:jc w:val="center"/>
              <w:rPr>
                <w:rFonts w:hint="eastAsia" w:asciiTheme="minorEastAsia" w:hAnsiTheme="minorEastAsia" w:eastAsiaTheme="minorEastAsia"/>
                <w:sz w:val="24"/>
              </w:rPr>
            </w:pPr>
            <w:r>
              <w:rPr>
                <w:rFonts w:hint="eastAsia" w:asciiTheme="minorEastAsia" w:hAnsiTheme="minorEastAsia" w:eastAsiaTheme="minorEastAsia"/>
                <w:sz w:val="24"/>
              </w:rPr>
              <w:t>3400-3500</w:t>
            </w:r>
          </w:p>
        </w:tc>
        <w:tc>
          <w:tcPr>
            <w:tcW w:w="332" w:type="pct"/>
            <w:shd w:val="clear" w:color="auto" w:fill="auto"/>
            <w:noWrap/>
            <w:vAlign w:val="center"/>
          </w:tcPr>
          <w:p w14:paraId="53E26CD2">
            <w:pPr>
              <w:jc w:val="center"/>
              <w:rPr>
                <w:rFonts w:hint="eastAsia" w:asciiTheme="minorEastAsia" w:hAnsiTheme="minorEastAsia" w:eastAsiaTheme="minorEastAsia"/>
                <w:sz w:val="24"/>
              </w:rPr>
            </w:pPr>
            <w:r>
              <w:rPr>
                <w:rFonts w:hint="eastAsia" w:asciiTheme="minorEastAsia" w:hAnsiTheme="minorEastAsia" w:eastAsiaTheme="minorEastAsia"/>
                <w:sz w:val="24"/>
              </w:rPr>
              <w:t>100</w:t>
            </w:r>
          </w:p>
        </w:tc>
        <w:tc>
          <w:tcPr>
            <w:tcW w:w="332" w:type="pct"/>
            <w:shd w:val="clear" w:color="auto" w:fill="auto"/>
            <w:noWrap/>
            <w:vAlign w:val="center"/>
          </w:tcPr>
          <w:p w14:paraId="3075A2CF">
            <w:pPr>
              <w:jc w:val="center"/>
              <w:rPr>
                <w:rFonts w:hint="eastAsia" w:asciiTheme="minorEastAsia" w:hAnsiTheme="minorEastAsia" w:eastAsiaTheme="minorEastAsia"/>
                <w:sz w:val="24"/>
              </w:rPr>
            </w:pPr>
            <w:r>
              <w:rPr>
                <w:rFonts w:hint="eastAsia" w:asciiTheme="minorEastAsia" w:hAnsiTheme="minorEastAsia" w:eastAsiaTheme="minorEastAsia"/>
                <w:sz w:val="24"/>
              </w:rPr>
              <w:t>100</w:t>
            </w:r>
          </w:p>
        </w:tc>
        <w:tc>
          <w:tcPr>
            <w:tcW w:w="896" w:type="pct"/>
            <w:shd w:val="clear" w:color="auto" w:fill="auto"/>
            <w:noWrap/>
            <w:vAlign w:val="center"/>
          </w:tcPr>
          <w:p w14:paraId="2BF3B5F8">
            <w:pPr>
              <w:jc w:val="center"/>
              <w:rPr>
                <w:rFonts w:hint="eastAsia" w:asciiTheme="minorEastAsia" w:hAnsiTheme="minorEastAsia" w:eastAsiaTheme="minorEastAsia"/>
                <w:sz w:val="24"/>
              </w:rPr>
            </w:pPr>
            <w:r>
              <w:rPr>
                <w:rFonts w:hint="eastAsia" w:asciiTheme="minorEastAsia" w:hAnsiTheme="minorEastAsia" w:eastAsiaTheme="minorEastAsia"/>
                <w:sz w:val="24"/>
              </w:rPr>
              <w:t>IMT-2020</w:t>
            </w:r>
          </w:p>
        </w:tc>
        <w:tc>
          <w:tcPr>
            <w:tcW w:w="506" w:type="pct"/>
            <w:shd w:val="clear" w:color="auto" w:fill="auto"/>
            <w:noWrap/>
            <w:vAlign w:val="center"/>
          </w:tcPr>
          <w:p w14:paraId="3F98AB9B">
            <w:pPr>
              <w:jc w:val="center"/>
              <w:rPr>
                <w:rFonts w:hint="eastAsia" w:asciiTheme="minorEastAsia" w:hAnsiTheme="minorEastAsia" w:eastAsiaTheme="minorEastAsia"/>
                <w:sz w:val="24"/>
              </w:rPr>
            </w:pPr>
            <w:r>
              <w:rPr>
                <w:rFonts w:hint="eastAsia" w:asciiTheme="minorEastAsia" w:hAnsiTheme="minorEastAsia" w:eastAsiaTheme="minorEastAsia"/>
                <w:sz w:val="24"/>
              </w:rPr>
              <w:t>5G</w:t>
            </w:r>
          </w:p>
        </w:tc>
      </w:tr>
      <w:tr w14:paraId="78F56C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restart"/>
            <w:shd w:val="clear" w:color="auto" w:fill="auto"/>
            <w:noWrap/>
            <w:vAlign w:val="center"/>
          </w:tcPr>
          <w:p w14:paraId="0E84D07C">
            <w:pPr>
              <w:jc w:val="center"/>
              <w:rPr>
                <w:rFonts w:hint="eastAsia" w:asciiTheme="minorEastAsia" w:hAnsiTheme="minorEastAsia" w:eastAsiaTheme="minorEastAsia"/>
                <w:sz w:val="24"/>
              </w:rPr>
            </w:pPr>
            <w:r>
              <w:rPr>
                <w:rFonts w:hint="eastAsia" w:asciiTheme="minorEastAsia" w:hAnsiTheme="minorEastAsia" w:eastAsiaTheme="minorEastAsia"/>
                <w:sz w:val="24"/>
              </w:rPr>
              <w:t>中国广电</w:t>
            </w:r>
          </w:p>
        </w:tc>
        <w:tc>
          <w:tcPr>
            <w:tcW w:w="1109" w:type="pct"/>
            <w:shd w:val="clear" w:color="auto" w:fill="auto"/>
            <w:noWrap/>
            <w:vAlign w:val="center"/>
          </w:tcPr>
          <w:p w14:paraId="183EE7BC">
            <w:pPr>
              <w:jc w:val="center"/>
              <w:rPr>
                <w:rFonts w:hint="eastAsia" w:asciiTheme="minorEastAsia" w:hAnsiTheme="minorEastAsia" w:eastAsiaTheme="minorEastAsia"/>
                <w:sz w:val="24"/>
              </w:rPr>
            </w:pPr>
            <w:r>
              <w:rPr>
                <w:rFonts w:hint="eastAsia" w:asciiTheme="minorEastAsia" w:hAnsiTheme="minorEastAsia" w:eastAsiaTheme="minorEastAsia"/>
                <w:sz w:val="24"/>
              </w:rPr>
              <w:t>702-798</w:t>
            </w:r>
          </w:p>
        </w:tc>
        <w:tc>
          <w:tcPr>
            <w:tcW w:w="1108" w:type="pct"/>
            <w:shd w:val="clear" w:color="auto" w:fill="auto"/>
            <w:noWrap/>
            <w:vAlign w:val="center"/>
          </w:tcPr>
          <w:p w14:paraId="404CE419">
            <w:pPr>
              <w:jc w:val="center"/>
              <w:rPr>
                <w:rFonts w:hint="eastAsia" w:asciiTheme="minorEastAsia" w:hAnsiTheme="minorEastAsia" w:eastAsiaTheme="minorEastAsia"/>
                <w:sz w:val="24"/>
              </w:rPr>
            </w:pPr>
            <w:r>
              <w:rPr>
                <w:rFonts w:hint="eastAsia" w:asciiTheme="minorEastAsia" w:hAnsiTheme="minorEastAsia" w:eastAsiaTheme="minorEastAsia"/>
                <w:sz w:val="24"/>
              </w:rPr>
              <w:t>702-798</w:t>
            </w:r>
          </w:p>
        </w:tc>
        <w:tc>
          <w:tcPr>
            <w:tcW w:w="332" w:type="pct"/>
            <w:shd w:val="clear" w:color="auto" w:fill="auto"/>
            <w:noWrap/>
            <w:vAlign w:val="center"/>
          </w:tcPr>
          <w:p w14:paraId="60D773E3">
            <w:pPr>
              <w:jc w:val="center"/>
              <w:rPr>
                <w:rFonts w:hint="eastAsia" w:asciiTheme="minorEastAsia" w:hAnsiTheme="minorEastAsia" w:eastAsiaTheme="minorEastAsia"/>
                <w:sz w:val="24"/>
              </w:rPr>
            </w:pPr>
            <w:r>
              <w:rPr>
                <w:rFonts w:hint="eastAsia" w:asciiTheme="minorEastAsia" w:hAnsiTheme="minorEastAsia" w:eastAsiaTheme="minorEastAsia"/>
                <w:sz w:val="24"/>
              </w:rPr>
              <w:t>96</w:t>
            </w:r>
          </w:p>
        </w:tc>
        <w:tc>
          <w:tcPr>
            <w:tcW w:w="332" w:type="pct"/>
            <w:shd w:val="clear" w:color="auto" w:fill="auto"/>
            <w:noWrap/>
            <w:vAlign w:val="center"/>
          </w:tcPr>
          <w:p w14:paraId="4485BF61">
            <w:pPr>
              <w:jc w:val="center"/>
              <w:rPr>
                <w:rFonts w:hint="eastAsia" w:asciiTheme="minorEastAsia" w:hAnsiTheme="minorEastAsia" w:eastAsiaTheme="minorEastAsia"/>
                <w:sz w:val="24"/>
              </w:rPr>
            </w:pPr>
            <w:r>
              <w:rPr>
                <w:rFonts w:hint="eastAsia" w:asciiTheme="minorEastAsia" w:hAnsiTheme="minorEastAsia" w:eastAsiaTheme="minorEastAsia"/>
                <w:sz w:val="24"/>
              </w:rPr>
              <w:t>96</w:t>
            </w:r>
          </w:p>
        </w:tc>
        <w:tc>
          <w:tcPr>
            <w:tcW w:w="896" w:type="pct"/>
            <w:shd w:val="clear" w:color="auto" w:fill="auto"/>
            <w:noWrap/>
            <w:vAlign w:val="center"/>
          </w:tcPr>
          <w:p w14:paraId="5A0BC600">
            <w:pPr>
              <w:jc w:val="center"/>
              <w:rPr>
                <w:rFonts w:hint="eastAsia" w:asciiTheme="minorEastAsia" w:hAnsiTheme="minorEastAsia" w:eastAsiaTheme="minorEastAsia"/>
                <w:sz w:val="24"/>
              </w:rPr>
            </w:pPr>
            <w:r>
              <w:rPr>
                <w:rFonts w:hint="eastAsia" w:asciiTheme="minorEastAsia" w:hAnsiTheme="minorEastAsia" w:eastAsiaTheme="minorEastAsia"/>
                <w:sz w:val="24"/>
              </w:rPr>
              <w:t>IMT-2020</w:t>
            </w:r>
          </w:p>
        </w:tc>
        <w:tc>
          <w:tcPr>
            <w:tcW w:w="506" w:type="pct"/>
            <w:shd w:val="clear" w:color="auto" w:fill="auto"/>
            <w:noWrap/>
            <w:vAlign w:val="center"/>
          </w:tcPr>
          <w:p w14:paraId="10B7DF12">
            <w:pPr>
              <w:jc w:val="center"/>
              <w:rPr>
                <w:rFonts w:hint="eastAsia" w:asciiTheme="minorEastAsia" w:hAnsiTheme="minorEastAsia" w:eastAsiaTheme="minorEastAsia"/>
                <w:sz w:val="24"/>
              </w:rPr>
            </w:pPr>
            <w:r>
              <w:rPr>
                <w:rFonts w:hint="eastAsia" w:asciiTheme="minorEastAsia" w:hAnsiTheme="minorEastAsia" w:eastAsiaTheme="minorEastAsia"/>
                <w:sz w:val="24"/>
              </w:rPr>
              <w:t>5G</w:t>
            </w:r>
          </w:p>
        </w:tc>
      </w:tr>
      <w:tr w14:paraId="7CA42F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16" w:type="pct"/>
            <w:vMerge w:val="continue"/>
            <w:shd w:val="clear" w:color="auto" w:fill="auto"/>
            <w:vAlign w:val="center"/>
          </w:tcPr>
          <w:p w14:paraId="7A5769C9">
            <w:pPr>
              <w:jc w:val="center"/>
              <w:rPr>
                <w:rFonts w:hint="eastAsia" w:asciiTheme="minorEastAsia" w:hAnsiTheme="minorEastAsia" w:eastAsiaTheme="minorEastAsia"/>
                <w:sz w:val="24"/>
              </w:rPr>
            </w:pPr>
          </w:p>
        </w:tc>
        <w:tc>
          <w:tcPr>
            <w:tcW w:w="1109" w:type="pct"/>
            <w:shd w:val="clear" w:color="auto" w:fill="auto"/>
            <w:noWrap/>
            <w:vAlign w:val="center"/>
          </w:tcPr>
          <w:p w14:paraId="068239BC">
            <w:pPr>
              <w:jc w:val="center"/>
              <w:rPr>
                <w:rFonts w:hint="eastAsia" w:asciiTheme="minorEastAsia" w:hAnsiTheme="minorEastAsia" w:eastAsiaTheme="minorEastAsia"/>
                <w:sz w:val="24"/>
              </w:rPr>
            </w:pPr>
            <w:r>
              <w:rPr>
                <w:rFonts w:hint="eastAsia" w:asciiTheme="minorEastAsia" w:hAnsiTheme="minorEastAsia" w:eastAsiaTheme="minorEastAsia"/>
                <w:sz w:val="24"/>
              </w:rPr>
              <w:t>4900-4960</w:t>
            </w:r>
          </w:p>
        </w:tc>
        <w:tc>
          <w:tcPr>
            <w:tcW w:w="1108" w:type="pct"/>
            <w:shd w:val="clear" w:color="auto" w:fill="auto"/>
            <w:noWrap/>
            <w:vAlign w:val="center"/>
          </w:tcPr>
          <w:p w14:paraId="4CEDA28F">
            <w:pPr>
              <w:jc w:val="center"/>
              <w:rPr>
                <w:rFonts w:hint="eastAsia" w:asciiTheme="minorEastAsia" w:hAnsiTheme="minorEastAsia" w:eastAsiaTheme="minorEastAsia"/>
                <w:sz w:val="24"/>
              </w:rPr>
            </w:pPr>
            <w:r>
              <w:rPr>
                <w:rFonts w:hint="eastAsia" w:asciiTheme="minorEastAsia" w:hAnsiTheme="minorEastAsia" w:eastAsiaTheme="minorEastAsia"/>
                <w:sz w:val="24"/>
              </w:rPr>
              <w:t>4900-4960</w:t>
            </w:r>
          </w:p>
        </w:tc>
        <w:tc>
          <w:tcPr>
            <w:tcW w:w="332" w:type="pct"/>
            <w:shd w:val="clear" w:color="auto" w:fill="auto"/>
            <w:noWrap/>
            <w:vAlign w:val="center"/>
          </w:tcPr>
          <w:p w14:paraId="538229CE">
            <w:pPr>
              <w:jc w:val="center"/>
              <w:rPr>
                <w:rFonts w:hint="eastAsia" w:asciiTheme="minorEastAsia" w:hAnsiTheme="minorEastAsia" w:eastAsiaTheme="minorEastAsia"/>
                <w:sz w:val="24"/>
              </w:rPr>
            </w:pPr>
            <w:r>
              <w:rPr>
                <w:rFonts w:hint="eastAsia" w:asciiTheme="minorEastAsia" w:hAnsiTheme="minorEastAsia" w:eastAsiaTheme="minorEastAsia"/>
                <w:sz w:val="24"/>
              </w:rPr>
              <w:t>60</w:t>
            </w:r>
          </w:p>
        </w:tc>
        <w:tc>
          <w:tcPr>
            <w:tcW w:w="332" w:type="pct"/>
            <w:shd w:val="clear" w:color="auto" w:fill="auto"/>
            <w:noWrap/>
            <w:vAlign w:val="center"/>
          </w:tcPr>
          <w:p w14:paraId="438AA638">
            <w:pPr>
              <w:jc w:val="center"/>
              <w:rPr>
                <w:rFonts w:hint="eastAsia" w:asciiTheme="minorEastAsia" w:hAnsiTheme="minorEastAsia" w:eastAsiaTheme="minorEastAsia"/>
                <w:sz w:val="24"/>
              </w:rPr>
            </w:pPr>
            <w:r>
              <w:rPr>
                <w:rFonts w:hint="eastAsia" w:asciiTheme="minorEastAsia" w:hAnsiTheme="minorEastAsia" w:eastAsiaTheme="minorEastAsia"/>
                <w:sz w:val="24"/>
              </w:rPr>
              <w:t>60</w:t>
            </w:r>
          </w:p>
        </w:tc>
        <w:tc>
          <w:tcPr>
            <w:tcW w:w="896" w:type="pct"/>
            <w:shd w:val="clear" w:color="auto" w:fill="auto"/>
            <w:noWrap/>
            <w:vAlign w:val="center"/>
          </w:tcPr>
          <w:p w14:paraId="391778C7">
            <w:pPr>
              <w:jc w:val="center"/>
              <w:rPr>
                <w:rFonts w:hint="eastAsia" w:asciiTheme="minorEastAsia" w:hAnsiTheme="minorEastAsia" w:eastAsiaTheme="minorEastAsia"/>
                <w:sz w:val="24"/>
              </w:rPr>
            </w:pPr>
            <w:r>
              <w:rPr>
                <w:rFonts w:hint="eastAsia" w:asciiTheme="minorEastAsia" w:hAnsiTheme="minorEastAsia" w:eastAsiaTheme="minorEastAsia"/>
                <w:sz w:val="24"/>
              </w:rPr>
              <w:t>IMT-2020</w:t>
            </w:r>
          </w:p>
        </w:tc>
        <w:tc>
          <w:tcPr>
            <w:tcW w:w="506" w:type="pct"/>
            <w:shd w:val="clear" w:color="auto" w:fill="auto"/>
            <w:noWrap/>
            <w:vAlign w:val="center"/>
          </w:tcPr>
          <w:p w14:paraId="54813A3E">
            <w:pPr>
              <w:jc w:val="center"/>
              <w:rPr>
                <w:rFonts w:hint="eastAsia" w:asciiTheme="minorEastAsia" w:hAnsiTheme="minorEastAsia" w:eastAsiaTheme="minorEastAsia"/>
                <w:sz w:val="24"/>
              </w:rPr>
            </w:pPr>
            <w:r>
              <w:rPr>
                <w:rFonts w:hint="eastAsia" w:asciiTheme="minorEastAsia" w:hAnsiTheme="minorEastAsia" w:eastAsiaTheme="minorEastAsia"/>
                <w:sz w:val="24"/>
              </w:rPr>
              <w:t>5G</w:t>
            </w:r>
          </w:p>
        </w:tc>
      </w:tr>
    </w:tbl>
    <w:p w14:paraId="38AD3E0A">
      <w:pPr>
        <w:pStyle w:val="32"/>
        <w:spacing w:line="360" w:lineRule="auto"/>
        <w:ind w:left="482" w:firstLine="0" w:firstLineChars="0"/>
        <w:rPr>
          <w:rFonts w:hint="eastAsia" w:asciiTheme="minorEastAsia" w:hAnsiTheme="minorEastAsia" w:eastAsiaTheme="minorEastAsia"/>
          <w:b/>
          <w:kern w:val="24"/>
          <w:sz w:val="28"/>
          <w:szCs w:val="28"/>
        </w:rPr>
      </w:pPr>
    </w:p>
    <w:p w14:paraId="263DBD01">
      <w:pPr>
        <w:pStyle w:val="32"/>
        <w:spacing w:line="360" w:lineRule="auto"/>
        <w:ind w:left="482" w:firstLine="0" w:firstLineChars="0"/>
        <w:rPr>
          <w:rFonts w:hint="eastAsia" w:asciiTheme="minorEastAsia" w:hAnsiTheme="minorEastAsia" w:eastAsiaTheme="minorEastAsia"/>
          <w:b/>
          <w:kern w:val="24"/>
          <w:sz w:val="28"/>
          <w:szCs w:val="28"/>
        </w:rPr>
      </w:pPr>
    </w:p>
    <w:p w14:paraId="41AF8C00">
      <w:pPr>
        <w:pStyle w:val="32"/>
        <w:numPr>
          <w:ilvl w:val="2"/>
          <w:numId w:val="11"/>
        </w:numPr>
        <w:spacing w:line="360" w:lineRule="auto"/>
        <w:ind w:left="0" w:firstLine="562"/>
        <w:rPr>
          <w:rFonts w:hint="eastAsia" w:asciiTheme="minorEastAsia" w:hAnsiTheme="minorEastAsia" w:eastAsiaTheme="minorEastAsia"/>
          <w:b/>
          <w:kern w:val="24"/>
          <w:sz w:val="28"/>
          <w:szCs w:val="28"/>
        </w:rPr>
      </w:pPr>
      <w:r>
        <w:rPr>
          <w:rFonts w:hint="eastAsia" w:asciiTheme="minorEastAsia" w:hAnsiTheme="minorEastAsia" w:eastAsiaTheme="minorEastAsia"/>
          <w:b/>
          <w:kern w:val="24"/>
          <w:sz w:val="28"/>
          <w:szCs w:val="28"/>
        </w:rPr>
        <w:t>中国电信</w:t>
      </w:r>
    </w:p>
    <w:p w14:paraId="069AC594">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根据发布的《中国电信5G技术白皮书》，中国电信认为从移动通信技术发展规律来看，5G技术和产业链的发展成熟需要一个长期过程，预计4G将与5G网络长期并存、有效协同。未来5G将与云计算、物联网等新型能力和网络相结合，实现与垂直行业的跨界融合，在电力、物流、银行、汽车、媒体、医疗、智慧城市等领域创新全新业态，为行业开拓巨大的价值增长空间。未来可通过精准定位目标市场，有效提高5G投资回报。</w:t>
      </w:r>
    </w:p>
    <w:p w14:paraId="7A9A6F9E">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中国电信未来5G网络总体演进原则及策略如下:</w:t>
      </w:r>
    </w:p>
    <w:p w14:paraId="11B8EABA">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中国电信网络演进将综合考虑业务需求、业务体验、技术方案的成熟性、终端产业链支撑、建设成本等因素，遵循如下原则:</w:t>
      </w:r>
    </w:p>
    <w:p w14:paraId="7E118B74">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①多网协同原则:5G和4G、WLAN等现网共同满足多场景业务需求，实现室内外网络协同;同时保证现有业务的平滑过渡，不造成现网业务中断和缺失。</w:t>
      </w:r>
    </w:p>
    <w:p w14:paraId="021FCF97">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②分阶段演进原则:避免对网络的大规模、频繁升级改造，保证网络的平稳运营。</w:t>
      </w:r>
    </w:p>
    <w:p w14:paraId="196B7D71">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③技术经济性原则:关键技术和方案的选择，需要基于技术经济比较，网络建设需要充分利用现有资源，实现固移资源协同和共享，并发挥差异化竞争优势。</w:t>
      </w:r>
    </w:p>
    <w:p w14:paraId="4BB82AA0">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总体策略为:“5G网络建设初期，中国电信将拥有一张2G、3G、4G、5G并存的网络，即便在5G网络的成熟期，4G和5G网络仍将长期并存，协同发展。中国电信5G网络演进分近期和中远期(面向CTNet2025网络重构)两个阶段，面对多种业务的不同需求,实现应用感知的多网络协同和基于统一承载、边缘计算等的固移融合。推动人工智能技术在5G网络资源、资源调度、绿色节能和边缘计算等方面应用，改变网络运营模式，实现智能5G。”</w:t>
      </w:r>
    </w:p>
    <w:p w14:paraId="73480D0B">
      <w:pPr>
        <w:pStyle w:val="32"/>
        <w:numPr>
          <w:ilvl w:val="2"/>
          <w:numId w:val="11"/>
        </w:numPr>
        <w:spacing w:line="360" w:lineRule="auto"/>
        <w:ind w:left="0" w:firstLine="562"/>
        <w:rPr>
          <w:rFonts w:hint="eastAsia" w:asciiTheme="minorEastAsia" w:hAnsiTheme="minorEastAsia" w:eastAsiaTheme="minorEastAsia"/>
          <w:b/>
          <w:kern w:val="24"/>
          <w:sz w:val="28"/>
          <w:szCs w:val="28"/>
        </w:rPr>
      </w:pPr>
      <w:r>
        <w:rPr>
          <w:rFonts w:hint="eastAsia" w:asciiTheme="minorEastAsia" w:hAnsiTheme="minorEastAsia" w:eastAsiaTheme="minorEastAsia"/>
          <w:b/>
          <w:kern w:val="24"/>
          <w:sz w:val="28"/>
          <w:szCs w:val="28"/>
        </w:rPr>
        <w:t>中国移动</w:t>
      </w:r>
    </w:p>
    <w:p w14:paraId="2E2965CB">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中国移动未来5G网络部署策略为:</w:t>
      </w:r>
    </w:p>
    <w:p w14:paraId="0532EDE6">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①坚持5G无线网与4G/4G+无线网优势互补，长期共存。其中，5G无线网优势是高容量、更强的业务能力与体验，4G无线网优势是现网覆盖好、建设成本低。应在高容量需求场景优先部署5G网络，发挥单比特建设成本和运营成本优势，应对容量持续增长需求。同时发挥4G网络MBB业务托底作用，不断增强连续和深度覆盖能力，降低5G网络深度覆盖要求。做好5G与4G/4G+网络协同，推动演进空口成熟与部署，给用户提供“全5G业务感受”。</w:t>
      </w:r>
    </w:p>
    <w:p w14:paraId="0DDD392B">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②面向投资效益，在4G频谱资源不足场景优先部署5G网络，同时在重点城市、核心区域开展连续部署。在4G穷尽频谱资源仍不能满足容量需求的场景优先部署5G网络,满足现实需求。在重点城市，核心城区进行5G连续部署，确保5G网络口碑、保持网络领先，满足竞争需求。基于现网站址共址建设5G网络，整合现网天面资源，最大限度降低建设费用和租金。</w:t>
      </w:r>
    </w:p>
    <w:p w14:paraId="7AE6EB54">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③面向5G业务生态多样性，综合利用多种网络能力实现5G网络部署与业务紧耦合。制定垂直行业端到端整体解决方案，匹配业务需求与各制式网络能力，综合应用各种网络手段满足业务需求。</w:t>
      </w:r>
    </w:p>
    <w:p w14:paraId="07DEE503">
      <w:pPr>
        <w:pStyle w:val="32"/>
        <w:numPr>
          <w:ilvl w:val="2"/>
          <w:numId w:val="11"/>
        </w:numPr>
        <w:spacing w:line="360" w:lineRule="auto"/>
        <w:ind w:left="0" w:firstLine="562"/>
        <w:rPr>
          <w:rFonts w:hint="eastAsia" w:asciiTheme="minorEastAsia" w:hAnsiTheme="minorEastAsia" w:eastAsiaTheme="minorEastAsia"/>
          <w:b/>
          <w:kern w:val="24"/>
          <w:sz w:val="28"/>
          <w:szCs w:val="28"/>
        </w:rPr>
      </w:pPr>
      <w:r>
        <w:rPr>
          <w:rFonts w:hint="eastAsia" w:asciiTheme="minorEastAsia" w:hAnsiTheme="minorEastAsia" w:eastAsiaTheme="minorEastAsia"/>
          <w:b/>
          <w:kern w:val="24"/>
          <w:sz w:val="28"/>
          <w:szCs w:val="28"/>
        </w:rPr>
        <w:t>中国联通</w:t>
      </w:r>
    </w:p>
    <w:p w14:paraId="0D04625C">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根据《中国联通5G网络演进白皮书》，未来中国联通5G网络架构“将是构建在NFV和SDN技术之上的满足万物互联、超低时延、超高速率、灵活可靠等特性的网络，全面体现了网络融合化、灵活化、弹性化、智能化的新阶段要求，全力拥抱ICT技术发展趋势和应用迸发浪潮”。“愿景中的5G网络具备虚拟化、组件化、可编排等功能，各种不同的业务场景由不同的网络切片来负责，接入网、传输网和核心网之间进行跨域管理和编排，实现从专用的电信网络到通用网络平台的转变。”</w:t>
      </w:r>
    </w:p>
    <w:p w14:paraId="7C3E14B9">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中国联通5G网络发展规划的分步实施战略如下:</w:t>
      </w:r>
    </w:p>
    <w:p w14:paraId="74ADEAF9">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①阶段一:5G网络的探索期。在该阶段，中国联通将以增强的移动宽带eMBB业务和大连接物联网mMTC业务为切入点，对重点的5G关键技术进行探索，完成5G网络的候选频段的分析验证,无线空口技术的接入方案设计,以及虚拟化技术的试点验证等工作。</w:t>
      </w:r>
    </w:p>
    <w:p w14:paraId="4F1C56B4">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②阶段二:5G网络的雏形期。在该阶段，低时延高可靠的UMTC业务将逐步发展，原有的LTE/EPC系统演进在支持这类应用上存在瓶颈，因此，中国联通将在热点地区试点部署5G新型核心网，支持UMTC业务，实现5G新型核心网和VvEPC的统一-部署，并完成5G网络候选频段的选择和应用。</w:t>
      </w:r>
    </w:p>
    <w:p w14:paraId="0D372829">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③阶段三:5G网络的成熟期。在该阶段，中国联通将逐步减小EPC的投资建设，扩大5G新型核心网的部署，扩大5G基站的投资，无线侧NR能力得到进一步的开发，所有5G需支持的新型业务类型得到充分保障。</w:t>
      </w:r>
    </w:p>
    <w:p w14:paraId="180C6E89">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按照中国联通发布的&lt;5G基站设备技术白皮书》，关于5G网络长期演进目标，中国联通5G网络建设远景目标是建设“4G+5G"两张网，两张目标网的定位如下:</w:t>
      </w:r>
    </w:p>
    <w:p w14:paraId="2FF935BE">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①5G目标网，以3.5GHz频段作为城区连续覆盖的主力频段，2.1GHz频段可用于提高5G覆盖及容量补充，后续新申请的毫米波频段(26GHz+40GHz)作为城区数据热点的重要补充。</w:t>
      </w:r>
    </w:p>
    <w:p w14:paraId="068F87CE">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②4G目标网，以900MHz和1800MHz频段作为主要频段，900MHz主要用于广覆盖(兼顾NB-IoT、eMTC等物联网业务)，1800MHz为LTE网络容量层(远期根据4G业务量情况逐步重耕用于5G)。</w:t>
      </w:r>
    </w:p>
    <w:p w14:paraId="4B598BC7">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③2G和3G网络将逐步实现退网，将频率重耕用于4G和5G。</w:t>
      </w:r>
    </w:p>
    <w:p w14:paraId="455435FF">
      <w:pPr>
        <w:pStyle w:val="32"/>
        <w:numPr>
          <w:ilvl w:val="2"/>
          <w:numId w:val="11"/>
        </w:numPr>
        <w:spacing w:line="360" w:lineRule="auto"/>
        <w:ind w:left="0" w:firstLine="562"/>
        <w:rPr>
          <w:rFonts w:hint="eastAsia" w:asciiTheme="minorEastAsia" w:hAnsiTheme="minorEastAsia" w:eastAsiaTheme="minorEastAsia"/>
          <w:b/>
          <w:kern w:val="24"/>
          <w:sz w:val="28"/>
          <w:szCs w:val="28"/>
        </w:rPr>
      </w:pPr>
      <w:r>
        <w:rPr>
          <w:rFonts w:hint="eastAsia" w:asciiTheme="minorEastAsia" w:hAnsiTheme="minorEastAsia" w:eastAsiaTheme="minorEastAsia"/>
          <w:b/>
          <w:kern w:val="24"/>
          <w:sz w:val="28"/>
          <w:szCs w:val="28"/>
        </w:rPr>
        <w:t>中国广电</w:t>
      </w:r>
    </w:p>
    <w:p w14:paraId="4AA85645">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根据国家广播电视总局发布的《关于促进智慧广电发展的指导意见》，未来将加快智慧广电建设，以深化广播电视与新一代信息技术融合创新为重点，推动广播电视从数字化网络化向智慧化发展，力争用3-5年时间，广播电视在内容制作、分发传播、用户服务、技术支撑、生态建设以及运行管理等方面的智慧化发展协同推进。</w:t>
      </w:r>
    </w:p>
    <w:p w14:paraId="37027EB7">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其重点任务之一为“加快智慧广电传播体系建设”，以服务用户为中心，加快广播电视网络传播体系整体性转型升级，加快大数据、云计算、互联网协议第六版(IPv6)、第五代移动通信(5G)等新一代信息技术在广播电视网络中的部署和应用，推动“云、网、端”资源要素相互融合和智能配置，构建高速、泛在、智慧、安全的新型综合广播电视传播覆盖体系和用户服务体系。加快建立面向5G的移动交互广播电视技术体系。统筹无线广播电视数字化与下一代无线通信技术发展，推动融合演进、协同创新、重点突破，加快构建面向移动人群的新型无线广播电视网络，加强技术研发、标准制定，推进技术试验和应用试点。</w:t>
      </w:r>
    </w:p>
    <w:p w14:paraId="2333F467">
      <w:pPr>
        <w:pStyle w:val="39"/>
        <w:ind w:firstLine="560"/>
        <w:rPr>
          <w:szCs w:val="28"/>
        </w:rPr>
      </w:pPr>
      <w:r>
        <w:rPr>
          <w:rFonts w:hint="eastAsia" w:asciiTheme="minorEastAsia" w:hAnsiTheme="minorEastAsia" w:eastAsiaTheme="minorEastAsia"/>
          <w:kern w:val="24"/>
          <w:szCs w:val="28"/>
        </w:rPr>
        <w:t>在实践“智慧广电”的策略上，中国广电未来将搭建一套“智慧广电”标准体系，建设互联互通平台、移动多媒体交互广播电视网两张智能化基础承载网络，并基于移动多媒体交互广播电视网，支撑广电物联网业务发展，搭建开放平台，聚合省网、设备商、系统集成、应用开发等上下游企业，发挥各自优势，形成生态圈，快速响应个人/行业客户需求。部署适合物联网的有线/无线高、中、低速连接。以智慧家居、智慧城市、行业应用为应用示范做引导。</w:t>
      </w:r>
    </w:p>
    <w:p w14:paraId="12FF48BB">
      <w:pPr>
        <w:pStyle w:val="6"/>
      </w:pPr>
      <w:r>
        <w:rPr>
          <w:rFonts w:hint="eastAsia"/>
        </w:rPr>
        <w:t>移动通信网络覆盖区域划分</w:t>
      </w:r>
    </w:p>
    <w:p w14:paraId="39CC53D2">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无线网络规划中的区域分类指按一定的规则对有效覆盖区域进行划分和归类。不同区域类型的覆盖区有不同的特点，需采用不同的设计原则和服务等级，以达到通信质量和建设成本的平衡，获得最优的资源配置。区域分类最终是要用于覆盖和容量计算，因此影响区域分类的考量因素应该是地理环境和业务分布的不同特点，应基于地理环境和业务分布特点的差异建立区域分类的判定标准。</w:t>
      </w:r>
    </w:p>
    <w:p w14:paraId="6EB86E30">
      <w:pPr>
        <w:pStyle w:val="7"/>
      </w:pPr>
      <w:bookmarkStart w:id="75" w:name="_Toc60177503"/>
      <w:r>
        <w:rPr>
          <w:rFonts w:hint="eastAsia"/>
        </w:rPr>
        <w:t>分区设置标准</w:t>
      </w:r>
      <w:bookmarkEnd w:id="75"/>
    </w:p>
    <w:p w14:paraId="34680B8B">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无线传播特性主要受地物地貌、建筑物材料和分布、植被、车流、人流、自然和人为电磁噪声等多个因素影响。移动通信网络的绝大部分服务区域的无线传播环境可分为密集市区、一般市区、县城、乡镇镇区和农村、线状6大类。基站分区表的具体描述可参见下表：</w:t>
      </w:r>
    </w:p>
    <w:p w14:paraId="168FA0C0">
      <w:pPr>
        <w:pStyle w:val="32"/>
        <w:spacing w:line="500" w:lineRule="exact"/>
        <w:ind w:firstLine="0" w:firstLineChars="0"/>
        <w:jc w:val="center"/>
        <w:rPr>
          <w:rFonts w:hint="eastAsia" w:asciiTheme="minorEastAsia" w:hAnsiTheme="minorEastAsia" w:eastAsiaTheme="minorEastAsia"/>
          <w:sz w:val="28"/>
          <w:szCs w:val="28"/>
        </w:rPr>
      </w:pPr>
      <w:r>
        <w:rPr>
          <w:rFonts w:hint="eastAsia" w:ascii="宋体" w:hAnsi="宋体" w:cs="宋体"/>
          <w:sz w:val="28"/>
          <w:szCs w:val="28"/>
        </w:rPr>
        <w:t>表4-</w:t>
      </w:r>
      <w:r>
        <w:rPr>
          <w:rFonts w:ascii="宋体" w:hAnsi="宋体" w:cs="宋体"/>
          <w:sz w:val="28"/>
          <w:szCs w:val="28"/>
        </w:rPr>
        <w:t xml:space="preserve">2 </w:t>
      </w:r>
      <w:r>
        <w:rPr>
          <w:rFonts w:hint="eastAsia" w:ascii="宋体" w:hAnsi="宋体" w:cs="宋体"/>
          <w:sz w:val="28"/>
          <w:szCs w:val="28"/>
        </w:rPr>
        <w:t>基站分区表</w:t>
      </w:r>
    </w:p>
    <w:tbl>
      <w:tblPr>
        <w:tblStyle w:val="20"/>
        <w:tblW w:w="5000" w:type="pct"/>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108" w:type="dxa"/>
          <w:bottom w:w="0" w:type="dxa"/>
          <w:right w:w="108" w:type="dxa"/>
        </w:tblCellMar>
      </w:tblPr>
      <w:tblGrid>
        <w:gridCol w:w="1191"/>
        <w:gridCol w:w="2616"/>
        <w:gridCol w:w="2931"/>
        <w:gridCol w:w="2166"/>
      </w:tblGrid>
      <w:tr w14:paraId="6702AD5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471" w:hRule="exact"/>
          <w:tblHeader/>
          <w:jc w:val="center"/>
        </w:trPr>
        <w:tc>
          <w:tcPr>
            <w:tcW w:w="669" w:type="pct"/>
            <w:shd w:val="clear" w:color="auto" w:fill="EEECE1" w:themeFill="background2"/>
            <w:vAlign w:val="center"/>
          </w:tcPr>
          <w:p w14:paraId="1F16A3A5">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区域类型</w:t>
            </w:r>
          </w:p>
        </w:tc>
        <w:tc>
          <w:tcPr>
            <w:tcW w:w="1469" w:type="pct"/>
            <w:shd w:val="clear" w:color="auto" w:fill="EEECE1" w:themeFill="background2"/>
            <w:vAlign w:val="center"/>
          </w:tcPr>
          <w:p w14:paraId="4290A5C4">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区域划分描述</w:t>
            </w:r>
          </w:p>
        </w:tc>
        <w:tc>
          <w:tcPr>
            <w:tcW w:w="1646" w:type="pct"/>
            <w:shd w:val="clear" w:color="auto" w:fill="EEECE1" w:themeFill="background2"/>
            <w:vAlign w:val="center"/>
          </w:tcPr>
          <w:p w14:paraId="42342C37">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区域特点描述</w:t>
            </w:r>
          </w:p>
        </w:tc>
        <w:tc>
          <w:tcPr>
            <w:tcW w:w="1217" w:type="pct"/>
            <w:shd w:val="clear" w:color="auto" w:fill="EEECE1" w:themeFill="background2"/>
            <w:vAlign w:val="center"/>
          </w:tcPr>
          <w:p w14:paraId="669115EA">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归属区域</w:t>
            </w:r>
          </w:p>
        </w:tc>
      </w:tr>
      <w:tr w14:paraId="2A779C1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3" w:hRule="atLeast"/>
          <w:jc w:val="center"/>
        </w:trPr>
        <w:tc>
          <w:tcPr>
            <w:tcW w:w="669" w:type="pct"/>
            <w:vAlign w:val="center"/>
          </w:tcPr>
          <w:p w14:paraId="6CC0BBB1">
            <w:pPr>
              <w:jc w:val="center"/>
              <w:rPr>
                <w:rFonts w:hint="eastAsia" w:asciiTheme="minorEastAsia" w:hAnsiTheme="minorEastAsia" w:eastAsiaTheme="minorEastAsia"/>
                <w:sz w:val="24"/>
              </w:rPr>
            </w:pPr>
            <w:r>
              <w:rPr>
                <w:rFonts w:hint="eastAsia" w:asciiTheme="minorEastAsia" w:hAnsiTheme="minorEastAsia" w:eastAsiaTheme="minorEastAsia"/>
                <w:sz w:val="24"/>
              </w:rPr>
              <w:t>密集市区</w:t>
            </w:r>
          </w:p>
        </w:tc>
        <w:tc>
          <w:tcPr>
            <w:tcW w:w="1469" w:type="pct"/>
            <w:vAlign w:val="center"/>
          </w:tcPr>
          <w:p w14:paraId="38ED7461">
            <w:pPr>
              <w:jc w:val="center"/>
              <w:rPr>
                <w:rFonts w:hint="eastAsia" w:asciiTheme="minorEastAsia" w:hAnsiTheme="minorEastAsia" w:eastAsiaTheme="minorEastAsia"/>
                <w:sz w:val="24"/>
              </w:rPr>
            </w:pPr>
            <w:r>
              <w:rPr>
                <w:rFonts w:hint="eastAsia" w:asciiTheme="minorEastAsia" w:hAnsiTheme="minorEastAsia" w:eastAsiaTheme="minorEastAsia"/>
                <w:sz w:val="24"/>
              </w:rPr>
              <w:t>城市商业中心区，城区大型公共活动场所，市级、区级商业服务设施用地、专业市场用地，客运交通枢纽用地，城区主要高层住宅区等。</w:t>
            </w:r>
          </w:p>
        </w:tc>
        <w:tc>
          <w:tcPr>
            <w:tcW w:w="1646" w:type="pct"/>
            <w:vAlign w:val="center"/>
          </w:tcPr>
          <w:p w14:paraId="0896897B">
            <w:pPr>
              <w:jc w:val="center"/>
              <w:rPr>
                <w:rFonts w:hint="eastAsia" w:asciiTheme="minorEastAsia" w:hAnsiTheme="minorEastAsia" w:eastAsiaTheme="minorEastAsia"/>
                <w:sz w:val="24"/>
              </w:rPr>
            </w:pPr>
            <w:r>
              <w:rPr>
                <w:rFonts w:hint="eastAsia" w:asciiTheme="minorEastAsia" w:hAnsiTheme="minorEastAsia" w:eastAsiaTheme="minorEastAsia"/>
                <w:sz w:val="24"/>
              </w:rPr>
              <w:t>多属于城市中心，区域内建筑物平均高度或平均密度明显高于城市内周围建筑物，地形相对平坦，中高层建筑较多。</w:t>
            </w:r>
          </w:p>
        </w:tc>
        <w:tc>
          <w:tcPr>
            <w:tcW w:w="1217" w:type="pct"/>
            <w:vAlign w:val="center"/>
          </w:tcPr>
          <w:p w14:paraId="1224D7CD">
            <w:pPr>
              <w:jc w:val="center"/>
              <w:rPr>
                <w:rFonts w:hint="eastAsia" w:asciiTheme="minorEastAsia" w:hAnsiTheme="minorEastAsia" w:eastAsiaTheme="minorEastAsia"/>
                <w:sz w:val="24"/>
              </w:rPr>
            </w:pPr>
            <w:r>
              <w:rPr>
                <w:rFonts w:hint="eastAsia" w:asciiTheme="minorEastAsia" w:hAnsiTheme="minorEastAsia" w:eastAsiaTheme="minorEastAsia"/>
                <w:sz w:val="24"/>
              </w:rPr>
              <w:t>主要包括汕尾城区中心城区部分</w:t>
            </w:r>
          </w:p>
        </w:tc>
      </w:tr>
      <w:tr w14:paraId="21EE0B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3" w:hRule="atLeast"/>
          <w:jc w:val="center"/>
        </w:trPr>
        <w:tc>
          <w:tcPr>
            <w:tcW w:w="669" w:type="pct"/>
            <w:vAlign w:val="center"/>
          </w:tcPr>
          <w:p w14:paraId="49AB857B">
            <w:pPr>
              <w:jc w:val="center"/>
              <w:rPr>
                <w:rFonts w:hint="eastAsia" w:asciiTheme="minorEastAsia" w:hAnsiTheme="minorEastAsia" w:eastAsiaTheme="minorEastAsia"/>
                <w:sz w:val="24"/>
              </w:rPr>
            </w:pPr>
            <w:r>
              <w:rPr>
                <w:rFonts w:hint="eastAsia" w:asciiTheme="minorEastAsia" w:hAnsiTheme="minorEastAsia" w:eastAsiaTheme="minorEastAsia"/>
                <w:sz w:val="24"/>
              </w:rPr>
              <w:t>一般市区</w:t>
            </w:r>
          </w:p>
        </w:tc>
        <w:tc>
          <w:tcPr>
            <w:tcW w:w="1469" w:type="pct"/>
            <w:vAlign w:val="center"/>
          </w:tcPr>
          <w:p w14:paraId="542C8DD5">
            <w:pPr>
              <w:jc w:val="center"/>
              <w:rPr>
                <w:rFonts w:hint="eastAsia" w:asciiTheme="minorEastAsia" w:hAnsiTheme="minorEastAsia" w:eastAsiaTheme="minorEastAsia"/>
                <w:sz w:val="24"/>
              </w:rPr>
            </w:pPr>
            <w:r>
              <w:rPr>
                <w:rFonts w:hint="eastAsia" w:asciiTheme="minorEastAsia" w:hAnsiTheme="minorEastAsia" w:eastAsiaTheme="minorEastAsia"/>
                <w:sz w:val="24"/>
              </w:rPr>
              <w:t>中心城区外围区域及住宅区。</w:t>
            </w:r>
          </w:p>
        </w:tc>
        <w:tc>
          <w:tcPr>
            <w:tcW w:w="1646" w:type="pct"/>
            <w:vAlign w:val="center"/>
          </w:tcPr>
          <w:p w14:paraId="4C4A0F87">
            <w:pPr>
              <w:jc w:val="center"/>
              <w:rPr>
                <w:rFonts w:hint="eastAsia" w:asciiTheme="minorEastAsia" w:hAnsiTheme="minorEastAsia" w:eastAsiaTheme="minorEastAsia"/>
                <w:sz w:val="24"/>
              </w:rPr>
            </w:pPr>
            <w:r>
              <w:rPr>
                <w:rFonts w:hint="eastAsia" w:asciiTheme="minorEastAsia" w:hAnsiTheme="minorEastAsia" w:eastAsiaTheme="minorEastAsia"/>
                <w:sz w:val="24"/>
              </w:rPr>
              <w:t>中心城区外围具有建筑物平均高度和平均密度的区域，区域内典型建筑物高度为7~9层，夹杂少量的10~20层高楼。</w:t>
            </w:r>
          </w:p>
        </w:tc>
        <w:tc>
          <w:tcPr>
            <w:tcW w:w="1217" w:type="pct"/>
            <w:vAlign w:val="center"/>
          </w:tcPr>
          <w:p w14:paraId="50427E24">
            <w:pPr>
              <w:jc w:val="center"/>
              <w:rPr>
                <w:rFonts w:hint="eastAsia" w:asciiTheme="minorEastAsia" w:hAnsiTheme="minorEastAsia" w:eastAsiaTheme="minorEastAsia"/>
                <w:sz w:val="24"/>
              </w:rPr>
            </w:pPr>
            <w:r>
              <w:rPr>
                <w:rFonts w:hint="eastAsia" w:asciiTheme="minorEastAsia" w:hAnsiTheme="minorEastAsia" w:eastAsiaTheme="minorEastAsia"/>
                <w:sz w:val="24"/>
              </w:rPr>
              <w:t>主要包括汕尾城区外金町、马宫、捷胜、红草中心片区、天星湖片区</w:t>
            </w:r>
          </w:p>
        </w:tc>
      </w:tr>
      <w:tr w14:paraId="409A593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5" w:hRule="atLeast"/>
          <w:jc w:val="center"/>
        </w:trPr>
        <w:tc>
          <w:tcPr>
            <w:tcW w:w="669" w:type="pct"/>
            <w:vAlign w:val="center"/>
          </w:tcPr>
          <w:p w14:paraId="443F5188">
            <w:pPr>
              <w:jc w:val="center"/>
              <w:rPr>
                <w:rFonts w:hint="eastAsia" w:asciiTheme="minorEastAsia" w:hAnsiTheme="minorEastAsia" w:eastAsiaTheme="minorEastAsia"/>
                <w:sz w:val="24"/>
              </w:rPr>
            </w:pPr>
            <w:r>
              <w:rPr>
                <w:rFonts w:hint="eastAsia" w:asciiTheme="minorEastAsia" w:hAnsiTheme="minorEastAsia" w:eastAsiaTheme="minorEastAsia"/>
                <w:sz w:val="24"/>
              </w:rPr>
              <w:t>县城</w:t>
            </w:r>
          </w:p>
        </w:tc>
        <w:tc>
          <w:tcPr>
            <w:tcW w:w="1469" w:type="pct"/>
            <w:vAlign w:val="center"/>
          </w:tcPr>
          <w:p w14:paraId="4C27B8A7">
            <w:pPr>
              <w:jc w:val="center"/>
              <w:rPr>
                <w:rFonts w:hint="eastAsia" w:asciiTheme="minorEastAsia" w:hAnsiTheme="minorEastAsia" w:eastAsiaTheme="minorEastAsia"/>
                <w:sz w:val="24"/>
              </w:rPr>
            </w:pPr>
            <w:r>
              <w:rPr>
                <w:rFonts w:asciiTheme="minorEastAsia" w:hAnsiTheme="minorEastAsia" w:eastAsiaTheme="minorEastAsia"/>
                <w:sz w:val="24"/>
              </w:rPr>
              <w:t>县城城区</w:t>
            </w:r>
          </w:p>
        </w:tc>
        <w:tc>
          <w:tcPr>
            <w:tcW w:w="1646" w:type="pct"/>
            <w:vAlign w:val="center"/>
          </w:tcPr>
          <w:p w14:paraId="2AE3CE3D">
            <w:pPr>
              <w:jc w:val="center"/>
              <w:rPr>
                <w:rFonts w:hint="eastAsia" w:asciiTheme="minorEastAsia" w:hAnsiTheme="minorEastAsia" w:eastAsiaTheme="minorEastAsia"/>
                <w:sz w:val="24"/>
              </w:rPr>
            </w:pPr>
            <w:r>
              <w:rPr>
                <w:rFonts w:hint="eastAsia" w:asciiTheme="minorEastAsia" w:hAnsiTheme="minorEastAsia" w:eastAsiaTheme="minorEastAsia"/>
                <w:sz w:val="24"/>
              </w:rPr>
              <w:t>县城区域，区域特点与一般市区类似，区域内典型建筑物高度为7~9层，夹杂少量的10~20层高楼。</w:t>
            </w:r>
          </w:p>
        </w:tc>
        <w:tc>
          <w:tcPr>
            <w:tcW w:w="1217" w:type="pct"/>
            <w:vAlign w:val="center"/>
          </w:tcPr>
          <w:p w14:paraId="006BBF66">
            <w:pPr>
              <w:jc w:val="center"/>
              <w:rPr>
                <w:rFonts w:hint="eastAsia" w:asciiTheme="minorEastAsia" w:hAnsiTheme="minorEastAsia" w:eastAsiaTheme="minorEastAsia"/>
                <w:sz w:val="24"/>
              </w:rPr>
            </w:pPr>
            <w:r>
              <w:rPr>
                <w:rFonts w:hint="eastAsia" w:asciiTheme="minorEastAsia" w:hAnsiTheme="minorEastAsia" w:eastAsiaTheme="minorEastAsia"/>
                <w:sz w:val="24"/>
              </w:rPr>
              <w:t>海丰县、陆丰市、陆河县、华侨管理区、红海湾开发区县城城区部分</w:t>
            </w:r>
          </w:p>
        </w:tc>
      </w:tr>
      <w:tr w14:paraId="1479149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5" w:hRule="atLeast"/>
          <w:jc w:val="center"/>
        </w:trPr>
        <w:tc>
          <w:tcPr>
            <w:tcW w:w="669" w:type="pct"/>
            <w:vAlign w:val="center"/>
          </w:tcPr>
          <w:p w14:paraId="7C5E40F0">
            <w:pPr>
              <w:jc w:val="center"/>
              <w:rPr>
                <w:rFonts w:hint="eastAsia" w:asciiTheme="minorEastAsia" w:hAnsiTheme="minorEastAsia" w:eastAsiaTheme="minorEastAsia"/>
                <w:sz w:val="24"/>
              </w:rPr>
            </w:pPr>
            <w:r>
              <w:rPr>
                <w:rFonts w:hint="eastAsia" w:asciiTheme="minorEastAsia" w:hAnsiTheme="minorEastAsia" w:eastAsiaTheme="minorEastAsia"/>
                <w:sz w:val="24"/>
              </w:rPr>
              <w:t>乡镇镇区、城市郊区</w:t>
            </w:r>
          </w:p>
        </w:tc>
        <w:tc>
          <w:tcPr>
            <w:tcW w:w="1469" w:type="pct"/>
            <w:vAlign w:val="center"/>
          </w:tcPr>
          <w:p w14:paraId="46EE434E">
            <w:pPr>
              <w:jc w:val="center"/>
              <w:rPr>
                <w:rFonts w:hint="eastAsia" w:asciiTheme="minorEastAsia" w:hAnsiTheme="minorEastAsia" w:eastAsiaTheme="minorEastAsia"/>
                <w:sz w:val="24"/>
              </w:rPr>
            </w:pPr>
            <w:r>
              <w:rPr>
                <w:rFonts w:hint="eastAsia" w:asciiTheme="minorEastAsia" w:hAnsiTheme="minorEastAsia" w:eastAsiaTheme="minorEastAsia"/>
                <w:sz w:val="24"/>
              </w:rPr>
              <w:t>镇级中心城区、工业厂房、物流仓储密集区等</w:t>
            </w:r>
          </w:p>
        </w:tc>
        <w:tc>
          <w:tcPr>
            <w:tcW w:w="1646" w:type="pct"/>
            <w:vAlign w:val="center"/>
          </w:tcPr>
          <w:p w14:paraId="3D98D496">
            <w:pPr>
              <w:jc w:val="center"/>
              <w:rPr>
                <w:rFonts w:hint="eastAsia" w:asciiTheme="minorEastAsia" w:hAnsiTheme="minorEastAsia" w:eastAsiaTheme="minorEastAsia"/>
                <w:sz w:val="24"/>
              </w:rPr>
            </w:pPr>
            <w:r>
              <w:rPr>
                <w:rFonts w:hint="eastAsia" w:asciiTheme="minorEastAsia" w:hAnsiTheme="minorEastAsia" w:eastAsiaTheme="minorEastAsia"/>
                <w:sz w:val="24"/>
              </w:rPr>
              <w:t>市区、县城以外镇中心，建筑物较稀疏，以低层建筑为主，或经济普通、有一定建筑物的小镇。</w:t>
            </w:r>
          </w:p>
        </w:tc>
        <w:tc>
          <w:tcPr>
            <w:tcW w:w="1217" w:type="pct"/>
            <w:vAlign w:val="center"/>
          </w:tcPr>
          <w:p w14:paraId="2B2062BF">
            <w:pPr>
              <w:jc w:val="center"/>
              <w:rPr>
                <w:rFonts w:hint="eastAsia" w:asciiTheme="minorEastAsia" w:hAnsiTheme="minorEastAsia" w:eastAsiaTheme="minorEastAsia"/>
                <w:sz w:val="24"/>
              </w:rPr>
            </w:pPr>
            <w:r>
              <w:rPr>
                <w:rFonts w:hint="eastAsia" w:asciiTheme="minorEastAsia" w:hAnsiTheme="minorEastAsia" w:eastAsiaTheme="minorEastAsia"/>
                <w:sz w:val="24"/>
              </w:rPr>
              <w:t>可塘、甲子、碣石等各镇中心区域</w:t>
            </w:r>
          </w:p>
        </w:tc>
      </w:tr>
      <w:tr w14:paraId="1E2E0E0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5" w:hRule="atLeast"/>
          <w:jc w:val="center"/>
        </w:trPr>
        <w:tc>
          <w:tcPr>
            <w:tcW w:w="669" w:type="pct"/>
            <w:vAlign w:val="center"/>
          </w:tcPr>
          <w:p w14:paraId="0417276B">
            <w:pPr>
              <w:jc w:val="center"/>
              <w:rPr>
                <w:rFonts w:hint="eastAsia" w:asciiTheme="minorEastAsia" w:hAnsiTheme="minorEastAsia" w:eastAsiaTheme="minorEastAsia"/>
                <w:sz w:val="24"/>
              </w:rPr>
            </w:pPr>
            <w:r>
              <w:rPr>
                <w:rFonts w:hint="eastAsia" w:asciiTheme="minorEastAsia" w:hAnsiTheme="minorEastAsia" w:eastAsiaTheme="minorEastAsia"/>
                <w:sz w:val="24"/>
              </w:rPr>
              <w:t>农村</w:t>
            </w:r>
          </w:p>
        </w:tc>
        <w:tc>
          <w:tcPr>
            <w:tcW w:w="1469" w:type="pct"/>
            <w:vAlign w:val="center"/>
          </w:tcPr>
          <w:p w14:paraId="074FE973">
            <w:pPr>
              <w:jc w:val="center"/>
              <w:rPr>
                <w:rFonts w:hint="eastAsia" w:asciiTheme="minorEastAsia" w:hAnsiTheme="minorEastAsia" w:eastAsiaTheme="minorEastAsia"/>
                <w:sz w:val="24"/>
              </w:rPr>
            </w:pPr>
            <w:r>
              <w:rPr>
                <w:rFonts w:hint="eastAsia" w:asciiTheme="minorEastAsia" w:hAnsiTheme="minorEastAsia" w:eastAsiaTheme="minorEastAsia"/>
                <w:sz w:val="24"/>
              </w:rPr>
              <w:t>偏远农村村落、耕地、林区等。</w:t>
            </w:r>
          </w:p>
        </w:tc>
        <w:tc>
          <w:tcPr>
            <w:tcW w:w="1646" w:type="pct"/>
            <w:vAlign w:val="center"/>
          </w:tcPr>
          <w:p w14:paraId="1FBB8F63">
            <w:pPr>
              <w:jc w:val="center"/>
              <w:rPr>
                <w:rFonts w:hint="eastAsia" w:asciiTheme="minorEastAsia" w:hAnsiTheme="minorEastAsia" w:eastAsiaTheme="minorEastAsia"/>
                <w:sz w:val="24"/>
              </w:rPr>
            </w:pPr>
            <w:r>
              <w:rPr>
                <w:rFonts w:hint="eastAsia" w:asciiTheme="minorEastAsia" w:hAnsiTheme="minorEastAsia" w:eastAsiaTheme="minorEastAsia"/>
                <w:sz w:val="24"/>
              </w:rPr>
              <w:t>孤立村庄或管理区，区域内建筑较少，或成片的开阔地，或交通干线等。</w:t>
            </w:r>
          </w:p>
        </w:tc>
        <w:tc>
          <w:tcPr>
            <w:tcW w:w="1217" w:type="pct"/>
            <w:vAlign w:val="center"/>
          </w:tcPr>
          <w:p w14:paraId="79787BB0">
            <w:pPr>
              <w:jc w:val="center"/>
              <w:rPr>
                <w:rFonts w:hint="eastAsia" w:asciiTheme="minorEastAsia" w:hAnsiTheme="minorEastAsia" w:eastAsiaTheme="minorEastAsia"/>
                <w:sz w:val="24"/>
              </w:rPr>
            </w:pPr>
            <w:r>
              <w:rPr>
                <w:rFonts w:hint="eastAsia" w:asciiTheme="minorEastAsia" w:hAnsiTheme="minorEastAsia" w:eastAsiaTheme="minorEastAsia"/>
                <w:sz w:val="24"/>
              </w:rPr>
              <w:t>主要包括除上述场景外的区域</w:t>
            </w:r>
          </w:p>
        </w:tc>
      </w:tr>
      <w:tr w14:paraId="51987DB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cantSplit/>
          <w:trHeight w:val="635" w:hRule="atLeast"/>
          <w:jc w:val="center"/>
        </w:trPr>
        <w:tc>
          <w:tcPr>
            <w:tcW w:w="669" w:type="pct"/>
            <w:vAlign w:val="center"/>
          </w:tcPr>
          <w:p w14:paraId="67DC8BB0">
            <w:pPr>
              <w:jc w:val="center"/>
              <w:rPr>
                <w:rFonts w:hint="eastAsia" w:asciiTheme="minorEastAsia" w:hAnsiTheme="minorEastAsia" w:eastAsiaTheme="minorEastAsia"/>
                <w:sz w:val="24"/>
              </w:rPr>
            </w:pPr>
            <w:r>
              <w:rPr>
                <w:rFonts w:hint="eastAsia" w:asciiTheme="minorEastAsia" w:hAnsiTheme="minorEastAsia" w:eastAsiaTheme="minorEastAsia"/>
                <w:sz w:val="24"/>
              </w:rPr>
              <w:t>线状</w:t>
            </w:r>
          </w:p>
        </w:tc>
        <w:tc>
          <w:tcPr>
            <w:tcW w:w="1469" w:type="pct"/>
            <w:vAlign w:val="center"/>
          </w:tcPr>
          <w:p w14:paraId="12E7CFC8">
            <w:pPr>
              <w:jc w:val="center"/>
              <w:rPr>
                <w:rFonts w:hint="eastAsia" w:asciiTheme="minorEastAsia" w:hAnsiTheme="minorEastAsia" w:eastAsiaTheme="minorEastAsia"/>
                <w:sz w:val="24"/>
              </w:rPr>
            </w:pPr>
            <w:r>
              <w:rPr>
                <w:rFonts w:hint="eastAsia" w:asciiTheme="minorEastAsia" w:hAnsiTheme="minorEastAsia" w:eastAsiaTheme="minorEastAsia"/>
                <w:sz w:val="24"/>
              </w:rPr>
              <w:t>高速铁路、高速公路沿线，大型桥梁</w:t>
            </w:r>
          </w:p>
        </w:tc>
        <w:tc>
          <w:tcPr>
            <w:tcW w:w="1646" w:type="pct"/>
            <w:vAlign w:val="center"/>
          </w:tcPr>
          <w:p w14:paraId="621AF443">
            <w:pPr>
              <w:jc w:val="center"/>
              <w:rPr>
                <w:rFonts w:hint="eastAsia" w:asciiTheme="minorEastAsia" w:hAnsiTheme="minorEastAsia" w:eastAsiaTheme="minorEastAsia"/>
                <w:sz w:val="24"/>
              </w:rPr>
            </w:pPr>
            <w:r>
              <w:rPr>
                <w:rFonts w:asciiTheme="minorEastAsia" w:hAnsiTheme="minorEastAsia" w:eastAsiaTheme="minorEastAsia"/>
                <w:sz w:val="24"/>
              </w:rPr>
              <w:t>--</w:t>
            </w:r>
            <w:r>
              <w:rPr>
                <w:rFonts w:hint="eastAsia" w:asciiTheme="minorEastAsia" w:hAnsiTheme="minorEastAsia" w:eastAsiaTheme="minorEastAsia"/>
                <w:sz w:val="24"/>
              </w:rPr>
              <w:t>--</w:t>
            </w:r>
          </w:p>
        </w:tc>
        <w:tc>
          <w:tcPr>
            <w:tcW w:w="1217" w:type="pct"/>
            <w:vAlign w:val="center"/>
          </w:tcPr>
          <w:p w14:paraId="3F19888E">
            <w:pPr>
              <w:jc w:val="center"/>
              <w:rPr>
                <w:rFonts w:hint="eastAsia" w:asciiTheme="minorEastAsia" w:hAnsiTheme="minorEastAsia" w:eastAsiaTheme="minorEastAsia"/>
                <w:sz w:val="24"/>
              </w:rPr>
            </w:pPr>
            <w:r>
              <w:rPr>
                <w:rFonts w:asciiTheme="minorEastAsia" w:hAnsiTheme="minorEastAsia" w:eastAsiaTheme="minorEastAsia"/>
                <w:sz w:val="24"/>
              </w:rPr>
              <w:t>G15</w:t>
            </w:r>
            <w:r>
              <w:rPr>
                <w:rFonts w:hint="eastAsia" w:asciiTheme="minorEastAsia" w:hAnsiTheme="minorEastAsia" w:eastAsiaTheme="minorEastAsia"/>
                <w:sz w:val="24"/>
              </w:rPr>
              <w:t>沈海高速公路汕尾段、甬莞高速公路汕尾段、兴汕高速汕尾段一期、厦深高铁、</w:t>
            </w:r>
            <w:r>
              <w:rPr>
                <w:rFonts w:asciiTheme="minorEastAsia" w:hAnsiTheme="minorEastAsia" w:eastAsiaTheme="minorEastAsia"/>
                <w:sz w:val="24"/>
              </w:rPr>
              <w:t>广（汕）汕铁路</w:t>
            </w:r>
          </w:p>
        </w:tc>
      </w:tr>
    </w:tbl>
    <w:p w14:paraId="621C8071">
      <w:pPr>
        <w:pStyle w:val="7"/>
      </w:pPr>
      <w:bookmarkStart w:id="76" w:name="_Toc60177504"/>
      <w:r>
        <w:rPr>
          <w:rFonts w:hint="eastAsia"/>
        </w:rPr>
        <w:t>按业务分布分类</w:t>
      </w:r>
      <w:bookmarkEnd w:id="76"/>
    </w:p>
    <w:p w14:paraId="7A786582">
      <w:pPr>
        <w:spacing w:line="360" w:lineRule="auto"/>
        <w:ind w:firstLine="560" w:firstLineChars="200"/>
        <w:rPr>
          <w:kern w:val="24"/>
          <w:sz w:val="28"/>
          <w:szCs w:val="28"/>
        </w:rPr>
      </w:pPr>
      <w:r>
        <w:rPr>
          <w:rFonts w:hint="eastAsia"/>
          <w:kern w:val="24"/>
          <w:sz w:val="28"/>
          <w:szCs w:val="28"/>
        </w:rPr>
        <w:t>业务分布特点包括人口分布、流动性大小和用户特点等。人口密度和用户数并非一定成正比，不同的用户群有不同的通信特性。繁华市区、商业区、展览会、车站、大会堂、电影院、大商场、大超市和政府机关等为高话务地区，郊区和农村则为低话务区域。</w:t>
      </w:r>
    </w:p>
    <w:p w14:paraId="77DB3318">
      <w:pPr>
        <w:spacing w:line="360" w:lineRule="auto"/>
        <w:ind w:firstLine="560" w:firstLineChars="200"/>
        <w:rPr>
          <w:kern w:val="24"/>
          <w:sz w:val="28"/>
          <w:szCs w:val="28"/>
        </w:rPr>
      </w:pPr>
      <w:r>
        <w:rPr>
          <w:rFonts w:hint="eastAsia"/>
          <w:kern w:val="24"/>
          <w:sz w:val="28"/>
          <w:szCs w:val="28"/>
        </w:rPr>
        <w:t>按业务发展策略和业务分布情况，服务区域划分如下表。特征见下表：</w:t>
      </w:r>
    </w:p>
    <w:p w14:paraId="2F441E20">
      <w:pPr>
        <w:pStyle w:val="32"/>
        <w:spacing w:line="360" w:lineRule="auto"/>
        <w:ind w:firstLine="0" w:firstLineChars="0"/>
        <w:jc w:val="center"/>
        <w:rPr>
          <w:rFonts w:hint="eastAsia" w:ascii="宋体" w:hAnsi="宋体" w:cs="宋体"/>
          <w:sz w:val="28"/>
          <w:szCs w:val="28"/>
        </w:rPr>
      </w:pPr>
      <w:r>
        <w:rPr>
          <w:rFonts w:hint="eastAsia" w:ascii="宋体" w:hAnsi="宋体" w:cs="宋体"/>
          <w:sz w:val="28"/>
          <w:szCs w:val="28"/>
        </w:rPr>
        <w:t>表</w:t>
      </w:r>
      <w:r>
        <w:rPr>
          <w:rFonts w:ascii="宋体" w:hAnsi="宋体" w:cs="宋体"/>
          <w:sz w:val="28"/>
          <w:szCs w:val="28"/>
        </w:rPr>
        <w:t xml:space="preserve">4-3 </w:t>
      </w:r>
      <w:r>
        <w:rPr>
          <w:rFonts w:hint="eastAsia" w:ascii="宋体" w:hAnsi="宋体" w:cs="宋体"/>
          <w:sz w:val="28"/>
          <w:szCs w:val="28"/>
        </w:rPr>
        <w:t>按无线传播环境分类的区域类型表</w:t>
      </w:r>
    </w:p>
    <w:tbl>
      <w:tblPr>
        <w:tblStyle w:val="20"/>
        <w:tblW w:w="5000" w:type="pct"/>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108" w:type="dxa"/>
          <w:bottom w:w="0" w:type="dxa"/>
          <w:right w:w="108" w:type="dxa"/>
        </w:tblCellMar>
      </w:tblPr>
      <w:tblGrid>
        <w:gridCol w:w="1759"/>
        <w:gridCol w:w="3603"/>
        <w:gridCol w:w="3542"/>
      </w:tblGrid>
      <w:tr w14:paraId="178271B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blHeader/>
          <w:jc w:val="center"/>
        </w:trPr>
        <w:tc>
          <w:tcPr>
            <w:tcW w:w="988" w:type="pct"/>
            <w:shd w:val="clear" w:color="auto" w:fill="EEECE1" w:themeFill="background2"/>
            <w:vAlign w:val="center"/>
          </w:tcPr>
          <w:p w14:paraId="63447595">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区域类型</w:t>
            </w:r>
          </w:p>
        </w:tc>
        <w:tc>
          <w:tcPr>
            <w:tcW w:w="2023" w:type="pct"/>
            <w:shd w:val="clear" w:color="auto" w:fill="EEECE1" w:themeFill="background2"/>
            <w:vAlign w:val="center"/>
          </w:tcPr>
          <w:p w14:paraId="545FCBAA">
            <w:pPr>
              <w:jc w:val="center"/>
              <w:rPr>
                <w:rFonts w:hint="eastAsia" w:asciiTheme="minorEastAsia" w:hAnsiTheme="minorEastAsia" w:eastAsiaTheme="minorEastAsia"/>
                <w:b/>
                <w:sz w:val="24"/>
              </w:rPr>
            </w:pPr>
            <w:r>
              <w:rPr>
                <w:rFonts w:hint="eastAsia" w:asciiTheme="minorEastAsia" w:hAnsiTheme="minorEastAsia" w:eastAsiaTheme="minorEastAsia"/>
                <w:b/>
                <w:sz w:val="24"/>
              </w:rPr>
              <w:t>特征描述</w:t>
            </w:r>
          </w:p>
        </w:tc>
        <w:tc>
          <w:tcPr>
            <w:tcW w:w="1989" w:type="pct"/>
            <w:shd w:val="clear" w:color="auto" w:fill="EEECE1" w:themeFill="background2"/>
            <w:vAlign w:val="center"/>
          </w:tcPr>
          <w:p w14:paraId="7A15203B">
            <w:pPr>
              <w:jc w:val="center"/>
              <w:rPr>
                <w:rFonts w:hint="eastAsia" w:asciiTheme="minorEastAsia" w:hAnsiTheme="minorEastAsia" w:eastAsiaTheme="minorEastAsia"/>
                <w:b/>
                <w:sz w:val="24"/>
              </w:rPr>
            </w:pPr>
            <w:r>
              <w:rPr>
                <w:rFonts w:hint="eastAsia" w:asciiTheme="minorEastAsia" w:hAnsiTheme="minorEastAsia" w:eastAsiaTheme="minorEastAsia"/>
                <w:b/>
                <w:sz w:val="24"/>
              </w:rPr>
              <w:t>业务分布特点</w:t>
            </w:r>
          </w:p>
        </w:tc>
      </w:tr>
      <w:tr w14:paraId="363F944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888" w:hRule="atLeast"/>
          <w:jc w:val="center"/>
        </w:trPr>
        <w:tc>
          <w:tcPr>
            <w:tcW w:w="988" w:type="pct"/>
            <w:vAlign w:val="center"/>
          </w:tcPr>
          <w:p w14:paraId="0251641C">
            <w:pPr>
              <w:jc w:val="center"/>
              <w:rPr>
                <w:rFonts w:hint="eastAsia" w:asciiTheme="minorEastAsia" w:hAnsiTheme="minorEastAsia" w:eastAsiaTheme="minorEastAsia"/>
                <w:sz w:val="24"/>
              </w:rPr>
            </w:pPr>
            <w:r>
              <w:rPr>
                <w:rFonts w:hint="eastAsia" w:asciiTheme="minorEastAsia" w:hAnsiTheme="minorEastAsia" w:eastAsiaTheme="minorEastAsia"/>
                <w:sz w:val="24"/>
              </w:rPr>
              <w:t>话务量集中区(A)</w:t>
            </w:r>
          </w:p>
        </w:tc>
        <w:tc>
          <w:tcPr>
            <w:tcW w:w="2023" w:type="pct"/>
            <w:vAlign w:val="center"/>
          </w:tcPr>
          <w:p w14:paraId="077A257F">
            <w:pPr>
              <w:jc w:val="center"/>
              <w:rPr>
                <w:rFonts w:hint="eastAsia" w:asciiTheme="minorEastAsia" w:hAnsiTheme="minorEastAsia" w:eastAsiaTheme="minorEastAsia"/>
                <w:sz w:val="24"/>
              </w:rPr>
            </w:pPr>
            <w:r>
              <w:rPr>
                <w:rFonts w:hint="eastAsia" w:asciiTheme="minorEastAsia" w:hAnsiTheme="minorEastAsia" w:eastAsiaTheme="minorEastAsia"/>
                <w:sz w:val="24"/>
              </w:rPr>
              <w:t>主要集中在区域经济中心的大城市，面积较小。区域内高级商务楼密集，是所在经济区内商务活动集中地，用户对移动通信需求大，对数据业务要求高。</w:t>
            </w:r>
          </w:p>
        </w:tc>
        <w:tc>
          <w:tcPr>
            <w:tcW w:w="1989" w:type="pct"/>
            <w:vAlign w:val="center"/>
          </w:tcPr>
          <w:p w14:paraId="73FD29C4">
            <w:pPr>
              <w:jc w:val="center"/>
              <w:rPr>
                <w:rFonts w:hint="eastAsia" w:asciiTheme="minorEastAsia" w:hAnsiTheme="minorEastAsia" w:eastAsiaTheme="minorEastAsia"/>
                <w:sz w:val="24"/>
              </w:rPr>
            </w:pPr>
            <w:r>
              <w:rPr>
                <w:rFonts w:hint="eastAsia" w:asciiTheme="minorEastAsia" w:hAnsiTheme="minorEastAsia" w:eastAsiaTheme="minorEastAsia"/>
                <w:sz w:val="24"/>
              </w:rPr>
              <w:t>1、用户高度密集，业务热点地区；</w:t>
            </w:r>
          </w:p>
          <w:p w14:paraId="5238309D">
            <w:pPr>
              <w:jc w:val="center"/>
              <w:rPr>
                <w:rFonts w:hint="eastAsia" w:asciiTheme="minorEastAsia" w:hAnsiTheme="minorEastAsia" w:eastAsiaTheme="minorEastAsia"/>
                <w:sz w:val="24"/>
              </w:rPr>
            </w:pPr>
            <w:r>
              <w:rPr>
                <w:rFonts w:hint="eastAsia" w:asciiTheme="minorEastAsia" w:hAnsiTheme="minorEastAsia" w:eastAsiaTheme="minorEastAsia"/>
                <w:sz w:val="24"/>
              </w:rPr>
              <w:t>2、数据业务速率高；</w:t>
            </w:r>
          </w:p>
          <w:p w14:paraId="50ADE1A8">
            <w:pPr>
              <w:jc w:val="center"/>
              <w:rPr>
                <w:rFonts w:hint="eastAsia" w:asciiTheme="minorEastAsia" w:hAnsiTheme="minorEastAsia" w:eastAsiaTheme="minorEastAsia"/>
                <w:sz w:val="24"/>
              </w:rPr>
            </w:pPr>
            <w:r>
              <w:rPr>
                <w:rFonts w:hint="eastAsia" w:asciiTheme="minorEastAsia" w:hAnsiTheme="minorEastAsia" w:eastAsiaTheme="minorEastAsia"/>
                <w:sz w:val="24"/>
              </w:rPr>
              <w:t>3、数据业务发展的重点区域；</w:t>
            </w:r>
          </w:p>
          <w:p w14:paraId="39B6D614">
            <w:pPr>
              <w:jc w:val="center"/>
              <w:rPr>
                <w:rFonts w:hint="eastAsia" w:asciiTheme="minorEastAsia" w:hAnsiTheme="minorEastAsia" w:eastAsiaTheme="minorEastAsia"/>
                <w:sz w:val="24"/>
              </w:rPr>
            </w:pPr>
            <w:r>
              <w:rPr>
                <w:rFonts w:hint="eastAsia" w:asciiTheme="minorEastAsia" w:hAnsiTheme="minorEastAsia" w:eastAsiaTheme="minorEastAsia"/>
                <w:sz w:val="24"/>
              </w:rPr>
              <w:t>4、服务质量要求高。</w:t>
            </w:r>
          </w:p>
        </w:tc>
      </w:tr>
      <w:tr w14:paraId="62C1340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313" w:hRule="atLeast"/>
          <w:jc w:val="center"/>
        </w:trPr>
        <w:tc>
          <w:tcPr>
            <w:tcW w:w="988" w:type="pct"/>
            <w:vAlign w:val="center"/>
          </w:tcPr>
          <w:p w14:paraId="40277D65">
            <w:pPr>
              <w:jc w:val="center"/>
              <w:rPr>
                <w:rFonts w:hint="eastAsia" w:asciiTheme="minorEastAsia" w:hAnsiTheme="minorEastAsia" w:eastAsiaTheme="minorEastAsia"/>
                <w:sz w:val="24"/>
              </w:rPr>
            </w:pPr>
            <w:r>
              <w:rPr>
                <w:rFonts w:hint="eastAsia" w:asciiTheme="minorEastAsia" w:hAnsiTheme="minorEastAsia" w:eastAsiaTheme="minorEastAsia"/>
                <w:sz w:val="24"/>
              </w:rPr>
              <w:t>高话务密度区(B)</w:t>
            </w:r>
          </w:p>
        </w:tc>
        <w:tc>
          <w:tcPr>
            <w:tcW w:w="2023" w:type="pct"/>
            <w:vAlign w:val="center"/>
          </w:tcPr>
          <w:p w14:paraId="4602683A">
            <w:pPr>
              <w:jc w:val="center"/>
              <w:rPr>
                <w:rFonts w:hint="eastAsia" w:asciiTheme="minorEastAsia" w:hAnsiTheme="minorEastAsia" w:eastAsiaTheme="minorEastAsia"/>
                <w:sz w:val="24"/>
              </w:rPr>
            </w:pPr>
            <w:r>
              <w:rPr>
                <w:rFonts w:hint="eastAsia" w:asciiTheme="minorEastAsia" w:hAnsiTheme="minorEastAsia" w:eastAsiaTheme="minorEastAsia"/>
                <w:sz w:val="24"/>
              </w:rPr>
              <w:t>工商业和贸易发达，交通和基础设施完善，城市化水平较高，人口密集，经济发展快，人均收入高的地区。</w:t>
            </w:r>
          </w:p>
        </w:tc>
        <w:tc>
          <w:tcPr>
            <w:tcW w:w="1989" w:type="pct"/>
            <w:vAlign w:val="center"/>
          </w:tcPr>
          <w:p w14:paraId="65655F6C">
            <w:pPr>
              <w:jc w:val="center"/>
              <w:rPr>
                <w:rFonts w:hint="eastAsia" w:asciiTheme="minorEastAsia" w:hAnsiTheme="minorEastAsia" w:eastAsiaTheme="minorEastAsia"/>
                <w:sz w:val="24"/>
              </w:rPr>
            </w:pPr>
            <w:r>
              <w:rPr>
                <w:rFonts w:hint="eastAsia" w:asciiTheme="minorEastAsia" w:hAnsiTheme="minorEastAsia" w:eastAsiaTheme="minorEastAsia"/>
                <w:sz w:val="24"/>
              </w:rPr>
              <w:t>1、用户密集，业务量较高；</w:t>
            </w:r>
          </w:p>
          <w:p w14:paraId="7D0A90B7">
            <w:pPr>
              <w:jc w:val="center"/>
              <w:rPr>
                <w:rFonts w:hint="eastAsia" w:asciiTheme="minorEastAsia" w:hAnsiTheme="minorEastAsia" w:eastAsiaTheme="minorEastAsia"/>
                <w:sz w:val="24"/>
              </w:rPr>
            </w:pPr>
            <w:r>
              <w:rPr>
                <w:rFonts w:hint="eastAsia" w:asciiTheme="minorEastAsia" w:hAnsiTheme="minorEastAsia" w:eastAsiaTheme="minorEastAsia"/>
                <w:sz w:val="24"/>
              </w:rPr>
              <w:t>2、提供中等速率的数据数据；</w:t>
            </w:r>
          </w:p>
          <w:p w14:paraId="195EBE8F">
            <w:pPr>
              <w:jc w:val="center"/>
              <w:rPr>
                <w:rFonts w:hint="eastAsia" w:asciiTheme="minorEastAsia" w:hAnsiTheme="minorEastAsia" w:eastAsiaTheme="minorEastAsia"/>
                <w:sz w:val="24"/>
              </w:rPr>
            </w:pPr>
            <w:r>
              <w:rPr>
                <w:rFonts w:hint="eastAsia" w:asciiTheme="minorEastAsia" w:hAnsiTheme="minorEastAsia" w:eastAsiaTheme="minorEastAsia"/>
                <w:sz w:val="24"/>
              </w:rPr>
              <w:t>3、服务质量要求较高。</w:t>
            </w:r>
          </w:p>
        </w:tc>
      </w:tr>
      <w:tr w14:paraId="1F53694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90" w:hRule="atLeast"/>
          <w:jc w:val="center"/>
        </w:trPr>
        <w:tc>
          <w:tcPr>
            <w:tcW w:w="988" w:type="pct"/>
            <w:vAlign w:val="center"/>
          </w:tcPr>
          <w:p w14:paraId="28F53C8B">
            <w:pPr>
              <w:jc w:val="center"/>
              <w:rPr>
                <w:rFonts w:hint="eastAsia" w:asciiTheme="minorEastAsia" w:hAnsiTheme="minorEastAsia" w:eastAsiaTheme="minorEastAsia"/>
                <w:sz w:val="24"/>
              </w:rPr>
            </w:pPr>
            <w:r>
              <w:rPr>
                <w:rFonts w:hint="eastAsia" w:asciiTheme="minorEastAsia" w:hAnsiTheme="minorEastAsia" w:eastAsiaTheme="minorEastAsia"/>
                <w:sz w:val="24"/>
              </w:rPr>
              <w:t>中话务密度区(C)</w:t>
            </w:r>
          </w:p>
        </w:tc>
        <w:tc>
          <w:tcPr>
            <w:tcW w:w="2023" w:type="pct"/>
            <w:vAlign w:val="center"/>
          </w:tcPr>
          <w:p w14:paraId="63207816">
            <w:pPr>
              <w:jc w:val="center"/>
              <w:rPr>
                <w:rFonts w:hint="eastAsia" w:asciiTheme="minorEastAsia" w:hAnsiTheme="minorEastAsia" w:eastAsiaTheme="minorEastAsia"/>
                <w:sz w:val="24"/>
              </w:rPr>
            </w:pPr>
            <w:r>
              <w:rPr>
                <w:rFonts w:hint="eastAsia" w:asciiTheme="minorEastAsia" w:hAnsiTheme="minorEastAsia" w:eastAsiaTheme="minorEastAsia"/>
                <w:sz w:val="24"/>
              </w:rPr>
              <w:t>工商业发展和城镇建设具有相当规模，各类企业数量较多，交通便利，经济发展和人均收入处于中等水平。</w:t>
            </w:r>
          </w:p>
        </w:tc>
        <w:tc>
          <w:tcPr>
            <w:tcW w:w="1989" w:type="pct"/>
            <w:vAlign w:val="center"/>
          </w:tcPr>
          <w:p w14:paraId="6FABCACB">
            <w:pPr>
              <w:jc w:val="center"/>
              <w:rPr>
                <w:rFonts w:hint="eastAsia" w:asciiTheme="minorEastAsia" w:hAnsiTheme="minorEastAsia" w:eastAsiaTheme="minorEastAsia"/>
                <w:sz w:val="24"/>
              </w:rPr>
            </w:pPr>
            <w:r>
              <w:rPr>
                <w:rFonts w:hint="eastAsia" w:asciiTheme="minorEastAsia" w:hAnsiTheme="minorEastAsia" w:eastAsiaTheme="minorEastAsia"/>
                <w:sz w:val="24"/>
              </w:rPr>
              <w:t>1、业务量较低；</w:t>
            </w:r>
          </w:p>
          <w:p w14:paraId="2C8FAFAE">
            <w:pPr>
              <w:jc w:val="center"/>
              <w:rPr>
                <w:rFonts w:hint="eastAsia" w:asciiTheme="minorEastAsia" w:hAnsiTheme="minorEastAsia" w:eastAsiaTheme="minorEastAsia"/>
                <w:sz w:val="24"/>
              </w:rPr>
            </w:pPr>
            <w:r>
              <w:rPr>
                <w:rFonts w:hint="eastAsia" w:asciiTheme="minorEastAsia" w:hAnsiTheme="minorEastAsia" w:eastAsiaTheme="minorEastAsia"/>
                <w:sz w:val="24"/>
              </w:rPr>
              <w:t>2、只提供低速数据业务。</w:t>
            </w:r>
          </w:p>
        </w:tc>
      </w:tr>
      <w:tr w14:paraId="1776C2B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82" w:hRule="atLeast"/>
          <w:jc w:val="center"/>
        </w:trPr>
        <w:tc>
          <w:tcPr>
            <w:tcW w:w="988" w:type="pct"/>
            <w:vAlign w:val="center"/>
          </w:tcPr>
          <w:p w14:paraId="5DFA6BB5">
            <w:pPr>
              <w:jc w:val="center"/>
              <w:rPr>
                <w:rFonts w:hint="eastAsia" w:asciiTheme="minorEastAsia" w:hAnsiTheme="minorEastAsia" w:eastAsiaTheme="minorEastAsia"/>
                <w:sz w:val="24"/>
              </w:rPr>
            </w:pPr>
            <w:r>
              <w:rPr>
                <w:rFonts w:hint="eastAsia" w:asciiTheme="minorEastAsia" w:hAnsiTheme="minorEastAsia" w:eastAsiaTheme="minorEastAsia"/>
                <w:sz w:val="24"/>
              </w:rPr>
              <w:t>低话务密度区(D)</w:t>
            </w:r>
          </w:p>
        </w:tc>
        <w:tc>
          <w:tcPr>
            <w:tcW w:w="2023" w:type="pct"/>
            <w:vAlign w:val="center"/>
          </w:tcPr>
          <w:p w14:paraId="6B02F151">
            <w:pPr>
              <w:jc w:val="center"/>
              <w:rPr>
                <w:rFonts w:hint="eastAsia" w:asciiTheme="minorEastAsia" w:hAnsiTheme="minorEastAsia" w:eastAsiaTheme="minorEastAsia"/>
                <w:sz w:val="24"/>
              </w:rPr>
            </w:pPr>
            <w:r>
              <w:rPr>
                <w:rFonts w:hint="eastAsia" w:asciiTheme="minorEastAsia" w:hAnsiTheme="minorEastAsia" w:eastAsiaTheme="minorEastAsia"/>
                <w:sz w:val="24"/>
              </w:rPr>
              <w:t>主要包括两种类型的区域：</w:t>
            </w:r>
          </w:p>
          <w:p w14:paraId="6AF0A636">
            <w:pPr>
              <w:jc w:val="center"/>
              <w:rPr>
                <w:rFonts w:hint="eastAsia" w:asciiTheme="minorEastAsia" w:hAnsiTheme="minorEastAsia" w:eastAsiaTheme="minorEastAsia"/>
                <w:sz w:val="24"/>
              </w:rPr>
            </w:pPr>
            <w:r>
              <w:rPr>
                <w:rFonts w:hint="eastAsia" w:asciiTheme="minorEastAsia" w:hAnsiTheme="minorEastAsia" w:eastAsiaTheme="minorEastAsia"/>
                <w:sz w:val="24"/>
              </w:rPr>
              <w:t>1、交通干道；</w:t>
            </w:r>
          </w:p>
          <w:p w14:paraId="2D255423">
            <w:pPr>
              <w:jc w:val="center"/>
              <w:rPr>
                <w:rFonts w:hint="eastAsia" w:asciiTheme="minorEastAsia" w:hAnsiTheme="minorEastAsia" w:eastAsiaTheme="minorEastAsia"/>
                <w:sz w:val="24"/>
              </w:rPr>
            </w:pPr>
            <w:r>
              <w:rPr>
                <w:rFonts w:hint="eastAsia" w:asciiTheme="minorEastAsia" w:hAnsiTheme="minorEastAsia" w:eastAsiaTheme="minorEastAsia"/>
                <w:sz w:val="24"/>
              </w:rPr>
              <w:t>2、山区，经济发展相对落后</w:t>
            </w:r>
          </w:p>
        </w:tc>
        <w:tc>
          <w:tcPr>
            <w:tcW w:w="1989" w:type="pct"/>
            <w:vAlign w:val="center"/>
          </w:tcPr>
          <w:p w14:paraId="0C19998F">
            <w:pPr>
              <w:jc w:val="center"/>
              <w:rPr>
                <w:rFonts w:hint="eastAsia" w:asciiTheme="minorEastAsia" w:hAnsiTheme="minorEastAsia" w:eastAsiaTheme="minorEastAsia"/>
                <w:sz w:val="24"/>
              </w:rPr>
            </w:pPr>
            <w:r>
              <w:rPr>
                <w:rFonts w:hint="eastAsia" w:asciiTheme="minorEastAsia" w:hAnsiTheme="minorEastAsia" w:eastAsiaTheme="minorEastAsia"/>
                <w:sz w:val="24"/>
              </w:rPr>
              <w:t>1、话务稀疏；</w:t>
            </w:r>
          </w:p>
          <w:p w14:paraId="4D24CA6E">
            <w:pPr>
              <w:jc w:val="center"/>
              <w:rPr>
                <w:rFonts w:hint="eastAsia" w:asciiTheme="minorEastAsia" w:hAnsiTheme="minorEastAsia" w:eastAsiaTheme="minorEastAsia"/>
                <w:sz w:val="24"/>
              </w:rPr>
            </w:pPr>
            <w:r>
              <w:rPr>
                <w:rFonts w:hint="eastAsia" w:asciiTheme="minorEastAsia" w:hAnsiTheme="minorEastAsia" w:eastAsiaTheme="minorEastAsia"/>
                <w:sz w:val="24"/>
              </w:rPr>
              <w:t>2、建站的目的主要是为了覆盖</w:t>
            </w:r>
          </w:p>
        </w:tc>
      </w:tr>
    </w:tbl>
    <w:p w14:paraId="4219B243">
      <w:pPr>
        <w:pStyle w:val="7"/>
      </w:pPr>
      <w:bookmarkStart w:id="77" w:name="_Toc60177505"/>
      <w:r>
        <w:rPr>
          <w:rFonts w:hint="eastAsia"/>
        </w:rPr>
        <w:t>综合区域分类</w:t>
      </w:r>
      <w:bookmarkEnd w:id="77"/>
    </w:p>
    <w:p w14:paraId="6ED899DD">
      <w:pPr>
        <w:spacing w:line="560" w:lineRule="exact"/>
        <w:ind w:firstLine="560" w:firstLineChars="200"/>
        <w:rPr>
          <w:kern w:val="24"/>
          <w:sz w:val="28"/>
          <w:szCs w:val="28"/>
        </w:rPr>
      </w:pPr>
      <w:r>
        <w:rPr>
          <w:rFonts w:hint="eastAsia"/>
          <w:kern w:val="24"/>
          <w:sz w:val="28"/>
          <w:szCs w:val="28"/>
        </w:rPr>
        <w:t>由于无线传播环境和区域业务分布两者之间有一定的相关性，不是完全独立的两个属性。比如，在农村不可能有话务密集区；同样，在密集市区也不可能存在低话务密度区，综合考虑无线传播环境分类和区域业务分布，可以得到区域分类标准参考表。</w:t>
      </w:r>
    </w:p>
    <w:p w14:paraId="6C0EAC15">
      <w:pPr>
        <w:pStyle w:val="32"/>
        <w:spacing w:line="360" w:lineRule="auto"/>
        <w:ind w:firstLine="0" w:firstLineChars="0"/>
        <w:jc w:val="center"/>
        <w:rPr>
          <w:rFonts w:hint="eastAsia" w:ascii="宋体" w:hAnsi="宋体" w:cs="宋体"/>
          <w:sz w:val="28"/>
          <w:szCs w:val="28"/>
        </w:rPr>
      </w:pPr>
      <w:r>
        <w:rPr>
          <w:rFonts w:hint="eastAsia" w:ascii="宋体" w:hAnsi="宋体" w:cs="宋体"/>
          <w:sz w:val="28"/>
          <w:szCs w:val="28"/>
        </w:rPr>
        <w:t>表</w:t>
      </w:r>
      <w:r>
        <w:rPr>
          <w:rFonts w:ascii="宋体" w:hAnsi="宋体" w:cs="宋体"/>
          <w:sz w:val="28"/>
          <w:szCs w:val="28"/>
        </w:rPr>
        <w:t xml:space="preserve">4-4 </w:t>
      </w:r>
      <w:r>
        <w:rPr>
          <w:rFonts w:hint="eastAsia" w:ascii="宋体" w:hAnsi="宋体" w:cs="宋体"/>
          <w:sz w:val="28"/>
          <w:szCs w:val="28"/>
        </w:rPr>
        <w:t>综合区域类型分类表</w:t>
      </w:r>
    </w:p>
    <w:tbl>
      <w:tblPr>
        <w:tblStyle w:val="20"/>
        <w:tblW w:w="4942" w:type="pct"/>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108" w:type="dxa"/>
          <w:bottom w:w="0" w:type="dxa"/>
          <w:right w:w="108" w:type="dxa"/>
        </w:tblCellMar>
      </w:tblPr>
      <w:tblGrid>
        <w:gridCol w:w="1734"/>
        <w:gridCol w:w="2517"/>
        <w:gridCol w:w="1697"/>
        <w:gridCol w:w="2853"/>
      </w:tblGrid>
      <w:tr w14:paraId="0F868F7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blHeader/>
        </w:trPr>
        <w:tc>
          <w:tcPr>
            <w:tcW w:w="985" w:type="pct"/>
            <w:shd w:val="clear" w:color="auto" w:fill="EEECE1" w:themeFill="background2"/>
            <w:vAlign w:val="center"/>
          </w:tcPr>
          <w:p w14:paraId="09EC91E0">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区域类型</w:t>
            </w:r>
          </w:p>
        </w:tc>
        <w:tc>
          <w:tcPr>
            <w:tcW w:w="1430" w:type="pct"/>
            <w:shd w:val="clear" w:color="auto" w:fill="EEECE1" w:themeFill="background2"/>
            <w:vAlign w:val="center"/>
          </w:tcPr>
          <w:p w14:paraId="53A4F5BF">
            <w:pPr>
              <w:jc w:val="center"/>
              <w:rPr>
                <w:rFonts w:hint="eastAsia" w:asciiTheme="minorEastAsia" w:hAnsiTheme="minorEastAsia" w:eastAsiaTheme="minorEastAsia"/>
                <w:b/>
                <w:sz w:val="24"/>
              </w:rPr>
            </w:pPr>
            <w:r>
              <w:rPr>
                <w:rFonts w:hint="eastAsia" w:asciiTheme="minorEastAsia" w:hAnsiTheme="minorEastAsia" w:eastAsiaTheme="minorEastAsia"/>
                <w:b/>
                <w:sz w:val="24"/>
              </w:rPr>
              <w:t>按无线传播环境分布</w:t>
            </w:r>
          </w:p>
        </w:tc>
        <w:tc>
          <w:tcPr>
            <w:tcW w:w="964" w:type="pct"/>
            <w:shd w:val="clear" w:color="auto" w:fill="EEECE1" w:themeFill="background2"/>
            <w:vAlign w:val="center"/>
          </w:tcPr>
          <w:p w14:paraId="7A748324">
            <w:pPr>
              <w:jc w:val="center"/>
              <w:rPr>
                <w:rFonts w:hint="eastAsia" w:asciiTheme="minorEastAsia" w:hAnsiTheme="minorEastAsia" w:eastAsiaTheme="minorEastAsia"/>
                <w:b/>
                <w:sz w:val="24"/>
              </w:rPr>
            </w:pPr>
            <w:r>
              <w:rPr>
                <w:rFonts w:hint="eastAsia" w:asciiTheme="minorEastAsia" w:hAnsiTheme="minorEastAsia" w:eastAsiaTheme="minorEastAsia"/>
                <w:b/>
                <w:sz w:val="24"/>
              </w:rPr>
              <w:t>按业务特征分</w:t>
            </w:r>
          </w:p>
        </w:tc>
        <w:tc>
          <w:tcPr>
            <w:tcW w:w="1621" w:type="pct"/>
            <w:shd w:val="clear" w:color="auto" w:fill="EEECE1" w:themeFill="background2"/>
            <w:vAlign w:val="center"/>
          </w:tcPr>
          <w:p w14:paraId="62D7E55A">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典型区域</w:t>
            </w:r>
          </w:p>
        </w:tc>
      </w:tr>
      <w:tr w14:paraId="6AE5BEE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383B16BC">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r>
              <w:rPr>
                <w:rFonts w:eastAsia="宋体"/>
                <w:kern w:val="24"/>
                <w:szCs w:val="24"/>
              </w:rPr>
              <w:t>A</w:t>
            </w:r>
          </w:p>
        </w:tc>
        <w:tc>
          <w:tcPr>
            <w:tcW w:w="1430" w:type="pct"/>
            <w:vAlign w:val="center"/>
          </w:tcPr>
          <w:p w14:paraId="4DE3F4DA">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p>
        </w:tc>
        <w:tc>
          <w:tcPr>
            <w:tcW w:w="964" w:type="pct"/>
            <w:vAlign w:val="center"/>
          </w:tcPr>
          <w:p w14:paraId="3D351EC5">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A</w:t>
            </w:r>
          </w:p>
        </w:tc>
        <w:tc>
          <w:tcPr>
            <w:tcW w:w="1621" w:type="pct"/>
            <w:vAlign w:val="center"/>
          </w:tcPr>
          <w:p w14:paraId="39EA41A9">
            <w:pPr>
              <w:pStyle w:val="44"/>
              <w:shd w:val="clear" w:color="auto" w:fill="FFFFFF"/>
              <w:spacing w:line="240" w:lineRule="auto"/>
              <w:ind w:firstLine="0" w:firstLineChars="0"/>
              <w:rPr>
                <w:rFonts w:hint="eastAsia" w:eastAsia="宋体"/>
                <w:kern w:val="24"/>
                <w:szCs w:val="24"/>
              </w:rPr>
            </w:pPr>
            <w:r>
              <w:rPr>
                <w:rFonts w:hint="eastAsia" w:eastAsia="宋体"/>
                <w:kern w:val="24"/>
                <w:szCs w:val="24"/>
              </w:rPr>
              <w:t>大城市的商务区</w:t>
            </w:r>
          </w:p>
        </w:tc>
      </w:tr>
      <w:tr w14:paraId="1464D7A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633" w:hRule="atLeast"/>
        </w:trPr>
        <w:tc>
          <w:tcPr>
            <w:tcW w:w="985" w:type="pct"/>
            <w:vAlign w:val="center"/>
          </w:tcPr>
          <w:p w14:paraId="0ADA2500">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r>
              <w:rPr>
                <w:rFonts w:eastAsia="宋体"/>
                <w:kern w:val="24"/>
                <w:szCs w:val="24"/>
              </w:rPr>
              <w:t>B</w:t>
            </w:r>
          </w:p>
        </w:tc>
        <w:tc>
          <w:tcPr>
            <w:tcW w:w="1430" w:type="pct"/>
            <w:vAlign w:val="center"/>
          </w:tcPr>
          <w:p w14:paraId="6DCA2C91">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p>
        </w:tc>
        <w:tc>
          <w:tcPr>
            <w:tcW w:w="964" w:type="pct"/>
            <w:vAlign w:val="center"/>
          </w:tcPr>
          <w:p w14:paraId="001CA007">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B</w:t>
            </w:r>
          </w:p>
        </w:tc>
        <w:tc>
          <w:tcPr>
            <w:tcW w:w="1621" w:type="pct"/>
            <w:vAlign w:val="center"/>
          </w:tcPr>
          <w:p w14:paraId="6533EF01">
            <w:pPr>
              <w:pStyle w:val="44"/>
              <w:shd w:val="clear" w:color="auto" w:fill="FFFFFF"/>
              <w:spacing w:line="240" w:lineRule="auto"/>
              <w:ind w:firstLine="0" w:firstLineChars="0"/>
              <w:rPr>
                <w:rFonts w:hint="eastAsia" w:eastAsia="宋体"/>
                <w:kern w:val="24"/>
                <w:szCs w:val="24"/>
              </w:rPr>
            </w:pPr>
            <w:r>
              <w:rPr>
                <w:rFonts w:eastAsia="宋体"/>
                <w:kern w:val="24"/>
                <w:szCs w:val="24"/>
              </w:rPr>
              <w:t>1.</w:t>
            </w:r>
            <w:r>
              <w:rPr>
                <w:rFonts w:hint="eastAsia" w:eastAsia="宋体"/>
                <w:kern w:val="24"/>
                <w:szCs w:val="24"/>
              </w:rPr>
              <w:t>商业中心区；</w:t>
            </w:r>
            <w:r>
              <w:rPr>
                <w:rFonts w:eastAsia="宋体"/>
                <w:kern w:val="24"/>
                <w:szCs w:val="24"/>
              </w:rPr>
              <w:t>2.</w:t>
            </w:r>
            <w:r>
              <w:rPr>
                <w:rFonts w:hint="eastAsia" w:eastAsia="宋体"/>
                <w:kern w:val="24"/>
                <w:szCs w:val="24"/>
              </w:rPr>
              <w:t>高层住宅区；</w:t>
            </w:r>
            <w:r>
              <w:rPr>
                <w:rFonts w:eastAsia="宋体"/>
                <w:kern w:val="24"/>
                <w:szCs w:val="24"/>
              </w:rPr>
              <w:t>3.</w:t>
            </w:r>
            <w:r>
              <w:rPr>
                <w:rFonts w:hint="eastAsia" w:eastAsia="宋体"/>
                <w:kern w:val="24"/>
                <w:szCs w:val="24"/>
              </w:rPr>
              <w:t>密集商住区</w:t>
            </w:r>
          </w:p>
        </w:tc>
      </w:tr>
      <w:tr w14:paraId="33589EA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7BB0EA51">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r>
              <w:rPr>
                <w:rFonts w:eastAsia="宋体"/>
                <w:kern w:val="24"/>
                <w:szCs w:val="24"/>
              </w:rPr>
              <w:t>C</w:t>
            </w:r>
          </w:p>
        </w:tc>
        <w:tc>
          <w:tcPr>
            <w:tcW w:w="1430" w:type="pct"/>
            <w:vAlign w:val="center"/>
          </w:tcPr>
          <w:p w14:paraId="4D1A136C">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密集市区</w:t>
            </w:r>
          </w:p>
        </w:tc>
        <w:tc>
          <w:tcPr>
            <w:tcW w:w="964" w:type="pct"/>
            <w:vAlign w:val="center"/>
          </w:tcPr>
          <w:p w14:paraId="7C67E295">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B</w:t>
            </w:r>
          </w:p>
        </w:tc>
        <w:tc>
          <w:tcPr>
            <w:tcW w:w="1621" w:type="pct"/>
            <w:vAlign w:val="center"/>
          </w:tcPr>
          <w:p w14:paraId="386C71DB">
            <w:pPr>
              <w:pStyle w:val="44"/>
              <w:shd w:val="clear" w:color="auto" w:fill="FFFFFF"/>
              <w:spacing w:line="240" w:lineRule="auto"/>
              <w:ind w:firstLine="0" w:firstLineChars="0"/>
              <w:rPr>
                <w:rFonts w:hint="eastAsia" w:eastAsia="宋体"/>
                <w:kern w:val="24"/>
                <w:szCs w:val="24"/>
              </w:rPr>
            </w:pPr>
            <w:r>
              <w:rPr>
                <w:rFonts w:hint="eastAsia" w:eastAsia="宋体"/>
                <w:kern w:val="24"/>
                <w:szCs w:val="24"/>
              </w:rPr>
              <w:t>话务较低的城中村</w:t>
            </w:r>
          </w:p>
        </w:tc>
      </w:tr>
      <w:tr w14:paraId="7FD3ABB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69CA1F36">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一般市区</w:t>
            </w:r>
            <w:r>
              <w:rPr>
                <w:rFonts w:eastAsia="宋体"/>
                <w:kern w:val="24"/>
                <w:szCs w:val="24"/>
              </w:rPr>
              <w:t>B</w:t>
            </w:r>
          </w:p>
        </w:tc>
        <w:tc>
          <w:tcPr>
            <w:tcW w:w="1430" w:type="pct"/>
            <w:vAlign w:val="center"/>
          </w:tcPr>
          <w:p w14:paraId="0A1C5893">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一般市区</w:t>
            </w:r>
          </w:p>
        </w:tc>
        <w:tc>
          <w:tcPr>
            <w:tcW w:w="964" w:type="pct"/>
            <w:vAlign w:val="center"/>
          </w:tcPr>
          <w:p w14:paraId="7C7EBFD6">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B</w:t>
            </w:r>
          </w:p>
        </w:tc>
        <w:tc>
          <w:tcPr>
            <w:tcW w:w="1621" w:type="pct"/>
            <w:vAlign w:val="center"/>
          </w:tcPr>
          <w:p w14:paraId="25927D0A">
            <w:pPr>
              <w:pStyle w:val="44"/>
              <w:shd w:val="clear" w:color="auto" w:fill="FFFFFF"/>
              <w:spacing w:line="240" w:lineRule="auto"/>
              <w:ind w:firstLine="0" w:firstLineChars="0"/>
              <w:rPr>
                <w:rFonts w:hint="eastAsia" w:eastAsia="宋体"/>
                <w:kern w:val="24"/>
                <w:szCs w:val="24"/>
              </w:rPr>
            </w:pPr>
            <w:r>
              <w:rPr>
                <w:rFonts w:hint="eastAsia" w:eastAsia="宋体"/>
                <w:kern w:val="24"/>
                <w:szCs w:val="24"/>
              </w:rPr>
              <w:t>低矮楼房为主的老城区</w:t>
            </w:r>
          </w:p>
        </w:tc>
      </w:tr>
      <w:tr w14:paraId="19E571C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633" w:hRule="atLeast"/>
        </w:trPr>
        <w:tc>
          <w:tcPr>
            <w:tcW w:w="985" w:type="pct"/>
            <w:vAlign w:val="center"/>
          </w:tcPr>
          <w:p w14:paraId="766E94F1">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一般市区</w:t>
            </w:r>
            <w:r>
              <w:rPr>
                <w:rFonts w:eastAsia="宋体"/>
                <w:kern w:val="24"/>
                <w:szCs w:val="24"/>
              </w:rPr>
              <w:t>C</w:t>
            </w:r>
          </w:p>
        </w:tc>
        <w:tc>
          <w:tcPr>
            <w:tcW w:w="1430" w:type="pct"/>
            <w:vAlign w:val="center"/>
          </w:tcPr>
          <w:p w14:paraId="0B54D445">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一般市区</w:t>
            </w:r>
          </w:p>
        </w:tc>
        <w:tc>
          <w:tcPr>
            <w:tcW w:w="964" w:type="pct"/>
            <w:vAlign w:val="center"/>
          </w:tcPr>
          <w:p w14:paraId="50601223">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B</w:t>
            </w:r>
          </w:p>
        </w:tc>
        <w:tc>
          <w:tcPr>
            <w:tcW w:w="1621" w:type="pct"/>
            <w:vAlign w:val="center"/>
          </w:tcPr>
          <w:p w14:paraId="10A4B5F7">
            <w:pPr>
              <w:pStyle w:val="44"/>
              <w:shd w:val="clear" w:color="auto" w:fill="FFFFFF"/>
              <w:spacing w:line="240" w:lineRule="auto"/>
              <w:ind w:firstLine="0" w:firstLineChars="0"/>
              <w:rPr>
                <w:rFonts w:hint="eastAsia" w:eastAsia="宋体"/>
                <w:kern w:val="24"/>
                <w:szCs w:val="24"/>
              </w:rPr>
            </w:pPr>
            <w:r>
              <w:rPr>
                <w:rFonts w:eastAsia="宋体"/>
                <w:kern w:val="24"/>
                <w:szCs w:val="24"/>
              </w:rPr>
              <w:t>1.</w:t>
            </w:r>
            <w:r>
              <w:rPr>
                <w:rFonts w:hint="eastAsia" w:eastAsia="宋体"/>
                <w:kern w:val="24"/>
                <w:szCs w:val="24"/>
              </w:rPr>
              <w:t>城乡结合部；</w:t>
            </w:r>
            <w:r>
              <w:rPr>
                <w:rFonts w:eastAsia="宋体"/>
                <w:kern w:val="24"/>
                <w:szCs w:val="24"/>
              </w:rPr>
              <w:t>2.</w:t>
            </w:r>
            <w:r>
              <w:rPr>
                <w:rFonts w:hint="eastAsia" w:eastAsia="宋体"/>
                <w:kern w:val="24"/>
                <w:szCs w:val="24"/>
              </w:rPr>
              <w:t>工业园区；</w:t>
            </w:r>
            <w:r>
              <w:rPr>
                <w:rFonts w:eastAsia="宋体"/>
                <w:kern w:val="24"/>
                <w:szCs w:val="24"/>
              </w:rPr>
              <w:t>3.</w:t>
            </w:r>
            <w:r>
              <w:rPr>
                <w:rFonts w:hint="eastAsia" w:eastAsia="宋体"/>
                <w:kern w:val="24"/>
                <w:szCs w:val="24"/>
              </w:rPr>
              <w:t>乡镇</w:t>
            </w:r>
          </w:p>
        </w:tc>
      </w:tr>
      <w:tr w14:paraId="31BEB01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325" w:hRule="atLeast"/>
        </w:trPr>
        <w:tc>
          <w:tcPr>
            <w:tcW w:w="985" w:type="pct"/>
            <w:vAlign w:val="center"/>
          </w:tcPr>
          <w:p w14:paraId="124A260D">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郊区</w:t>
            </w:r>
            <w:r>
              <w:rPr>
                <w:rFonts w:eastAsia="宋体"/>
                <w:kern w:val="24"/>
                <w:szCs w:val="24"/>
              </w:rPr>
              <w:t>C</w:t>
            </w:r>
          </w:p>
        </w:tc>
        <w:tc>
          <w:tcPr>
            <w:tcW w:w="1430" w:type="pct"/>
            <w:vAlign w:val="center"/>
          </w:tcPr>
          <w:p w14:paraId="41A27CE4">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郊区</w:t>
            </w:r>
          </w:p>
        </w:tc>
        <w:tc>
          <w:tcPr>
            <w:tcW w:w="964" w:type="pct"/>
            <w:vAlign w:val="center"/>
          </w:tcPr>
          <w:p w14:paraId="119E0B33">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C</w:t>
            </w:r>
          </w:p>
        </w:tc>
        <w:tc>
          <w:tcPr>
            <w:tcW w:w="1621" w:type="pct"/>
            <w:vAlign w:val="center"/>
          </w:tcPr>
          <w:p w14:paraId="77206B3B">
            <w:pPr>
              <w:pStyle w:val="44"/>
              <w:shd w:val="clear" w:color="auto" w:fill="FFFFFF"/>
              <w:spacing w:line="240" w:lineRule="auto"/>
              <w:ind w:firstLine="0" w:firstLineChars="0"/>
              <w:rPr>
                <w:rFonts w:hint="eastAsia" w:eastAsia="宋体"/>
                <w:kern w:val="24"/>
                <w:szCs w:val="24"/>
              </w:rPr>
            </w:pPr>
            <w:r>
              <w:rPr>
                <w:rFonts w:eastAsia="宋体"/>
                <w:kern w:val="24"/>
                <w:szCs w:val="24"/>
              </w:rPr>
              <w:t>1.</w:t>
            </w:r>
            <w:r>
              <w:rPr>
                <w:rFonts w:hint="eastAsia" w:eastAsia="宋体"/>
                <w:kern w:val="24"/>
                <w:szCs w:val="24"/>
              </w:rPr>
              <w:t>城乡结合部工业园区；</w:t>
            </w:r>
            <w:r>
              <w:rPr>
                <w:rFonts w:eastAsia="宋体"/>
                <w:kern w:val="24"/>
                <w:szCs w:val="24"/>
              </w:rPr>
              <w:t>2.</w:t>
            </w:r>
            <w:r>
              <w:rPr>
                <w:rFonts w:hint="eastAsia" w:eastAsia="宋体"/>
                <w:kern w:val="24"/>
                <w:szCs w:val="24"/>
              </w:rPr>
              <w:t>乡镇</w:t>
            </w:r>
          </w:p>
        </w:tc>
      </w:tr>
      <w:tr w14:paraId="40A0D4D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7B774822">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r>
              <w:rPr>
                <w:rFonts w:eastAsia="宋体"/>
                <w:kern w:val="24"/>
                <w:szCs w:val="24"/>
              </w:rPr>
              <w:t>C</w:t>
            </w:r>
          </w:p>
        </w:tc>
        <w:tc>
          <w:tcPr>
            <w:tcW w:w="1430" w:type="pct"/>
            <w:vAlign w:val="center"/>
          </w:tcPr>
          <w:p w14:paraId="2A174D5E">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p>
        </w:tc>
        <w:tc>
          <w:tcPr>
            <w:tcW w:w="964" w:type="pct"/>
            <w:vAlign w:val="center"/>
          </w:tcPr>
          <w:p w14:paraId="5AFFE34B">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C</w:t>
            </w:r>
          </w:p>
        </w:tc>
        <w:tc>
          <w:tcPr>
            <w:tcW w:w="1621" w:type="pct"/>
            <w:vAlign w:val="center"/>
          </w:tcPr>
          <w:p w14:paraId="25BF8D6A">
            <w:pPr>
              <w:pStyle w:val="44"/>
              <w:shd w:val="clear" w:color="auto" w:fill="FFFFFF"/>
              <w:spacing w:line="240" w:lineRule="auto"/>
              <w:ind w:firstLine="0" w:firstLineChars="0"/>
              <w:rPr>
                <w:rFonts w:hint="eastAsia" w:eastAsia="宋体"/>
                <w:kern w:val="24"/>
                <w:szCs w:val="24"/>
              </w:rPr>
            </w:pPr>
            <w:r>
              <w:rPr>
                <w:rFonts w:hint="eastAsia" w:eastAsia="宋体"/>
                <w:kern w:val="24"/>
                <w:szCs w:val="24"/>
              </w:rPr>
              <w:t>风景区</w:t>
            </w:r>
          </w:p>
        </w:tc>
      </w:tr>
      <w:tr w14:paraId="72F370E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7511A121">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r>
              <w:rPr>
                <w:rFonts w:eastAsia="宋体"/>
                <w:kern w:val="24"/>
                <w:szCs w:val="24"/>
              </w:rPr>
              <w:t>D</w:t>
            </w:r>
          </w:p>
        </w:tc>
        <w:tc>
          <w:tcPr>
            <w:tcW w:w="1430" w:type="pct"/>
            <w:vAlign w:val="center"/>
          </w:tcPr>
          <w:p w14:paraId="405F6035">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p>
        </w:tc>
        <w:tc>
          <w:tcPr>
            <w:tcW w:w="964" w:type="pct"/>
            <w:vAlign w:val="center"/>
          </w:tcPr>
          <w:p w14:paraId="25FA966A">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D</w:t>
            </w:r>
          </w:p>
        </w:tc>
        <w:tc>
          <w:tcPr>
            <w:tcW w:w="1621" w:type="pct"/>
            <w:vAlign w:val="center"/>
          </w:tcPr>
          <w:p w14:paraId="19692D16">
            <w:pPr>
              <w:pStyle w:val="44"/>
              <w:shd w:val="clear" w:color="auto" w:fill="FFFFFF"/>
              <w:spacing w:line="240" w:lineRule="auto"/>
              <w:ind w:firstLine="0" w:firstLineChars="0"/>
              <w:rPr>
                <w:rFonts w:hint="eastAsia" w:eastAsia="宋体"/>
                <w:kern w:val="24"/>
                <w:szCs w:val="24"/>
              </w:rPr>
            </w:pPr>
            <w:r>
              <w:rPr>
                <w:rFonts w:eastAsia="宋体"/>
                <w:kern w:val="24"/>
                <w:szCs w:val="24"/>
              </w:rPr>
              <w:t>1.</w:t>
            </w:r>
            <w:r>
              <w:rPr>
                <w:rFonts w:hint="eastAsia" w:eastAsia="宋体"/>
                <w:kern w:val="24"/>
                <w:szCs w:val="24"/>
              </w:rPr>
              <w:t>农村；</w:t>
            </w:r>
            <w:r>
              <w:rPr>
                <w:rFonts w:eastAsia="宋体"/>
                <w:kern w:val="24"/>
                <w:szCs w:val="24"/>
              </w:rPr>
              <w:t>2.</w:t>
            </w:r>
            <w:r>
              <w:rPr>
                <w:rFonts w:hint="eastAsia" w:eastAsia="宋体"/>
                <w:kern w:val="24"/>
                <w:szCs w:val="24"/>
              </w:rPr>
              <w:t>牧区</w:t>
            </w:r>
          </w:p>
        </w:tc>
      </w:tr>
      <w:tr w14:paraId="4B8D8CD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85" w:type="pct"/>
            <w:vAlign w:val="center"/>
          </w:tcPr>
          <w:p w14:paraId="003EDB1C">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高速公路、国道、</w:t>
            </w:r>
            <w:r>
              <w:rPr>
                <w:rFonts w:eastAsia="宋体"/>
                <w:kern w:val="24"/>
                <w:szCs w:val="24"/>
              </w:rPr>
              <w:t>高速铁路</w:t>
            </w:r>
          </w:p>
        </w:tc>
        <w:tc>
          <w:tcPr>
            <w:tcW w:w="1430" w:type="pct"/>
            <w:vAlign w:val="center"/>
          </w:tcPr>
          <w:p w14:paraId="06687374">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p>
        </w:tc>
        <w:tc>
          <w:tcPr>
            <w:tcW w:w="964" w:type="pct"/>
            <w:vAlign w:val="center"/>
          </w:tcPr>
          <w:p w14:paraId="7021D80B">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C</w:t>
            </w:r>
          </w:p>
        </w:tc>
        <w:tc>
          <w:tcPr>
            <w:tcW w:w="1621" w:type="pct"/>
            <w:vAlign w:val="center"/>
          </w:tcPr>
          <w:p w14:paraId="5D6A2154">
            <w:pPr>
              <w:pStyle w:val="44"/>
              <w:shd w:val="clear" w:color="auto" w:fill="FFFFFF"/>
              <w:spacing w:line="240" w:lineRule="auto"/>
              <w:ind w:firstLine="480"/>
              <w:jc w:val="center"/>
              <w:rPr>
                <w:rFonts w:hint="eastAsia" w:eastAsia="宋体"/>
                <w:kern w:val="24"/>
                <w:szCs w:val="24"/>
              </w:rPr>
            </w:pPr>
          </w:p>
        </w:tc>
      </w:tr>
      <w:tr w14:paraId="6238CAF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09" w:hRule="atLeast"/>
        </w:trPr>
        <w:tc>
          <w:tcPr>
            <w:tcW w:w="985" w:type="pct"/>
            <w:vAlign w:val="center"/>
          </w:tcPr>
          <w:p w14:paraId="1060576B">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省道、重点客运铁路和主要航道</w:t>
            </w:r>
          </w:p>
        </w:tc>
        <w:tc>
          <w:tcPr>
            <w:tcW w:w="1430" w:type="pct"/>
            <w:vAlign w:val="center"/>
          </w:tcPr>
          <w:p w14:paraId="5B065266">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p>
        </w:tc>
        <w:tc>
          <w:tcPr>
            <w:tcW w:w="964" w:type="pct"/>
            <w:vAlign w:val="center"/>
          </w:tcPr>
          <w:p w14:paraId="1C940B8B">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D</w:t>
            </w:r>
          </w:p>
        </w:tc>
        <w:tc>
          <w:tcPr>
            <w:tcW w:w="1621" w:type="pct"/>
            <w:vAlign w:val="center"/>
          </w:tcPr>
          <w:p w14:paraId="768B89F7">
            <w:pPr>
              <w:pStyle w:val="44"/>
              <w:shd w:val="clear" w:color="auto" w:fill="FFFFFF"/>
              <w:spacing w:line="240" w:lineRule="auto"/>
              <w:ind w:firstLine="480"/>
              <w:jc w:val="center"/>
              <w:rPr>
                <w:rFonts w:hint="eastAsia" w:eastAsia="宋体"/>
                <w:kern w:val="24"/>
                <w:szCs w:val="24"/>
              </w:rPr>
            </w:pPr>
          </w:p>
        </w:tc>
      </w:tr>
      <w:tr w14:paraId="70FA3B7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638" w:hRule="atLeast"/>
        </w:trPr>
        <w:tc>
          <w:tcPr>
            <w:tcW w:w="985" w:type="pct"/>
            <w:vAlign w:val="center"/>
          </w:tcPr>
          <w:p w14:paraId="37CEE728">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一般公路和航道</w:t>
            </w:r>
          </w:p>
        </w:tc>
        <w:tc>
          <w:tcPr>
            <w:tcW w:w="1430" w:type="pct"/>
            <w:vAlign w:val="center"/>
          </w:tcPr>
          <w:p w14:paraId="1786AE51">
            <w:pPr>
              <w:pStyle w:val="44"/>
              <w:shd w:val="clear" w:color="auto" w:fill="FFFFFF"/>
              <w:spacing w:line="240" w:lineRule="auto"/>
              <w:ind w:firstLine="0" w:firstLineChars="0"/>
              <w:jc w:val="center"/>
              <w:rPr>
                <w:rFonts w:hint="eastAsia" w:eastAsia="宋体"/>
                <w:kern w:val="24"/>
                <w:szCs w:val="24"/>
              </w:rPr>
            </w:pPr>
            <w:r>
              <w:rPr>
                <w:rFonts w:hint="eastAsia" w:eastAsia="宋体"/>
                <w:kern w:val="24"/>
                <w:szCs w:val="24"/>
              </w:rPr>
              <w:t>农村</w:t>
            </w:r>
          </w:p>
        </w:tc>
        <w:tc>
          <w:tcPr>
            <w:tcW w:w="964" w:type="pct"/>
            <w:vAlign w:val="center"/>
          </w:tcPr>
          <w:p w14:paraId="24DA2987">
            <w:pPr>
              <w:pStyle w:val="44"/>
              <w:shd w:val="clear" w:color="auto" w:fill="FFFFFF"/>
              <w:spacing w:line="240" w:lineRule="auto"/>
              <w:ind w:firstLine="0" w:firstLineChars="0"/>
              <w:jc w:val="center"/>
              <w:rPr>
                <w:rFonts w:hint="eastAsia" w:eastAsia="宋体"/>
                <w:kern w:val="24"/>
                <w:szCs w:val="24"/>
              </w:rPr>
            </w:pPr>
            <w:r>
              <w:rPr>
                <w:rFonts w:eastAsia="宋体"/>
                <w:kern w:val="24"/>
                <w:szCs w:val="24"/>
              </w:rPr>
              <w:t>D</w:t>
            </w:r>
          </w:p>
        </w:tc>
        <w:tc>
          <w:tcPr>
            <w:tcW w:w="1621" w:type="pct"/>
            <w:vAlign w:val="center"/>
          </w:tcPr>
          <w:p w14:paraId="6077DA30">
            <w:pPr>
              <w:pStyle w:val="44"/>
              <w:shd w:val="clear" w:color="auto" w:fill="FFFFFF"/>
              <w:spacing w:line="240" w:lineRule="auto"/>
              <w:ind w:firstLine="0" w:firstLineChars="0"/>
              <w:jc w:val="center"/>
              <w:rPr>
                <w:rFonts w:hint="eastAsia" w:eastAsia="宋体"/>
                <w:kern w:val="24"/>
                <w:szCs w:val="24"/>
              </w:rPr>
            </w:pPr>
          </w:p>
        </w:tc>
      </w:tr>
    </w:tbl>
    <w:p w14:paraId="1E6E30E6">
      <w:pPr>
        <w:pStyle w:val="39"/>
        <w:ind w:firstLine="560"/>
      </w:pPr>
    </w:p>
    <w:p w14:paraId="29990662">
      <w:pPr>
        <w:pStyle w:val="6"/>
      </w:pPr>
      <w:r>
        <w:rPr>
          <w:rFonts w:hint="eastAsia"/>
        </w:rPr>
        <w:t>基站服务半径分析</w:t>
      </w:r>
    </w:p>
    <w:p w14:paraId="343D5C42">
      <w:pPr>
        <w:pStyle w:val="7"/>
        <w:rPr>
          <w:rFonts w:ascii="Arial" w:hAnsi="Arial"/>
        </w:rPr>
      </w:pPr>
      <w:r>
        <w:rPr>
          <w:rFonts w:hint="eastAsia" w:ascii="Arial" w:hAnsi="Arial"/>
        </w:rPr>
        <w:t>站址布局</w:t>
      </w:r>
    </w:p>
    <w:p w14:paraId="310922C6">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理想的站址布局呈等间距的蜂窝状分布。由于地理环境与业务发展的差异，以及站址获取难易程度，实际上并非每个站点都能获得理想的位置，从而造成站址布局不均匀的现象。</w:t>
      </w:r>
    </w:p>
    <w:p w14:paraId="4687D4C1">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站址布局偏差系数可在一定程度上量化评估站址布局的均匀程度。这里主要考虑室外中高层基站，室内分布与室外底层站不纳入计算范围。</w:t>
      </w:r>
    </w:p>
    <w:p w14:paraId="63F9CD3F">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pict>
          <v:shape id="_x0000_s2050" o:spid="_x0000_s2050" o:spt="75" type="#_x0000_t75" style="position:absolute;left:0pt;margin-left:135.65pt;margin-top:2.35pt;height:37.65pt;width:110.5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3" o:title=""/>
            <o:lock v:ext="edit" aspectratio="t"/>
            <w10:wrap type="square"/>
          </v:shape>
          <o:OLEObject Type="Embed" ProgID="Equation.3" ShapeID="_x0000_s2050" DrawAspect="Content" ObjectID="_1468075725" r:id="rId12">
            <o:LockedField>false</o:LockedField>
          </o:OLEObject>
        </w:pict>
      </w:r>
      <w:r>
        <w:rPr>
          <w:rFonts w:hint="eastAsia" w:asciiTheme="minorEastAsia" w:hAnsiTheme="minorEastAsia" w:eastAsiaTheme="minorEastAsia"/>
          <w:kern w:val="24"/>
          <w:sz w:val="28"/>
          <w:szCs w:val="28"/>
        </w:rPr>
        <w:t>站址布局偏差系数=</w:t>
      </w:r>
    </w:p>
    <w:p w14:paraId="0143E1A0">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其中：</w:t>
      </w:r>
    </w:p>
    <w:p w14:paraId="243374A5">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25" o:spt="75" type="#_x0000_t75" style="height:7.5pt;width:7.5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6" r:id="rId14">
            <o:LockedField>false</o:LockedField>
          </o:OLEObject>
        </w:object>
      </w:r>
      <w:r>
        <w:rPr>
          <w:rFonts w:hint="eastAsia" w:asciiTheme="minorEastAsia" w:hAnsiTheme="minorEastAsia" w:eastAsiaTheme="minorEastAsia"/>
          <w:kern w:val="24"/>
          <w:sz w:val="28"/>
          <w:szCs w:val="28"/>
        </w:rPr>
        <w:t>——直接与中心基站覆盖相交的第一圈相邻基站数量</w:t>
      </w:r>
    </w:p>
    <w:p w14:paraId="650E9649">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26" o:spt="75" type="#_x0000_t75" style="height:19.5pt;width:1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7" r:id="rId16">
            <o:LockedField>false</o:LockedField>
          </o:OLEObject>
        </w:object>
      </w:r>
      <w:r>
        <w:rPr>
          <w:rFonts w:hint="eastAsia" w:asciiTheme="minorEastAsia" w:hAnsiTheme="minorEastAsia" w:eastAsiaTheme="minorEastAsia"/>
          <w:kern w:val="24"/>
          <w:sz w:val="28"/>
          <w:szCs w:val="28"/>
        </w:rPr>
        <w:t>——第</w:t>
      </w:r>
      <w:r>
        <w:rPr>
          <w:rFonts w:asciiTheme="minorEastAsia" w:hAnsiTheme="minorEastAsia" w:eastAsiaTheme="minorEastAsia"/>
          <w:kern w:val="24"/>
          <w:sz w:val="28"/>
          <w:szCs w:val="28"/>
        </w:rPr>
        <w:object>
          <v:shape id="_x0000_i1027" o:spt="75" type="#_x0000_t75" style="height:15pt;width:7.5pt;" o:ole="t" filled="f" o:preferrelative="t" stroked="f" coordsize="21600,21600">
            <v:path/>
            <v:fill on="f" focussize="0,0"/>
            <v:stroke on="f" joinstyle="miter"/>
            <v:imagedata r:id="rId19" o:title=""/>
            <o:lock v:ext="edit" aspectratio="t"/>
            <w10:wrap type="none"/>
            <w10:anchorlock/>
          </v:shape>
          <o:OLEObject Type="Embed" ProgID="Equation.3" ShapeID="_x0000_i1027" DrawAspect="Content" ObjectID="_1468075728" r:id="rId18">
            <o:LockedField>false</o:LockedField>
          </o:OLEObject>
        </w:object>
      </w:r>
      <w:r>
        <w:rPr>
          <w:rFonts w:hint="eastAsia" w:asciiTheme="minorEastAsia" w:hAnsiTheme="minorEastAsia" w:eastAsiaTheme="minorEastAsia"/>
          <w:kern w:val="24"/>
          <w:sz w:val="28"/>
          <w:szCs w:val="28"/>
        </w:rPr>
        <w:t>个相邻基站和中心基站之间的站间距，单位</w:t>
      </w:r>
      <w:r>
        <w:rPr>
          <w:rFonts w:asciiTheme="minorEastAsia" w:hAnsiTheme="minorEastAsia" w:eastAsiaTheme="minorEastAsia"/>
          <w:kern w:val="24"/>
          <w:sz w:val="28"/>
          <w:szCs w:val="28"/>
        </w:rPr>
        <w:t>m</w:t>
      </w:r>
    </w:p>
    <w:p w14:paraId="7BA86AA3">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28" o:spt="75" type="#_x0000_t75" style="height:36pt;width:57pt;" o:ole="t" filled="f" o:preferrelative="t" stroked="f" coordsize="21600,21600">
            <v:path/>
            <v:fill on="f" focussize="0,0"/>
            <v:stroke on="f" joinstyle="miter"/>
            <v:imagedata r:id="rId21" o:title=""/>
            <o:lock v:ext="edit" aspectratio="t"/>
            <w10:wrap type="none"/>
            <w10:anchorlock/>
          </v:shape>
          <o:OLEObject Type="Embed" ProgID="Equation.3" ShapeID="_x0000_i1028" DrawAspect="Content" ObjectID="_1468075729" r:id="rId20">
            <o:LockedField>false</o:LockedField>
          </o:OLEObject>
        </w:object>
      </w:r>
      <w:r>
        <w:rPr>
          <w:rFonts w:hint="eastAsia" w:asciiTheme="minorEastAsia" w:hAnsiTheme="minorEastAsia" w:eastAsiaTheme="minorEastAsia"/>
          <w:kern w:val="24"/>
          <w:sz w:val="28"/>
          <w:szCs w:val="28"/>
        </w:rPr>
        <w:t>——中心基站的平均站间距，单位</w:t>
      </w:r>
      <w:r>
        <w:rPr>
          <w:rFonts w:asciiTheme="minorEastAsia" w:hAnsiTheme="minorEastAsia" w:eastAsiaTheme="minorEastAsia"/>
          <w:kern w:val="24"/>
          <w:sz w:val="28"/>
          <w:szCs w:val="28"/>
        </w:rPr>
        <w:t>m</w:t>
      </w:r>
    </w:p>
    <w:p w14:paraId="070FD7F8">
      <w:pPr>
        <w:spacing w:line="360" w:lineRule="auto"/>
        <w:ind w:firstLine="560" w:firstLineChars="200"/>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站址布局偏差系数越小，表明站址布局越均匀。站址布局是否合理，并非完全取决于站址偏差系数，还与平均站间距、各站址之间的相对位置以及地物地貌等密切相关。</w:t>
      </w:r>
    </w:p>
    <w:p w14:paraId="05DCF62D">
      <w:pPr>
        <w:pStyle w:val="7"/>
        <w:rPr>
          <w:rFonts w:ascii="Arial" w:hAnsi="Arial"/>
        </w:rPr>
      </w:pPr>
      <w:bookmarkStart w:id="78" w:name="_Toc60177508"/>
      <w:r>
        <w:rPr>
          <w:rFonts w:hint="eastAsia" w:ascii="Arial" w:hAnsi="Arial"/>
        </w:rPr>
        <w:t>天线挂高</w:t>
      </w:r>
      <w:bookmarkEnd w:id="78"/>
    </w:p>
    <w:p w14:paraId="08DCCEDA">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室外高站是越区覆盖产生的主要来源，直接决定信号质量（</w:t>
      </w:r>
      <w:r>
        <w:rPr>
          <w:rFonts w:asciiTheme="minorEastAsia" w:hAnsiTheme="minorEastAsia" w:eastAsiaTheme="minorEastAsia"/>
          <w:kern w:val="24"/>
          <w:sz w:val="28"/>
          <w:szCs w:val="28"/>
        </w:rPr>
        <w:t>SINR</w:t>
      </w:r>
      <w:r>
        <w:rPr>
          <w:rFonts w:hint="eastAsia" w:asciiTheme="minorEastAsia" w:hAnsiTheme="minorEastAsia" w:eastAsiaTheme="minorEastAsia"/>
          <w:kern w:val="24"/>
          <w:sz w:val="28"/>
          <w:szCs w:val="28"/>
        </w:rPr>
        <w:t>）和业务速率。一般来说，室外高站是指天线挂高超过</w:t>
      </w:r>
      <w:r>
        <w:rPr>
          <w:rFonts w:asciiTheme="minorEastAsia" w:hAnsiTheme="minorEastAsia" w:eastAsiaTheme="minorEastAsia"/>
          <w:kern w:val="24"/>
          <w:sz w:val="28"/>
          <w:szCs w:val="28"/>
        </w:rPr>
        <w:t>50m</w:t>
      </w:r>
      <w:r>
        <w:rPr>
          <w:rFonts w:hint="eastAsia" w:asciiTheme="minorEastAsia" w:hAnsiTheme="minorEastAsia" w:eastAsiaTheme="minorEastAsia"/>
          <w:kern w:val="24"/>
          <w:sz w:val="28"/>
          <w:szCs w:val="28"/>
        </w:rPr>
        <w:t>或高于周边基站平均高度</w:t>
      </w:r>
      <w:r>
        <w:rPr>
          <w:rFonts w:asciiTheme="minorEastAsia" w:hAnsiTheme="minorEastAsia" w:eastAsiaTheme="minorEastAsia"/>
          <w:kern w:val="24"/>
          <w:sz w:val="28"/>
          <w:szCs w:val="28"/>
        </w:rPr>
        <w:t>15m</w:t>
      </w:r>
      <w:r>
        <w:rPr>
          <w:rFonts w:hint="eastAsia" w:asciiTheme="minorEastAsia" w:hAnsiTheme="minorEastAsia" w:eastAsiaTheme="minorEastAsia"/>
          <w:kern w:val="24"/>
          <w:sz w:val="28"/>
          <w:szCs w:val="28"/>
        </w:rPr>
        <w:t>以上的基站。同一区域内天线挂高应基本保持一致。</w:t>
      </w:r>
    </w:p>
    <w:p w14:paraId="19F84502">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天线高度偏差系数可用来衡量天线有效挂高参差不齐对网络质量带来的潜在风险，以及用于选址中天线架设高度的参考。这里不考虑室内分布与室外底层站。</w:t>
      </w:r>
    </w:p>
    <w:p w14:paraId="647C1FF6">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天线高度偏差系数=</w:t>
      </w:r>
      <w:r>
        <w:rPr>
          <w:rFonts w:asciiTheme="minorEastAsia" w:hAnsiTheme="minorEastAsia" w:eastAsiaTheme="minorEastAsia"/>
          <w:kern w:val="24"/>
          <w:sz w:val="28"/>
          <w:szCs w:val="28"/>
        </w:rPr>
        <w:object>
          <v:shape id="_x0000_i1029" o:spt="75" type="#_x0000_t75" style="height:28.5pt;width:64.5pt;" o:ole="t" filled="f" o:preferrelative="t" stroked="f" coordsize="21600,21600">
            <v:path/>
            <v:fill on="f" focussize="0,0"/>
            <v:stroke on="f" joinstyle="miter"/>
            <v:imagedata r:id="rId23" o:title=""/>
            <o:lock v:ext="edit" aspectratio="t"/>
            <w10:wrap type="none"/>
            <w10:anchorlock/>
          </v:shape>
          <o:OLEObject Type="Embed" ProgID="Equation.3" ShapeID="_x0000_i1029" DrawAspect="Content" ObjectID="_1468075730" r:id="rId22">
            <o:LockedField>false</o:LockedField>
          </o:OLEObject>
        </w:object>
      </w:r>
    </w:p>
    <w:p w14:paraId="08E31017">
      <w:pPr>
        <w:spacing w:line="360" w:lineRule="auto"/>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其中：</w:t>
      </w:r>
    </w:p>
    <w:p w14:paraId="09ECEF2B">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30" o:spt="75" type="#_x0000_t75" style="height:15pt;width:7.5pt;" o:ole="t" filled="f" o:preferrelative="t" stroked="f" coordsize="21600,21600">
            <v:path/>
            <v:fill on="f" focussize="0,0"/>
            <v:stroke on="f" joinstyle="miter"/>
            <v:imagedata r:id="rId25" o:title=""/>
            <o:lock v:ext="edit" aspectratio="t"/>
            <w10:wrap type="none"/>
            <w10:anchorlock/>
          </v:shape>
          <o:OLEObject Type="Embed" ProgID="Equation.3" ShapeID="_x0000_i1030" DrawAspect="Content" ObjectID="_1468075731" r:id="rId24">
            <o:LockedField>false</o:LockedField>
          </o:OLEObject>
        </w:object>
      </w:r>
      <w:r>
        <w:rPr>
          <w:rFonts w:hint="eastAsia" w:asciiTheme="minorEastAsia" w:hAnsiTheme="minorEastAsia" w:eastAsiaTheme="minorEastAsia"/>
          <w:kern w:val="24"/>
          <w:sz w:val="28"/>
          <w:szCs w:val="28"/>
        </w:rPr>
        <w:t>——中心基站的天线高度，单位</w:t>
      </w:r>
      <w:r>
        <w:rPr>
          <w:rFonts w:asciiTheme="minorEastAsia" w:hAnsiTheme="minorEastAsia" w:eastAsiaTheme="minorEastAsia"/>
          <w:kern w:val="24"/>
          <w:sz w:val="28"/>
          <w:szCs w:val="28"/>
        </w:rPr>
        <w:t>m</w:t>
      </w:r>
    </w:p>
    <w:p w14:paraId="619FE98F">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31" o:spt="75" type="#_x0000_t75" style="height:36pt;width:57pt;" o:ole="t" filled="f" o:preferrelative="t" stroked="f" coordsize="21600,21600">
            <v:path/>
            <v:fill on="f" focussize="0,0"/>
            <v:stroke on="f" joinstyle="miter"/>
            <v:imagedata r:id="rId27" o:title=""/>
            <o:lock v:ext="edit" aspectratio="t"/>
            <w10:wrap type="none"/>
            <w10:anchorlock/>
          </v:shape>
          <o:OLEObject Type="Embed" ProgID="Equation.3" ShapeID="_x0000_i1031" DrawAspect="Content" ObjectID="_1468075732" r:id="rId26">
            <o:LockedField>false</o:LockedField>
          </o:OLEObject>
        </w:object>
      </w: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object>
          <v:shape id="_x0000_i1032" o:spt="75" type="#_x0000_t75" style="height:7.5pt;width:7.5pt;" o:ole="t" filled="f" o:preferrelative="t" stroked="f" coordsize="21600,21600">
            <v:path/>
            <v:fill on="f" focussize="0,0"/>
            <v:stroke on="f" joinstyle="miter"/>
            <v:imagedata r:id="rId29" o:title=""/>
            <o:lock v:ext="edit" aspectratio="t"/>
            <w10:wrap type="none"/>
            <w10:anchorlock/>
          </v:shape>
          <o:OLEObject Type="Embed" ProgID="Equation.3" ShapeID="_x0000_i1032" DrawAspect="Content" ObjectID="_1468075733" r:id="rId28">
            <o:LockedField>false</o:LockedField>
          </o:OLEObject>
        </w:object>
      </w:r>
      <w:r>
        <w:rPr>
          <w:rFonts w:hint="eastAsia" w:asciiTheme="minorEastAsia" w:hAnsiTheme="minorEastAsia" w:eastAsiaTheme="minorEastAsia"/>
          <w:kern w:val="24"/>
          <w:sz w:val="28"/>
          <w:szCs w:val="28"/>
        </w:rPr>
        <w:t>个第一圈相邻基站的天线高度均值，单位</w:t>
      </w:r>
      <w:r>
        <w:rPr>
          <w:rFonts w:asciiTheme="minorEastAsia" w:hAnsiTheme="minorEastAsia" w:eastAsiaTheme="minorEastAsia"/>
          <w:kern w:val="24"/>
          <w:sz w:val="28"/>
          <w:szCs w:val="28"/>
        </w:rPr>
        <w:t>m</w:t>
      </w:r>
    </w:p>
    <w:p w14:paraId="4ED001D8">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33" o:spt="75" type="#_x0000_t75" style="height:19.5pt;width:19.5pt;" o:ole="t" filled="f" o:preferrelative="t" stroked="f" coordsize="21600,21600">
            <v:path/>
            <v:fill on="f" focussize="0,0"/>
            <v:stroke on="f" joinstyle="miter"/>
            <v:imagedata r:id="rId31" o:title=""/>
            <o:lock v:ext="edit" aspectratio="t"/>
            <w10:wrap type="none"/>
            <w10:anchorlock/>
          </v:shape>
          <o:OLEObject Type="Embed" ProgID="Equation.3" ShapeID="_x0000_i1033" DrawAspect="Content" ObjectID="_1468075734" r:id="rId30">
            <o:LockedField>false</o:LockedField>
          </o:OLEObject>
        </w:object>
      </w:r>
      <w:r>
        <w:rPr>
          <w:rFonts w:hint="eastAsia" w:asciiTheme="minorEastAsia" w:hAnsiTheme="minorEastAsia" w:eastAsiaTheme="minorEastAsia"/>
          <w:kern w:val="24"/>
          <w:sz w:val="28"/>
          <w:szCs w:val="28"/>
        </w:rPr>
        <w:t>——第</w:t>
      </w:r>
      <w:r>
        <w:rPr>
          <w:rFonts w:asciiTheme="minorEastAsia" w:hAnsiTheme="minorEastAsia" w:eastAsiaTheme="minorEastAsia"/>
          <w:kern w:val="24"/>
          <w:sz w:val="28"/>
          <w:szCs w:val="28"/>
        </w:rPr>
        <w:object>
          <v:shape id="_x0000_i1034" o:spt="75" type="#_x0000_t75" style="height:15pt;width:7.5pt;" o:ole="t" filled="f" o:preferrelative="t" stroked="f" coordsize="21600,21600">
            <v:path/>
            <v:fill on="f" focussize="0,0"/>
            <v:stroke on="f" joinstyle="miter"/>
            <v:imagedata r:id="rId19" o:title=""/>
            <o:lock v:ext="edit" aspectratio="t"/>
            <w10:wrap type="none"/>
            <w10:anchorlock/>
          </v:shape>
          <o:OLEObject Type="Embed" ProgID="Equation.3" ShapeID="_x0000_i1034" DrawAspect="Content" ObjectID="_1468075735" r:id="rId32">
            <o:LockedField>false</o:LockedField>
          </o:OLEObject>
        </w:object>
      </w:r>
      <w:r>
        <w:rPr>
          <w:rFonts w:hint="eastAsia" w:asciiTheme="minorEastAsia" w:hAnsiTheme="minorEastAsia" w:eastAsiaTheme="minorEastAsia"/>
          <w:kern w:val="24"/>
          <w:sz w:val="28"/>
          <w:szCs w:val="28"/>
        </w:rPr>
        <w:t>个相邻基站的天线高度，单位</w:t>
      </w:r>
      <w:r>
        <w:rPr>
          <w:rFonts w:asciiTheme="minorEastAsia" w:hAnsiTheme="minorEastAsia" w:eastAsiaTheme="minorEastAsia"/>
          <w:kern w:val="24"/>
          <w:sz w:val="28"/>
          <w:szCs w:val="28"/>
        </w:rPr>
        <w:t>m</w:t>
      </w:r>
    </w:p>
    <w:p w14:paraId="1CE38EB7">
      <w:pPr>
        <w:spacing w:line="360" w:lineRule="auto"/>
        <w:ind w:firstLine="560" w:firstLineChars="200"/>
        <w:rPr>
          <w:rFonts w:hint="eastAsia" w:asciiTheme="minorEastAsia" w:hAnsiTheme="minorEastAsia" w:eastAsiaTheme="minorEastAsia"/>
          <w:kern w:val="24"/>
          <w:sz w:val="28"/>
          <w:szCs w:val="28"/>
        </w:rPr>
      </w:pPr>
      <w:r>
        <w:rPr>
          <w:rFonts w:asciiTheme="minorEastAsia" w:hAnsiTheme="minorEastAsia" w:eastAsiaTheme="minorEastAsia"/>
          <w:kern w:val="24"/>
          <w:sz w:val="28"/>
          <w:szCs w:val="28"/>
        </w:rPr>
        <w:object>
          <v:shape id="_x0000_i1035" o:spt="75" type="#_x0000_t75" style="height:7.5pt;width:7.5pt;" o:ole="t" filled="f" o:preferrelative="t" stroked="f" coordsize="21600,21600">
            <v:path/>
            <v:fill on="f" focussize="0,0"/>
            <v:stroke on="f" joinstyle="miter"/>
            <v:imagedata r:id="rId15" o:title=""/>
            <o:lock v:ext="edit" aspectratio="t"/>
            <w10:wrap type="none"/>
            <w10:anchorlock/>
          </v:shape>
          <o:OLEObject Type="Embed" ProgID="Equation.3" ShapeID="_x0000_i1035" DrawAspect="Content" ObjectID="_1468075736" r:id="rId33">
            <o:LockedField>false</o:LockedField>
          </o:OLEObject>
        </w:object>
      </w:r>
      <w:r>
        <w:rPr>
          <w:rFonts w:hint="eastAsia" w:asciiTheme="minorEastAsia" w:hAnsiTheme="minorEastAsia" w:eastAsiaTheme="minorEastAsia"/>
          <w:kern w:val="24"/>
          <w:sz w:val="28"/>
          <w:szCs w:val="28"/>
        </w:rPr>
        <w:t>——直接与中心基站覆盖相交的第一圈相邻基站数量</w:t>
      </w:r>
    </w:p>
    <w:p w14:paraId="60E6D4C0">
      <w:pPr>
        <w:spacing w:line="360" w:lineRule="auto"/>
        <w:ind w:firstLine="560" w:firstLineChars="200"/>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天线挂高通常在</w:t>
      </w:r>
      <w:r>
        <w:rPr>
          <w:rFonts w:asciiTheme="minorEastAsia" w:hAnsiTheme="minorEastAsia" w:eastAsiaTheme="minorEastAsia"/>
          <w:kern w:val="24"/>
          <w:sz w:val="28"/>
          <w:szCs w:val="28"/>
        </w:rPr>
        <w:t>25-50m</w:t>
      </w:r>
      <w:r>
        <w:rPr>
          <w:rFonts w:hint="eastAsia" w:asciiTheme="minorEastAsia" w:hAnsiTheme="minorEastAsia" w:eastAsiaTheme="minorEastAsia"/>
          <w:kern w:val="24"/>
          <w:sz w:val="28"/>
          <w:szCs w:val="28"/>
        </w:rPr>
        <w:t>之间为宜，可根据不同场景的覆盖需求酌情选择。天线高度偏差系数绝对值越小，表明该站点天线高度与周围站点的落差越小，区域内天线高度一致性越好；反之，说明天线高度设置不合理。当系数为正，值越大，说明该站为高站；当系数为负，值越小，说明该站越矮。</w:t>
      </w:r>
    </w:p>
    <w:p w14:paraId="127CB487">
      <w:pPr>
        <w:pStyle w:val="7"/>
        <w:rPr>
          <w:rFonts w:ascii="Arial" w:hAnsi="Arial"/>
        </w:rPr>
      </w:pPr>
      <w:bookmarkStart w:id="79" w:name="_Toc60177509"/>
      <w:r>
        <w:rPr>
          <w:rFonts w:hint="eastAsia" w:ascii="Arial" w:hAnsi="Arial"/>
        </w:rPr>
        <w:t>站间距设计</w:t>
      </w:r>
      <w:bookmarkEnd w:id="79"/>
    </w:p>
    <w:p w14:paraId="55264C4C">
      <w:pPr>
        <w:pStyle w:val="32"/>
        <w:numPr>
          <w:ilvl w:val="1"/>
          <w:numId w:val="12"/>
        </w:numPr>
        <w:spacing w:line="560" w:lineRule="exact"/>
        <w:ind w:firstLineChars="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站间距水平</w:t>
      </w:r>
    </w:p>
    <w:p w14:paraId="3949F4B9">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站址设置须全面考虑无线环境、业务发展和建站条件等方面因素。受社会经济条件、网络建设积累、站址获取难度等影响，各地市站址间距水平并非完全一致，规划过程中应结合当地实际情况分析取定。参考于《广东省</w:t>
      </w:r>
      <w:r>
        <w:rPr>
          <w:rFonts w:asciiTheme="minorEastAsia" w:hAnsiTheme="minorEastAsia" w:eastAsiaTheme="minorEastAsia"/>
          <w:kern w:val="24"/>
          <w:sz w:val="28"/>
          <w:szCs w:val="28"/>
        </w:rPr>
        <w:t>5G</w:t>
      </w:r>
      <w:r>
        <w:rPr>
          <w:rFonts w:hint="eastAsia" w:asciiTheme="minorEastAsia" w:hAnsiTheme="minorEastAsia" w:eastAsiaTheme="minorEastAsia"/>
          <w:kern w:val="24"/>
          <w:sz w:val="28"/>
          <w:szCs w:val="28"/>
        </w:rPr>
        <w:t>基站和数据中心总体布局规划（</w:t>
      </w:r>
      <w:r>
        <w:rPr>
          <w:rFonts w:asciiTheme="minorEastAsia" w:hAnsiTheme="minorEastAsia" w:eastAsiaTheme="minorEastAsia"/>
          <w:kern w:val="24"/>
          <w:sz w:val="28"/>
          <w:szCs w:val="28"/>
        </w:rPr>
        <w:t>2021-2025</w:t>
      </w:r>
      <w:r>
        <w:rPr>
          <w:rFonts w:hint="eastAsia" w:asciiTheme="minorEastAsia" w:hAnsiTheme="minorEastAsia" w:eastAsiaTheme="minorEastAsia"/>
          <w:kern w:val="24"/>
          <w:sz w:val="28"/>
          <w:szCs w:val="28"/>
        </w:rPr>
        <w:t>年）》中5</w:t>
      </w:r>
      <w:r>
        <w:rPr>
          <w:rFonts w:asciiTheme="minorEastAsia" w:hAnsiTheme="minorEastAsia" w:eastAsiaTheme="minorEastAsia"/>
          <w:kern w:val="24"/>
          <w:sz w:val="28"/>
          <w:szCs w:val="28"/>
        </w:rPr>
        <w:t>G基站规划站间距表</w:t>
      </w: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同时结合</w:t>
      </w:r>
      <w:r>
        <w:rPr>
          <w:rFonts w:hint="eastAsia" w:asciiTheme="minorEastAsia" w:hAnsiTheme="minorEastAsia" w:eastAsiaTheme="minorEastAsia"/>
          <w:kern w:val="24"/>
          <w:sz w:val="28"/>
          <w:szCs w:val="28"/>
        </w:rPr>
        <w:t>各电信运营商不同网络覆盖要求以及对现网结构的分析，汕尾市各种场景下站间距参考值如下表所示。</w:t>
      </w:r>
    </w:p>
    <w:p w14:paraId="1E45BF5F">
      <w:pPr>
        <w:pStyle w:val="32"/>
        <w:spacing w:line="500" w:lineRule="exact"/>
        <w:ind w:firstLine="0" w:firstLineChars="0"/>
        <w:jc w:val="center"/>
        <w:rPr>
          <w:rFonts w:hint="eastAsia" w:asciiTheme="minorEastAsia" w:hAnsiTheme="minorEastAsia" w:eastAsiaTheme="minorEastAsia"/>
          <w:sz w:val="28"/>
          <w:szCs w:val="28"/>
        </w:rPr>
      </w:pPr>
      <w:r>
        <w:rPr>
          <w:rFonts w:hint="eastAsia" w:ascii="宋体" w:hAnsi="宋体" w:cs="宋体"/>
          <w:sz w:val="28"/>
          <w:szCs w:val="28"/>
        </w:rPr>
        <w:t>表</w:t>
      </w:r>
      <w:r>
        <w:rPr>
          <w:rFonts w:ascii="宋体" w:hAnsi="宋体" w:cs="宋体"/>
          <w:sz w:val="28"/>
          <w:szCs w:val="28"/>
        </w:rPr>
        <w:t xml:space="preserve">4-5 </w:t>
      </w:r>
      <w:r>
        <w:rPr>
          <w:rFonts w:hint="eastAsia" w:ascii="宋体" w:hAnsi="宋体" w:cs="宋体"/>
          <w:sz w:val="28"/>
          <w:szCs w:val="28"/>
        </w:rPr>
        <w:t>5G网络频段站间距参考值（单位：m）</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339"/>
        <w:gridCol w:w="1339"/>
        <w:gridCol w:w="1487"/>
        <w:gridCol w:w="1464"/>
        <w:gridCol w:w="1487"/>
        <w:gridCol w:w="1788"/>
      </w:tblGrid>
      <w:tr w14:paraId="0CA25E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blHeader/>
          <w:jc w:val="center"/>
        </w:trPr>
        <w:tc>
          <w:tcPr>
            <w:tcW w:w="752" w:type="pct"/>
            <w:shd w:val="clear" w:color="auto" w:fill="EEECE1" w:themeFill="background2"/>
            <w:vAlign w:val="center"/>
          </w:tcPr>
          <w:p w14:paraId="74CB5CA6">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工作频段</w:t>
            </w:r>
          </w:p>
        </w:tc>
        <w:tc>
          <w:tcPr>
            <w:tcW w:w="752" w:type="pct"/>
            <w:shd w:val="clear" w:color="auto" w:fill="EEECE1" w:themeFill="background2"/>
            <w:vAlign w:val="center"/>
          </w:tcPr>
          <w:p w14:paraId="38AE54E6">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密集城区</w:t>
            </w:r>
          </w:p>
        </w:tc>
        <w:tc>
          <w:tcPr>
            <w:tcW w:w="835" w:type="pct"/>
            <w:shd w:val="clear" w:color="auto" w:fill="EEECE1" w:themeFill="background2"/>
            <w:vAlign w:val="center"/>
          </w:tcPr>
          <w:p w14:paraId="12FBDA7E">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一般城区</w:t>
            </w:r>
          </w:p>
        </w:tc>
        <w:tc>
          <w:tcPr>
            <w:tcW w:w="822" w:type="pct"/>
            <w:shd w:val="clear" w:color="auto" w:fill="EEECE1" w:themeFill="background2"/>
            <w:vAlign w:val="center"/>
          </w:tcPr>
          <w:p w14:paraId="62F9CC91">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县城</w:t>
            </w:r>
          </w:p>
        </w:tc>
        <w:tc>
          <w:tcPr>
            <w:tcW w:w="835" w:type="pct"/>
            <w:shd w:val="clear" w:color="auto" w:fill="EEECE1" w:themeFill="background2"/>
            <w:vAlign w:val="center"/>
          </w:tcPr>
          <w:p w14:paraId="2429CABE">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郊区镇区</w:t>
            </w:r>
          </w:p>
        </w:tc>
        <w:tc>
          <w:tcPr>
            <w:tcW w:w="1003" w:type="pct"/>
            <w:shd w:val="clear" w:color="auto" w:fill="EEECE1" w:themeFill="background2"/>
            <w:vAlign w:val="center"/>
          </w:tcPr>
          <w:p w14:paraId="72539C5C">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农村</w:t>
            </w:r>
          </w:p>
        </w:tc>
      </w:tr>
      <w:tr w14:paraId="758A33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52" w:type="pct"/>
            <w:shd w:val="clear" w:color="auto" w:fill="auto"/>
            <w:vAlign w:val="center"/>
          </w:tcPr>
          <w:p w14:paraId="4C067539">
            <w:pPr>
              <w:widowControl/>
              <w:jc w:val="center"/>
              <w:rPr>
                <w:rFonts w:hint="eastAsia" w:cs="宋体" w:asciiTheme="minorEastAsia" w:hAnsiTheme="minorEastAsia" w:eastAsiaTheme="minorEastAsia"/>
                <w:sz w:val="24"/>
              </w:rPr>
            </w:pPr>
            <w:r>
              <w:rPr>
                <w:rFonts w:cs="宋体" w:asciiTheme="minorEastAsia" w:hAnsiTheme="minorEastAsia" w:eastAsiaTheme="minorEastAsia"/>
                <w:sz w:val="24"/>
              </w:rPr>
              <w:t>700MHz</w:t>
            </w:r>
          </w:p>
        </w:tc>
        <w:tc>
          <w:tcPr>
            <w:tcW w:w="752" w:type="pct"/>
            <w:shd w:val="clear" w:color="auto" w:fill="auto"/>
            <w:vAlign w:val="center"/>
          </w:tcPr>
          <w:p w14:paraId="2ECBD97C">
            <w:pPr>
              <w:jc w:val="center"/>
              <w:rPr>
                <w:rFonts w:hint="eastAsia" w:cs="宋体" w:asciiTheme="minorEastAsia" w:hAnsiTheme="minorEastAsia" w:eastAsiaTheme="minorEastAsia"/>
                <w:sz w:val="24"/>
              </w:rPr>
            </w:pPr>
            <w:r>
              <w:rPr>
                <w:rFonts w:hint="eastAsia" w:asciiTheme="minorEastAsia" w:hAnsiTheme="minorEastAsia" w:eastAsiaTheme="minorEastAsia"/>
                <w:sz w:val="24"/>
              </w:rPr>
              <w:t>500～600</w:t>
            </w:r>
          </w:p>
        </w:tc>
        <w:tc>
          <w:tcPr>
            <w:tcW w:w="835" w:type="pct"/>
            <w:vAlign w:val="center"/>
          </w:tcPr>
          <w:p w14:paraId="5D63325A">
            <w:pPr>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6</w:t>
            </w:r>
            <w:r>
              <w:rPr>
                <w:rFonts w:cs="宋体" w:asciiTheme="minorEastAsia" w:hAnsiTheme="minorEastAsia" w:eastAsiaTheme="minorEastAsia"/>
                <w:sz w:val="24"/>
              </w:rPr>
              <w:t>00</w:t>
            </w:r>
            <w:r>
              <w:rPr>
                <w:rFonts w:hint="eastAsia" w:asciiTheme="minorEastAsia" w:hAnsiTheme="minorEastAsia" w:eastAsiaTheme="minorEastAsia"/>
                <w:sz w:val="24"/>
              </w:rPr>
              <w:t>～</w:t>
            </w:r>
            <w:r>
              <w:rPr>
                <w:rFonts w:cs="宋体" w:asciiTheme="minorEastAsia" w:hAnsiTheme="minorEastAsia" w:eastAsiaTheme="minorEastAsia"/>
                <w:sz w:val="24"/>
              </w:rPr>
              <w:t>800</w:t>
            </w:r>
          </w:p>
        </w:tc>
        <w:tc>
          <w:tcPr>
            <w:tcW w:w="822" w:type="pct"/>
            <w:vAlign w:val="center"/>
          </w:tcPr>
          <w:p w14:paraId="418F8B66">
            <w:pPr>
              <w:jc w:val="center"/>
              <w:rPr>
                <w:rFonts w:hint="eastAsia" w:cs="宋体" w:asciiTheme="minorEastAsia" w:hAnsiTheme="minorEastAsia" w:eastAsiaTheme="minorEastAsia"/>
                <w:sz w:val="24"/>
              </w:rPr>
            </w:pPr>
            <w:r>
              <w:rPr>
                <w:rFonts w:cs="宋体" w:asciiTheme="minorEastAsia" w:hAnsiTheme="minorEastAsia" w:eastAsiaTheme="minorEastAsia"/>
                <w:sz w:val="24"/>
              </w:rPr>
              <w:t>800～</w:t>
            </w:r>
            <w:r>
              <w:rPr>
                <w:rFonts w:hint="eastAsia" w:cs="宋体" w:asciiTheme="minorEastAsia" w:hAnsiTheme="minorEastAsia" w:eastAsiaTheme="minorEastAsia"/>
                <w:sz w:val="24"/>
              </w:rPr>
              <w:t>1</w:t>
            </w:r>
            <w:r>
              <w:rPr>
                <w:rFonts w:cs="宋体" w:asciiTheme="minorEastAsia" w:hAnsiTheme="minorEastAsia" w:eastAsiaTheme="minorEastAsia"/>
                <w:sz w:val="24"/>
              </w:rPr>
              <w:t>000</w:t>
            </w:r>
          </w:p>
        </w:tc>
        <w:tc>
          <w:tcPr>
            <w:tcW w:w="835" w:type="pct"/>
            <w:vAlign w:val="center"/>
          </w:tcPr>
          <w:p w14:paraId="3AE3A6B1">
            <w:pPr>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1</w:t>
            </w:r>
            <w:r>
              <w:rPr>
                <w:rFonts w:cs="宋体" w:asciiTheme="minorEastAsia" w:hAnsiTheme="minorEastAsia" w:eastAsiaTheme="minorEastAsia"/>
                <w:sz w:val="24"/>
              </w:rPr>
              <w:t>200～</w:t>
            </w:r>
            <w:r>
              <w:rPr>
                <w:rFonts w:hint="eastAsia" w:cs="宋体" w:asciiTheme="minorEastAsia" w:hAnsiTheme="minorEastAsia" w:eastAsiaTheme="minorEastAsia"/>
                <w:sz w:val="24"/>
              </w:rPr>
              <w:t>1</w:t>
            </w:r>
            <w:r>
              <w:rPr>
                <w:rFonts w:cs="宋体" w:asciiTheme="minorEastAsia" w:hAnsiTheme="minorEastAsia" w:eastAsiaTheme="minorEastAsia"/>
                <w:sz w:val="24"/>
              </w:rPr>
              <w:t>500</w:t>
            </w:r>
          </w:p>
        </w:tc>
        <w:tc>
          <w:tcPr>
            <w:tcW w:w="1003" w:type="pct"/>
            <w:shd w:val="clear" w:color="auto" w:fill="auto"/>
            <w:vAlign w:val="center"/>
          </w:tcPr>
          <w:p w14:paraId="4A7E9796">
            <w:pPr>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2</w:t>
            </w:r>
            <w:r>
              <w:rPr>
                <w:rFonts w:cs="宋体" w:asciiTheme="minorEastAsia" w:hAnsiTheme="minorEastAsia" w:eastAsiaTheme="minorEastAsia"/>
                <w:sz w:val="24"/>
              </w:rPr>
              <w:t>000～</w:t>
            </w:r>
            <w:r>
              <w:rPr>
                <w:rFonts w:hint="eastAsia" w:cs="宋体" w:asciiTheme="minorEastAsia" w:hAnsiTheme="minorEastAsia" w:eastAsiaTheme="minorEastAsia"/>
                <w:sz w:val="24"/>
              </w:rPr>
              <w:t>3</w:t>
            </w:r>
            <w:r>
              <w:rPr>
                <w:rFonts w:cs="宋体" w:asciiTheme="minorEastAsia" w:hAnsiTheme="minorEastAsia" w:eastAsiaTheme="minorEastAsia"/>
                <w:sz w:val="24"/>
              </w:rPr>
              <w:t>500</w:t>
            </w:r>
          </w:p>
        </w:tc>
      </w:tr>
      <w:tr w14:paraId="6BEE7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52" w:type="pct"/>
            <w:shd w:val="clear" w:color="auto" w:fill="auto"/>
            <w:vAlign w:val="center"/>
          </w:tcPr>
          <w:p w14:paraId="51ED5A0D">
            <w:pPr>
              <w:widowControl/>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2.6GHz</w:t>
            </w:r>
          </w:p>
        </w:tc>
        <w:tc>
          <w:tcPr>
            <w:tcW w:w="752" w:type="pct"/>
            <w:shd w:val="clear" w:color="auto" w:fill="auto"/>
            <w:vAlign w:val="center"/>
          </w:tcPr>
          <w:p w14:paraId="19A47546">
            <w:pPr>
              <w:jc w:val="center"/>
              <w:rPr>
                <w:rFonts w:hint="eastAsia" w:cs="宋体" w:asciiTheme="minorEastAsia" w:hAnsiTheme="minorEastAsia" w:eastAsiaTheme="minorEastAsia"/>
                <w:sz w:val="24"/>
              </w:rPr>
            </w:pPr>
            <w:r>
              <w:rPr>
                <w:rFonts w:asciiTheme="minorEastAsia" w:hAnsiTheme="minorEastAsia" w:eastAsiaTheme="minorEastAsia"/>
                <w:sz w:val="24"/>
              </w:rPr>
              <w:t>150</w:t>
            </w:r>
            <w:r>
              <w:rPr>
                <w:rFonts w:hint="eastAsia" w:asciiTheme="minorEastAsia" w:hAnsiTheme="minorEastAsia" w:eastAsiaTheme="minorEastAsia"/>
                <w:sz w:val="24"/>
              </w:rPr>
              <w:t>～</w:t>
            </w:r>
            <w:r>
              <w:rPr>
                <w:rFonts w:asciiTheme="minorEastAsia" w:hAnsiTheme="minorEastAsia" w:eastAsiaTheme="minorEastAsia"/>
                <w:sz w:val="24"/>
              </w:rPr>
              <w:t>25</w:t>
            </w:r>
            <w:r>
              <w:rPr>
                <w:rFonts w:hint="eastAsia" w:asciiTheme="minorEastAsia" w:hAnsiTheme="minorEastAsia" w:eastAsiaTheme="minorEastAsia"/>
                <w:sz w:val="24"/>
              </w:rPr>
              <w:t>0</w:t>
            </w:r>
          </w:p>
        </w:tc>
        <w:tc>
          <w:tcPr>
            <w:tcW w:w="835" w:type="pct"/>
            <w:vAlign w:val="center"/>
          </w:tcPr>
          <w:p w14:paraId="5533BC05">
            <w:pPr>
              <w:jc w:val="center"/>
              <w:rPr>
                <w:rFonts w:hint="eastAsia" w:cs="宋体" w:asciiTheme="minorEastAsia" w:hAnsiTheme="minorEastAsia" w:eastAsiaTheme="minorEastAsia"/>
                <w:sz w:val="24"/>
              </w:rPr>
            </w:pPr>
            <w:r>
              <w:rPr>
                <w:rFonts w:asciiTheme="minorEastAsia" w:hAnsiTheme="minorEastAsia" w:eastAsiaTheme="minorEastAsia"/>
                <w:sz w:val="24"/>
              </w:rPr>
              <w:t>25</w:t>
            </w:r>
            <w:r>
              <w:rPr>
                <w:rFonts w:hint="eastAsia" w:asciiTheme="minorEastAsia" w:hAnsiTheme="minorEastAsia" w:eastAsiaTheme="minorEastAsia"/>
                <w:sz w:val="24"/>
              </w:rPr>
              <w:t>0～</w:t>
            </w:r>
            <w:r>
              <w:rPr>
                <w:rFonts w:asciiTheme="minorEastAsia" w:hAnsiTheme="minorEastAsia" w:eastAsiaTheme="minorEastAsia"/>
                <w:sz w:val="24"/>
              </w:rPr>
              <w:t>35</w:t>
            </w:r>
            <w:r>
              <w:rPr>
                <w:rFonts w:hint="eastAsia" w:asciiTheme="minorEastAsia" w:hAnsiTheme="minorEastAsia" w:eastAsiaTheme="minorEastAsia"/>
                <w:sz w:val="24"/>
              </w:rPr>
              <w:t>0</w:t>
            </w:r>
          </w:p>
        </w:tc>
        <w:tc>
          <w:tcPr>
            <w:tcW w:w="822" w:type="pct"/>
            <w:vAlign w:val="center"/>
          </w:tcPr>
          <w:p w14:paraId="3CC0F17F">
            <w:pPr>
              <w:jc w:val="center"/>
              <w:rPr>
                <w:rFonts w:hint="eastAsia" w:cs="宋体"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00</w:t>
            </w:r>
            <w:r>
              <w:rPr>
                <w:rFonts w:cs="宋体" w:asciiTheme="minorEastAsia" w:hAnsiTheme="minorEastAsia" w:eastAsiaTheme="minorEastAsia"/>
                <w:sz w:val="24"/>
              </w:rPr>
              <w:t>～</w:t>
            </w:r>
            <w:r>
              <w:rPr>
                <w:rFonts w:asciiTheme="minorEastAsia" w:hAnsiTheme="minorEastAsia" w:eastAsiaTheme="minorEastAsia"/>
                <w:sz w:val="24"/>
              </w:rPr>
              <w:t>6</w:t>
            </w:r>
            <w:r>
              <w:rPr>
                <w:rFonts w:hint="eastAsia" w:asciiTheme="minorEastAsia" w:hAnsiTheme="minorEastAsia" w:eastAsiaTheme="minorEastAsia"/>
                <w:sz w:val="24"/>
              </w:rPr>
              <w:t>00</w:t>
            </w:r>
          </w:p>
        </w:tc>
        <w:tc>
          <w:tcPr>
            <w:tcW w:w="835" w:type="pct"/>
            <w:vAlign w:val="center"/>
          </w:tcPr>
          <w:p w14:paraId="50FD5B45">
            <w:pPr>
              <w:jc w:val="center"/>
              <w:rPr>
                <w:rFonts w:hint="eastAsia" w:cs="宋体" w:asciiTheme="minorEastAsia" w:hAnsiTheme="minorEastAsia" w:eastAsiaTheme="minorEastAsia"/>
                <w:sz w:val="24"/>
              </w:rPr>
            </w:pPr>
            <w:r>
              <w:rPr>
                <w:rFonts w:hint="eastAsia" w:asciiTheme="minorEastAsia" w:hAnsiTheme="minorEastAsia" w:eastAsiaTheme="minorEastAsia"/>
                <w:sz w:val="24"/>
              </w:rPr>
              <w:t>1000</w:t>
            </w:r>
            <w:r>
              <w:rPr>
                <w:rFonts w:cs="宋体" w:asciiTheme="minorEastAsia" w:hAnsiTheme="minorEastAsia" w:eastAsiaTheme="minorEastAsia"/>
                <w:sz w:val="24"/>
              </w:rPr>
              <w:t>～</w:t>
            </w:r>
            <w:r>
              <w:rPr>
                <w:rFonts w:hint="eastAsia" w:asciiTheme="minorEastAsia" w:hAnsiTheme="minorEastAsia" w:eastAsiaTheme="minorEastAsia"/>
                <w:sz w:val="24"/>
              </w:rPr>
              <w:t>1400</w:t>
            </w:r>
          </w:p>
        </w:tc>
        <w:tc>
          <w:tcPr>
            <w:tcW w:w="1003" w:type="pct"/>
            <w:shd w:val="clear" w:color="auto" w:fill="auto"/>
            <w:vAlign w:val="center"/>
          </w:tcPr>
          <w:p w14:paraId="22A34082">
            <w:pPr>
              <w:jc w:val="center"/>
              <w:rPr>
                <w:rFonts w:hint="eastAsia" w:cs="宋体" w:asciiTheme="minorEastAsia" w:hAnsiTheme="minorEastAsia" w:eastAsiaTheme="minorEastAsia"/>
                <w:sz w:val="24"/>
              </w:rPr>
            </w:pPr>
            <w:r>
              <w:rPr>
                <w:rFonts w:hint="eastAsia" w:asciiTheme="minorEastAsia" w:hAnsiTheme="minorEastAsia" w:eastAsiaTheme="minorEastAsia"/>
                <w:sz w:val="24"/>
              </w:rPr>
              <w:t>1600</w:t>
            </w:r>
            <w:r>
              <w:rPr>
                <w:rFonts w:cs="宋体" w:asciiTheme="minorEastAsia" w:hAnsiTheme="minorEastAsia" w:eastAsiaTheme="minorEastAsia"/>
                <w:sz w:val="24"/>
              </w:rPr>
              <w:t>～</w:t>
            </w:r>
            <w:r>
              <w:rPr>
                <w:rFonts w:hint="eastAsia" w:asciiTheme="minorEastAsia" w:hAnsiTheme="minorEastAsia" w:eastAsiaTheme="minorEastAsia"/>
                <w:sz w:val="24"/>
              </w:rPr>
              <w:t>2100</w:t>
            </w:r>
          </w:p>
        </w:tc>
      </w:tr>
      <w:tr w14:paraId="3DDD9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52" w:type="pct"/>
            <w:shd w:val="clear" w:color="auto" w:fill="auto"/>
            <w:vAlign w:val="center"/>
          </w:tcPr>
          <w:p w14:paraId="367B5128">
            <w:pPr>
              <w:widowControl/>
              <w:jc w:val="center"/>
              <w:rPr>
                <w:rFonts w:hint="eastAsia" w:cs="宋体" w:asciiTheme="minorEastAsia" w:hAnsiTheme="minorEastAsia" w:eastAsiaTheme="minorEastAsia"/>
                <w:b/>
                <w:sz w:val="24"/>
              </w:rPr>
            </w:pPr>
            <w:r>
              <w:rPr>
                <w:rFonts w:hint="eastAsia" w:cs="宋体" w:asciiTheme="minorEastAsia" w:hAnsiTheme="minorEastAsia" w:eastAsiaTheme="minorEastAsia"/>
                <w:b/>
                <w:sz w:val="24"/>
              </w:rPr>
              <w:t>3.5GHz</w:t>
            </w:r>
          </w:p>
        </w:tc>
        <w:tc>
          <w:tcPr>
            <w:tcW w:w="752" w:type="pct"/>
            <w:shd w:val="clear" w:color="auto" w:fill="auto"/>
            <w:vAlign w:val="center"/>
          </w:tcPr>
          <w:p w14:paraId="33E53CD4">
            <w:pPr>
              <w:jc w:val="center"/>
              <w:rPr>
                <w:rFonts w:hint="eastAsia" w:cs="宋体" w:asciiTheme="minorEastAsia" w:hAnsiTheme="minorEastAsia" w:eastAsiaTheme="minorEastAsia"/>
                <w:b/>
                <w:sz w:val="24"/>
              </w:rPr>
            </w:pPr>
            <w:r>
              <w:rPr>
                <w:rFonts w:asciiTheme="minorEastAsia" w:hAnsiTheme="minorEastAsia" w:eastAsiaTheme="minorEastAsia"/>
                <w:b/>
                <w:sz w:val="24"/>
              </w:rPr>
              <w:t>100</w:t>
            </w:r>
            <w:r>
              <w:rPr>
                <w:rFonts w:hint="eastAsia" w:asciiTheme="minorEastAsia" w:hAnsiTheme="minorEastAsia" w:eastAsiaTheme="minorEastAsia"/>
                <w:b/>
                <w:sz w:val="24"/>
              </w:rPr>
              <w:t>～</w:t>
            </w:r>
            <w:r>
              <w:rPr>
                <w:rFonts w:asciiTheme="minorEastAsia" w:hAnsiTheme="minorEastAsia" w:eastAsiaTheme="minorEastAsia"/>
                <w:b/>
                <w:sz w:val="24"/>
              </w:rPr>
              <w:t>20</w:t>
            </w:r>
            <w:r>
              <w:rPr>
                <w:rFonts w:hint="eastAsia" w:asciiTheme="minorEastAsia" w:hAnsiTheme="minorEastAsia" w:eastAsiaTheme="minorEastAsia"/>
                <w:b/>
                <w:sz w:val="24"/>
              </w:rPr>
              <w:t>0</w:t>
            </w:r>
          </w:p>
        </w:tc>
        <w:tc>
          <w:tcPr>
            <w:tcW w:w="835" w:type="pct"/>
            <w:vAlign w:val="center"/>
          </w:tcPr>
          <w:p w14:paraId="7C5B6DEC">
            <w:pPr>
              <w:jc w:val="center"/>
              <w:rPr>
                <w:rFonts w:hint="eastAsia" w:cs="宋体" w:asciiTheme="minorEastAsia" w:hAnsiTheme="minorEastAsia" w:eastAsiaTheme="minorEastAsia"/>
                <w:b/>
                <w:sz w:val="24"/>
              </w:rPr>
            </w:pPr>
            <w:r>
              <w:rPr>
                <w:rFonts w:asciiTheme="minorEastAsia" w:hAnsiTheme="minorEastAsia" w:eastAsiaTheme="minorEastAsia"/>
                <w:b/>
                <w:sz w:val="24"/>
              </w:rPr>
              <w:t>20</w:t>
            </w:r>
            <w:r>
              <w:rPr>
                <w:rFonts w:hint="eastAsia" w:asciiTheme="minorEastAsia" w:hAnsiTheme="minorEastAsia" w:eastAsiaTheme="minorEastAsia"/>
                <w:b/>
                <w:sz w:val="24"/>
              </w:rPr>
              <w:t>0～</w:t>
            </w:r>
            <w:r>
              <w:rPr>
                <w:rFonts w:asciiTheme="minorEastAsia" w:hAnsiTheme="minorEastAsia" w:eastAsiaTheme="minorEastAsia"/>
                <w:b/>
                <w:sz w:val="24"/>
              </w:rPr>
              <w:t>30</w:t>
            </w:r>
            <w:r>
              <w:rPr>
                <w:rFonts w:hint="eastAsia" w:asciiTheme="minorEastAsia" w:hAnsiTheme="minorEastAsia" w:eastAsiaTheme="minorEastAsia"/>
                <w:b/>
                <w:sz w:val="24"/>
              </w:rPr>
              <w:t>0</w:t>
            </w:r>
          </w:p>
        </w:tc>
        <w:tc>
          <w:tcPr>
            <w:tcW w:w="822" w:type="pct"/>
            <w:vAlign w:val="center"/>
          </w:tcPr>
          <w:p w14:paraId="5A94FFED">
            <w:pPr>
              <w:jc w:val="center"/>
              <w:rPr>
                <w:rFonts w:hint="eastAsia" w:cs="宋体" w:asciiTheme="minorEastAsia" w:hAnsiTheme="minorEastAsia" w:eastAsiaTheme="minorEastAsia"/>
                <w:b/>
                <w:sz w:val="24"/>
              </w:rPr>
            </w:pPr>
            <w:r>
              <w:rPr>
                <w:rFonts w:asciiTheme="minorEastAsia" w:hAnsiTheme="minorEastAsia" w:eastAsiaTheme="minorEastAsia"/>
                <w:b/>
                <w:sz w:val="24"/>
              </w:rPr>
              <w:t>3</w:t>
            </w:r>
            <w:r>
              <w:rPr>
                <w:rFonts w:hint="eastAsia" w:asciiTheme="minorEastAsia" w:hAnsiTheme="minorEastAsia" w:eastAsiaTheme="minorEastAsia"/>
                <w:b/>
                <w:sz w:val="24"/>
              </w:rPr>
              <w:t>00</w:t>
            </w:r>
            <w:r>
              <w:rPr>
                <w:rFonts w:cs="宋体" w:asciiTheme="minorEastAsia" w:hAnsiTheme="minorEastAsia" w:eastAsiaTheme="minorEastAsia"/>
                <w:b/>
                <w:sz w:val="24"/>
              </w:rPr>
              <w:t>～</w:t>
            </w:r>
            <w:r>
              <w:rPr>
                <w:rFonts w:asciiTheme="minorEastAsia" w:hAnsiTheme="minorEastAsia" w:eastAsiaTheme="minorEastAsia"/>
                <w:b/>
                <w:sz w:val="24"/>
              </w:rPr>
              <w:t>4</w:t>
            </w:r>
            <w:r>
              <w:rPr>
                <w:rFonts w:hint="eastAsia" w:asciiTheme="minorEastAsia" w:hAnsiTheme="minorEastAsia" w:eastAsiaTheme="minorEastAsia"/>
                <w:b/>
                <w:sz w:val="24"/>
              </w:rPr>
              <w:t>00</w:t>
            </w:r>
          </w:p>
        </w:tc>
        <w:tc>
          <w:tcPr>
            <w:tcW w:w="835" w:type="pct"/>
            <w:vAlign w:val="center"/>
          </w:tcPr>
          <w:p w14:paraId="212B176B">
            <w:pPr>
              <w:jc w:val="center"/>
              <w:rPr>
                <w:rFonts w:hint="eastAsia" w:cs="宋体" w:asciiTheme="minorEastAsia" w:hAnsiTheme="minorEastAsia" w:eastAsiaTheme="minorEastAsia"/>
                <w:b/>
                <w:sz w:val="24"/>
              </w:rPr>
            </w:pPr>
            <w:r>
              <w:rPr>
                <w:rFonts w:asciiTheme="minorEastAsia" w:hAnsiTheme="minorEastAsia" w:eastAsiaTheme="minorEastAsia"/>
                <w:b/>
                <w:sz w:val="24"/>
              </w:rPr>
              <w:t>6</w:t>
            </w:r>
            <w:r>
              <w:rPr>
                <w:rFonts w:hint="eastAsia" w:asciiTheme="minorEastAsia" w:hAnsiTheme="minorEastAsia" w:eastAsiaTheme="minorEastAsia"/>
                <w:b/>
                <w:sz w:val="24"/>
              </w:rPr>
              <w:t>00</w:t>
            </w:r>
            <w:r>
              <w:rPr>
                <w:rFonts w:cs="宋体" w:asciiTheme="minorEastAsia" w:hAnsiTheme="minorEastAsia" w:eastAsiaTheme="minorEastAsia"/>
                <w:b/>
                <w:sz w:val="24"/>
              </w:rPr>
              <w:t>～</w:t>
            </w:r>
            <w:r>
              <w:rPr>
                <w:rFonts w:asciiTheme="minorEastAsia" w:hAnsiTheme="minorEastAsia" w:eastAsiaTheme="minorEastAsia"/>
                <w:b/>
                <w:sz w:val="24"/>
              </w:rPr>
              <w:t>9</w:t>
            </w:r>
            <w:r>
              <w:rPr>
                <w:rFonts w:hint="eastAsia" w:asciiTheme="minorEastAsia" w:hAnsiTheme="minorEastAsia" w:eastAsiaTheme="minorEastAsia"/>
                <w:b/>
                <w:sz w:val="24"/>
              </w:rPr>
              <w:t>00</w:t>
            </w:r>
          </w:p>
        </w:tc>
        <w:tc>
          <w:tcPr>
            <w:tcW w:w="1003" w:type="pct"/>
            <w:shd w:val="clear" w:color="auto" w:fill="auto"/>
            <w:vAlign w:val="center"/>
          </w:tcPr>
          <w:p w14:paraId="0D2E2211">
            <w:pPr>
              <w:jc w:val="center"/>
              <w:rPr>
                <w:rFonts w:hint="eastAsia" w:cs="宋体"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0</w:t>
            </w:r>
            <w:r>
              <w:rPr>
                <w:rFonts w:hint="eastAsia" w:asciiTheme="minorEastAsia" w:hAnsiTheme="minorEastAsia" w:eastAsiaTheme="minorEastAsia"/>
                <w:b/>
                <w:sz w:val="24"/>
              </w:rPr>
              <w:t>00</w:t>
            </w:r>
            <w:r>
              <w:rPr>
                <w:rFonts w:cs="宋体" w:asciiTheme="minorEastAsia" w:hAnsiTheme="minorEastAsia" w:eastAsiaTheme="minorEastAsia"/>
                <w:b/>
                <w:sz w:val="24"/>
              </w:rPr>
              <w:t>～</w:t>
            </w:r>
            <w:r>
              <w:rPr>
                <w:rFonts w:asciiTheme="minorEastAsia" w:hAnsiTheme="minorEastAsia" w:eastAsiaTheme="minorEastAsia"/>
                <w:b/>
                <w:sz w:val="24"/>
              </w:rPr>
              <w:t>14</w:t>
            </w:r>
            <w:r>
              <w:rPr>
                <w:rFonts w:hint="eastAsia" w:asciiTheme="minorEastAsia" w:hAnsiTheme="minorEastAsia" w:eastAsiaTheme="minorEastAsia"/>
                <w:b/>
                <w:sz w:val="24"/>
              </w:rPr>
              <w:t>00</w:t>
            </w:r>
          </w:p>
        </w:tc>
      </w:tr>
      <w:tr w14:paraId="2330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52" w:type="pct"/>
            <w:shd w:val="clear" w:color="auto" w:fill="auto"/>
            <w:vAlign w:val="center"/>
          </w:tcPr>
          <w:p w14:paraId="77FDBD1D">
            <w:pPr>
              <w:widowControl/>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4.9GHz</w:t>
            </w:r>
          </w:p>
        </w:tc>
        <w:tc>
          <w:tcPr>
            <w:tcW w:w="752" w:type="pct"/>
            <w:shd w:val="clear" w:color="auto" w:fill="auto"/>
            <w:vAlign w:val="center"/>
          </w:tcPr>
          <w:p w14:paraId="5C4D0555">
            <w:pPr>
              <w:jc w:val="center"/>
              <w:rPr>
                <w:rFonts w:hint="eastAsia" w:cs="宋体" w:asciiTheme="minorEastAsia" w:hAnsiTheme="minorEastAsia" w:eastAsiaTheme="minorEastAsia"/>
                <w:sz w:val="24"/>
              </w:rPr>
            </w:pPr>
            <w:r>
              <w:rPr>
                <w:rFonts w:asciiTheme="minorEastAsia" w:hAnsiTheme="minorEastAsia" w:eastAsiaTheme="minorEastAsia"/>
                <w:sz w:val="24"/>
              </w:rPr>
              <w:t>100</w:t>
            </w:r>
            <w:r>
              <w:rPr>
                <w:rFonts w:hint="eastAsia" w:asciiTheme="minorEastAsia" w:hAnsiTheme="minorEastAsia" w:eastAsiaTheme="minorEastAsia"/>
                <w:sz w:val="24"/>
              </w:rPr>
              <w:t>～</w:t>
            </w:r>
            <w:r>
              <w:rPr>
                <w:rFonts w:asciiTheme="minorEastAsia" w:hAnsiTheme="minorEastAsia" w:eastAsiaTheme="minorEastAsia"/>
                <w:sz w:val="24"/>
              </w:rPr>
              <w:t>15</w:t>
            </w:r>
            <w:r>
              <w:rPr>
                <w:rFonts w:hint="eastAsia" w:asciiTheme="minorEastAsia" w:hAnsiTheme="minorEastAsia" w:eastAsiaTheme="minorEastAsia"/>
                <w:sz w:val="24"/>
              </w:rPr>
              <w:t>0</w:t>
            </w:r>
          </w:p>
        </w:tc>
        <w:tc>
          <w:tcPr>
            <w:tcW w:w="835" w:type="pct"/>
            <w:vAlign w:val="center"/>
          </w:tcPr>
          <w:p w14:paraId="11D27B34">
            <w:pPr>
              <w:jc w:val="center"/>
              <w:rPr>
                <w:rFonts w:hint="eastAsia" w:cs="宋体" w:asciiTheme="minorEastAsia" w:hAnsiTheme="minorEastAsia" w:eastAsiaTheme="minorEastAsia"/>
                <w:sz w:val="24"/>
              </w:rPr>
            </w:pPr>
            <w:r>
              <w:rPr>
                <w:rFonts w:asciiTheme="minorEastAsia" w:hAnsiTheme="minorEastAsia" w:eastAsiaTheme="minorEastAsia"/>
                <w:sz w:val="24"/>
              </w:rPr>
              <w:t>15</w:t>
            </w:r>
            <w:r>
              <w:rPr>
                <w:rFonts w:hint="eastAsia" w:asciiTheme="minorEastAsia" w:hAnsiTheme="minorEastAsia" w:eastAsiaTheme="minorEastAsia"/>
                <w:sz w:val="24"/>
              </w:rPr>
              <w:t>0～</w:t>
            </w:r>
            <w:r>
              <w:rPr>
                <w:rFonts w:asciiTheme="minorEastAsia" w:hAnsiTheme="minorEastAsia" w:eastAsiaTheme="minorEastAsia"/>
                <w:sz w:val="24"/>
              </w:rPr>
              <w:t>25</w:t>
            </w:r>
            <w:r>
              <w:rPr>
                <w:rFonts w:hint="eastAsia" w:asciiTheme="minorEastAsia" w:hAnsiTheme="minorEastAsia" w:eastAsiaTheme="minorEastAsia"/>
                <w:sz w:val="24"/>
              </w:rPr>
              <w:t>0</w:t>
            </w:r>
          </w:p>
        </w:tc>
        <w:tc>
          <w:tcPr>
            <w:tcW w:w="822" w:type="pct"/>
            <w:vAlign w:val="center"/>
          </w:tcPr>
          <w:p w14:paraId="52CD2DE4">
            <w:pPr>
              <w:jc w:val="center"/>
              <w:rPr>
                <w:rFonts w:hint="eastAsia" w:cs="宋体" w:asciiTheme="minorEastAsia" w:hAnsiTheme="minorEastAsia" w:eastAsiaTheme="minorEastAsia"/>
                <w:sz w:val="24"/>
              </w:rPr>
            </w:pPr>
            <w:r>
              <w:rPr>
                <w:rFonts w:asciiTheme="minorEastAsia" w:hAnsiTheme="minorEastAsia" w:eastAsiaTheme="minorEastAsia"/>
                <w:sz w:val="24"/>
              </w:rPr>
              <w:t>25</w:t>
            </w:r>
            <w:r>
              <w:rPr>
                <w:rFonts w:hint="eastAsia" w:asciiTheme="minorEastAsia" w:hAnsiTheme="minorEastAsia" w:eastAsiaTheme="minorEastAsia"/>
                <w:sz w:val="24"/>
              </w:rPr>
              <w:t>0</w:t>
            </w:r>
            <w:r>
              <w:rPr>
                <w:rFonts w:cs="宋体" w:asciiTheme="minorEastAsia" w:hAnsiTheme="minorEastAsia" w:eastAsiaTheme="minorEastAsia"/>
                <w:sz w:val="24"/>
              </w:rPr>
              <w:t>～</w:t>
            </w:r>
            <w:r>
              <w:rPr>
                <w:rFonts w:asciiTheme="minorEastAsia" w:hAnsiTheme="minorEastAsia" w:eastAsiaTheme="minorEastAsia"/>
                <w:sz w:val="24"/>
              </w:rPr>
              <w:t>3</w:t>
            </w:r>
            <w:r>
              <w:rPr>
                <w:rFonts w:hint="eastAsia" w:asciiTheme="minorEastAsia" w:hAnsiTheme="minorEastAsia" w:eastAsiaTheme="minorEastAsia"/>
                <w:sz w:val="24"/>
              </w:rPr>
              <w:t>00</w:t>
            </w:r>
          </w:p>
        </w:tc>
        <w:tc>
          <w:tcPr>
            <w:tcW w:w="835" w:type="pct"/>
            <w:vAlign w:val="center"/>
          </w:tcPr>
          <w:p w14:paraId="24665FEB">
            <w:pPr>
              <w:jc w:val="center"/>
              <w:rPr>
                <w:rFonts w:hint="eastAsia" w:cs="宋体" w:asciiTheme="minorEastAsia" w:hAnsiTheme="minorEastAsia" w:eastAsiaTheme="minorEastAsia"/>
                <w:sz w:val="24"/>
              </w:rPr>
            </w:pPr>
            <w:r>
              <w:rPr>
                <w:rFonts w:asciiTheme="minorEastAsia" w:hAnsiTheme="minorEastAsia" w:eastAsiaTheme="minorEastAsia"/>
                <w:sz w:val="24"/>
              </w:rPr>
              <w:t>5</w:t>
            </w:r>
            <w:r>
              <w:rPr>
                <w:rFonts w:hint="eastAsia" w:asciiTheme="minorEastAsia" w:hAnsiTheme="minorEastAsia" w:eastAsiaTheme="minorEastAsia"/>
                <w:sz w:val="24"/>
              </w:rPr>
              <w:t>00</w:t>
            </w:r>
            <w:r>
              <w:rPr>
                <w:rFonts w:cs="宋体" w:asciiTheme="minorEastAsia" w:hAnsiTheme="minorEastAsia" w:eastAsiaTheme="minorEastAsia"/>
                <w:sz w:val="24"/>
              </w:rPr>
              <w:t>～</w:t>
            </w:r>
            <w:r>
              <w:rPr>
                <w:rFonts w:asciiTheme="minorEastAsia" w:hAnsiTheme="minorEastAsia" w:eastAsiaTheme="minorEastAsia"/>
                <w:sz w:val="24"/>
              </w:rPr>
              <w:t>6</w:t>
            </w:r>
            <w:r>
              <w:rPr>
                <w:rFonts w:hint="eastAsia" w:asciiTheme="minorEastAsia" w:hAnsiTheme="minorEastAsia" w:eastAsiaTheme="minorEastAsia"/>
                <w:sz w:val="24"/>
              </w:rPr>
              <w:t>00</w:t>
            </w:r>
          </w:p>
        </w:tc>
        <w:tc>
          <w:tcPr>
            <w:tcW w:w="1003" w:type="pct"/>
            <w:shd w:val="clear" w:color="auto" w:fill="auto"/>
            <w:vAlign w:val="center"/>
          </w:tcPr>
          <w:p w14:paraId="067A76EB">
            <w:pPr>
              <w:jc w:val="center"/>
              <w:rPr>
                <w:rFonts w:hint="eastAsia" w:cs="宋体" w:asciiTheme="minorEastAsia" w:hAnsiTheme="minorEastAsia" w:eastAsiaTheme="minorEastAsia"/>
                <w:sz w:val="24"/>
              </w:rPr>
            </w:pPr>
            <w:r>
              <w:rPr>
                <w:rFonts w:asciiTheme="minorEastAsia" w:hAnsiTheme="minorEastAsia" w:eastAsiaTheme="minorEastAsia"/>
                <w:sz w:val="24"/>
              </w:rPr>
              <w:t>8</w:t>
            </w:r>
            <w:r>
              <w:rPr>
                <w:rFonts w:hint="eastAsia" w:asciiTheme="minorEastAsia" w:hAnsiTheme="minorEastAsia" w:eastAsiaTheme="minorEastAsia"/>
                <w:sz w:val="24"/>
              </w:rPr>
              <w:t>00</w:t>
            </w:r>
            <w:r>
              <w:rPr>
                <w:rFonts w:cs="宋体"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00</w:t>
            </w:r>
          </w:p>
        </w:tc>
      </w:tr>
    </w:tbl>
    <w:p w14:paraId="46D2E1BC">
      <w:pPr>
        <w:spacing w:line="360" w:lineRule="auto"/>
        <w:ind w:firstLine="560" w:firstLineChars="200"/>
        <w:rPr>
          <w:kern w:val="24"/>
          <w:sz w:val="28"/>
          <w:szCs w:val="28"/>
        </w:rPr>
      </w:pPr>
    </w:p>
    <w:p w14:paraId="203D0E06">
      <w:pPr>
        <w:spacing w:line="360" w:lineRule="auto"/>
        <w:ind w:firstLine="560" w:firstLineChars="200"/>
        <w:rPr>
          <w:kern w:val="24"/>
          <w:sz w:val="28"/>
          <w:szCs w:val="28"/>
        </w:rPr>
      </w:pPr>
      <w:r>
        <w:rPr>
          <w:rFonts w:hint="eastAsia"/>
          <w:kern w:val="24"/>
          <w:sz w:val="28"/>
          <w:szCs w:val="28"/>
        </w:rPr>
        <w:t>理想的站址布局呈等间距的蜂窝状分布。由于地理环境与业务发展的差异，以及站址获取难易程度，实际上并非每个站点都能获得理想的位置，从而造成站址布局不均匀的现象。</w:t>
      </w:r>
      <w:r>
        <w:rPr>
          <w:rFonts w:hint="eastAsia"/>
          <w:b/>
          <w:kern w:val="24"/>
          <w:sz w:val="28"/>
          <w:szCs w:val="28"/>
        </w:rPr>
        <w:t>3</w:t>
      </w:r>
      <w:r>
        <w:rPr>
          <w:b/>
          <w:kern w:val="24"/>
          <w:sz w:val="28"/>
          <w:szCs w:val="28"/>
        </w:rPr>
        <w:t>.5GHz频段为全球</w:t>
      </w:r>
      <w:r>
        <w:rPr>
          <w:rFonts w:hint="eastAsia"/>
          <w:b/>
          <w:kern w:val="24"/>
          <w:sz w:val="28"/>
          <w:szCs w:val="28"/>
        </w:rPr>
        <w:t>5</w:t>
      </w:r>
      <w:r>
        <w:rPr>
          <w:b/>
          <w:kern w:val="24"/>
          <w:sz w:val="28"/>
          <w:szCs w:val="28"/>
        </w:rPr>
        <w:t>G建设的主流频段</w:t>
      </w:r>
      <w:r>
        <w:rPr>
          <w:rFonts w:hint="eastAsia"/>
          <w:b/>
          <w:kern w:val="24"/>
          <w:sz w:val="28"/>
          <w:szCs w:val="28"/>
        </w:rPr>
        <w:t>，同时考虑各运营商在建网络所采用的最高频段，</w:t>
      </w:r>
      <w:r>
        <w:rPr>
          <w:b/>
          <w:kern w:val="24"/>
          <w:sz w:val="28"/>
          <w:szCs w:val="28"/>
        </w:rPr>
        <w:t>故本次</w:t>
      </w:r>
      <w:r>
        <w:rPr>
          <w:rFonts w:hint="eastAsia"/>
          <w:b/>
          <w:kern w:val="24"/>
          <w:sz w:val="28"/>
          <w:szCs w:val="28"/>
        </w:rPr>
        <w:t>5</w:t>
      </w:r>
      <w:r>
        <w:rPr>
          <w:b/>
          <w:kern w:val="24"/>
          <w:sz w:val="28"/>
          <w:szCs w:val="28"/>
        </w:rPr>
        <w:t>G网络覆盖半径测算采用</w:t>
      </w:r>
      <w:r>
        <w:rPr>
          <w:rFonts w:hint="eastAsia"/>
          <w:b/>
          <w:kern w:val="24"/>
          <w:sz w:val="28"/>
          <w:szCs w:val="28"/>
        </w:rPr>
        <w:t>3</w:t>
      </w:r>
      <w:r>
        <w:rPr>
          <w:b/>
          <w:kern w:val="24"/>
          <w:sz w:val="28"/>
          <w:szCs w:val="28"/>
        </w:rPr>
        <w:t>.5GHz频段</w:t>
      </w:r>
      <w:r>
        <w:rPr>
          <w:rFonts w:hint="eastAsia"/>
          <w:b/>
          <w:kern w:val="24"/>
          <w:sz w:val="28"/>
          <w:szCs w:val="28"/>
        </w:rPr>
        <w:t>。</w:t>
      </w:r>
      <w:r>
        <w:rPr>
          <w:rFonts w:hint="eastAsia"/>
          <w:kern w:val="24"/>
          <w:sz w:val="28"/>
          <w:szCs w:val="28"/>
        </w:rPr>
        <w:t>根据四家电信运营商的网络发展策略，以满足移动站间距需求为原则，为达到各电信运营商</w:t>
      </w:r>
      <w:r>
        <w:rPr>
          <w:kern w:val="24"/>
          <w:sz w:val="28"/>
          <w:szCs w:val="28"/>
        </w:rPr>
        <w:t>5</w:t>
      </w:r>
      <w:r>
        <w:rPr>
          <w:rFonts w:hint="eastAsia"/>
          <w:kern w:val="24"/>
          <w:sz w:val="28"/>
          <w:szCs w:val="28"/>
        </w:rPr>
        <w:t>G频段网络指标要求，紧密结合城乡战略规划及发展情况，已整合各电信运营商需求为目的，达到节约行业投资、减少土地占用、节约社会资源为目标对汕尾市域进行总体布点规划。</w:t>
      </w:r>
    </w:p>
    <w:p w14:paraId="614FD15F">
      <w:pPr>
        <w:pStyle w:val="32"/>
        <w:numPr>
          <w:ilvl w:val="1"/>
          <w:numId w:val="12"/>
        </w:numPr>
        <w:spacing w:line="560" w:lineRule="exact"/>
        <w:ind w:firstLineChars="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站址密度范围</w:t>
      </w:r>
    </w:p>
    <w:p w14:paraId="4E201782">
      <w:pPr>
        <w:spacing w:line="560" w:lineRule="exact"/>
        <w:ind w:firstLine="560" w:firstLineChars="200"/>
        <w:rPr>
          <w:kern w:val="24"/>
          <w:sz w:val="28"/>
          <w:szCs w:val="28"/>
        </w:rPr>
      </w:pPr>
      <w:r>
        <w:rPr>
          <w:rFonts w:hint="eastAsia"/>
          <w:kern w:val="24"/>
          <w:sz w:val="28"/>
          <w:szCs w:val="28"/>
        </w:rPr>
        <w:t>基站站间距与系统所在频段高低、覆盖指标要求密切相关，高频段系统的站址布局密度一般可以满足低频段系统的站址资源要求，为了保证能够满足各种系统的站址资源需求和站址共建共享，本次规划的站址密度参照主流频段的站址密度要求，具体如下:</w:t>
      </w:r>
    </w:p>
    <w:p w14:paraId="4032A294">
      <w:pPr>
        <w:pStyle w:val="32"/>
        <w:spacing w:line="500" w:lineRule="exact"/>
        <w:ind w:firstLine="0" w:firstLineChars="0"/>
        <w:jc w:val="center"/>
        <w:rPr>
          <w:rFonts w:hint="eastAsia" w:asciiTheme="minorEastAsia" w:hAnsiTheme="minorEastAsia" w:eastAsiaTheme="minorEastAsia"/>
          <w:kern w:val="24"/>
          <w:sz w:val="28"/>
          <w:szCs w:val="28"/>
        </w:rPr>
      </w:pPr>
      <w:r>
        <w:rPr>
          <w:rFonts w:hint="eastAsia" w:ascii="宋体" w:hAnsi="宋体" w:cs="宋体"/>
          <w:sz w:val="28"/>
          <w:szCs w:val="28"/>
        </w:rPr>
        <w:t>表</w:t>
      </w:r>
      <w:r>
        <w:rPr>
          <w:rFonts w:ascii="宋体" w:hAnsi="宋体" w:cs="宋体"/>
          <w:sz w:val="28"/>
          <w:szCs w:val="28"/>
        </w:rPr>
        <w:t>4</w:t>
      </w:r>
      <w:r>
        <w:rPr>
          <w:rFonts w:hint="eastAsia" w:ascii="宋体" w:hAnsi="宋体" w:cs="宋体"/>
          <w:sz w:val="28"/>
          <w:szCs w:val="28"/>
        </w:rPr>
        <w:t>-</w:t>
      </w:r>
      <w:r>
        <w:rPr>
          <w:rFonts w:ascii="宋体" w:hAnsi="宋体" w:cs="宋体"/>
          <w:sz w:val="28"/>
          <w:szCs w:val="28"/>
        </w:rPr>
        <w:t xml:space="preserve">6 </w:t>
      </w:r>
      <w:r>
        <w:rPr>
          <w:rFonts w:hint="eastAsia" w:ascii="宋体" w:hAnsi="宋体" w:cs="宋体"/>
          <w:sz w:val="28"/>
          <w:szCs w:val="28"/>
        </w:rPr>
        <w:t>5G网络频段站址密度参考值（单位：站/平方千米）</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385"/>
        <w:gridCol w:w="1385"/>
        <w:gridCol w:w="1539"/>
        <w:gridCol w:w="1669"/>
        <w:gridCol w:w="1385"/>
        <w:gridCol w:w="1541"/>
      </w:tblGrid>
      <w:tr w14:paraId="43891F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blHeader/>
          <w:jc w:val="center"/>
        </w:trPr>
        <w:tc>
          <w:tcPr>
            <w:tcW w:w="778" w:type="pct"/>
            <w:shd w:val="clear" w:color="auto" w:fill="EEECE1" w:themeFill="background2"/>
            <w:vAlign w:val="center"/>
          </w:tcPr>
          <w:p w14:paraId="7193E520">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工作频段</w:t>
            </w:r>
          </w:p>
        </w:tc>
        <w:tc>
          <w:tcPr>
            <w:tcW w:w="778" w:type="pct"/>
            <w:shd w:val="clear" w:color="auto" w:fill="EEECE1" w:themeFill="background2"/>
            <w:vAlign w:val="center"/>
          </w:tcPr>
          <w:p w14:paraId="51C9E2E7">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密集城区</w:t>
            </w:r>
          </w:p>
        </w:tc>
        <w:tc>
          <w:tcPr>
            <w:tcW w:w="864" w:type="pct"/>
            <w:shd w:val="clear" w:color="auto" w:fill="EEECE1" w:themeFill="background2"/>
            <w:vAlign w:val="center"/>
          </w:tcPr>
          <w:p w14:paraId="49128F82">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一般城区</w:t>
            </w:r>
          </w:p>
        </w:tc>
        <w:tc>
          <w:tcPr>
            <w:tcW w:w="937" w:type="pct"/>
            <w:shd w:val="clear" w:color="auto" w:fill="EEECE1" w:themeFill="background2"/>
            <w:vAlign w:val="center"/>
          </w:tcPr>
          <w:p w14:paraId="68185507">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县城</w:t>
            </w:r>
          </w:p>
        </w:tc>
        <w:tc>
          <w:tcPr>
            <w:tcW w:w="778" w:type="pct"/>
            <w:shd w:val="clear" w:color="auto" w:fill="EEECE1" w:themeFill="background2"/>
            <w:vAlign w:val="center"/>
          </w:tcPr>
          <w:p w14:paraId="0882CF7A">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郊区镇区</w:t>
            </w:r>
          </w:p>
        </w:tc>
        <w:tc>
          <w:tcPr>
            <w:tcW w:w="865" w:type="pct"/>
            <w:shd w:val="clear" w:color="auto" w:fill="EEECE1" w:themeFill="background2"/>
            <w:vAlign w:val="center"/>
          </w:tcPr>
          <w:p w14:paraId="1D5E3E4F">
            <w:pPr>
              <w:widowControl/>
              <w:jc w:val="center"/>
              <w:rPr>
                <w:rFonts w:hint="eastAsia" w:cs="宋体" w:asciiTheme="minorEastAsia" w:hAnsiTheme="minorEastAsia" w:eastAsiaTheme="minorEastAsia"/>
                <w:b/>
                <w:bCs/>
                <w:sz w:val="24"/>
              </w:rPr>
            </w:pPr>
            <w:r>
              <w:rPr>
                <w:rFonts w:hint="eastAsia" w:cs="宋体" w:asciiTheme="minorEastAsia" w:hAnsiTheme="minorEastAsia" w:eastAsiaTheme="minorEastAsia"/>
                <w:b/>
                <w:bCs/>
                <w:sz w:val="24"/>
              </w:rPr>
              <w:t>农村</w:t>
            </w:r>
          </w:p>
        </w:tc>
      </w:tr>
      <w:tr w14:paraId="106CFA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78" w:type="pct"/>
            <w:shd w:val="clear" w:color="auto" w:fill="auto"/>
            <w:vAlign w:val="center"/>
          </w:tcPr>
          <w:p w14:paraId="7E778669">
            <w:pPr>
              <w:widowControl/>
              <w:jc w:val="center"/>
              <w:rPr>
                <w:rFonts w:hint="eastAsia" w:cs="宋体" w:asciiTheme="minorEastAsia" w:hAnsiTheme="minorEastAsia" w:eastAsiaTheme="minorEastAsia"/>
                <w:sz w:val="24"/>
              </w:rPr>
            </w:pPr>
            <w:r>
              <w:rPr>
                <w:rFonts w:cs="宋体" w:asciiTheme="minorEastAsia" w:hAnsiTheme="minorEastAsia" w:eastAsiaTheme="minorEastAsia"/>
                <w:sz w:val="24"/>
              </w:rPr>
              <w:t>700MHz</w:t>
            </w:r>
          </w:p>
        </w:tc>
        <w:tc>
          <w:tcPr>
            <w:tcW w:w="778" w:type="pct"/>
            <w:shd w:val="clear" w:color="auto" w:fill="auto"/>
            <w:vAlign w:val="center"/>
          </w:tcPr>
          <w:p w14:paraId="4A6C5F8F">
            <w:pPr>
              <w:jc w:val="center"/>
              <w:rPr>
                <w:rFonts w:hint="eastAsia" w:cs="宋体" w:asciiTheme="minorEastAsia" w:hAnsiTheme="minorEastAsia" w:eastAsiaTheme="minorEastAsia"/>
                <w:sz w:val="24"/>
              </w:rPr>
            </w:pPr>
            <w:r>
              <w:rPr>
                <w:rFonts w:asciiTheme="minorEastAsia" w:hAnsiTheme="minorEastAsia" w:eastAsiaTheme="minorEastAsia"/>
                <w:sz w:val="24"/>
              </w:rPr>
              <w:t>3.2</w:t>
            </w:r>
            <w:r>
              <w:rPr>
                <w:rFonts w:hint="eastAsia" w:asciiTheme="minorEastAsia" w:hAnsiTheme="minorEastAsia" w:eastAsiaTheme="minorEastAsia"/>
                <w:sz w:val="24"/>
              </w:rPr>
              <w:t>～4</w:t>
            </w:r>
            <w:r>
              <w:rPr>
                <w:rFonts w:asciiTheme="minorEastAsia" w:hAnsiTheme="minorEastAsia" w:eastAsiaTheme="minorEastAsia"/>
                <w:sz w:val="24"/>
              </w:rPr>
              <w:t>.6</w:t>
            </w:r>
          </w:p>
        </w:tc>
        <w:tc>
          <w:tcPr>
            <w:tcW w:w="864" w:type="pct"/>
            <w:vAlign w:val="center"/>
          </w:tcPr>
          <w:p w14:paraId="3A9ABCB4">
            <w:pPr>
              <w:jc w:val="center"/>
              <w:rPr>
                <w:rFonts w:hint="eastAsia" w:cs="宋体" w:asciiTheme="minorEastAsia" w:hAnsiTheme="minorEastAsia" w:eastAsiaTheme="minorEastAsia"/>
                <w:sz w:val="24"/>
              </w:rPr>
            </w:pPr>
            <w:r>
              <w:rPr>
                <w:rFonts w:cs="宋体" w:asciiTheme="minorEastAsia" w:hAnsiTheme="minorEastAsia" w:eastAsiaTheme="minorEastAsia"/>
                <w:sz w:val="24"/>
              </w:rPr>
              <w:t>1.8</w:t>
            </w:r>
            <w:r>
              <w:rPr>
                <w:rFonts w:hint="eastAsia" w:asciiTheme="minorEastAsia" w:hAnsiTheme="minorEastAsia" w:eastAsiaTheme="minorEastAsia"/>
                <w:sz w:val="24"/>
              </w:rPr>
              <w:t>～</w:t>
            </w:r>
            <w:r>
              <w:rPr>
                <w:rFonts w:cs="宋体" w:asciiTheme="minorEastAsia" w:hAnsiTheme="minorEastAsia" w:eastAsiaTheme="minorEastAsia"/>
                <w:sz w:val="24"/>
              </w:rPr>
              <w:t>3.2</w:t>
            </w:r>
          </w:p>
        </w:tc>
        <w:tc>
          <w:tcPr>
            <w:tcW w:w="937" w:type="pct"/>
            <w:vAlign w:val="center"/>
          </w:tcPr>
          <w:p w14:paraId="5D46115E">
            <w:pPr>
              <w:jc w:val="center"/>
              <w:rPr>
                <w:rFonts w:hint="eastAsia" w:cs="宋体" w:asciiTheme="minorEastAsia" w:hAnsiTheme="minorEastAsia" w:eastAsiaTheme="minorEastAsia"/>
                <w:sz w:val="24"/>
              </w:rPr>
            </w:pPr>
            <w:r>
              <w:rPr>
                <w:rFonts w:cs="宋体" w:asciiTheme="minorEastAsia" w:hAnsiTheme="minorEastAsia" w:eastAsiaTheme="minorEastAsia"/>
                <w:sz w:val="24"/>
              </w:rPr>
              <w:t>1.2～1.8</w:t>
            </w:r>
          </w:p>
        </w:tc>
        <w:tc>
          <w:tcPr>
            <w:tcW w:w="778" w:type="pct"/>
            <w:vAlign w:val="center"/>
          </w:tcPr>
          <w:p w14:paraId="64152407">
            <w:pPr>
              <w:jc w:val="center"/>
              <w:rPr>
                <w:rFonts w:hint="eastAsia" w:cs="宋体" w:asciiTheme="minorEastAsia" w:hAnsiTheme="minorEastAsia" w:eastAsiaTheme="minorEastAsia"/>
                <w:sz w:val="24"/>
              </w:rPr>
            </w:pPr>
            <w:r>
              <w:rPr>
                <w:rFonts w:cs="宋体" w:asciiTheme="minorEastAsia" w:hAnsiTheme="minorEastAsia" w:eastAsiaTheme="minorEastAsia"/>
                <w:sz w:val="24"/>
              </w:rPr>
              <w:t>0.5～0.8</w:t>
            </w:r>
          </w:p>
        </w:tc>
        <w:tc>
          <w:tcPr>
            <w:tcW w:w="865" w:type="pct"/>
            <w:shd w:val="clear" w:color="auto" w:fill="auto"/>
            <w:vAlign w:val="center"/>
          </w:tcPr>
          <w:p w14:paraId="1A141B6E">
            <w:pPr>
              <w:jc w:val="center"/>
              <w:rPr>
                <w:rFonts w:hint="eastAsia" w:cs="宋体" w:asciiTheme="minorEastAsia" w:hAnsiTheme="minorEastAsia" w:eastAsiaTheme="minorEastAsia"/>
                <w:sz w:val="24"/>
              </w:rPr>
            </w:pPr>
            <w:r>
              <w:rPr>
                <w:rFonts w:cs="宋体" w:asciiTheme="minorEastAsia" w:hAnsiTheme="minorEastAsia" w:eastAsiaTheme="minorEastAsia"/>
                <w:sz w:val="24"/>
              </w:rPr>
              <w:t>0.1～0.3</w:t>
            </w:r>
          </w:p>
        </w:tc>
      </w:tr>
      <w:tr w14:paraId="11FD88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78" w:type="pct"/>
            <w:shd w:val="clear" w:color="auto" w:fill="auto"/>
            <w:vAlign w:val="center"/>
          </w:tcPr>
          <w:p w14:paraId="3FC8E79A">
            <w:pPr>
              <w:widowControl/>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2.6GHz</w:t>
            </w:r>
          </w:p>
        </w:tc>
        <w:tc>
          <w:tcPr>
            <w:tcW w:w="778" w:type="pct"/>
            <w:shd w:val="clear" w:color="auto" w:fill="auto"/>
            <w:vAlign w:val="center"/>
          </w:tcPr>
          <w:p w14:paraId="1969D8F0">
            <w:pPr>
              <w:jc w:val="center"/>
              <w:rPr>
                <w:rFonts w:hint="eastAsia" w:cs="宋体" w:asciiTheme="minorEastAsia" w:hAnsiTheme="minorEastAsia" w:eastAsiaTheme="minorEastAsia"/>
                <w:sz w:val="24"/>
              </w:rPr>
            </w:pPr>
            <w:r>
              <w:rPr>
                <w:rFonts w:asciiTheme="minorEastAsia" w:hAnsiTheme="minorEastAsia" w:eastAsiaTheme="minorEastAsia"/>
                <w:sz w:val="24"/>
              </w:rPr>
              <w:t>18.5</w:t>
            </w:r>
            <w:r>
              <w:rPr>
                <w:rFonts w:hint="eastAsia" w:asciiTheme="minorEastAsia" w:hAnsiTheme="minorEastAsia" w:eastAsiaTheme="minorEastAsia"/>
                <w:sz w:val="24"/>
              </w:rPr>
              <w:t>～</w:t>
            </w:r>
            <w:r>
              <w:rPr>
                <w:rFonts w:asciiTheme="minorEastAsia" w:hAnsiTheme="minorEastAsia" w:eastAsiaTheme="minorEastAsia"/>
                <w:sz w:val="24"/>
              </w:rPr>
              <w:t>52</w:t>
            </w:r>
          </w:p>
        </w:tc>
        <w:tc>
          <w:tcPr>
            <w:tcW w:w="864" w:type="pct"/>
            <w:vAlign w:val="center"/>
          </w:tcPr>
          <w:p w14:paraId="0CB42870">
            <w:pPr>
              <w:jc w:val="center"/>
              <w:rPr>
                <w:rFonts w:hint="eastAsia" w:cs="宋体" w:asciiTheme="minorEastAsia" w:hAnsiTheme="minorEastAsia" w:eastAsiaTheme="minorEastAsia"/>
                <w:sz w:val="24"/>
              </w:rPr>
            </w:pPr>
            <w:r>
              <w:rPr>
                <w:rFonts w:asciiTheme="minorEastAsia" w:hAnsiTheme="minorEastAsia" w:eastAsiaTheme="minorEastAsia"/>
                <w:sz w:val="24"/>
              </w:rPr>
              <w:t>9.4</w:t>
            </w:r>
            <w:r>
              <w:rPr>
                <w:rFonts w:hint="eastAsia" w:asciiTheme="minorEastAsia" w:hAnsiTheme="minorEastAsia" w:eastAsiaTheme="minorEastAsia"/>
                <w:sz w:val="24"/>
              </w:rPr>
              <w:t>～</w:t>
            </w:r>
            <w:r>
              <w:rPr>
                <w:rFonts w:asciiTheme="minorEastAsia" w:hAnsiTheme="minorEastAsia" w:eastAsiaTheme="minorEastAsia"/>
                <w:sz w:val="24"/>
              </w:rPr>
              <w:t>18.5</w:t>
            </w:r>
          </w:p>
        </w:tc>
        <w:tc>
          <w:tcPr>
            <w:tcW w:w="937" w:type="pct"/>
            <w:vAlign w:val="center"/>
          </w:tcPr>
          <w:p w14:paraId="767FFB78">
            <w:pPr>
              <w:jc w:val="center"/>
              <w:rPr>
                <w:rFonts w:hint="eastAsia" w:cs="宋体" w:asciiTheme="minorEastAsia" w:hAnsiTheme="minorEastAsia" w:eastAsiaTheme="minorEastAsia"/>
                <w:sz w:val="24"/>
              </w:rPr>
            </w:pPr>
            <w:r>
              <w:rPr>
                <w:rFonts w:asciiTheme="minorEastAsia" w:hAnsiTheme="minorEastAsia" w:eastAsiaTheme="minorEastAsia"/>
                <w:sz w:val="24"/>
              </w:rPr>
              <w:t>3.2</w:t>
            </w:r>
            <w:r>
              <w:rPr>
                <w:rFonts w:cs="宋体" w:asciiTheme="minorEastAsia" w:hAnsiTheme="minorEastAsia" w:eastAsiaTheme="minorEastAsia"/>
                <w:sz w:val="24"/>
              </w:rPr>
              <w:t>～</w:t>
            </w:r>
            <w:r>
              <w:rPr>
                <w:rFonts w:asciiTheme="minorEastAsia" w:hAnsiTheme="minorEastAsia" w:eastAsiaTheme="minorEastAsia"/>
                <w:sz w:val="24"/>
              </w:rPr>
              <w:t>7.2</w:t>
            </w:r>
          </w:p>
        </w:tc>
        <w:tc>
          <w:tcPr>
            <w:tcW w:w="778" w:type="pct"/>
            <w:vAlign w:val="center"/>
          </w:tcPr>
          <w:p w14:paraId="26DF1FEF">
            <w:pPr>
              <w:jc w:val="center"/>
              <w:rPr>
                <w:rFonts w:hint="eastAsia" w:cs="宋体" w:asciiTheme="minorEastAsia" w:hAnsiTheme="minorEastAsia" w:eastAsiaTheme="minorEastAsia"/>
                <w:sz w:val="24"/>
              </w:rPr>
            </w:pPr>
            <w:r>
              <w:rPr>
                <w:rFonts w:asciiTheme="minorEastAsia" w:hAnsiTheme="minorEastAsia" w:eastAsiaTheme="minorEastAsia"/>
                <w:sz w:val="24"/>
              </w:rPr>
              <w:t>0.6</w:t>
            </w:r>
            <w:r>
              <w:rPr>
                <w:rFonts w:cs="宋体"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.2</w:t>
            </w:r>
          </w:p>
        </w:tc>
        <w:tc>
          <w:tcPr>
            <w:tcW w:w="865" w:type="pct"/>
            <w:shd w:val="clear" w:color="auto" w:fill="auto"/>
            <w:vAlign w:val="center"/>
          </w:tcPr>
          <w:p w14:paraId="58D8D8AF">
            <w:pPr>
              <w:jc w:val="center"/>
              <w:rPr>
                <w:rFonts w:hint="eastAsia" w:cs="宋体" w:asciiTheme="minorEastAsia" w:hAnsiTheme="minorEastAsia" w:eastAsiaTheme="minorEastAsia"/>
                <w:sz w:val="24"/>
              </w:rPr>
            </w:pPr>
            <w:r>
              <w:rPr>
                <w:rFonts w:asciiTheme="minorEastAsia" w:hAnsiTheme="minorEastAsia" w:eastAsiaTheme="minorEastAsia"/>
                <w:sz w:val="24"/>
              </w:rPr>
              <w:t>0.3</w:t>
            </w:r>
            <w:r>
              <w:rPr>
                <w:rFonts w:cs="宋体" w:asciiTheme="minorEastAsia" w:hAnsiTheme="minorEastAsia" w:eastAsiaTheme="minorEastAsia"/>
                <w:sz w:val="24"/>
              </w:rPr>
              <w:t>～</w:t>
            </w:r>
            <w:r>
              <w:rPr>
                <w:rFonts w:asciiTheme="minorEastAsia" w:hAnsiTheme="minorEastAsia" w:eastAsiaTheme="minorEastAsia"/>
                <w:sz w:val="24"/>
              </w:rPr>
              <w:t>0.5</w:t>
            </w:r>
          </w:p>
        </w:tc>
      </w:tr>
      <w:tr w14:paraId="678134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78" w:type="pct"/>
            <w:shd w:val="clear" w:color="auto" w:fill="auto"/>
            <w:vAlign w:val="center"/>
          </w:tcPr>
          <w:p w14:paraId="466FD7F7">
            <w:pPr>
              <w:widowControl/>
              <w:jc w:val="center"/>
              <w:rPr>
                <w:rFonts w:hint="eastAsia" w:cs="宋体" w:asciiTheme="minorEastAsia" w:hAnsiTheme="minorEastAsia" w:eastAsiaTheme="minorEastAsia"/>
                <w:b/>
                <w:sz w:val="24"/>
              </w:rPr>
            </w:pPr>
            <w:r>
              <w:rPr>
                <w:rFonts w:hint="eastAsia" w:cs="宋体" w:asciiTheme="minorEastAsia" w:hAnsiTheme="minorEastAsia" w:eastAsiaTheme="minorEastAsia"/>
                <w:b/>
                <w:sz w:val="24"/>
              </w:rPr>
              <w:t>3.5GHz</w:t>
            </w:r>
          </w:p>
        </w:tc>
        <w:tc>
          <w:tcPr>
            <w:tcW w:w="778" w:type="pct"/>
            <w:shd w:val="clear" w:color="auto" w:fill="auto"/>
            <w:vAlign w:val="center"/>
          </w:tcPr>
          <w:p w14:paraId="4BBCF725">
            <w:pPr>
              <w:jc w:val="center"/>
              <w:rPr>
                <w:rFonts w:hint="eastAsia" w:cs="宋体" w:asciiTheme="minorEastAsia" w:hAnsiTheme="minorEastAsia" w:eastAsiaTheme="minorEastAsia"/>
                <w:b/>
                <w:sz w:val="24"/>
              </w:rPr>
            </w:pPr>
            <w:r>
              <w:rPr>
                <w:rFonts w:asciiTheme="minorEastAsia" w:hAnsiTheme="minorEastAsia" w:eastAsiaTheme="minorEastAsia"/>
                <w:b/>
                <w:sz w:val="24"/>
              </w:rPr>
              <w:t>29</w:t>
            </w:r>
            <w:r>
              <w:rPr>
                <w:rFonts w:hint="eastAsia" w:asciiTheme="minorEastAsia" w:hAnsiTheme="minorEastAsia" w:eastAsiaTheme="minorEastAsia"/>
                <w:b/>
                <w:sz w:val="24"/>
              </w:rPr>
              <w:t>～</w:t>
            </w:r>
            <w:r>
              <w:rPr>
                <w:rFonts w:asciiTheme="minorEastAsia" w:hAnsiTheme="minorEastAsia" w:eastAsiaTheme="minorEastAsia"/>
                <w:b/>
                <w:sz w:val="24"/>
              </w:rPr>
              <w:t>116</w:t>
            </w:r>
          </w:p>
        </w:tc>
        <w:tc>
          <w:tcPr>
            <w:tcW w:w="864" w:type="pct"/>
            <w:vAlign w:val="center"/>
          </w:tcPr>
          <w:p w14:paraId="2B622D2B">
            <w:pPr>
              <w:jc w:val="center"/>
              <w:rPr>
                <w:rFonts w:hint="eastAsia" w:cs="宋体" w:asciiTheme="minorEastAsia" w:hAnsiTheme="minorEastAsia" w:eastAsiaTheme="minorEastAsia"/>
                <w:b/>
                <w:sz w:val="24"/>
              </w:rPr>
            </w:pPr>
            <w:r>
              <w:rPr>
                <w:rFonts w:asciiTheme="minorEastAsia" w:hAnsiTheme="minorEastAsia" w:eastAsiaTheme="minorEastAsia"/>
                <w:b/>
                <w:sz w:val="24"/>
              </w:rPr>
              <w:t>12.8</w:t>
            </w:r>
            <w:r>
              <w:rPr>
                <w:rFonts w:hint="eastAsia" w:asciiTheme="minorEastAsia" w:hAnsiTheme="minorEastAsia" w:eastAsiaTheme="minorEastAsia"/>
                <w:b/>
                <w:sz w:val="24"/>
              </w:rPr>
              <w:t>～</w:t>
            </w:r>
            <w:r>
              <w:rPr>
                <w:rFonts w:asciiTheme="minorEastAsia" w:hAnsiTheme="minorEastAsia" w:eastAsiaTheme="minorEastAsia"/>
                <w:b/>
                <w:sz w:val="24"/>
              </w:rPr>
              <w:t>29</w:t>
            </w:r>
          </w:p>
        </w:tc>
        <w:tc>
          <w:tcPr>
            <w:tcW w:w="937" w:type="pct"/>
            <w:vAlign w:val="center"/>
          </w:tcPr>
          <w:p w14:paraId="706BA595">
            <w:pPr>
              <w:jc w:val="center"/>
              <w:rPr>
                <w:rFonts w:hint="eastAsia" w:cs="宋体" w:asciiTheme="minorEastAsia" w:hAnsiTheme="minorEastAsia" w:eastAsiaTheme="minorEastAsia"/>
                <w:b/>
                <w:sz w:val="24"/>
              </w:rPr>
            </w:pPr>
            <w:r>
              <w:rPr>
                <w:rFonts w:asciiTheme="minorEastAsia" w:hAnsiTheme="minorEastAsia" w:eastAsiaTheme="minorEastAsia"/>
                <w:b/>
                <w:sz w:val="24"/>
              </w:rPr>
              <w:t>7.2</w:t>
            </w:r>
            <w:r>
              <w:rPr>
                <w:rFonts w:cs="宋体" w:asciiTheme="minorEastAsia" w:hAnsiTheme="minorEastAsia" w:eastAsiaTheme="minorEastAsia"/>
                <w:b/>
                <w:sz w:val="24"/>
              </w:rPr>
              <w:t>～</w:t>
            </w:r>
            <w:r>
              <w:rPr>
                <w:rFonts w:asciiTheme="minorEastAsia" w:hAnsiTheme="minorEastAsia" w:eastAsiaTheme="minorEastAsia"/>
                <w:b/>
                <w:sz w:val="24"/>
              </w:rPr>
              <w:t>12.8</w:t>
            </w:r>
          </w:p>
        </w:tc>
        <w:tc>
          <w:tcPr>
            <w:tcW w:w="778" w:type="pct"/>
            <w:vAlign w:val="center"/>
          </w:tcPr>
          <w:p w14:paraId="6CBC3299">
            <w:pPr>
              <w:jc w:val="center"/>
              <w:rPr>
                <w:rFonts w:hint="eastAsia" w:cs="宋体" w:asciiTheme="minorEastAsia" w:hAnsiTheme="minorEastAsia" w:eastAsiaTheme="minorEastAsia"/>
                <w:b/>
                <w:sz w:val="24"/>
              </w:rPr>
            </w:pPr>
            <w:r>
              <w:rPr>
                <w:rFonts w:asciiTheme="minorEastAsia" w:hAnsiTheme="minorEastAsia" w:eastAsiaTheme="minorEastAsia"/>
                <w:b/>
                <w:sz w:val="24"/>
              </w:rPr>
              <w:t>1.4</w:t>
            </w:r>
            <w:r>
              <w:rPr>
                <w:rFonts w:cs="宋体" w:asciiTheme="minorEastAsia" w:hAnsiTheme="minorEastAsia" w:eastAsiaTheme="minorEastAsia"/>
                <w:b/>
                <w:sz w:val="24"/>
              </w:rPr>
              <w:t>～</w:t>
            </w:r>
            <w:r>
              <w:rPr>
                <w:rFonts w:asciiTheme="minorEastAsia" w:hAnsiTheme="minorEastAsia" w:eastAsiaTheme="minorEastAsia"/>
                <w:b/>
                <w:sz w:val="24"/>
              </w:rPr>
              <w:t>3.2</w:t>
            </w:r>
          </w:p>
        </w:tc>
        <w:tc>
          <w:tcPr>
            <w:tcW w:w="865" w:type="pct"/>
            <w:shd w:val="clear" w:color="auto" w:fill="auto"/>
            <w:vAlign w:val="center"/>
          </w:tcPr>
          <w:p w14:paraId="0AEDFFF6">
            <w:pPr>
              <w:jc w:val="center"/>
              <w:rPr>
                <w:rFonts w:hint="eastAsia" w:cs="宋体" w:asciiTheme="minorEastAsia" w:hAnsiTheme="minorEastAsia" w:eastAsiaTheme="minorEastAsia"/>
                <w:b/>
                <w:sz w:val="24"/>
              </w:rPr>
            </w:pPr>
            <w:r>
              <w:rPr>
                <w:rFonts w:asciiTheme="minorEastAsia" w:hAnsiTheme="minorEastAsia" w:eastAsiaTheme="minorEastAsia"/>
                <w:b/>
                <w:sz w:val="24"/>
              </w:rPr>
              <w:t>0.6</w:t>
            </w:r>
            <w:r>
              <w:rPr>
                <w:rFonts w:cs="宋体" w:asciiTheme="minorEastAsia" w:hAnsiTheme="minorEastAsia" w:eastAsiaTheme="minorEastAsia"/>
                <w:b/>
                <w:sz w:val="24"/>
              </w:rPr>
              <w:t>～</w:t>
            </w:r>
            <w:r>
              <w:rPr>
                <w:rFonts w:asciiTheme="minorEastAsia" w:hAnsiTheme="minorEastAsia" w:eastAsiaTheme="minorEastAsia"/>
                <w:b/>
                <w:sz w:val="24"/>
              </w:rPr>
              <w:t>1.2</w:t>
            </w:r>
          </w:p>
        </w:tc>
      </w:tr>
      <w:tr w14:paraId="5BFD2B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78" w:type="pct"/>
            <w:shd w:val="clear" w:color="auto" w:fill="auto"/>
            <w:vAlign w:val="center"/>
          </w:tcPr>
          <w:p w14:paraId="62D6F554">
            <w:pPr>
              <w:widowControl/>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4.9GHz</w:t>
            </w:r>
          </w:p>
        </w:tc>
        <w:tc>
          <w:tcPr>
            <w:tcW w:w="778" w:type="pct"/>
            <w:shd w:val="clear" w:color="auto" w:fill="auto"/>
            <w:vAlign w:val="center"/>
          </w:tcPr>
          <w:p w14:paraId="6B8E83EF">
            <w:pPr>
              <w:jc w:val="center"/>
              <w:rPr>
                <w:rFonts w:hint="eastAsia" w:cs="宋体" w:asciiTheme="minorEastAsia" w:hAnsiTheme="minorEastAsia" w:eastAsiaTheme="minorEastAsia"/>
                <w:sz w:val="24"/>
              </w:rPr>
            </w:pPr>
            <w:r>
              <w:rPr>
                <w:rFonts w:asciiTheme="minorEastAsia" w:hAnsiTheme="minorEastAsia" w:eastAsiaTheme="minorEastAsia"/>
                <w:sz w:val="24"/>
              </w:rPr>
              <w:t>52</w:t>
            </w:r>
            <w:r>
              <w:rPr>
                <w:rFonts w:hint="eastAsia" w:asciiTheme="minorEastAsia" w:hAnsiTheme="minorEastAsia" w:eastAsiaTheme="minorEastAsia"/>
                <w:sz w:val="24"/>
              </w:rPr>
              <w:t>～</w:t>
            </w:r>
            <w:r>
              <w:rPr>
                <w:rFonts w:asciiTheme="minorEastAsia" w:hAnsiTheme="minorEastAsia" w:eastAsiaTheme="minorEastAsia"/>
                <w:sz w:val="24"/>
              </w:rPr>
              <w:t>116</w:t>
            </w:r>
          </w:p>
        </w:tc>
        <w:tc>
          <w:tcPr>
            <w:tcW w:w="864" w:type="pct"/>
            <w:vAlign w:val="center"/>
          </w:tcPr>
          <w:p w14:paraId="556861A8">
            <w:pPr>
              <w:jc w:val="center"/>
              <w:rPr>
                <w:rFonts w:hint="eastAsia" w:cs="宋体" w:asciiTheme="minorEastAsia" w:hAnsiTheme="minorEastAsia" w:eastAsiaTheme="minorEastAsia"/>
                <w:sz w:val="24"/>
              </w:rPr>
            </w:pPr>
            <w:r>
              <w:rPr>
                <w:rFonts w:asciiTheme="minorEastAsia" w:hAnsiTheme="minorEastAsia" w:eastAsiaTheme="minorEastAsia"/>
                <w:sz w:val="24"/>
              </w:rPr>
              <w:t>18.5</w:t>
            </w:r>
            <w:r>
              <w:rPr>
                <w:rFonts w:hint="eastAsia" w:asciiTheme="minorEastAsia" w:hAnsiTheme="minorEastAsia" w:eastAsiaTheme="minorEastAsia"/>
                <w:sz w:val="24"/>
              </w:rPr>
              <w:t>～</w:t>
            </w:r>
            <w:r>
              <w:rPr>
                <w:rFonts w:asciiTheme="minorEastAsia" w:hAnsiTheme="minorEastAsia" w:eastAsiaTheme="minorEastAsia"/>
                <w:sz w:val="24"/>
              </w:rPr>
              <w:t>52</w:t>
            </w:r>
          </w:p>
        </w:tc>
        <w:tc>
          <w:tcPr>
            <w:tcW w:w="937" w:type="pct"/>
            <w:vAlign w:val="center"/>
          </w:tcPr>
          <w:p w14:paraId="2077515C">
            <w:pPr>
              <w:jc w:val="center"/>
              <w:rPr>
                <w:rFonts w:hint="eastAsia" w:cs="宋体" w:asciiTheme="minorEastAsia" w:hAnsiTheme="minorEastAsia" w:eastAsiaTheme="minorEastAsia"/>
                <w:sz w:val="24"/>
              </w:rPr>
            </w:pPr>
            <w:r>
              <w:rPr>
                <w:rFonts w:asciiTheme="minorEastAsia" w:hAnsiTheme="minorEastAsia" w:eastAsiaTheme="minorEastAsia"/>
                <w:sz w:val="24"/>
              </w:rPr>
              <w:t>12.8</w:t>
            </w:r>
            <w:r>
              <w:rPr>
                <w:rFonts w:cs="宋体" w:asciiTheme="minorEastAsia" w:hAnsiTheme="minorEastAsia" w:eastAsiaTheme="minorEastAsia"/>
                <w:sz w:val="24"/>
              </w:rPr>
              <w:t>～</w:t>
            </w:r>
            <w:r>
              <w:rPr>
                <w:rFonts w:asciiTheme="minorEastAsia" w:hAnsiTheme="minorEastAsia" w:eastAsiaTheme="minorEastAsia"/>
                <w:sz w:val="24"/>
              </w:rPr>
              <w:t>18.5</w:t>
            </w:r>
          </w:p>
        </w:tc>
        <w:tc>
          <w:tcPr>
            <w:tcW w:w="778" w:type="pct"/>
            <w:vAlign w:val="center"/>
          </w:tcPr>
          <w:p w14:paraId="1C78FC68">
            <w:pPr>
              <w:jc w:val="center"/>
              <w:rPr>
                <w:rFonts w:hint="eastAsia" w:cs="宋体" w:asciiTheme="minorEastAsia" w:hAnsiTheme="minorEastAsia" w:eastAsiaTheme="minorEastAsia"/>
                <w:sz w:val="24"/>
              </w:rPr>
            </w:pPr>
            <w:r>
              <w:rPr>
                <w:rFonts w:asciiTheme="minorEastAsia" w:hAnsiTheme="minorEastAsia" w:eastAsiaTheme="minorEastAsia"/>
                <w:sz w:val="24"/>
              </w:rPr>
              <w:t>3.2</w:t>
            </w:r>
            <w:r>
              <w:rPr>
                <w:rFonts w:cs="宋体" w:asciiTheme="minorEastAsia" w:hAnsiTheme="minorEastAsia" w:eastAsiaTheme="minorEastAsia"/>
                <w:sz w:val="24"/>
              </w:rPr>
              <w:t>～</w:t>
            </w:r>
            <w:r>
              <w:rPr>
                <w:rFonts w:asciiTheme="minorEastAsia" w:hAnsiTheme="minorEastAsia" w:eastAsiaTheme="minorEastAsia"/>
                <w:sz w:val="24"/>
              </w:rPr>
              <w:t>4.6</w:t>
            </w:r>
          </w:p>
        </w:tc>
        <w:tc>
          <w:tcPr>
            <w:tcW w:w="865" w:type="pct"/>
            <w:shd w:val="clear" w:color="auto" w:fill="auto"/>
            <w:vAlign w:val="center"/>
          </w:tcPr>
          <w:p w14:paraId="6877EE48">
            <w:pPr>
              <w:jc w:val="center"/>
              <w:rPr>
                <w:rFonts w:hint="eastAsia" w:cs="宋体" w:asciiTheme="minorEastAsia" w:hAnsiTheme="minorEastAsia" w:eastAsiaTheme="minorEastAsia"/>
                <w:sz w:val="24"/>
              </w:rPr>
            </w:pPr>
            <w:r>
              <w:rPr>
                <w:rFonts w:asciiTheme="minorEastAsia" w:hAnsiTheme="minorEastAsia" w:eastAsiaTheme="minorEastAsia"/>
                <w:sz w:val="24"/>
              </w:rPr>
              <w:t>1.2</w:t>
            </w:r>
            <w:r>
              <w:rPr>
                <w:rFonts w:cs="宋体" w:asciiTheme="minorEastAsia" w:hAnsiTheme="minorEastAsia" w:eastAsiaTheme="minorEastAsia"/>
                <w:sz w:val="24"/>
              </w:rPr>
              <w:t>～</w:t>
            </w:r>
            <w:r>
              <w:rPr>
                <w:rFonts w:asciiTheme="minorEastAsia" w:hAnsiTheme="minorEastAsia" w:eastAsiaTheme="minorEastAsia"/>
                <w:sz w:val="24"/>
              </w:rPr>
              <w:t>1.8</w:t>
            </w:r>
          </w:p>
        </w:tc>
      </w:tr>
    </w:tbl>
    <w:p w14:paraId="5F57C4DD">
      <w:pPr>
        <w:pStyle w:val="39"/>
        <w:ind w:firstLine="560"/>
      </w:pPr>
    </w:p>
    <w:p w14:paraId="0137D750">
      <w:pPr>
        <w:pStyle w:val="6"/>
      </w:pPr>
      <w:r>
        <w:rPr>
          <w:rFonts w:hint="eastAsia"/>
        </w:rPr>
        <w:t>分场景设置标准</w:t>
      </w:r>
    </w:p>
    <w:p w14:paraId="1467484C">
      <w:pPr>
        <w:pStyle w:val="7"/>
        <w:rPr>
          <w:rFonts w:ascii="Arial" w:hAnsi="Arial"/>
        </w:rPr>
      </w:pPr>
      <w:r>
        <w:rPr>
          <w:rFonts w:hint="eastAsia" w:ascii="Arial" w:hAnsi="Arial"/>
        </w:rPr>
        <w:t>工业园区场景</w:t>
      </w:r>
    </w:p>
    <w:p w14:paraId="02C4E8D1">
      <w:pPr>
        <w:spacing w:line="560" w:lineRule="exact"/>
        <w:ind w:firstLine="48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4"/>
        </w:rPr>
        <w:t>(</w:t>
      </w:r>
      <w:r>
        <w:rPr>
          <w:rFonts w:asciiTheme="minorEastAsia" w:hAnsiTheme="minorEastAsia" w:eastAsiaTheme="minorEastAsia"/>
          <w:kern w:val="24"/>
          <w:sz w:val="24"/>
        </w:rPr>
        <w:t>1</w:t>
      </w:r>
      <w:r>
        <w:rPr>
          <w:rFonts w:hint="eastAsia" w:asciiTheme="minorEastAsia" w:hAnsiTheme="minorEastAsia" w:eastAsiaTheme="minorEastAsia"/>
          <w:kern w:val="24"/>
          <w:sz w:val="24"/>
        </w:rPr>
        <w:t>)</w:t>
      </w:r>
      <w:r>
        <w:rPr>
          <w:rFonts w:hint="eastAsia" w:asciiTheme="minorEastAsia" w:hAnsiTheme="minorEastAsia" w:eastAsiaTheme="minorEastAsia"/>
          <w:kern w:val="24"/>
          <w:sz w:val="28"/>
          <w:szCs w:val="28"/>
        </w:rPr>
        <w:t>应充分考虑园区用户密度高、业务需求大的特点进行基站规划。重点建设SA 5G基站、边缘计算、5G专网基站等设备，5G基站支持网络切片、海量传感器接入等功能，满足智能制造、工业互联网的高带宽、低时延、大连接的特殊需要。</w:t>
      </w:r>
    </w:p>
    <w:p w14:paraId="57244409">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)充分利用园区及周边的公共设施、既有建筑物等资源，采用多种灵活方式进行基站建设。</w:t>
      </w:r>
    </w:p>
    <w:p w14:paraId="2552EA43">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)5G基站站高按照20～30米设置,站间距按照200~300米设置，充分考虑利用现网基站共址建设，新建基站的设置优先结合公共建筑顶层空间考虑。</w:t>
      </w:r>
    </w:p>
    <w:p w14:paraId="78F1C069">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)机房设置优先考虑利用园区既有建筑物空间，其次采用一体化机柜建设。</w:t>
      </w:r>
    </w:p>
    <w:p w14:paraId="6D6F8590">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5</w:t>
      </w:r>
      <w:r>
        <w:rPr>
          <w:rFonts w:hint="eastAsia" w:asciiTheme="minorEastAsia" w:hAnsiTheme="minorEastAsia" w:eastAsiaTheme="minorEastAsia"/>
          <w:kern w:val="24"/>
          <w:sz w:val="28"/>
          <w:szCs w:val="28"/>
        </w:rPr>
        <w:t>)园区预留通信管孔，并与市政通信管井连通。</w:t>
      </w:r>
    </w:p>
    <w:p w14:paraId="19DA9388">
      <w:pPr>
        <w:pStyle w:val="7"/>
        <w:rPr>
          <w:rFonts w:ascii="Arial" w:hAnsi="Arial"/>
        </w:rPr>
      </w:pPr>
      <w:r>
        <w:rPr>
          <w:rFonts w:hint="eastAsia" w:ascii="Arial" w:hAnsi="Arial"/>
        </w:rPr>
        <w:t>住宅小区场景</w:t>
      </w:r>
    </w:p>
    <w:p w14:paraId="3C00E8B7">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)结合住宅小区5G应用需求进行基站规划，满足个人、家庭宽带、超高清视频、增强现实/虚拟现实(AR/VR)、智慧社区、智慧家庭等业务应用需求。</w:t>
      </w:r>
    </w:p>
    <w:p w14:paraId="09EC919F">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)统筹考虑住宅小区内的路灯杆、监控杆、建筑顶层空间等公共物业资源，采用宏微室结合、室内外协同等多种方式进行基站建设。</w:t>
      </w:r>
    </w:p>
    <w:p w14:paraId="539B2BC5">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)5G基站站高按照20～30米设置,站间距按照300～400米设置。</w:t>
      </w:r>
    </w:p>
    <w:p w14:paraId="02EB0873">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)机房设置优先考虑利用小区内既有建筑物空间，其次采用一体化机柜建设。</w:t>
      </w:r>
    </w:p>
    <w:p w14:paraId="0DAFDC20">
      <w:pPr>
        <w:spacing w:line="560" w:lineRule="exact"/>
        <w:ind w:firstLine="560" w:firstLineChars="200"/>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5</w:t>
      </w:r>
      <w:r>
        <w:rPr>
          <w:rFonts w:hint="eastAsia" w:asciiTheme="minorEastAsia" w:hAnsiTheme="minorEastAsia" w:eastAsiaTheme="minorEastAsia"/>
          <w:kern w:val="24"/>
          <w:sz w:val="28"/>
          <w:szCs w:val="28"/>
        </w:rPr>
        <w:t>)小区内基站建设预留通信管孔，并与市政通信管井连通。</w:t>
      </w:r>
    </w:p>
    <w:p w14:paraId="2E9C81E2">
      <w:pPr>
        <w:pStyle w:val="7"/>
        <w:rPr>
          <w:rFonts w:ascii="Arial" w:hAnsi="Arial"/>
        </w:rPr>
      </w:pPr>
      <w:r>
        <w:rPr>
          <w:rFonts w:hint="eastAsia" w:ascii="Arial" w:hAnsi="Arial"/>
        </w:rPr>
        <w:t>公园景区场景</w:t>
      </w:r>
    </w:p>
    <w:p w14:paraId="4B2D0D59">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)结合景区5G应用需求进行基站规划，满足超高清安防监控、智慧游园及自动驾驶等业务应用需求。</w:t>
      </w:r>
    </w:p>
    <w:p w14:paraId="1A65DD2F">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)统筹考虑景区内的路灯杆、监控杆、景区休息亭等基础设施资源，采用宏微室结合等多种方式进行基站建设。</w:t>
      </w:r>
    </w:p>
    <w:p w14:paraId="50E32359">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)5G基站站高按照25～40米设置,站间距按照600～900米设置。充分考虑利用大型公益和绿化空间区域既有基站共址建设，新建基站需与公园及绿化的景观环境融合。</w:t>
      </w:r>
    </w:p>
    <w:p w14:paraId="34CFEDEA">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)机房设置优先考虑利用景区内既有建筑物空间，其次采用一体化机柜建设。</w:t>
      </w:r>
    </w:p>
    <w:p w14:paraId="27E70905">
      <w:pPr>
        <w:spacing w:line="560" w:lineRule="exact"/>
        <w:ind w:firstLine="560" w:firstLineChars="200"/>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5</w:t>
      </w:r>
      <w:r>
        <w:rPr>
          <w:rFonts w:hint="eastAsia" w:asciiTheme="minorEastAsia" w:hAnsiTheme="minorEastAsia" w:eastAsiaTheme="minorEastAsia"/>
          <w:kern w:val="24"/>
          <w:sz w:val="28"/>
          <w:szCs w:val="28"/>
        </w:rPr>
        <w:t>)区域基站建设预留通信管孔，并与市政通信管井连通。</w:t>
      </w:r>
    </w:p>
    <w:p w14:paraId="6551C494">
      <w:pPr>
        <w:pStyle w:val="7"/>
        <w:rPr>
          <w:rFonts w:ascii="Arial" w:hAnsi="Arial"/>
        </w:rPr>
      </w:pPr>
      <w:r>
        <w:rPr>
          <w:rFonts w:hint="eastAsia" w:ascii="Arial" w:hAnsi="Arial"/>
        </w:rPr>
        <w:t>交通干线场景</w:t>
      </w:r>
    </w:p>
    <w:p w14:paraId="541E74D4">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)结合交通干线5G应用需求进行基站规划，满足5G智慧交通、自动驾驶、公共交通娱乐信息节目等业务应用需求。</w:t>
      </w:r>
    </w:p>
    <w:p w14:paraId="2F74CE52">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)与高铁建设节奏“五同步”(同步规划、同步设计、同步建设、同步验收、同步开通)，预留包括槽道、电力、机房、铁塔、接地和土地等资源。</w:t>
      </w:r>
    </w:p>
    <w:p w14:paraId="2F1BE972">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)5G基站站高按照25～40米设置，针对普通铁路及高速站间距按照1000～1400米设置，对于高速铁路，考虑行车速度问题，站间距按照</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00～</w:t>
      </w:r>
      <w:r>
        <w:rPr>
          <w:rFonts w:asciiTheme="minorEastAsia" w:hAnsiTheme="minorEastAsia" w:eastAsiaTheme="minorEastAsia"/>
          <w:kern w:val="24"/>
          <w:sz w:val="28"/>
          <w:szCs w:val="28"/>
        </w:rPr>
        <w:t>50</w:t>
      </w:r>
      <w:r>
        <w:rPr>
          <w:rFonts w:hint="eastAsia" w:asciiTheme="minorEastAsia" w:hAnsiTheme="minorEastAsia" w:eastAsiaTheme="minorEastAsia"/>
          <w:kern w:val="24"/>
          <w:sz w:val="28"/>
          <w:szCs w:val="28"/>
        </w:rPr>
        <w:t>0米设置。在充分利用交通干线沿线现网站址的基础上，充分利用交通线性工程基础设施资源，如路灯杆、道路指示牌、信号灯杆等。</w:t>
      </w:r>
    </w:p>
    <w:p w14:paraId="5CD78318">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)基站机房设置优先采用一体化机柜建设。</w:t>
      </w:r>
    </w:p>
    <w:p w14:paraId="52CD10E6">
      <w:pPr>
        <w:spacing w:line="560" w:lineRule="exact"/>
        <w:ind w:firstLine="560" w:firstLineChars="200"/>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5</w:t>
      </w:r>
      <w:r>
        <w:rPr>
          <w:rFonts w:hint="eastAsia" w:asciiTheme="minorEastAsia" w:hAnsiTheme="minorEastAsia" w:eastAsiaTheme="minorEastAsia"/>
          <w:kern w:val="24"/>
          <w:sz w:val="28"/>
          <w:szCs w:val="28"/>
        </w:rPr>
        <w:t>)线路沿线基站预留通信管孔，与交通线性工程的管线连通。</w:t>
      </w:r>
    </w:p>
    <w:p w14:paraId="200E37F3">
      <w:pPr>
        <w:pStyle w:val="7"/>
        <w:rPr>
          <w:rFonts w:ascii="Arial" w:hAnsi="Arial"/>
        </w:rPr>
      </w:pPr>
      <w:r>
        <w:rPr>
          <w:rFonts w:hint="eastAsia" w:ascii="Arial" w:hAnsi="Arial"/>
        </w:rPr>
        <w:t>农村场景</w:t>
      </w:r>
    </w:p>
    <w:p w14:paraId="7BB9D743">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)结合美丽乡村、生态区、林区5G应用需求进行基站规划，满足智慧乡村、智慧农业、森林防火等业务应用需求。</w:t>
      </w:r>
    </w:p>
    <w:p w14:paraId="2384179C">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)统筹利用乡村、生态区、林区等公共物业资源进行基站建设，实现资源共享。</w:t>
      </w:r>
    </w:p>
    <w:p w14:paraId="1D8A6F4D">
      <w:pPr>
        <w:spacing w:line="560" w:lineRule="exact"/>
        <w:ind w:firstLine="560" w:firstLineChars="200"/>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)机房设置优先考虑利用乡村、生态区、林区既有建筑物空间，其次采用一体化机柜建设。</w:t>
      </w:r>
    </w:p>
    <w:p w14:paraId="564BBC54">
      <w:pPr>
        <w:pStyle w:val="39"/>
        <w:ind w:firstLine="560"/>
        <w:rPr>
          <w:szCs w:val="28"/>
        </w:rPr>
      </w:pPr>
      <w:r>
        <w:rPr>
          <w:rFonts w:hint="eastAsia" w:asciiTheme="minorEastAsia" w:hAnsiTheme="minorEastAsia" w:eastAsiaTheme="minorEastAsia"/>
          <w:kern w:val="24"/>
          <w:szCs w:val="28"/>
        </w:rPr>
        <w:t>(</w:t>
      </w:r>
      <w:r>
        <w:rPr>
          <w:rFonts w:asciiTheme="minorEastAsia" w:hAnsiTheme="minorEastAsia" w:eastAsiaTheme="minorEastAsia"/>
          <w:kern w:val="24"/>
          <w:szCs w:val="28"/>
        </w:rPr>
        <w:t>4</w:t>
      </w:r>
      <w:r>
        <w:rPr>
          <w:rFonts w:hint="eastAsia" w:asciiTheme="minorEastAsia" w:hAnsiTheme="minorEastAsia" w:eastAsiaTheme="minorEastAsia"/>
          <w:kern w:val="24"/>
          <w:szCs w:val="28"/>
        </w:rPr>
        <w:t>)5G基站站高按照25～40米设置，站间距按照1000～1400米设置。基站类型以宏站建设为主。</w:t>
      </w:r>
    </w:p>
    <w:p w14:paraId="05EEF862">
      <w:pPr>
        <w:pStyle w:val="6"/>
      </w:pPr>
      <w:r>
        <w:rPr>
          <w:rFonts w:hint="eastAsia"/>
        </w:rPr>
        <w:t>室内分布系统规划原则与思路</w:t>
      </w:r>
    </w:p>
    <w:p w14:paraId="15B9E933">
      <w:pPr>
        <w:spacing w:line="360" w:lineRule="auto"/>
        <w:ind w:firstLine="560" w:firstLineChars="200"/>
        <w:rPr>
          <w:rFonts w:hint="eastAsia" w:ascii="宋体" w:hAnsi="宋体"/>
          <w:kern w:val="24"/>
          <w:sz w:val="28"/>
          <w:szCs w:val="28"/>
        </w:rPr>
      </w:pPr>
      <w:r>
        <w:rPr>
          <w:rFonts w:hint="eastAsia" w:ascii="宋体" w:hAnsi="宋体"/>
          <w:kern w:val="24"/>
          <w:sz w:val="28"/>
          <w:szCs w:val="28"/>
        </w:rPr>
        <w:t>室内分布系统是针对室内用户群、用于改善建筑物内移动通信环境的一种成功的方案，其原理是利用室内覆盖式天馈系统将基站的信号均匀分布在室内每个角落，从而保证室内区域拥有理想的信号覆盖。室内分布系统可完善大中型建筑物、重要地下公共场所及高层建筑的室内覆盖，较为全面地改善建筑物内的通话质量，提高移动电话接通率，开辟出高质量的室内移动通信区域；同时，使用室内分布系统可以分担室外宏蜂窝话务，扩大网络容量，从而保证良好的通信质量，整体上提高移动网络的服务水平，是移动通信网络发展的需要。</w:t>
      </w:r>
    </w:p>
    <w:p w14:paraId="18341907">
      <w:pPr>
        <w:spacing w:line="360" w:lineRule="auto"/>
        <w:ind w:firstLine="560" w:firstLineChars="200"/>
        <w:rPr>
          <w:rFonts w:hint="eastAsia" w:ascii="宋体" w:hAnsi="宋体"/>
          <w:kern w:val="24"/>
          <w:sz w:val="28"/>
          <w:szCs w:val="28"/>
        </w:rPr>
      </w:pPr>
      <w:r>
        <w:rPr>
          <w:rFonts w:hint="eastAsia" w:ascii="宋体" w:hAnsi="宋体"/>
          <w:kern w:val="24"/>
          <w:sz w:val="28"/>
          <w:szCs w:val="28"/>
        </w:rPr>
        <w:t>根据工信部与国资委联合下发的586号文和142号文中明确规定的八大场景，公共交通类（地铁、铁路、高速公路、机场、车站）和建筑楼宇类（大型场馆、多业主共同使用的商住楼、党政机关）。属于八大场景的室内分布系统需求需由铁塔公司统筹规划建设。</w:t>
      </w:r>
    </w:p>
    <w:p w14:paraId="21B0F0AB">
      <w:pPr>
        <w:spacing w:line="360" w:lineRule="auto"/>
        <w:ind w:firstLine="560" w:firstLineChars="200"/>
        <w:rPr>
          <w:rFonts w:hint="eastAsia" w:ascii="宋体" w:hAnsi="宋体"/>
          <w:kern w:val="24"/>
          <w:sz w:val="28"/>
          <w:szCs w:val="28"/>
        </w:rPr>
      </w:pPr>
      <w:r>
        <w:rPr>
          <w:rFonts w:hint="eastAsia" w:ascii="宋体" w:hAnsi="宋体"/>
          <w:kern w:val="24"/>
          <w:sz w:val="28"/>
          <w:szCs w:val="28"/>
        </w:rPr>
        <w:t>室内分布系统规划原则：</w:t>
      </w:r>
    </w:p>
    <w:p w14:paraId="1C0DA2C5">
      <w:pPr>
        <w:pStyle w:val="32"/>
        <w:numPr>
          <w:ilvl w:val="1"/>
          <w:numId w:val="13"/>
        </w:numPr>
        <w:spacing w:line="360" w:lineRule="auto"/>
        <w:ind w:left="0" w:firstLine="560"/>
        <w:rPr>
          <w:rFonts w:hint="eastAsia" w:ascii="宋体" w:hAnsi="宋体"/>
          <w:kern w:val="24"/>
          <w:sz w:val="28"/>
          <w:szCs w:val="28"/>
        </w:rPr>
      </w:pPr>
      <w:r>
        <w:rPr>
          <w:rFonts w:hint="eastAsia" w:ascii="宋体" w:hAnsi="宋体"/>
          <w:kern w:val="24"/>
          <w:sz w:val="28"/>
          <w:szCs w:val="28"/>
        </w:rPr>
        <w:t>充分考虑各电信运营商企业多系统的技术特性。要考虑各个电信运营商企业</w:t>
      </w:r>
      <w:r>
        <w:rPr>
          <w:rFonts w:ascii="宋体" w:hAnsi="宋体"/>
          <w:kern w:val="24"/>
          <w:sz w:val="28"/>
          <w:szCs w:val="28"/>
        </w:rPr>
        <w:t>5G网络不同频段</w:t>
      </w:r>
      <w:r>
        <w:rPr>
          <w:rFonts w:hint="eastAsia" w:ascii="宋体" w:hAnsi="宋体"/>
          <w:kern w:val="24"/>
          <w:sz w:val="28"/>
          <w:szCs w:val="28"/>
        </w:rPr>
        <w:t>等系统的覆盖特性，根据不同的用户业务行为和系统的技术特性来确定室内分布系统的建设方式，机房面积、天线安装位置等；以保证用户的业务体验为前提，考虑各系统共用分布系统或共存情况下的干扰问题。</w:t>
      </w:r>
    </w:p>
    <w:p w14:paraId="522A2074">
      <w:pPr>
        <w:pStyle w:val="32"/>
        <w:numPr>
          <w:ilvl w:val="1"/>
          <w:numId w:val="13"/>
        </w:numPr>
        <w:spacing w:line="360" w:lineRule="auto"/>
        <w:ind w:left="0" w:firstLine="560"/>
        <w:rPr>
          <w:rFonts w:hint="eastAsia" w:ascii="宋体" w:hAnsi="宋体"/>
          <w:kern w:val="24"/>
          <w:sz w:val="28"/>
          <w:szCs w:val="28"/>
        </w:rPr>
      </w:pPr>
      <w:r>
        <w:rPr>
          <w:rFonts w:hint="eastAsia" w:ascii="宋体" w:hAnsi="宋体"/>
          <w:kern w:val="24"/>
          <w:sz w:val="28"/>
          <w:szCs w:val="28"/>
        </w:rPr>
        <w:t>各个电信运营商都有建设需求、业务量较大的重要场所市政规划及管理部门要给予政策支持，铁塔公司要统一规划协调三家电信运营商，统一进场，通过共用一套分布系统的方式实现共建共享。</w:t>
      </w:r>
    </w:p>
    <w:p w14:paraId="352BE785">
      <w:pPr>
        <w:pStyle w:val="32"/>
        <w:numPr>
          <w:ilvl w:val="1"/>
          <w:numId w:val="13"/>
        </w:numPr>
        <w:spacing w:line="360" w:lineRule="auto"/>
        <w:ind w:left="0" w:firstLine="560"/>
        <w:rPr>
          <w:rFonts w:hint="eastAsia" w:ascii="宋体" w:hAnsi="宋体"/>
          <w:kern w:val="24"/>
          <w:sz w:val="28"/>
          <w:szCs w:val="28"/>
        </w:rPr>
      </w:pPr>
      <w:r>
        <w:rPr>
          <w:rFonts w:hint="eastAsia" w:ascii="宋体" w:hAnsi="宋体"/>
          <w:kern w:val="24"/>
          <w:sz w:val="28"/>
          <w:szCs w:val="28"/>
        </w:rPr>
        <w:t>充分考虑不同场景的建设需求，新建场景共用机房，同步进场、同步施工。考虑不同电信运营商不同场景建设策略的差异，重点场所以的外场景各电信运营商新建室内分布系统必须共用机房，同步进场、同步施工，避免重复施工给业主带来的困扰。</w:t>
      </w:r>
    </w:p>
    <w:p w14:paraId="705DA9F0">
      <w:pPr>
        <w:spacing w:line="360" w:lineRule="auto"/>
        <w:ind w:firstLine="560" w:firstLineChars="200"/>
        <w:rPr>
          <w:rFonts w:hint="eastAsia" w:ascii="宋体" w:hAnsi="宋体"/>
          <w:kern w:val="24"/>
          <w:sz w:val="28"/>
          <w:szCs w:val="28"/>
        </w:rPr>
      </w:pPr>
      <w:r>
        <w:rPr>
          <w:rFonts w:hint="eastAsia" w:ascii="宋体" w:hAnsi="宋体"/>
          <w:kern w:val="24"/>
          <w:sz w:val="28"/>
          <w:szCs w:val="28"/>
        </w:rPr>
        <w:t>根据天星湖片区总体规划及城市发展特点，建立不同覆盖场景下的用户业务模型，从覆盖区域的面积、各电信运营商用户业务量、品牌影响力等方面将汕尾市新建基础设施及楼宇划分为A、B、C三类场景，确定每类场景室内分布系统规划及建设思路。</w:t>
      </w:r>
    </w:p>
    <w:p w14:paraId="544D471C">
      <w:pPr>
        <w:pStyle w:val="32"/>
        <w:spacing w:line="500" w:lineRule="exact"/>
        <w:ind w:firstLine="0" w:firstLineChars="0"/>
        <w:jc w:val="center"/>
        <w:rPr>
          <w:rFonts w:hint="eastAsia" w:ascii="宋体" w:hAnsi="宋体" w:cs="宋体"/>
          <w:sz w:val="28"/>
          <w:szCs w:val="28"/>
        </w:rPr>
      </w:pPr>
      <w:r>
        <w:rPr>
          <w:rFonts w:hint="eastAsia" w:ascii="宋体" w:hAnsi="宋体" w:cs="宋体"/>
          <w:sz w:val="28"/>
          <w:szCs w:val="28"/>
        </w:rPr>
        <w:t>表</w:t>
      </w:r>
      <w:r>
        <w:rPr>
          <w:rFonts w:ascii="宋体" w:hAnsi="宋体" w:cs="宋体"/>
          <w:sz w:val="28"/>
          <w:szCs w:val="28"/>
        </w:rPr>
        <w:t>4</w:t>
      </w:r>
      <w:r>
        <w:rPr>
          <w:rFonts w:hint="eastAsia" w:ascii="宋体" w:hAnsi="宋体" w:cs="宋体"/>
          <w:sz w:val="28"/>
          <w:szCs w:val="28"/>
        </w:rPr>
        <w:t>-</w:t>
      </w:r>
      <w:r>
        <w:rPr>
          <w:rFonts w:ascii="宋体" w:hAnsi="宋体" w:cs="宋体"/>
          <w:sz w:val="28"/>
          <w:szCs w:val="28"/>
        </w:rPr>
        <w:t>7</w:t>
      </w:r>
      <w:r>
        <w:rPr>
          <w:rFonts w:hint="eastAsia" w:ascii="宋体" w:hAnsi="宋体" w:cs="宋体"/>
          <w:sz w:val="28"/>
          <w:szCs w:val="28"/>
        </w:rPr>
        <w:t>室内分布系统建设方式分类定义表</w:t>
      </w:r>
    </w:p>
    <w:tbl>
      <w:tblPr>
        <w:tblStyle w:val="2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118"/>
        <w:gridCol w:w="2698"/>
        <w:gridCol w:w="2659"/>
        <w:gridCol w:w="2429"/>
      </w:tblGrid>
      <w:tr w14:paraId="1DFA8B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3" w:hRule="exact"/>
          <w:tblHeader/>
        </w:trPr>
        <w:tc>
          <w:tcPr>
            <w:tcW w:w="628" w:type="pct"/>
            <w:shd w:val="clear" w:color="auto" w:fill="EEECE1" w:themeFill="background2"/>
            <w:vAlign w:val="center"/>
          </w:tcPr>
          <w:p w14:paraId="33ADDECE">
            <w:pPr>
              <w:widowControl/>
              <w:jc w:val="center"/>
              <w:rPr>
                <w:rFonts w:hint="eastAsia" w:ascii="宋体" w:hAnsi="宋体" w:cs="宋体"/>
                <w:b/>
                <w:kern w:val="0"/>
                <w:sz w:val="24"/>
              </w:rPr>
            </w:pPr>
            <w:r>
              <w:rPr>
                <w:rFonts w:hint="eastAsia" w:ascii="宋体" w:hAnsi="宋体" w:cs="宋体"/>
                <w:b/>
                <w:kern w:val="0"/>
                <w:sz w:val="24"/>
              </w:rPr>
              <w:t>场景划分</w:t>
            </w:r>
          </w:p>
        </w:tc>
        <w:tc>
          <w:tcPr>
            <w:tcW w:w="1515" w:type="pct"/>
            <w:shd w:val="clear" w:color="auto" w:fill="EEECE1" w:themeFill="background2"/>
            <w:vAlign w:val="center"/>
          </w:tcPr>
          <w:p w14:paraId="30495250">
            <w:pPr>
              <w:widowControl/>
              <w:jc w:val="center"/>
              <w:rPr>
                <w:rFonts w:hint="eastAsia" w:ascii="宋体" w:hAnsi="宋体" w:cs="宋体"/>
                <w:b/>
                <w:kern w:val="0"/>
                <w:sz w:val="24"/>
              </w:rPr>
            </w:pPr>
            <w:r>
              <w:rPr>
                <w:rFonts w:hint="eastAsia" w:ascii="宋体" w:hAnsi="宋体" w:cs="宋体"/>
                <w:b/>
                <w:kern w:val="0"/>
                <w:sz w:val="24"/>
              </w:rPr>
              <w:t>分类定义</w:t>
            </w:r>
          </w:p>
        </w:tc>
        <w:tc>
          <w:tcPr>
            <w:tcW w:w="1493" w:type="pct"/>
            <w:shd w:val="clear" w:color="auto" w:fill="EEECE1" w:themeFill="background2"/>
            <w:vAlign w:val="center"/>
          </w:tcPr>
          <w:p w14:paraId="07E799DD">
            <w:pPr>
              <w:widowControl/>
              <w:jc w:val="center"/>
              <w:rPr>
                <w:rFonts w:hint="eastAsia" w:ascii="宋体" w:hAnsi="宋体" w:cs="宋体"/>
                <w:b/>
                <w:kern w:val="0"/>
                <w:sz w:val="24"/>
              </w:rPr>
            </w:pPr>
            <w:r>
              <w:rPr>
                <w:rFonts w:hint="eastAsia" w:ascii="宋体" w:hAnsi="宋体" w:cs="宋体"/>
                <w:b/>
                <w:kern w:val="0"/>
                <w:sz w:val="24"/>
              </w:rPr>
              <w:t>场景类型</w:t>
            </w:r>
          </w:p>
        </w:tc>
        <w:tc>
          <w:tcPr>
            <w:tcW w:w="1364" w:type="pct"/>
            <w:shd w:val="clear" w:color="auto" w:fill="EEECE1" w:themeFill="background2"/>
            <w:vAlign w:val="center"/>
          </w:tcPr>
          <w:p w14:paraId="5B065BBF">
            <w:pPr>
              <w:widowControl/>
              <w:jc w:val="center"/>
              <w:rPr>
                <w:rFonts w:hint="eastAsia" w:ascii="宋体" w:hAnsi="宋体" w:cs="宋体"/>
                <w:b/>
                <w:kern w:val="0"/>
                <w:sz w:val="24"/>
              </w:rPr>
            </w:pPr>
            <w:r>
              <w:rPr>
                <w:rFonts w:hint="eastAsia" w:ascii="宋体" w:hAnsi="宋体" w:cs="宋体"/>
                <w:b/>
                <w:kern w:val="0"/>
                <w:sz w:val="24"/>
              </w:rPr>
              <w:t>建设方式</w:t>
            </w:r>
          </w:p>
        </w:tc>
      </w:tr>
      <w:tr w14:paraId="5D562A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0" w:hRule="atLeast"/>
        </w:trPr>
        <w:tc>
          <w:tcPr>
            <w:tcW w:w="628" w:type="pct"/>
            <w:shd w:val="clear" w:color="auto" w:fill="auto"/>
            <w:vAlign w:val="center"/>
          </w:tcPr>
          <w:p w14:paraId="2FC7650E">
            <w:pPr>
              <w:widowControl/>
              <w:jc w:val="center"/>
              <w:rPr>
                <w:rFonts w:hint="eastAsia" w:ascii="宋体" w:hAnsi="宋体" w:cs="宋体"/>
                <w:kern w:val="0"/>
                <w:sz w:val="24"/>
              </w:rPr>
            </w:pPr>
            <w:r>
              <w:rPr>
                <w:rFonts w:hint="eastAsia" w:ascii="宋体" w:hAnsi="宋体" w:cs="宋体"/>
                <w:kern w:val="0"/>
                <w:sz w:val="24"/>
              </w:rPr>
              <w:t>A类</w:t>
            </w:r>
          </w:p>
        </w:tc>
        <w:tc>
          <w:tcPr>
            <w:tcW w:w="1515" w:type="pct"/>
            <w:shd w:val="clear" w:color="auto" w:fill="auto"/>
            <w:vAlign w:val="center"/>
          </w:tcPr>
          <w:p w14:paraId="0F7C879B">
            <w:pPr>
              <w:widowControl/>
              <w:jc w:val="center"/>
              <w:rPr>
                <w:rFonts w:hint="eastAsia" w:ascii="宋体" w:hAnsi="宋体" w:cs="宋体"/>
                <w:kern w:val="0"/>
                <w:sz w:val="24"/>
              </w:rPr>
            </w:pPr>
            <w:r>
              <w:rPr>
                <w:rFonts w:hint="eastAsia" w:ascii="宋体" w:hAnsi="宋体" w:cs="宋体"/>
                <w:kern w:val="0"/>
                <w:sz w:val="24"/>
              </w:rPr>
              <w:t>对电信运营商品牌影响力较大、用户及业务密度较大、室外宏站存在覆盖盲区的区域</w:t>
            </w:r>
          </w:p>
        </w:tc>
        <w:tc>
          <w:tcPr>
            <w:tcW w:w="1493" w:type="pct"/>
            <w:vAlign w:val="center"/>
          </w:tcPr>
          <w:p w14:paraId="376AFDA8">
            <w:pPr>
              <w:widowControl/>
              <w:jc w:val="center"/>
              <w:rPr>
                <w:rFonts w:hint="eastAsia" w:ascii="宋体" w:hAnsi="宋体" w:cs="宋体"/>
                <w:kern w:val="0"/>
                <w:sz w:val="24"/>
              </w:rPr>
            </w:pPr>
            <w:r>
              <w:rPr>
                <w:rFonts w:ascii="宋体" w:hAnsi="宋体" w:cs="宋体"/>
                <w:kern w:val="0"/>
                <w:sz w:val="24"/>
              </w:rPr>
              <w:t>大型商场</w:t>
            </w:r>
            <w:r>
              <w:rPr>
                <w:rFonts w:hint="eastAsia" w:ascii="宋体" w:hAnsi="宋体" w:cs="宋体"/>
                <w:kern w:val="0"/>
                <w:sz w:val="24"/>
              </w:rPr>
              <w:t>、高级酒店、交通枢纽、会展中心/体育场馆、大型居民小区、重要政企办公楼、大型医院、高校、其他同等级场所</w:t>
            </w:r>
          </w:p>
        </w:tc>
        <w:tc>
          <w:tcPr>
            <w:tcW w:w="1364" w:type="pct"/>
            <w:shd w:val="clear" w:color="auto" w:fill="auto"/>
            <w:vAlign w:val="center"/>
          </w:tcPr>
          <w:p w14:paraId="1E91E04A">
            <w:pPr>
              <w:widowControl/>
              <w:jc w:val="center"/>
              <w:rPr>
                <w:rFonts w:hint="eastAsia" w:ascii="宋体" w:hAnsi="宋体" w:cs="宋体"/>
                <w:kern w:val="0"/>
                <w:sz w:val="24"/>
              </w:rPr>
            </w:pPr>
            <w:r>
              <w:rPr>
                <w:rFonts w:hint="eastAsia" w:ascii="宋体" w:hAnsi="宋体" w:cs="宋体"/>
                <w:kern w:val="0"/>
                <w:sz w:val="24"/>
              </w:rPr>
              <w:t>新建A类场景各电信运营商必须共建，已有电信运营商先期完成建设场景，要考虑是否能够共建共享</w:t>
            </w:r>
          </w:p>
        </w:tc>
      </w:tr>
      <w:tr w14:paraId="0CFA64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10" w:hRule="atLeast"/>
        </w:trPr>
        <w:tc>
          <w:tcPr>
            <w:tcW w:w="628" w:type="pct"/>
            <w:shd w:val="clear" w:color="auto" w:fill="auto"/>
            <w:vAlign w:val="center"/>
          </w:tcPr>
          <w:p w14:paraId="4DAC7CB5">
            <w:pPr>
              <w:widowControl/>
              <w:jc w:val="center"/>
              <w:rPr>
                <w:rFonts w:hint="eastAsia" w:ascii="宋体" w:hAnsi="宋体" w:cs="宋体"/>
                <w:kern w:val="0"/>
                <w:sz w:val="24"/>
              </w:rPr>
            </w:pPr>
            <w:r>
              <w:rPr>
                <w:rFonts w:hint="eastAsia" w:ascii="宋体" w:hAnsi="宋体" w:cs="宋体"/>
                <w:kern w:val="0"/>
                <w:sz w:val="24"/>
              </w:rPr>
              <w:t>B类</w:t>
            </w:r>
          </w:p>
        </w:tc>
        <w:tc>
          <w:tcPr>
            <w:tcW w:w="1515" w:type="pct"/>
            <w:shd w:val="clear" w:color="auto" w:fill="auto"/>
            <w:vAlign w:val="center"/>
          </w:tcPr>
          <w:p w14:paraId="6D38F8C7">
            <w:pPr>
              <w:widowControl/>
              <w:jc w:val="center"/>
              <w:rPr>
                <w:rFonts w:hint="eastAsia" w:ascii="宋体" w:hAnsi="宋体" w:cs="宋体"/>
                <w:kern w:val="0"/>
                <w:sz w:val="24"/>
              </w:rPr>
            </w:pPr>
            <w:r>
              <w:rPr>
                <w:rFonts w:hint="eastAsia" w:ascii="宋体" w:hAnsi="宋体" w:cs="宋体"/>
                <w:kern w:val="0"/>
                <w:sz w:val="24"/>
              </w:rPr>
              <w:t>对电信运营商品牌影响力较大有一定影响力、用户及业务密度中等、室外宏站覆盖存在一定的盲区</w:t>
            </w:r>
          </w:p>
        </w:tc>
        <w:tc>
          <w:tcPr>
            <w:tcW w:w="1493" w:type="pct"/>
            <w:vAlign w:val="center"/>
          </w:tcPr>
          <w:p w14:paraId="3DACE001">
            <w:pPr>
              <w:widowControl/>
              <w:jc w:val="center"/>
              <w:rPr>
                <w:rFonts w:hint="eastAsia" w:ascii="宋体" w:hAnsi="宋体" w:cs="宋体"/>
                <w:kern w:val="0"/>
                <w:sz w:val="24"/>
              </w:rPr>
            </w:pPr>
            <w:r>
              <w:rPr>
                <w:rFonts w:ascii="宋体" w:hAnsi="宋体" w:cs="宋体"/>
                <w:kern w:val="0"/>
                <w:sz w:val="24"/>
              </w:rPr>
              <w:t>中心商场</w:t>
            </w:r>
            <w:r>
              <w:rPr>
                <w:rFonts w:hint="eastAsia" w:ascii="宋体" w:hAnsi="宋体" w:cs="宋体"/>
                <w:kern w:val="0"/>
                <w:sz w:val="24"/>
              </w:rPr>
              <w:t>、</w:t>
            </w:r>
            <w:r>
              <w:rPr>
                <w:rFonts w:ascii="宋体" w:hAnsi="宋体" w:cs="宋体"/>
                <w:kern w:val="0"/>
                <w:sz w:val="24"/>
              </w:rPr>
              <w:t>中档酒店</w:t>
            </w:r>
            <w:r>
              <w:rPr>
                <w:rFonts w:hint="eastAsia" w:ascii="宋体" w:hAnsi="宋体" w:cs="宋体"/>
                <w:kern w:val="0"/>
                <w:sz w:val="24"/>
              </w:rPr>
              <w:t>、</w:t>
            </w:r>
            <w:r>
              <w:rPr>
                <w:rFonts w:ascii="宋体" w:hAnsi="宋体" w:cs="宋体"/>
                <w:kern w:val="0"/>
                <w:sz w:val="24"/>
              </w:rPr>
              <w:t>中型居民小区</w:t>
            </w:r>
            <w:r>
              <w:rPr>
                <w:rFonts w:hint="eastAsia" w:ascii="宋体" w:hAnsi="宋体" w:cs="宋体"/>
                <w:kern w:val="0"/>
                <w:sz w:val="24"/>
              </w:rPr>
              <w:t>、</w:t>
            </w:r>
            <w:r>
              <w:rPr>
                <w:rFonts w:ascii="宋体" w:hAnsi="宋体" w:cs="宋体"/>
                <w:kern w:val="0"/>
                <w:sz w:val="24"/>
              </w:rPr>
              <w:t>中型医院</w:t>
            </w:r>
            <w:r>
              <w:rPr>
                <w:rFonts w:hint="eastAsia" w:ascii="宋体" w:hAnsi="宋体" w:cs="宋体"/>
                <w:kern w:val="0"/>
                <w:sz w:val="24"/>
              </w:rPr>
              <w:t>、</w:t>
            </w:r>
            <w:r>
              <w:rPr>
                <w:rFonts w:ascii="宋体" w:hAnsi="宋体" w:cs="宋体"/>
                <w:kern w:val="0"/>
                <w:sz w:val="24"/>
              </w:rPr>
              <w:t>中档写字楼</w:t>
            </w:r>
            <w:r>
              <w:rPr>
                <w:rFonts w:hint="eastAsia" w:ascii="宋体" w:hAnsi="宋体" w:cs="宋体"/>
                <w:kern w:val="0"/>
                <w:sz w:val="24"/>
              </w:rPr>
              <w:t>、</w:t>
            </w:r>
            <w:r>
              <w:rPr>
                <w:rFonts w:ascii="宋体" w:hAnsi="宋体" w:cs="宋体"/>
                <w:kern w:val="0"/>
                <w:sz w:val="24"/>
              </w:rPr>
              <w:t>中档餐饮娱乐场所</w:t>
            </w:r>
            <w:r>
              <w:rPr>
                <w:rFonts w:hint="eastAsia" w:ascii="宋体" w:hAnsi="宋体" w:cs="宋体"/>
                <w:kern w:val="0"/>
                <w:sz w:val="24"/>
              </w:rPr>
              <w:t>、</w:t>
            </w:r>
            <w:r>
              <w:rPr>
                <w:rFonts w:ascii="宋体" w:hAnsi="宋体" w:cs="宋体"/>
                <w:kern w:val="0"/>
                <w:sz w:val="24"/>
              </w:rPr>
              <w:t>学校</w:t>
            </w:r>
          </w:p>
        </w:tc>
        <w:tc>
          <w:tcPr>
            <w:tcW w:w="1364" w:type="pct"/>
            <w:shd w:val="clear" w:color="auto" w:fill="auto"/>
            <w:vAlign w:val="center"/>
          </w:tcPr>
          <w:p w14:paraId="2C1A6DFE">
            <w:pPr>
              <w:widowControl/>
              <w:jc w:val="center"/>
              <w:rPr>
                <w:rFonts w:hint="eastAsia" w:ascii="宋体" w:hAnsi="宋体" w:cs="宋体"/>
                <w:kern w:val="0"/>
                <w:sz w:val="24"/>
              </w:rPr>
            </w:pPr>
            <w:r>
              <w:rPr>
                <w:rFonts w:hint="eastAsia" w:ascii="宋体" w:hAnsi="宋体" w:cs="宋体"/>
                <w:kern w:val="0"/>
                <w:sz w:val="24"/>
              </w:rPr>
              <w:t>新建B类场景鼓励各电信运营商共建，如不能共建必须同步进场、同步施工，共用机房</w:t>
            </w:r>
          </w:p>
        </w:tc>
      </w:tr>
      <w:tr w14:paraId="4A7EC9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628" w:type="pct"/>
            <w:shd w:val="clear" w:color="auto" w:fill="auto"/>
            <w:vAlign w:val="center"/>
          </w:tcPr>
          <w:p w14:paraId="7CF89595">
            <w:pPr>
              <w:widowControl/>
              <w:jc w:val="center"/>
              <w:rPr>
                <w:rFonts w:hint="eastAsia" w:ascii="宋体" w:hAnsi="宋体" w:cs="宋体"/>
                <w:kern w:val="0"/>
                <w:sz w:val="24"/>
              </w:rPr>
            </w:pPr>
            <w:r>
              <w:rPr>
                <w:rFonts w:hint="eastAsia" w:ascii="宋体" w:hAnsi="宋体" w:cs="宋体"/>
                <w:kern w:val="0"/>
                <w:sz w:val="24"/>
              </w:rPr>
              <w:t>C类</w:t>
            </w:r>
          </w:p>
        </w:tc>
        <w:tc>
          <w:tcPr>
            <w:tcW w:w="1515" w:type="pct"/>
            <w:shd w:val="clear" w:color="auto" w:fill="auto"/>
            <w:vAlign w:val="center"/>
          </w:tcPr>
          <w:p w14:paraId="678F61EC">
            <w:pPr>
              <w:widowControl/>
              <w:jc w:val="center"/>
              <w:rPr>
                <w:rFonts w:hint="eastAsia" w:ascii="宋体" w:hAnsi="宋体" w:cs="宋体"/>
                <w:kern w:val="0"/>
                <w:sz w:val="24"/>
              </w:rPr>
            </w:pPr>
            <w:r>
              <w:rPr>
                <w:rFonts w:hint="eastAsia" w:ascii="宋体" w:hAnsi="宋体" w:cs="宋体"/>
                <w:kern w:val="0"/>
                <w:sz w:val="24"/>
              </w:rPr>
              <w:t>容量需求不大，仅解决覆盖的区域</w:t>
            </w:r>
          </w:p>
        </w:tc>
        <w:tc>
          <w:tcPr>
            <w:tcW w:w="1493" w:type="pct"/>
            <w:vAlign w:val="center"/>
          </w:tcPr>
          <w:p w14:paraId="02AC910D">
            <w:pPr>
              <w:widowControl/>
              <w:jc w:val="center"/>
              <w:rPr>
                <w:rFonts w:hint="eastAsia" w:ascii="宋体" w:hAnsi="宋体" w:cs="宋体"/>
                <w:kern w:val="0"/>
                <w:sz w:val="24"/>
              </w:rPr>
            </w:pPr>
            <w:r>
              <w:rPr>
                <w:rFonts w:ascii="宋体" w:hAnsi="宋体" w:cs="宋体"/>
                <w:kern w:val="0"/>
                <w:sz w:val="24"/>
              </w:rPr>
              <w:t>中小型商场</w:t>
            </w:r>
            <w:r>
              <w:rPr>
                <w:rFonts w:hint="eastAsia" w:ascii="宋体" w:hAnsi="宋体" w:cs="宋体"/>
                <w:kern w:val="0"/>
                <w:sz w:val="24"/>
              </w:rPr>
              <w:t>、</w:t>
            </w:r>
            <w:r>
              <w:rPr>
                <w:rFonts w:ascii="宋体" w:hAnsi="宋体" w:cs="宋体"/>
                <w:kern w:val="0"/>
                <w:sz w:val="24"/>
              </w:rPr>
              <w:t>连锁酒店及旅馆</w:t>
            </w:r>
            <w:r>
              <w:rPr>
                <w:rFonts w:hint="eastAsia" w:ascii="宋体" w:hAnsi="宋体" w:cs="宋体"/>
                <w:kern w:val="0"/>
                <w:sz w:val="24"/>
              </w:rPr>
              <w:t>、</w:t>
            </w:r>
            <w:r>
              <w:rPr>
                <w:rFonts w:ascii="宋体" w:hAnsi="宋体" w:cs="宋体"/>
                <w:kern w:val="0"/>
                <w:sz w:val="24"/>
              </w:rPr>
              <w:t>小型</w:t>
            </w:r>
            <w:r>
              <w:rPr>
                <w:rFonts w:hint="eastAsia" w:ascii="宋体" w:hAnsi="宋体" w:cs="宋体"/>
                <w:kern w:val="0"/>
                <w:sz w:val="24"/>
              </w:rPr>
              <w:t>、低下娱乐场所、中小型展馆</w:t>
            </w:r>
          </w:p>
        </w:tc>
        <w:tc>
          <w:tcPr>
            <w:tcW w:w="1364" w:type="pct"/>
            <w:shd w:val="clear" w:color="auto" w:fill="auto"/>
            <w:vAlign w:val="center"/>
          </w:tcPr>
          <w:p w14:paraId="31454BEE">
            <w:pPr>
              <w:widowControl/>
              <w:jc w:val="center"/>
              <w:rPr>
                <w:rFonts w:hint="eastAsia" w:ascii="宋体" w:hAnsi="宋体" w:cs="宋体"/>
                <w:kern w:val="0"/>
                <w:sz w:val="24"/>
              </w:rPr>
            </w:pPr>
            <w:r>
              <w:rPr>
                <w:rFonts w:hint="eastAsia" w:ascii="宋体" w:hAnsi="宋体" w:cs="宋体"/>
                <w:kern w:val="0"/>
                <w:sz w:val="24"/>
              </w:rPr>
              <w:t>新建区域同步进场、同步施工，共用机房</w:t>
            </w:r>
          </w:p>
        </w:tc>
      </w:tr>
    </w:tbl>
    <w:p w14:paraId="7D0E7E86">
      <w:pPr>
        <w:spacing w:line="360" w:lineRule="auto"/>
        <w:ind w:firstLine="560" w:firstLineChars="200"/>
        <w:rPr>
          <w:sz w:val="28"/>
          <w:szCs w:val="28"/>
        </w:rPr>
      </w:pPr>
      <w:r>
        <w:rPr>
          <w:rFonts w:hint="eastAsia"/>
          <w:sz w:val="28"/>
          <w:szCs w:val="28"/>
        </w:rPr>
        <w:t>结合汕尾市各运营企业的用户业务特性以及各系统的覆盖容量特性，大部分室内覆盖为小区覆盖受限的场景，有部分场景需要多个小区才能完成对目标区域的较好覆盖。考虑各运营企业的需求，建议不同场景应相应配置通信接入机房，并免费开放，接入机房的面积需求如下：</w:t>
      </w:r>
    </w:p>
    <w:p w14:paraId="3018C83A">
      <w:pPr>
        <w:pStyle w:val="32"/>
        <w:spacing w:line="500" w:lineRule="exact"/>
        <w:ind w:firstLine="0" w:firstLineChars="0"/>
        <w:jc w:val="center"/>
        <w:rPr>
          <w:rFonts w:hint="eastAsia" w:ascii="宋体" w:hAnsi="宋体" w:cs="宋体"/>
          <w:sz w:val="28"/>
          <w:szCs w:val="28"/>
        </w:rPr>
      </w:pPr>
      <w:r>
        <w:rPr>
          <w:rFonts w:hint="eastAsia" w:ascii="宋体" w:hAnsi="宋体" w:cs="宋体"/>
          <w:sz w:val="28"/>
          <w:szCs w:val="28"/>
        </w:rPr>
        <w:t>表</w:t>
      </w:r>
      <w:r>
        <w:rPr>
          <w:rFonts w:ascii="宋体" w:hAnsi="宋体" w:cs="宋体"/>
          <w:sz w:val="28"/>
          <w:szCs w:val="28"/>
        </w:rPr>
        <w:t xml:space="preserve">4-8 </w:t>
      </w:r>
      <w:r>
        <w:rPr>
          <w:rFonts w:hint="eastAsia" w:ascii="宋体" w:hAnsi="宋体" w:cs="宋体"/>
          <w:sz w:val="28"/>
          <w:szCs w:val="28"/>
        </w:rPr>
        <w:t>各接入场景机房面积需求一览表</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775"/>
        <w:gridCol w:w="3831"/>
        <w:gridCol w:w="3298"/>
      </w:tblGrid>
      <w:tr w14:paraId="761714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6" w:hRule="atLeast"/>
          <w:tblHeader/>
          <w:jc w:val="center"/>
        </w:trPr>
        <w:tc>
          <w:tcPr>
            <w:tcW w:w="997" w:type="pct"/>
            <w:shd w:val="clear" w:color="auto" w:fill="EEECE1" w:themeFill="background2"/>
            <w:noWrap/>
            <w:vAlign w:val="center"/>
          </w:tcPr>
          <w:p w14:paraId="41C62220">
            <w:pPr>
              <w:widowControl/>
              <w:jc w:val="center"/>
              <w:rPr>
                <w:rFonts w:hint="eastAsia" w:cs="宋体" w:asciiTheme="minorEastAsia" w:hAnsiTheme="minorEastAsia" w:eastAsiaTheme="minorEastAsia"/>
                <w:b/>
                <w:color w:val="000000"/>
                <w:kern w:val="0"/>
                <w:sz w:val="24"/>
              </w:rPr>
            </w:pPr>
            <w:r>
              <w:rPr>
                <w:rFonts w:hint="eastAsia" w:cs="宋体" w:asciiTheme="minorEastAsia" w:hAnsiTheme="minorEastAsia" w:eastAsiaTheme="minorEastAsia"/>
                <w:b/>
                <w:color w:val="000000"/>
                <w:kern w:val="0"/>
                <w:sz w:val="24"/>
              </w:rPr>
              <w:t>类型</w:t>
            </w:r>
          </w:p>
        </w:tc>
        <w:tc>
          <w:tcPr>
            <w:tcW w:w="2151" w:type="pct"/>
            <w:shd w:val="clear" w:color="auto" w:fill="EEECE1" w:themeFill="background2"/>
            <w:noWrap/>
            <w:vAlign w:val="center"/>
          </w:tcPr>
          <w:p w14:paraId="69180348">
            <w:pPr>
              <w:widowControl/>
              <w:jc w:val="center"/>
              <w:rPr>
                <w:rFonts w:hint="eastAsia" w:cs="宋体" w:asciiTheme="minorEastAsia" w:hAnsiTheme="minorEastAsia" w:eastAsiaTheme="minorEastAsia"/>
                <w:b/>
                <w:color w:val="000000"/>
                <w:kern w:val="0"/>
                <w:sz w:val="24"/>
              </w:rPr>
            </w:pPr>
            <w:r>
              <w:rPr>
                <w:rFonts w:hint="eastAsia" w:cs="宋体" w:asciiTheme="minorEastAsia" w:hAnsiTheme="minorEastAsia" w:eastAsiaTheme="minorEastAsia"/>
                <w:b/>
                <w:color w:val="000000"/>
                <w:kern w:val="0"/>
                <w:sz w:val="24"/>
              </w:rPr>
              <w:t>场景分类</w:t>
            </w:r>
          </w:p>
        </w:tc>
        <w:tc>
          <w:tcPr>
            <w:tcW w:w="1852" w:type="pct"/>
            <w:shd w:val="clear" w:color="auto" w:fill="EEECE1" w:themeFill="background2"/>
            <w:noWrap/>
            <w:vAlign w:val="center"/>
          </w:tcPr>
          <w:p w14:paraId="5942E34E">
            <w:pPr>
              <w:widowControl/>
              <w:jc w:val="center"/>
              <w:rPr>
                <w:rFonts w:hint="eastAsia" w:cs="宋体" w:asciiTheme="minorEastAsia" w:hAnsiTheme="minorEastAsia" w:eastAsiaTheme="minorEastAsia"/>
                <w:b/>
                <w:color w:val="000000"/>
                <w:kern w:val="0"/>
                <w:sz w:val="24"/>
              </w:rPr>
            </w:pPr>
            <w:r>
              <w:rPr>
                <w:rFonts w:hint="eastAsia" w:cs="宋体" w:asciiTheme="minorEastAsia" w:hAnsiTheme="minorEastAsia" w:eastAsiaTheme="minorEastAsia"/>
                <w:b/>
                <w:color w:val="000000"/>
                <w:kern w:val="0"/>
                <w:sz w:val="24"/>
              </w:rPr>
              <w:t>接入机房面积预留（m²）</w:t>
            </w:r>
          </w:p>
        </w:tc>
      </w:tr>
      <w:tr w14:paraId="6EFA3C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restart"/>
            <w:shd w:val="clear" w:color="auto" w:fill="auto"/>
            <w:noWrap/>
            <w:vAlign w:val="center"/>
          </w:tcPr>
          <w:p w14:paraId="6E832B43">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A类</w:t>
            </w:r>
          </w:p>
        </w:tc>
        <w:tc>
          <w:tcPr>
            <w:tcW w:w="2151" w:type="pct"/>
            <w:shd w:val="clear" w:color="auto" w:fill="auto"/>
            <w:noWrap/>
            <w:vAlign w:val="center"/>
          </w:tcPr>
          <w:p w14:paraId="391FA7BF">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大型商场</w:t>
            </w:r>
          </w:p>
        </w:tc>
        <w:tc>
          <w:tcPr>
            <w:tcW w:w="1852" w:type="pct"/>
            <w:shd w:val="clear" w:color="auto" w:fill="auto"/>
            <w:noWrap/>
            <w:vAlign w:val="center"/>
          </w:tcPr>
          <w:p w14:paraId="0E730E5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25</w:t>
            </w:r>
          </w:p>
        </w:tc>
      </w:tr>
      <w:tr w14:paraId="7F9D2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10F00858">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637CC599">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高级酒店</w:t>
            </w:r>
          </w:p>
        </w:tc>
        <w:tc>
          <w:tcPr>
            <w:tcW w:w="1852" w:type="pct"/>
            <w:shd w:val="clear" w:color="auto" w:fill="auto"/>
            <w:noWrap/>
            <w:vAlign w:val="center"/>
          </w:tcPr>
          <w:p w14:paraId="44B5702C">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35</w:t>
            </w:r>
          </w:p>
        </w:tc>
      </w:tr>
      <w:tr w14:paraId="2EC3CE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4C43D503">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614FA622">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交通枢纽</w:t>
            </w:r>
          </w:p>
        </w:tc>
        <w:tc>
          <w:tcPr>
            <w:tcW w:w="1852" w:type="pct"/>
            <w:shd w:val="clear" w:color="auto" w:fill="auto"/>
            <w:noWrap/>
            <w:vAlign w:val="center"/>
          </w:tcPr>
          <w:p w14:paraId="47A56295">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35</w:t>
            </w:r>
          </w:p>
        </w:tc>
      </w:tr>
      <w:tr w14:paraId="6E245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28C6FC2A">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74C491A0">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会展中心/体育场馆</w:t>
            </w:r>
          </w:p>
        </w:tc>
        <w:tc>
          <w:tcPr>
            <w:tcW w:w="1852" w:type="pct"/>
            <w:shd w:val="clear" w:color="auto" w:fill="auto"/>
            <w:noWrap/>
            <w:vAlign w:val="center"/>
          </w:tcPr>
          <w:p w14:paraId="34139412">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25</w:t>
            </w:r>
          </w:p>
        </w:tc>
      </w:tr>
      <w:tr w14:paraId="4CACFC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02CD63AC">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1C757010">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大型居民小区</w:t>
            </w:r>
          </w:p>
        </w:tc>
        <w:tc>
          <w:tcPr>
            <w:tcW w:w="1852" w:type="pct"/>
            <w:shd w:val="clear" w:color="auto" w:fill="auto"/>
            <w:noWrap/>
            <w:vAlign w:val="center"/>
          </w:tcPr>
          <w:p w14:paraId="6058E097">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41</w:t>
            </w:r>
          </w:p>
        </w:tc>
      </w:tr>
      <w:tr w14:paraId="44CA34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23595645">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354F658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重要政企办公楼</w:t>
            </w:r>
          </w:p>
        </w:tc>
        <w:tc>
          <w:tcPr>
            <w:tcW w:w="1852" w:type="pct"/>
            <w:shd w:val="clear" w:color="auto" w:fill="auto"/>
            <w:noWrap/>
            <w:vAlign w:val="center"/>
          </w:tcPr>
          <w:p w14:paraId="41F73C1E">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35</w:t>
            </w:r>
          </w:p>
        </w:tc>
      </w:tr>
      <w:tr w14:paraId="501789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1C547CCA">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704408F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大型医院</w:t>
            </w:r>
          </w:p>
        </w:tc>
        <w:tc>
          <w:tcPr>
            <w:tcW w:w="1852" w:type="pct"/>
            <w:shd w:val="clear" w:color="auto" w:fill="auto"/>
            <w:noWrap/>
            <w:vAlign w:val="center"/>
          </w:tcPr>
          <w:p w14:paraId="7D19567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35</w:t>
            </w:r>
          </w:p>
        </w:tc>
      </w:tr>
      <w:tr w14:paraId="3818B1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32094EFF">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2A28595D">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高校</w:t>
            </w:r>
          </w:p>
        </w:tc>
        <w:tc>
          <w:tcPr>
            <w:tcW w:w="1852" w:type="pct"/>
            <w:shd w:val="clear" w:color="auto" w:fill="auto"/>
            <w:noWrap/>
            <w:vAlign w:val="center"/>
          </w:tcPr>
          <w:p w14:paraId="68F91E9F">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25</w:t>
            </w:r>
          </w:p>
        </w:tc>
      </w:tr>
      <w:tr w14:paraId="6F3ACF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2669B880">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40D7D4B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其他同等级场所</w:t>
            </w:r>
          </w:p>
        </w:tc>
        <w:tc>
          <w:tcPr>
            <w:tcW w:w="1852" w:type="pct"/>
            <w:shd w:val="clear" w:color="auto" w:fill="auto"/>
            <w:noWrap/>
            <w:vAlign w:val="center"/>
          </w:tcPr>
          <w:p w14:paraId="3308AF53">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25</w:t>
            </w:r>
          </w:p>
        </w:tc>
      </w:tr>
      <w:tr w14:paraId="3117B2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restart"/>
            <w:shd w:val="clear" w:color="auto" w:fill="auto"/>
            <w:noWrap/>
            <w:vAlign w:val="center"/>
          </w:tcPr>
          <w:p w14:paraId="3E2905DF">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B类</w:t>
            </w:r>
          </w:p>
        </w:tc>
        <w:tc>
          <w:tcPr>
            <w:tcW w:w="2151" w:type="pct"/>
            <w:shd w:val="clear" w:color="auto" w:fill="auto"/>
            <w:noWrap/>
            <w:vAlign w:val="center"/>
          </w:tcPr>
          <w:p w14:paraId="46D3109B">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中型商场</w:t>
            </w:r>
          </w:p>
        </w:tc>
        <w:tc>
          <w:tcPr>
            <w:tcW w:w="1852" w:type="pct"/>
            <w:shd w:val="clear" w:color="auto" w:fill="auto"/>
            <w:noWrap/>
            <w:vAlign w:val="center"/>
          </w:tcPr>
          <w:p w14:paraId="2A30E6EC">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02C99F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752F0AA9">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28B8F7D9">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中档酒店</w:t>
            </w:r>
          </w:p>
        </w:tc>
        <w:tc>
          <w:tcPr>
            <w:tcW w:w="1852" w:type="pct"/>
            <w:shd w:val="clear" w:color="auto" w:fill="auto"/>
            <w:noWrap/>
            <w:vAlign w:val="center"/>
          </w:tcPr>
          <w:p w14:paraId="5B08FC73">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2A3338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0BFC5F91">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6BEAECE1">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中型居民小区</w:t>
            </w:r>
          </w:p>
        </w:tc>
        <w:tc>
          <w:tcPr>
            <w:tcW w:w="1852" w:type="pct"/>
            <w:shd w:val="clear" w:color="auto" w:fill="auto"/>
            <w:noWrap/>
            <w:vAlign w:val="center"/>
          </w:tcPr>
          <w:p w14:paraId="2E8E7535">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28</w:t>
            </w:r>
          </w:p>
        </w:tc>
      </w:tr>
      <w:tr w14:paraId="23B34E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09FE68CB">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0006FCCE">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中型医院</w:t>
            </w:r>
          </w:p>
        </w:tc>
        <w:tc>
          <w:tcPr>
            <w:tcW w:w="1852" w:type="pct"/>
            <w:shd w:val="clear" w:color="auto" w:fill="auto"/>
            <w:noWrap/>
            <w:vAlign w:val="center"/>
          </w:tcPr>
          <w:p w14:paraId="271D2223">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24941E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30C98FC0">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3F9C75F7">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中档写字楼</w:t>
            </w:r>
          </w:p>
        </w:tc>
        <w:tc>
          <w:tcPr>
            <w:tcW w:w="1852" w:type="pct"/>
            <w:shd w:val="clear" w:color="auto" w:fill="auto"/>
            <w:noWrap/>
            <w:vAlign w:val="center"/>
          </w:tcPr>
          <w:p w14:paraId="70666DED">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70009E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6157632A">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70843DE3">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中档餐饮娱乐场所</w:t>
            </w:r>
          </w:p>
        </w:tc>
        <w:tc>
          <w:tcPr>
            <w:tcW w:w="1852" w:type="pct"/>
            <w:shd w:val="clear" w:color="auto" w:fill="auto"/>
            <w:noWrap/>
            <w:vAlign w:val="center"/>
          </w:tcPr>
          <w:p w14:paraId="1C47226E">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60BA73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62C47B68">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26BF236B">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学校</w:t>
            </w:r>
          </w:p>
        </w:tc>
        <w:tc>
          <w:tcPr>
            <w:tcW w:w="1852" w:type="pct"/>
            <w:shd w:val="clear" w:color="auto" w:fill="auto"/>
            <w:noWrap/>
            <w:vAlign w:val="center"/>
          </w:tcPr>
          <w:p w14:paraId="0DBE8329">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20</w:t>
            </w:r>
          </w:p>
        </w:tc>
      </w:tr>
      <w:tr w14:paraId="1F2C1F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restart"/>
            <w:shd w:val="clear" w:color="auto" w:fill="auto"/>
            <w:noWrap/>
            <w:vAlign w:val="center"/>
          </w:tcPr>
          <w:p w14:paraId="6BF619AE">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C类</w:t>
            </w:r>
          </w:p>
        </w:tc>
        <w:tc>
          <w:tcPr>
            <w:tcW w:w="2151" w:type="pct"/>
            <w:shd w:val="clear" w:color="auto" w:fill="auto"/>
            <w:noWrap/>
            <w:vAlign w:val="center"/>
          </w:tcPr>
          <w:p w14:paraId="5B441F1F">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中小型商场</w:t>
            </w:r>
          </w:p>
        </w:tc>
        <w:tc>
          <w:tcPr>
            <w:tcW w:w="1852" w:type="pct"/>
            <w:shd w:val="clear" w:color="auto" w:fill="auto"/>
            <w:noWrap/>
            <w:vAlign w:val="center"/>
          </w:tcPr>
          <w:p w14:paraId="5F6ACC4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r>
      <w:tr w14:paraId="17BC4A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7AC2666A">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0EDFF1B0">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连锁酒店及旅馆</w:t>
            </w:r>
          </w:p>
        </w:tc>
        <w:tc>
          <w:tcPr>
            <w:tcW w:w="1852" w:type="pct"/>
            <w:shd w:val="clear" w:color="auto" w:fill="auto"/>
            <w:noWrap/>
            <w:vAlign w:val="center"/>
          </w:tcPr>
          <w:p w14:paraId="4047A61C">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r>
      <w:tr w14:paraId="69E12C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2D7D31CB">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36EBFD15">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小型、地下娱乐场所</w:t>
            </w:r>
          </w:p>
        </w:tc>
        <w:tc>
          <w:tcPr>
            <w:tcW w:w="1852" w:type="pct"/>
            <w:shd w:val="clear" w:color="auto" w:fill="auto"/>
            <w:noWrap/>
            <w:vAlign w:val="center"/>
          </w:tcPr>
          <w:p w14:paraId="1658DB49">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r>
      <w:tr w14:paraId="0BA54C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97" w:type="pct"/>
            <w:vMerge w:val="continue"/>
            <w:vAlign w:val="center"/>
          </w:tcPr>
          <w:p w14:paraId="7E62DE55">
            <w:pPr>
              <w:widowControl/>
              <w:jc w:val="left"/>
              <w:rPr>
                <w:rFonts w:hint="eastAsia" w:cs="宋体" w:asciiTheme="minorEastAsia" w:hAnsiTheme="minorEastAsia" w:eastAsiaTheme="minorEastAsia"/>
                <w:color w:val="000000"/>
                <w:kern w:val="0"/>
                <w:sz w:val="24"/>
              </w:rPr>
            </w:pPr>
          </w:p>
        </w:tc>
        <w:tc>
          <w:tcPr>
            <w:tcW w:w="2151" w:type="pct"/>
            <w:shd w:val="clear" w:color="auto" w:fill="auto"/>
            <w:noWrap/>
            <w:vAlign w:val="center"/>
          </w:tcPr>
          <w:p w14:paraId="31F86242">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中小型展馆</w:t>
            </w:r>
          </w:p>
        </w:tc>
        <w:tc>
          <w:tcPr>
            <w:tcW w:w="1852" w:type="pct"/>
            <w:shd w:val="clear" w:color="auto" w:fill="auto"/>
            <w:noWrap/>
            <w:vAlign w:val="center"/>
          </w:tcPr>
          <w:p w14:paraId="20DE4FBA">
            <w:pPr>
              <w:widowControl/>
              <w:jc w:val="center"/>
              <w:rPr>
                <w:rFonts w:hint="eastAsia"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r>
    </w:tbl>
    <w:p w14:paraId="500D09FF">
      <w:pPr>
        <w:pStyle w:val="39"/>
        <w:ind w:firstLine="560"/>
      </w:pPr>
    </w:p>
    <w:p w14:paraId="477EC580">
      <w:pPr>
        <w:pStyle w:val="6"/>
      </w:pPr>
      <w:r>
        <w:rPr>
          <w:rFonts w:hint="eastAsia" w:cs="宋体" w:asciiTheme="minorEastAsia" w:hAnsiTheme="minorEastAsia" w:eastAsiaTheme="minorEastAsia"/>
          <w:kern w:val="0"/>
        </w:rPr>
        <w:t>移动通信基站站址</w:t>
      </w:r>
      <w:r>
        <w:rPr>
          <w:rFonts w:hint="eastAsia"/>
        </w:rPr>
        <w:t>规划</w:t>
      </w:r>
    </w:p>
    <w:p w14:paraId="6644DA2C">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结合以上基础条件和分析，深圳市-汕尾市产业转移合作园（天星湖片区）移动通信网络基站站址规划方案包含</w:t>
      </w: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部分，分别是：宏基站、室内分布系统。宏基站主要覆盖核心区和北部片区的室外，室内分布系统主要覆盖对应的居民住宅小区、商业区、医院等，厂区室内分布系统待厂房建设时再根据建筑情况补充规划，本规划只预留投资估算覆盖面积平方数。</w:t>
      </w:r>
    </w:p>
    <w:p w14:paraId="656B8781">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本次通信规划移动通信基站具体规模见下表4</w:t>
      </w:r>
      <w:r>
        <w:rPr>
          <w:rFonts w:cs="宋体" w:asciiTheme="minorEastAsia" w:hAnsiTheme="minorEastAsia" w:eastAsiaTheme="minorEastAsia"/>
          <w:kern w:val="0"/>
          <w:sz w:val="28"/>
          <w:szCs w:val="28"/>
        </w:rPr>
        <w:t>-9</w:t>
      </w:r>
      <w:r>
        <w:rPr>
          <w:rFonts w:hint="eastAsia" w:cs="宋体" w:asciiTheme="minorEastAsia" w:hAnsiTheme="minorEastAsia" w:eastAsiaTheme="minorEastAsia"/>
          <w:kern w:val="0"/>
          <w:sz w:val="28"/>
          <w:szCs w:val="28"/>
        </w:rPr>
        <w:t>，站点清单见表4</w:t>
      </w:r>
      <w:r>
        <w:rPr>
          <w:rFonts w:cs="宋体" w:asciiTheme="minorEastAsia" w:hAnsiTheme="minorEastAsia" w:eastAsiaTheme="minorEastAsia"/>
          <w:kern w:val="0"/>
          <w:sz w:val="28"/>
          <w:szCs w:val="28"/>
        </w:rPr>
        <w:t>-10</w:t>
      </w:r>
      <w:r>
        <w:rPr>
          <w:rFonts w:hint="eastAsia" w:cs="宋体" w:asciiTheme="minorEastAsia" w:hAnsiTheme="minorEastAsia" w:eastAsiaTheme="minorEastAsia"/>
          <w:kern w:val="0"/>
          <w:sz w:val="28"/>
          <w:szCs w:val="28"/>
        </w:rPr>
        <w:t>，站点布局见图4</w:t>
      </w: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w:t>
      </w:r>
    </w:p>
    <w:p w14:paraId="3739BC59">
      <w:pPr>
        <w:widowControl/>
        <w:spacing w:line="360" w:lineRule="auto"/>
        <w:ind w:firstLine="560" w:firstLineChars="200"/>
        <w:jc w:val="center"/>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表4-</w:t>
      </w:r>
      <w:r>
        <w:rPr>
          <w:rFonts w:cs="宋体" w:asciiTheme="minorEastAsia" w:hAnsiTheme="minorEastAsia" w:eastAsiaTheme="minorEastAsia"/>
          <w:kern w:val="0"/>
          <w:sz w:val="28"/>
          <w:szCs w:val="28"/>
        </w:rPr>
        <w:t>9</w:t>
      </w:r>
      <w:r>
        <w:rPr>
          <w:rFonts w:hint="eastAsia" w:cs="宋体" w:asciiTheme="minorEastAsia" w:hAnsiTheme="minorEastAsia" w:eastAsiaTheme="minorEastAsia"/>
          <w:kern w:val="0"/>
          <w:sz w:val="28"/>
          <w:szCs w:val="28"/>
        </w:rPr>
        <w:t>：天星湖片区移动通信站址规划规模</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701"/>
        <w:gridCol w:w="1909"/>
        <w:gridCol w:w="2027"/>
        <w:gridCol w:w="2026"/>
      </w:tblGrid>
      <w:tr w14:paraId="6D60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vAlign w:val="center"/>
          </w:tcPr>
          <w:p w14:paraId="693A4F0E">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类型</w:t>
            </w:r>
          </w:p>
        </w:tc>
        <w:tc>
          <w:tcPr>
            <w:tcW w:w="955" w:type="pct"/>
            <w:vAlign w:val="center"/>
          </w:tcPr>
          <w:p w14:paraId="7CF7BB34">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现有宏基站</w:t>
            </w:r>
          </w:p>
        </w:tc>
        <w:tc>
          <w:tcPr>
            <w:tcW w:w="1072" w:type="pct"/>
            <w:vAlign w:val="center"/>
          </w:tcPr>
          <w:p w14:paraId="46D5A20A">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规划宏基站</w:t>
            </w:r>
          </w:p>
        </w:tc>
        <w:tc>
          <w:tcPr>
            <w:tcW w:w="1138" w:type="pct"/>
            <w:vAlign w:val="center"/>
          </w:tcPr>
          <w:p w14:paraId="47AA5A8E">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室内分布系统（处）</w:t>
            </w:r>
          </w:p>
        </w:tc>
        <w:tc>
          <w:tcPr>
            <w:tcW w:w="1137" w:type="pct"/>
          </w:tcPr>
          <w:p w14:paraId="1AB54741">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室内分布系统（平方米）</w:t>
            </w:r>
          </w:p>
        </w:tc>
      </w:tr>
      <w:tr w14:paraId="4E1E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97" w:type="pct"/>
            <w:vAlign w:val="center"/>
          </w:tcPr>
          <w:p w14:paraId="389B7740">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规划数</w:t>
            </w:r>
          </w:p>
        </w:tc>
        <w:tc>
          <w:tcPr>
            <w:tcW w:w="955" w:type="pct"/>
            <w:vAlign w:val="center"/>
          </w:tcPr>
          <w:p w14:paraId="3F3AA6FF">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1</w:t>
            </w:r>
          </w:p>
        </w:tc>
        <w:tc>
          <w:tcPr>
            <w:tcW w:w="1072" w:type="pct"/>
            <w:vAlign w:val="center"/>
          </w:tcPr>
          <w:p w14:paraId="482548D2">
            <w:pPr>
              <w:pStyle w:val="17"/>
              <w:rPr>
                <w:rFonts w:hint="eastAsia" w:asciiTheme="minorEastAsia" w:hAnsiTheme="minorEastAsia" w:eastAsiaTheme="minorEastAsia"/>
                <w:sz w:val="28"/>
                <w:szCs w:val="28"/>
              </w:rPr>
            </w:pPr>
            <w:r>
              <w:rPr>
                <w:rFonts w:asciiTheme="minorEastAsia" w:hAnsiTheme="minorEastAsia" w:eastAsiaTheme="minorEastAsia"/>
                <w:sz w:val="28"/>
                <w:szCs w:val="28"/>
              </w:rPr>
              <w:t>27</w:t>
            </w:r>
          </w:p>
        </w:tc>
        <w:tc>
          <w:tcPr>
            <w:tcW w:w="1138" w:type="pct"/>
            <w:vAlign w:val="center"/>
          </w:tcPr>
          <w:p w14:paraId="73744242">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8</w:t>
            </w:r>
          </w:p>
        </w:tc>
        <w:tc>
          <w:tcPr>
            <w:tcW w:w="1137" w:type="pct"/>
          </w:tcPr>
          <w:p w14:paraId="0F861B78">
            <w:pPr>
              <w:pStyle w:val="17"/>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w:t>
            </w:r>
            <w:r>
              <w:rPr>
                <w:rFonts w:asciiTheme="minorEastAsia" w:hAnsiTheme="minorEastAsia" w:eastAsiaTheme="minorEastAsia"/>
                <w:sz w:val="28"/>
                <w:szCs w:val="28"/>
              </w:rPr>
              <w:t>20</w:t>
            </w:r>
            <w:r>
              <w:rPr>
                <w:rFonts w:hint="eastAsia" w:asciiTheme="minorEastAsia" w:hAnsiTheme="minorEastAsia" w:eastAsiaTheme="minorEastAsia"/>
                <w:sz w:val="28"/>
                <w:szCs w:val="28"/>
              </w:rPr>
              <w:t>万</w:t>
            </w:r>
          </w:p>
        </w:tc>
      </w:tr>
    </w:tbl>
    <w:p w14:paraId="108664BD">
      <w:pPr>
        <w:spacing w:line="360" w:lineRule="auto"/>
        <w:ind w:firstLine="420" w:firstLineChars="15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注：2</w:t>
      </w:r>
      <w:r>
        <w:rPr>
          <w:rFonts w:cs="宋体" w:asciiTheme="minorEastAsia" w:hAnsiTheme="minorEastAsia" w:eastAsiaTheme="minorEastAsia"/>
          <w:kern w:val="0"/>
          <w:sz w:val="28"/>
          <w:szCs w:val="28"/>
        </w:rPr>
        <w:t>7</w:t>
      </w:r>
      <w:r>
        <w:rPr>
          <w:rFonts w:hint="eastAsia" w:cs="宋体" w:asciiTheme="minorEastAsia" w:hAnsiTheme="minorEastAsia" w:eastAsiaTheme="minorEastAsia"/>
          <w:kern w:val="0"/>
          <w:sz w:val="28"/>
          <w:szCs w:val="28"/>
        </w:rPr>
        <w:t>个规划宏基站包括拟搬迁的2个现有站点。</w:t>
      </w:r>
    </w:p>
    <w:p w14:paraId="5D77DF69">
      <w:pPr>
        <w:widowControl/>
        <w:jc w:val="center"/>
        <w:rPr>
          <w:rFonts w:hint="eastAsia" w:cs="宋体" w:asciiTheme="minorEastAsia" w:hAnsiTheme="minorEastAsia" w:eastAsiaTheme="minorEastAsia"/>
          <w:kern w:val="0"/>
          <w:sz w:val="28"/>
          <w:szCs w:val="28"/>
        </w:rPr>
      </w:pPr>
      <w:r>
        <w:drawing>
          <wp:inline distT="0" distB="0" distL="0" distR="0">
            <wp:extent cx="4975860" cy="78536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4"/>
                    <a:stretch>
                      <a:fillRect/>
                    </a:stretch>
                  </pic:blipFill>
                  <pic:spPr>
                    <a:xfrm>
                      <a:off x="0" y="0"/>
                      <a:ext cx="4997116" cy="7887013"/>
                    </a:xfrm>
                    <a:prstGeom prst="rect">
                      <a:avLst/>
                    </a:prstGeom>
                  </pic:spPr>
                </pic:pic>
              </a:graphicData>
            </a:graphic>
          </wp:inline>
        </w:drawing>
      </w:r>
    </w:p>
    <w:p w14:paraId="5AC2ACD7">
      <w:pPr>
        <w:ind w:firstLine="360" w:firstLineChars="150"/>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图4-</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：深圳市-汕尾市产业转移合作园（天星湖片区）规划站点图层</w:t>
      </w:r>
    </w:p>
    <w:p w14:paraId="118F9C3D">
      <w:pPr>
        <w:ind w:firstLine="360" w:firstLineChars="150"/>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（绿色标签：新增规划站点；红色标签：现网站点；黄色标签：室内分布系统）</w:t>
      </w:r>
    </w:p>
    <w:p w14:paraId="3BAEDAFA">
      <w:pPr>
        <w:ind w:firstLine="360" w:firstLineChars="150"/>
        <w:jc w:val="center"/>
        <w:rPr>
          <w:rFonts w:hint="eastAsia" w:cs="宋体" w:asciiTheme="minorEastAsia" w:hAnsiTheme="minorEastAsia" w:eastAsiaTheme="minorEastAsia"/>
          <w:kern w:val="0"/>
          <w:sz w:val="24"/>
          <w:szCs w:val="24"/>
        </w:rPr>
      </w:pPr>
    </w:p>
    <w:p w14:paraId="2E49CC97">
      <w:pPr>
        <w:ind w:firstLine="360" w:firstLineChars="150"/>
        <w:jc w:val="center"/>
        <w:rPr>
          <w:rFonts w:hint="eastAsia" w:cs="宋体" w:asciiTheme="minorEastAsia" w:hAnsiTheme="minorEastAsia" w:eastAsiaTheme="minorEastAsia"/>
          <w:kern w:val="0"/>
          <w:sz w:val="24"/>
          <w:szCs w:val="24"/>
        </w:rPr>
      </w:pPr>
    </w:p>
    <w:p w14:paraId="15CE7906">
      <w:pPr>
        <w:spacing w:line="360" w:lineRule="auto"/>
        <w:jc w:val="center"/>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表4</w:t>
      </w:r>
      <w:r>
        <w:rPr>
          <w:rFonts w:cs="宋体" w:asciiTheme="minorEastAsia" w:hAnsiTheme="minorEastAsia" w:eastAsiaTheme="minorEastAsia"/>
          <w:kern w:val="0"/>
          <w:sz w:val="28"/>
          <w:szCs w:val="28"/>
        </w:rPr>
        <w:t xml:space="preserve">-10 </w:t>
      </w:r>
      <w:r>
        <w:rPr>
          <w:rFonts w:hint="eastAsia" w:cs="宋体" w:asciiTheme="minorEastAsia" w:hAnsiTheme="minorEastAsia" w:eastAsiaTheme="minorEastAsia"/>
          <w:kern w:val="0"/>
          <w:sz w:val="28"/>
          <w:szCs w:val="28"/>
        </w:rPr>
        <w:t>天星湖片区移动通信基站站址规划清单</w:t>
      </w:r>
    </w:p>
    <w:tbl>
      <w:tblPr>
        <w:tblStyle w:val="20"/>
        <w:tblW w:w="949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1701"/>
        <w:gridCol w:w="1417"/>
        <w:gridCol w:w="1418"/>
        <w:gridCol w:w="1134"/>
        <w:gridCol w:w="1134"/>
      </w:tblGrid>
      <w:tr w14:paraId="3B83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04" w:type="dxa"/>
            <w:shd w:val="clear" w:color="auto" w:fill="auto"/>
            <w:noWrap/>
            <w:vAlign w:val="center"/>
          </w:tcPr>
          <w:p w14:paraId="4D698BF4">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序号</w:t>
            </w:r>
          </w:p>
        </w:tc>
        <w:tc>
          <w:tcPr>
            <w:tcW w:w="1985" w:type="dxa"/>
            <w:shd w:val="clear" w:color="auto" w:fill="auto"/>
            <w:noWrap/>
            <w:vAlign w:val="center"/>
          </w:tcPr>
          <w:p w14:paraId="652AE788">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规划站名</w:t>
            </w:r>
          </w:p>
        </w:tc>
        <w:tc>
          <w:tcPr>
            <w:tcW w:w="1701" w:type="dxa"/>
            <w:shd w:val="clear" w:color="auto" w:fill="auto"/>
            <w:noWrap/>
            <w:vAlign w:val="center"/>
          </w:tcPr>
          <w:p w14:paraId="3A0128B8">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经度</w:t>
            </w:r>
          </w:p>
        </w:tc>
        <w:tc>
          <w:tcPr>
            <w:tcW w:w="1417" w:type="dxa"/>
            <w:shd w:val="clear" w:color="auto" w:fill="auto"/>
            <w:noWrap/>
            <w:vAlign w:val="center"/>
          </w:tcPr>
          <w:p w14:paraId="5983EC4A">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纬度</w:t>
            </w:r>
          </w:p>
        </w:tc>
        <w:tc>
          <w:tcPr>
            <w:tcW w:w="1418" w:type="dxa"/>
            <w:shd w:val="clear" w:color="auto" w:fill="auto"/>
            <w:noWrap/>
            <w:vAlign w:val="center"/>
          </w:tcPr>
          <w:p w14:paraId="350CBDBB">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站点类型</w:t>
            </w:r>
          </w:p>
        </w:tc>
        <w:tc>
          <w:tcPr>
            <w:tcW w:w="1134" w:type="dxa"/>
            <w:shd w:val="clear" w:color="auto" w:fill="auto"/>
            <w:noWrap/>
            <w:vAlign w:val="center"/>
          </w:tcPr>
          <w:p w14:paraId="44D78986">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规划类型</w:t>
            </w:r>
          </w:p>
        </w:tc>
        <w:tc>
          <w:tcPr>
            <w:tcW w:w="1134" w:type="dxa"/>
            <w:shd w:val="clear" w:color="auto" w:fill="auto"/>
            <w:noWrap/>
            <w:vAlign w:val="center"/>
          </w:tcPr>
          <w:p w14:paraId="1BC3A450">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备注</w:t>
            </w:r>
          </w:p>
        </w:tc>
      </w:tr>
      <w:tr w14:paraId="7ABC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356AB97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w:t>
            </w:r>
          </w:p>
        </w:tc>
        <w:tc>
          <w:tcPr>
            <w:tcW w:w="19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5B0C0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71E9995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115.216557</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29ADC52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22.926191</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0A7040F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0F78B2C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470140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5F54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E306E8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430C5C2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w:t>
            </w:r>
          </w:p>
        </w:tc>
        <w:tc>
          <w:tcPr>
            <w:tcW w:w="1701" w:type="dxa"/>
            <w:tcBorders>
              <w:top w:val="nil"/>
              <w:left w:val="nil"/>
              <w:bottom w:val="single" w:color="auto" w:sz="4" w:space="0"/>
              <w:right w:val="single" w:color="auto" w:sz="4" w:space="0"/>
            </w:tcBorders>
            <w:shd w:val="clear" w:color="auto" w:fill="auto"/>
            <w:noWrap/>
            <w:vAlign w:val="center"/>
          </w:tcPr>
          <w:p w14:paraId="4C37FF5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115.220435</w:t>
            </w:r>
          </w:p>
        </w:tc>
        <w:tc>
          <w:tcPr>
            <w:tcW w:w="1417" w:type="dxa"/>
            <w:tcBorders>
              <w:top w:val="nil"/>
              <w:left w:val="nil"/>
              <w:bottom w:val="single" w:color="auto" w:sz="4" w:space="0"/>
              <w:right w:val="single" w:color="auto" w:sz="4" w:space="0"/>
            </w:tcBorders>
            <w:shd w:val="clear" w:color="auto" w:fill="auto"/>
            <w:noWrap/>
            <w:vAlign w:val="center"/>
          </w:tcPr>
          <w:p w14:paraId="1B4C594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22.921401</w:t>
            </w:r>
          </w:p>
        </w:tc>
        <w:tc>
          <w:tcPr>
            <w:tcW w:w="1418" w:type="dxa"/>
            <w:tcBorders>
              <w:top w:val="nil"/>
              <w:left w:val="nil"/>
              <w:bottom w:val="single" w:color="auto" w:sz="4" w:space="0"/>
              <w:right w:val="single" w:color="auto" w:sz="4" w:space="0"/>
            </w:tcBorders>
            <w:shd w:val="clear" w:color="auto" w:fill="auto"/>
            <w:noWrap/>
            <w:vAlign w:val="center"/>
          </w:tcPr>
          <w:p w14:paraId="5B0A692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39713EB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487F866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1017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4092974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3</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52C1FC0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规划点位3</w:t>
            </w:r>
          </w:p>
        </w:tc>
        <w:tc>
          <w:tcPr>
            <w:tcW w:w="1701" w:type="dxa"/>
            <w:tcBorders>
              <w:top w:val="nil"/>
              <w:left w:val="nil"/>
              <w:bottom w:val="single" w:color="auto" w:sz="4" w:space="0"/>
              <w:right w:val="single" w:color="auto" w:sz="4" w:space="0"/>
            </w:tcBorders>
            <w:shd w:val="clear" w:color="auto" w:fill="auto"/>
            <w:noWrap/>
            <w:vAlign w:val="center"/>
          </w:tcPr>
          <w:p w14:paraId="76EE305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115.223069</w:t>
            </w:r>
          </w:p>
        </w:tc>
        <w:tc>
          <w:tcPr>
            <w:tcW w:w="1417" w:type="dxa"/>
            <w:tcBorders>
              <w:top w:val="nil"/>
              <w:left w:val="nil"/>
              <w:bottom w:val="single" w:color="auto" w:sz="4" w:space="0"/>
              <w:right w:val="single" w:color="auto" w:sz="4" w:space="0"/>
            </w:tcBorders>
            <w:shd w:val="clear" w:color="auto" w:fill="auto"/>
            <w:noWrap/>
            <w:vAlign w:val="center"/>
          </w:tcPr>
          <w:p w14:paraId="2AC27D3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22.934338</w:t>
            </w:r>
          </w:p>
        </w:tc>
        <w:tc>
          <w:tcPr>
            <w:tcW w:w="1418" w:type="dxa"/>
            <w:tcBorders>
              <w:top w:val="nil"/>
              <w:left w:val="nil"/>
              <w:bottom w:val="single" w:color="auto" w:sz="4" w:space="0"/>
              <w:right w:val="single" w:color="auto" w:sz="4" w:space="0"/>
            </w:tcBorders>
            <w:shd w:val="clear" w:color="auto" w:fill="auto"/>
            <w:noWrap/>
            <w:vAlign w:val="center"/>
          </w:tcPr>
          <w:p w14:paraId="024A4C3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775AE4B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75065C8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3F8A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29FDB7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4</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49B3D36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规划点位4</w:t>
            </w:r>
          </w:p>
        </w:tc>
        <w:tc>
          <w:tcPr>
            <w:tcW w:w="1701" w:type="dxa"/>
            <w:tcBorders>
              <w:top w:val="nil"/>
              <w:left w:val="nil"/>
              <w:bottom w:val="single" w:color="auto" w:sz="4" w:space="0"/>
              <w:right w:val="single" w:color="auto" w:sz="4" w:space="0"/>
            </w:tcBorders>
            <w:shd w:val="clear" w:color="auto" w:fill="auto"/>
            <w:noWrap/>
            <w:vAlign w:val="center"/>
          </w:tcPr>
          <w:p w14:paraId="12C1E87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115.230230</w:t>
            </w:r>
          </w:p>
        </w:tc>
        <w:tc>
          <w:tcPr>
            <w:tcW w:w="1417" w:type="dxa"/>
            <w:tcBorders>
              <w:top w:val="nil"/>
              <w:left w:val="nil"/>
              <w:bottom w:val="single" w:color="auto" w:sz="4" w:space="0"/>
              <w:right w:val="single" w:color="auto" w:sz="4" w:space="0"/>
            </w:tcBorders>
            <w:shd w:val="clear" w:color="auto" w:fill="auto"/>
            <w:noWrap/>
            <w:vAlign w:val="center"/>
          </w:tcPr>
          <w:p w14:paraId="34000A1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22.938779</w:t>
            </w:r>
          </w:p>
        </w:tc>
        <w:tc>
          <w:tcPr>
            <w:tcW w:w="1418" w:type="dxa"/>
            <w:tcBorders>
              <w:top w:val="nil"/>
              <w:left w:val="nil"/>
              <w:bottom w:val="single" w:color="auto" w:sz="4" w:space="0"/>
              <w:right w:val="single" w:color="auto" w:sz="4" w:space="0"/>
            </w:tcBorders>
            <w:shd w:val="clear" w:color="auto" w:fill="auto"/>
            <w:noWrap/>
            <w:vAlign w:val="center"/>
          </w:tcPr>
          <w:p w14:paraId="00905E5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3D80E43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14C0B27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73F0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22F171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5</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396B98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规划点位5</w:t>
            </w:r>
          </w:p>
        </w:tc>
        <w:tc>
          <w:tcPr>
            <w:tcW w:w="1701" w:type="dxa"/>
            <w:tcBorders>
              <w:top w:val="nil"/>
              <w:left w:val="nil"/>
              <w:bottom w:val="single" w:color="auto" w:sz="4" w:space="0"/>
              <w:right w:val="single" w:color="auto" w:sz="4" w:space="0"/>
            </w:tcBorders>
            <w:shd w:val="clear" w:color="auto" w:fill="auto"/>
            <w:noWrap/>
            <w:vAlign w:val="center"/>
          </w:tcPr>
          <w:p w14:paraId="7857815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115.230429</w:t>
            </w:r>
          </w:p>
        </w:tc>
        <w:tc>
          <w:tcPr>
            <w:tcW w:w="1417" w:type="dxa"/>
            <w:tcBorders>
              <w:top w:val="nil"/>
              <w:left w:val="nil"/>
              <w:bottom w:val="single" w:color="auto" w:sz="4" w:space="0"/>
              <w:right w:val="single" w:color="auto" w:sz="4" w:space="0"/>
            </w:tcBorders>
            <w:shd w:val="clear" w:color="auto" w:fill="auto"/>
            <w:noWrap/>
            <w:vAlign w:val="center"/>
          </w:tcPr>
          <w:p w14:paraId="500B0EE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22.931298</w:t>
            </w:r>
          </w:p>
        </w:tc>
        <w:tc>
          <w:tcPr>
            <w:tcW w:w="1418" w:type="dxa"/>
            <w:tcBorders>
              <w:top w:val="nil"/>
              <w:left w:val="nil"/>
              <w:bottom w:val="single" w:color="auto" w:sz="4" w:space="0"/>
              <w:right w:val="single" w:color="auto" w:sz="4" w:space="0"/>
            </w:tcBorders>
            <w:shd w:val="clear" w:color="auto" w:fill="auto"/>
            <w:noWrap/>
            <w:vAlign w:val="center"/>
          </w:tcPr>
          <w:p w14:paraId="534865D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1B78282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6BAA00D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6790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D025C4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6</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3E9A67D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规划点位6</w:t>
            </w:r>
          </w:p>
        </w:tc>
        <w:tc>
          <w:tcPr>
            <w:tcW w:w="1701" w:type="dxa"/>
            <w:tcBorders>
              <w:top w:val="nil"/>
              <w:left w:val="nil"/>
              <w:bottom w:val="single" w:color="auto" w:sz="4" w:space="0"/>
              <w:right w:val="single" w:color="auto" w:sz="4" w:space="0"/>
            </w:tcBorders>
            <w:shd w:val="clear" w:color="auto" w:fill="auto"/>
            <w:noWrap/>
            <w:vAlign w:val="center"/>
          </w:tcPr>
          <w:p w14:paraId="448F1D8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115.243325</w:t>
            </w:r>
          </w:p>
        </w:tc>
        <w:tc>
          <w:tcPr>
            <w:tcW w:w="1417" w:type="dxa"/>
            <w:tcBorders>
              <w:top w:val="nil"/>
              <w:left w:val="nil"/>
              <w:bottom w:val="single" w:color="auto" w:sz="4" w:space="0"/>
              <w:right w:val="single" w:color="auto" w:sz="4" w:space="0"/>
            </w:tcBorders>
            <w:shd w:val="clear" w:color="auto" w:fill="auto"/>
            <w:noWrap/>
            <w:vAlign w:val="center"/>
          </w:tcPr>
          <w:p w14:paraId="416C2C7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22.936663</w:t>
            </w:r>
          </w:p>
        </w:tc>
        <w:tc>
          <w:tcPr>
            <w:tcW w:w="1418" w:type="dxa"/>
            <w:tcBorders>
              <w:top w:val="nil"/>
              <w:left w:val="nil"/>
              <w:bottom w:val="single" w:color="auto" w:sz="4" w:space="0"/>
              <w:right w:val="single" w:color="auto" w:sz="4" w:space="0"/>
            </w:tcBorders>
            <w:shd w:val="clear" w:color="auto" w:fill="auto"/>
            <w:noWrap/>
            <w:vAlign w:val="center"/>
          </w:tcPr>
          <w:p w14:paraId="6DF1BC9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6DDC1ED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30988E1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72B5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25F9B0A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7</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6FA638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规划点位7</w:t>
            </w:r>
          </w:p>
        </w:tc>
        <w:tc>
          <w:tcPr>
            <w:tcW w:w="1701" w:type="dxa"/>
            <w:tcBorders>
              <w:top w:val="nil"/>
              <w:left w:val="nil"/>
              <w:bottom w:val="single" w:color="auto" w:sz="4" w:space="0"/>
              <w:right w:val="single" w:color="auto" w:sz="4" w:space="0"/>
            </w:tcBorders>
            <w:shd w:val="clear" w:color="auto" w:fill="auto"/>
            <w:noWrap/>
            <w:vAlign w:val="center"/>
          </w:tcPr>
          <w:p w14:paraId="7ECA58E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115.248330</w:t>
            </w:r>
          </w:p>
        </w:tc>
        <w:tc>
          <w:tcPr>
            <w:tcW w:w="1417" w:type="dxa"/>
            <w:tcBorders>
              <w:top w:val="nil"/>
              <w:left w:val="nil"/>
              <w:bottom w:val="single" w:color="auto" w:sz="4" w:space="0"/>
              <w:right w:val="single" w:color="auto" w:sz="4" w:space="0"/>
            </w:tcBorders>
            <w:shd w:val="clear" w:color="auto" w:fill="auto"/>
            <w:noWrap/>
            <w:vAlign w:val="center"/>
          </w:tcPr>
          <w:p w14:paraId="33C2CFE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22.934921</w:t>
            </w:r>
          </w:p>
        </w:tc>
        <w:tc>
          <w:tcPr>
            <w:tcW w:w="1418" w:type="dxa"/>
            <w:tcBorders>
              <w:top w:val="nil"/>
              <w:left w:val="nil"/>
              <w:bottom w:val="single" w:color="auto" w:sz="4" w:space="0"/>
              <w:right w:val="single" w:color="auto" w:sz="4" w:space="0"/>
            </w:tcBorders>
            <w:shd w:val="clear" w:color="auto" w:fill="auto"/>
            <w:noWrap/>
            <w:vAlign w:val="center"/>
          </w:tcPr>
          <w:p w14:paraId="53AF576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08B87C2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880DD4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6FCE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4974173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8</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5ACAB2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规划点位8</w:t>
            </w:r>
          </w:p>
        </w:tc>
        <w:tc>
          <w:tcPr>
            <w:tcW w:w="1701" w:type="dxa"/>
            <w:tcBorders>
              <w:top w:val="nil"/>
              <w:left w:val="nil"/>
              <w:bottom w:val="single" w:color="auto" w:sz="4" w:space="0"/>
              <w:right w:val="single" w:color="auto" w:sz="4" w:space="0"/>
            </w:tcBorders>
            <w:shd w:val="clear" w:color="auto" w:fill="auto"/>
            <w:noWrap/>
            <w:vAlign w:val="center"/>
          </w:tcPr>
          <w:p w14:paraId="4C2D98E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115.224873</w:t>
            </w:r>
          </w:p>
        </w:tc>
        <w:tc>
          <w:tcPr>
            <w:tcW w:w="1417" w:type="dxa"/>
            <w:tcBorders>
              <w:top w:val="nil"/>
              <w:left w:val="nil"/>
              <w:bottom w:val="single" w:color="auto" w:sz="4" w:space="0"/>
              <w:right w:val="single" w:color="auto" w:sz="4" w:space="0"/>
            </w:tcBorders>
            <w:shd w:val="clear" w:color="auto" w:fill="auto"/>
            <w:noWrap/>
            <w:vAlign w:val="center"/>
          </w:tcPr>
          <w:p w14:paraId="0C50C60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22.923013</w:t>
            </w:r>
          </w:p>
        </w:tc>
        <w:tc>
          <w:tcPr>
            <w:tcW w:w="1418" w:type="dxa"/>
            <w:tcBorders>
              <w:top w:val="nil"/>
              <w:left w:val="nil"/>
              <w:bottom w:val="single" w:color="auto" w:sz="4" w:space="0"/>
              <w:right w:val="single" w:color="auto" w:sz="4" w:space="0"/>
            </w:tcBorders>
            <w:shd w:val="clear" w:color="auto" w:fill="auto"/>
            <w:noWrap/>
            <w:vAlign w:val="center"/>
          </w:tcPr>
          <w:p w14:paraId="11CA56D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1A72041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314CB7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361C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BA6CE2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9</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293E8FD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规划点位9</w:t>
            </w:r>
          </w:p>
        </w:tc>
        <w:tc>
          <w:tcPr>
            <w:tcW w:w="1701" w:type="dxa"/>
            <w:tcBorders>
              <w:top w:val="nil"/>
              <w:left w:val="nil"/>
              <w:bottom w:val="single" w:color="auto" w:sz="4" w:space="0"/>
              <w:right w:val="single" w:color="auto" w:sz="4" w:space="0"/>
            </w:tcBorders>
            <w:shd w:val="clear" w:color="auto" w:fill="auto"/>
            <w:noWrap/>
            <w:vAlign w:val="center"/>
          </w:tcPr>
          <w:p w14:paraId="602132B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115.244282</w:t>
            </w:r>
          </w:p>
        </w:tc>
        <w:tc>
          <w:tcPr>
            <w:tcW w:w="1417" w:type="dxa"/>
            <w:tcBorders>
              <w:top w:val="nil"/>
              <w:left w:val="nil"/>
              <w:bottom w:val="single" w:color="auto" w:sz="4" w:space="0"/>
              <w:right w:val="single" w:color="auto" w:sz="4" w:space="0"/>
            </w:tcBorders>
            <w:shd w:val="clear" w:color="auto" w:fill="auto"/>
            <w:noWrap/>
            <w:vAlign w:val="center"/>
          </w:tcPr>
          <w:p w14:paraId="74A3DA9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22.943844</w:t>
            </w:r>
          </w:p>
        </w:tc>
        <w:tc>
          <w:tcPr>
            <w:tcW w:w="1418" w:type="dxa"/>
            <w:tcBorders>
              <w:top w:val="nil"/>
              <w:left w:val="nil"/>
              <w:bottom w:val="single" w:color="auto" w:sz="4" w:space="0"/>
              <w:right w:val="single" w:color="auto" w:sz="4" w:space="0"/>
            </w:tcBorders>
            <w:shd w:val="clear" w:color="auto" w:fill="auto"/>
            <w:noWrap/>
            <w:vAlign w:val="center"/>
          </w:tcPr>
          <w:p w14:paraId="4D04D41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4D48D03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7D68BCB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42FE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F51C25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10</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4E98DB2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规划点位10</w:t>
            </w:r>
          </w:p>
        </w:tc>
        <w:tc>
          <w:tcPr>
            <w:tcW w:w="1701" w:type="dxa"/>
            <w:tcBorders>
              <w:top w:val="nil"/>
              <w:left w:val="nil"/>
              <w:bottom w:val="single" w:color="auto" w:sz="4" w:space="0"/>
              <w:right w:val="single" w:color="auto" w:sz="4" w:space="0"/>
            </w:tcBorders>
            <w:shd w:val="clear" w:color="auto" w:fill="auto"/>
            <w:noWrap/>
            <w:vAlign w:val="center"/>
          </w:tcPr>
          <w:p w14:paraId="591BF0F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115.235148</w:t>
            </w:r>
          </w:p>
        </w:tc>
        <w:tc>
          <w:tcPr>
            <w:tcW w:w="1417" w:type="dxa"/>
            <w:tcBorders>
              <w:top w:val="nil"/>
              <w:left w:val="nil"/>
              <w:bottom w:val="single" w:color="auto" w:sz="4" w:space="0"/>
              <w:right w:val="single" w:color="auto" w:sz="4" w:space="0"/>
            </w:tcBorders>
            <w:shd w:val="clear" w:color="auto" w:fill="auto"/>
            <w:noWrap/>
            <w:vAlign w:val="center"/>
          </w:tcPr>
          <w:p w14:paraId="1FF8C58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22.951243</w:t>
            </w:r>
          </w:p>
        </w:tc>
        <w:tc>
          <w:tcPr>
            <w:tcW w:w="1418" w:type="dxa"/>
            <w:tcBorders>
              <w:top w:val="nil"/>
              <w:left w:val="nil"/>
              <w:bottom w:val="single" w:color="auto" w:sz="4" w:space="0"/>
              <w:right w:val="single" w:color="auto" w:sz="4" w:space="0"/>
            </w:tcBorders>
            <w:shd w:val="clear" w:color="auto" w:fill="auto"/>
            <w:noWrap/>
            <w:vAlign w:val="center"/>
          </w:tcPr>
          <w:p w14:paraId="25BE4E3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10CB781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68CAB13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医院覆盖</w:t>
            </w:r>
          </w:p>
        </w:tc>
      </w:tr>
      <w:tr w14:paraId="267C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37DF5C7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EEBB6B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规划点位11</w:t>
            </w:r>
          </w:p>
        </w:tc>
        <w:tc>
          <w:tcPr>
            <w:tcW w:w="1701" w:type="dxa"/>
            <w:tcBorders>
              <w:top w:val="nil"/>
              <w:left w:val="nil"/>
              <w:bottom w:val="single" w:color="auto" w:sz="4" w:space="0"/>
              <w:right w:val="single" w:color="auto" w:sz="4" w:space="0"/>
            </w:tcBorders>
            <w:shd w:val="clear" w:color="auto" w:fill="auto"/>
            <w:noWrap/>
            <w:vAlign w:val="center"/>
          </w:tcPr>
          <w:p w14:paraId="03CCA69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115.227206</w:t>
            </w:r>
          </w:p>
        </w:tc>
        <w:tc>
          <w:tcPr>
            <w:tcW w:w="1417" w:type="dxa"/>
            <w:tcBorders>
              <w:top w:val="nil"/>
              <w:left w:val="nil"/>
              <w:bottom w:val="single" w:color="auto" w:sz="4" w:space="0"/>
              <w:right w:val="single" w:color="auto" w:sz="4" w:space="0"/>
            </w:tcBorders>
            <w:shd w:val="clear" w:color="auto" w:fill="auto"/>
            <w:noWrap/>
            <w:vAlign w:val="center"/>
          </w:tcPr>
          <w:p w14:paraId="5D2036E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22.960129</w:t>
            </w:r>
          </w:p>
        </w:tc>
        <w:tc>
          <w:tcPr>
            <w:tcW w:w="1418" w:type="dxa"/>
            <w:tcBorders>
              <w:top w:val="nil"/>
              <w:left w:val="nil"/>
              <w:bottom w:val="single" w:color="auto" w:sz="4" w:space="0"/>
              <w:right w:val="single" w:color="auto" w:sz="4" w:space="0"/>
            </w:tcBorders>
            <w:shd w:val="clear" w:color="auto" w:fill="auto"/>
            <w:noWrap/>
            <w:vAlign w:val="center"/>
          </w:tcPr>
          <w:p w14:paraId="37E7881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485CFFC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32CE115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50B3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9C1ED2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12</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6FB464D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规划点位12</w:t>
            </w:r>
          </w:p>
        </w:tc>
        <w:tc>
          <w:tcPr>
            <w:tcW w:w="1701" w:type="dxa"/>
            <w:tcBorders>
              <w:top w:val="nil"/>
              <w:left w:val="nil"/>
              <w:bottom w:val="single" w:color="auto" w:sz="4" w:space="0"/>
              <w:right w:val="single" w:color="auto" w:sz="4" w:space="0"/>
            </w:tcBorders>
            <w:shd w:val="clear" w:color="auto" w:fill="auto"/>
            <w:noWrap/>
            <w:vAlign w:val="center"/>
          </w:tcPr>
          <w:p w14:paraId="768D33E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115.224365</w:t>
            </w:r>
          </w:p>
        </w:tc>
        <w:tc>
          <w:tcPr>
            <w:tcW w:w="1417" w:type="dxa"/>
            <w:tcBorders>
              <w:top w:val="nil"/>
              <w:left w:val="nil"/>
              <w:bottom w:val="single" w:color="auto" w:sz="4" w:space="0"/>
              <w:right w:val="single" w:color="auto" w:sz="4" w:space="0"/>
            </w:tcBorders>
            <w:shd w:val="clear" w:color="auto" w:fill="auto"/>
            <w:noWrap/>
            <w:vAlign w:val="center"/>
          </w:tcPr>
          <w:p w14:paraId="220C9D0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22.963420</w:t>
            </w:r>
          </w:p>
        </w:tc>
        <w:tc>
          <w:tcPr>
            <w:tcW w:w="1418" w:type="dxa"/>
            <w:tcBorders>
              <w:top w:val="nil"/>
              <w:left w:val="nil"/>
              <w:bottom w:val="single" w:color="auto" w:sz="4" w:space="0"/>
              <w:right w:val="single" w:color="auto" w:sz="4" w:space="0"/>
            </w:tcBorders>
            <w:shd w:val="clear" w:color="auto" w:fill="auto"/>
            <w:noWrap/>
            <w:vAlign w:val="center"/>
          </w:tcPr>
          <w:p w14:paraId="58F1D2D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50334BA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5AE9A6D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7EE6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6124FF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13</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579302A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规划点位13</w:t>
            </w:r>
          </w:p>
        </w:tc>
        <w:tc>
          <w:tcPr>
            <w:tcW w:w="1701" w:type="dxa"/>
            <w:tcBorders>
              <w:top w:val="nil"/>
              <w:left w:val="nil"/>
              <w:bottom w:val="single" w:color="auto" w:sz="4" w:space="0"/>
              <w:right w:val="single" w:color="auto" w:sz="4" w:space="0"/>
            </w:tcBorders>
            <w:shd w:val="clear" w:color="auto" w:fill="auto"/>
            <w:noWrap/>
            <w:vAlign w:val="center"/>
          </w:tcPr>
          <w:p w14:paraId="3DDADDC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115.249167</w:t>
            </w:r>
          </w:p>
        </w:tc>
        <w:tc>
          <w:tcPr>
            <w:tcW w:w="1417" w:type="dxa"/>
            <w:tcBorders>
              <w:top w:val="nil"/>
              <w:left w:val="nil"/>
              <w:bottom w:val="single" w:color="auto" w:sz="4" w:space="0"/>
              <w:right w:val="single" w:color="auto" w:sz="4" w:space="0"/>
            </w:tcBorders>
            <w:shd w:val="clear" w:color="auto" w:fill="auto"/>
            <w:noWrap/>
            <w:vAlign w:val="center"/>
          </w:tcPr>
          <w:p w14:paraId="1079D0F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22.941252</w:t>
            </w:r>
          </w:p>
        </w:tc>
        <w:tc>
          <w:tcPr>
            <w:tcW w:w="1418" w:type="dxa"/>
            <w:tcBorders>
              <w:top w:val="nil"/>
              <w:left w:val="nil"/>
              <w:bottom w:val="single" w:color="auto" w:sz="4" w:space="0"/>
              <w:right w:val="single" w:color="auto" w:sz="4" w:space="0"/>
            </w:tcBorders>
            <w:shd w:val="clear" w:color="auto" w:fill="auto"/>
            <w:noWrap/>
            <w:vAlign w:val="center"/>
          </w:tcPr>
          <w:p w14:paraId="2C53434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11485AE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1FD30EA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18B1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CD4D94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14</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C9FFE6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规划点位14</w:t>
            </w:r>
          </w:p>
        </w:tc>
        <w:tc>
          <w:tcPr>
            <w:tcW w:w="1701" w:type="dxa"/>
            <w:tcBorders>
              <w:top w:val="nil"/>
              <w:left w:val="nil"/>
              <w:bottom w:val="single" w:color="auto" w:sz="4" w:space="0"/>
              <w:right w:val="single" w:color="auto" w:sz="4" w:space="0"/>
            </w:tcBorders>
            <w:shd w:val="clear" w:color="auto" w:fill="auto"/>
            <w:noWrap/>
            <w:vAlign w:val="center"/>
          </w:tcPr>
          <w:p w14:paraId="70EFF3F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115.240152</w:t>
            </w:r>
          </w:p>
        </w:tc>
        <w:tc>
          <w:tcPr>
            <w:tcW w:w="1417" w:type="dxa"/>
            <w:tcBorders>
              <w:top w:val="nil"/>
              <w:left w:val="nil"/>
              <w:bottom w:val="single" w:color="auto" w:sz="4" w:space="0"/>
              <w:right w:val="single" w:color="auto" w:sz="4" w:space="0"/>
            </w:tcBorders>
            <w:shd w:val="clear" w:color="auto" w:fill="auto"/>
            <w:noWrap/>
            <w:vAlign w:val="center"/>
          </w:tcPr>
          <w:p w14:paraId="406EFAD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22.938873</w:t>
            </w:r>
          </w:p>
        </w:tc>
        <w:tc>
          <w:tcPr>
            <w:tcW w:w="1418" w:type="dxa"/>
            <w:tcBorders>
              <w:top w:val="nil"/>
              <w:left w:val="nil"/>
              <w:bottom w:val="single" w:color="auto" w:sz="4" w:space="0"/>
              <w:right w:val="single" w:color="auto" w:sz="4" w:space="0"/>
            </w:tcBorders>
            <w:shd w:val="clear" w:color="auto" w:fill="auto"/>
            <w:noWrap/>
            <w:vAlign w:val="center"/>
          </w:tcPr>
          <w:p w14:paraId="7C99AEE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2ED7682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18C3557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2C9A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3A6F7C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15</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677D4AB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规划点位15</w:t>
            </w:r>
          </w:p>
        </w:tc>
        <w:tc>
          <w:tcPr>
            <w:tcW w:w="1701" w:type="dxa"/>
            <w:tcBorders>
              <w:top w:val="nil"/>
              <w:left w:val="nil"/>
              <w:bottom w:val="single" w:color="auto" w:sz="4" w:space="0"/>
              <w:right w:val="single" w:color="auto" w:sz="4" w:space="0"/>
            </w:tcBorders>
            <w:shd w:val="clear" w:color="auto" w:fill="auto"/>
            <w:noWrap/>
            <w:vAlign w:val="center"/>
          </w:tcPr>
          <w:p w14:paraId="4CA72C4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115.223005</w:t>
            </w:r>
          </w:p>
        </w:tc>
        <w:tc>
          <w:tcPr>
            <w:tcW w:w="1417" w:type="dxa"/>
            <w:tcBorders>
              <w:top w:val="nil"/>
              <w:left w:val="nil"/>
              <w:bottom w:val="single" w:color="auto" w:sz="4" w:space="0"/>
              <w:right w:val="single" w:color="auto" w:sz="4" w:space="0"/>
            </w:tcBorders>
            <w:shd w:val="clear" w:color="auto" w:fill="auto"/>
            <w:noWrap/>
            <w:vAlign w:val="center"/>
          </w:tcPr>
          <w:p w14:paraId="4459D68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22.928290</w:t>
            </w:r>
          </w:p>
        </w:tc>
        <w:tc>
          <w:tcPr>
            <w:tcW w:w="1418" w:type="dxa"/>
            <w:tcBorders>
              <w:top w:val="nil"/>
              <w:left w:val="nil"/>
              <w:bottom w:val="single" w:color="auto" w:sz="4" w:space="0"/>
              <w:right w:val="single" w:color="auto" w:sz="4" w:space="0"/>
            </w:tcBorders>
            <w:shd w:val="clear" w:color="auto" w:fill="auto"/>
            <w:noWrap/>
            <w:vAlign w:val="center"/>
          </w:tcPr>
          <w:p w14:paraId="4587471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71BE2B1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788225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03C9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36F1708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16</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6776E2B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规划点位16</w:t>
            </w:r>
          </w:p>
        </w:tc>
        <w:tc>
          <w:tcPr>
            <w:tcW w:w="1701" w:type="dxa"/>
            <w:tcBorders>
              <w:top w:val="nil"/>
              <w:left w:val="nil"/>
              <w:bottom w:val="single" w:color="auto" w:sz="4" w:space="0"/>
              <w:right w:val="single" w:color="auto" w:sz="4" w:space="0"/>
            </w:tcBorders>
            <w:shd w:val="clear" w:color="auto" w:fill="auto"/>
            <w:noWrap/>
            <w:vAlign w:val="center"/>
          </w:tcPr>
          <w:p w14:paraId="56E3F04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115.230900</w:t>
            </w:r>
          </w:p>
        </w:tc>
        <w:tc>
          <w:tcPr>
            <w:tcW w:w="1417" w:type="dxa"/>
            <w:tcBorders>
              <w:top w:val="nil"/>
              <w:left w:val="nil"/>
              <w:bottom w:val="single" w:color="auto" w:sz="4" w:space="0"/>
              <w:right w:val="single" w:color="auto" w:sz="4" w:space="0"/>
            </w:tcBorders>
            <w:shd w:val="clear" w:color="auto" w:fill="auto"/>
            <w:noWrap/>
            <w:vAlign w:val="center"/>
          </w:tcPr>
          <w:p w14:paraId="01869CC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22.923597</w:t>
            </w:r>
          </w:p>
        </w:tc>
        <w:tc>
          <w:tcPr>
            <w:tcW w:w="1418" w:type="dxa"/>
            <w:tcBorders>
              <w:top w:val="nil"/>
              <w:left w:val="nil"/>
              <w:bottom w:val="single" w:color="auto" w:sz="4" w:space="0"/>
              <w:right w:val="single" w:color="auto" w:sz="4" w:space="0"/>
            </w:tcBorders>
            <w:shd w:val="clear" w:color="auto" w:fill="auto"/>
            <w:noWrap/>
            <w:vAlign w:val="center"/>
          </w:tcPr>
          <w:p w14:paraId="243A54B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6CD0CE1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17E428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29E9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208D77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17</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583FD62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规划点位17</w:t>
            </w:r>
          </w:p>
        </w:tc>
        <w:tc>
          <w:tcPr>
            <w:tcW w:w="1701" w:type="dxa"/>
            <w:tcBorders>
              <w:top w:val="nil"/>
              <w:left w:val="nil"/>
              <w:bottom w:val="single" w:color="auto" w:sz="4" w:space="0"/>
              <w:right w:val="single" w:color="auto" w:sz="4" w:space="0"/>
            </w:tcBorders>
            <w:shd w:val="clear" w:color="auto" w:fill="auto"/>
            <w:noWrap/>
            <w:vAlign w:val="center"/>
          </w:tcPr>
          <w:p w14:paraId="2407D78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115.222941</w:t>
            </w:r>
          </w:p>
        </w:tc>
        <w:tc>
          <w:tcPr>
            <w:tcW w:w="1417" w:type="dxa"/>
            <w:tcBorders>
              <w:top w:val="nil"/>
              <w:left w:val="nil"/>
              <w:bottom w:val="single" w:color="auto" w:sz="4" w:space="0"/>
              <w:right w:val="single" w:color="auto" w:sz="4" w:space="0"/>
            </w:tcBorders>
            <w:shd w:val="clear" w:color="auto" w:fill="auto"/>
            <w:noWrap/>
            <w:vAlign w:val="center"/>
          </w:tcPr>
          <w:p w14:paraId="5BE55BA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22.957050</w:t>
            </w:r>
          </w:p>
        </w:tc>
        <w:tc>
          <w:tcPr>
            <w:tcW w:w="1418" w:type="dxa"/>
            <w:tcBorders>
              <w:top w:val="nil"/>
              <w:left w:val="nil"/>
              <w:bottom w:val="single" w:color="auto" w:sz="4" w:space="0"/>
              <w:right w:val="single" w:color="auto" w:sz="4" w:space="0"/>
            </w:tcBorders>
            <w:shd w:val="clear" w:color="auto" w:fill="auto"/>
            <w:noWrap/>
            <w:vAlign w:val="center"/>
          </w:tcPr>
          <w:p w14:paraId="08FA9D5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楼面站</w:t>
            </w:r>
          </w:p>
        </w:tc>
        <w:tc>
          <w:tcPr>
            <w:tcW w:w="1134" w:type="dxa"/>
            <w:tcBorders>
              <w:top w:val="nil"/>
              <w:left w:val="nil"/>
              <w:bottom w:val="single" w:color="auto" w:sz="4" w:space="0"/>
              <w:right w:val="single" w:color="auto" w:sz="4" w:space="0"/>
            </w:tcBorders>
            <w:shd w:val="clear" w:color="auto" w:fill="auto"/>
            <w:noWrap/>
            <w:vAlign w:val="center"/>
          </w:tcPr>
          <w:p w14:paraId="1172F3D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0202364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080A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69DEDE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18</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23BC964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规划点位18</w:t>
            </w:r>
          </w:p>
        </w:tc>
        <w:tc>
          <w:tcPr>
            <w:tcW w:w="1701" w:type="dxa"/>
            <w:tcBorders>
              <w:top w:val="nil"/>
              <w:left w:val="nil"/>
              <w:bottom w:val="single" w:color="auto" w:sz="4" w:space="0"/>
              <w:right w:val="single" w:color="auto" w:sz="4" w:space="0"/>
            </w:tcBorders>
            <w:shd w:val="clear" w:color="auto" w:fill="auto"/>
            <w:noWrap/>
            <w:vAlign w:val="center"/>
          </w:tcPr>
          <w:p w14:paraId="14DEEAA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115.214376</w:t>
            </w:r>
          </w:p>
        </w:tc>
        <w:tc>
          <w:tcPr>
            <w:tcW w:w="1417" w:type="dxa"/>
            <w:tcBorders>
              <w:top w:val="nil"/>
              <w:left w:val="nil"/>
              <w:bottom w:val="single" w:color="auto" w:sz="4" w:space="0"/>
              <w:right w:val="single" w:color="auto" w:sz="4" w:space="0"/>
            </w:tcBorders>
            <w:shd w:val="clear" w:color="auto" w:fill="auto"/>
            <w:noWrap/>
            <w:vAlign w:val="center"/>
          </w:tcPr>
          <w:p w14:paraId="46DCEAF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22.985050</w:t>
            </w:r>
          </w:p>
        </w:tc>
        <w:tc>
          <w:tcPr>
            <w:tcW w:w="1418" w:type="dxa"/>
            <w:tcBorders>
              <w:top w:val="nil"/>
              <w:left w:val="nil"/>
              <w:bottom w:val="single" w:color="auto" w:sz="4" w:space="0"/>
              <w:right w:val="single" w:color="auto" w:sz="4" w:space="0"/>
            </w:tcBorders>
            <w:shd w:val="clear" w:color="auto" w:fill="auto"/>
            <w:noWrap/>
            <w:vAlign w:val="center"/>
          </w:tcPr>
          <w:p w14:paraId="242F384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428F1C9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07489F0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6723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9B0A7C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19</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2921986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规划点位19</w:t>
            </w:r>
          </w:p>
        </w:tc>
        <w:tc>
          <w:tcPr>
            <w:tcW w:w="1701" w:type="dxa"/>
            <w:tcBorders>
              <w:top w:val="nil"/>
              <w:left w:val="nil"/>
              <w:bottom w:val="single" w:color="auto" w:sz="4" w:space="0"/>
              <w:right w:val="single" w:color="auto" w:sz="4" w:space="0"/>
            </w:tcBorders>
            <w:shd w:val="clear" w:color="auto" w:fill="auto"/>
            <w:noWrap/>
            <w:vAlign w:val="center"/>
          </w:tcPr>
          <w:p w14:paraId="08E0346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115.238985</w:t>
            </w:r>
          </w:p>
        </w:tc>
        <w:tc>
          <w:tcPr>
            <w:tcW w:w="1417" w:type="dxa"/>
            <w:tcBorders>
              <w:top w:val="nil"/>
              <w:left w:val="nil"/>
              <w:bottom w:val="single" w:color="auto" w:sz="4" w:space="0"/>
              <w:right w:val="single" w:color="auto" w:sz="4" w:space="0"/>
            </w:tcBorders>
            <w:shd w:val="clear" w:color="auto" w:fill="auto"/>
            <w:noWrap/>
            <w:vAlign w:val="center"/>
          </w:tcPr>
          <w:p w14:paraId="1C46575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22.928025</w:t>
            </w:r>
          </w:p>
        </w:tc>
        <w:tc>
          <w:tcPr>
            <w:tcW w:w="1418" w:type="dxa"/>
            <w:tcBorders>
              <w:top w:val="nil"/>
              <w:left w:val="nil"/>
              <w:bottom w:val="single" w:color="auto" w:sz="4" w:space="0"/>
              <w:right w:val="single" w:color="auto" w:sz="4" w:space="0"/>
            </w:tcBorders>
            <w:shd w:val="clear" w:color="auto" w:fill="auto"/>
            <w:noWrap/>
            <w:vAlign w:val="center"/>
          </w:tcPr>
          <w:p w14:paraId="51915FD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5117E1D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1C403AF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5427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68E5293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20</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3A6B1AB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规划点位20</w:t>
            </w:r>
          </w:p>
        </w:tc>
        <w:tc>
          <w:tcPr>
            <w:tcW w:w="1701" w:type="dxa"/>
            <w:tcBorders>
              <w:top w:val="nil"/>
              <w:left w:val="nil"/>
              <w:bottom w:val="single" w:color="auto" w:sz="4" w:space="0"/>
              <w:right w:val="single" w:color="auto" w:sz="4" w:space="0"/>
            </w:tcBorders>
            <w:shd w:val="clear" w:color="auto" w:fill="auto"/>
            <w:noWrap/>
            <w:vAlign w:val="center"/>
          </w:tcPr>
          <w:p w14:paraId="39ECC25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115.232754</w:t>
            </w:r>
          </w:p>
        </w:tc>
        <w:tc>
          <w:tcPr>
            <w:tcW w:w="1417" w:type="dxa"/>
            <w:tcBorders>
              <w:top w:val="nil"/>
              <w:left w:val="nil"/>
              <w:bottom w:val="single" w:color="auto" w:sz="4" w:space="0"/>
              <w:right w:val="single" w:color="auto" w:sz="4" w:space="0"/>
            </w:tcBorders>
            <w:shd w:val="clear" w:color="auto" w:fill="auto"/>
            <w:noWrap/>
            <w:vAlign w:val="center"/>
          </w:tcPr>
          <w:p w14:paraId="4AE9222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22.985011</w:t>
            </w:r>
          </w:p>
        </w:tc>
        <w:tc>
          <w:tcPr>
            <w:tcW w:w="1418" w:type="dxa"/>
            <w:tcBorders>
              <w:top w:val="nil"/>
              <w:left w:val="nil"/>
              <w:bottom w:val="single" w:color="auto" w:sz="4" w:space="0"/>
              <w:right w:val="single" w:color="auto" w:sz="4" w:space="0"/>
            </w:tcBorders>
            <w:shd w:val="clear" w:color="auto" w:fill="auto"/>
            <w:noWrap/>
            <w:vAlign w:val="center"/>
          </w:tcPr>
          <w:p w14:paraId="6CCF3C9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554E05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0430833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7B18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DB710B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21</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4309BE3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规划点位21</w:t>
            </w:r>
          </w:p>
        </w:tc>
        <w:tc>
          <w:tcPr>
            <w:tcW w:w="1701" w:type="dxa"/>
            <w:tcBorders>
              <w:top w:val="nil"/>
              <w:left w:val="nil"/>
              <w:bottom w:val="single" w:color="auto" w:sz="4" w:space="0"/>
              <w:right w:val="single" w:color="auto" w:sz="4" w:space="0"/>
            </w:tcBorders>
            <w:shd w:val="clear" w:color="auto" w:fill="auto"/>
            <w:noWrap/>
            <w:vAlign w:val="center"/>
          </w:tcPr>
          <w:p w14:paraId="67D3D7A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115.234934</w:t>
            </w:r>
          </w:p>
        </w:tc>
        <w:tc>
          <w:tcPr>
            <w:tcW w:w="1417" w:type="dxa"/>
            <w:tcBorders>
              <w:top w:val="nil"/>
              <w:left w:val="nil"/>
              <w:bottom w:val="single" w:color="auto" w:sz="4" w:space="0"/>
              <w:right w:val="single" w:color="auto" w:sz="4" w:space="0"/>
            </w:tcBorders>
            <w:shd w:val="clear" w:color="auto" w:fill="auto"/>
            <w:noWrap/>
            <w:vAlign w:val="center"/>
          </w:tcPr>
          <w:p w14:paraId="4504923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22.938403</w:t>
            </w:r>
          </w:p>
        </w:tc>
        <w:tc>
          <w:tcPr>
            <w:tcW w:w="1418" w:type="dxa"/>
            <w:tcBorders>
              <w:top w:val="nil"/>
              <w:left w:val="nil"/>
              <w:bottom w:val="single" w:color="auto" w:sz="4" w:space="0"/>
              <w:right w:val="single" w:color="auto" w:sz="4" w:space="0"/>
            </w:tcBorders>
            <w:shd w:val="clear" w:color="auto" w:fill="auto"/>
            <w:noWrap/>
            <w:vAlign w:val="center"/>
          </w:tcPr>
          <w:p w14:paraId="5B6AD19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2BF7D79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5E15884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0255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6CB10D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37509F0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规划点位22</w:t>
            </w:r>
          </w:p>
        </w:tc>
        <w:tc>
          <w:tcPr>
            <w:tcW w:w="1701" w:type="dxa"/>
            <w:tcBorders>
              <w:top w:val="nil"/>
              <w:left w:val="nil"/>
              <w:bottom w:val="single" w:color="auto" w:sz="4" w:space="0"/>
              <w:right w:val="single" w:color="auto" w:sz="4" w:space="0"/>
            </w:tcBorders>
            <w:shd w:val="clear" w:color="auto" w:fill="auto"/>
            <w:noWrap/>
            <w:vAlign w:val="center"/>
          </w:tcPr>
          <w:p w14:paraId="2AF0BFF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115.230146</w:t>
            </w:r>
          </w:p>
        </w:tc>
        <w:tc>
          <w:tcPr>
            <w:tcW w:w="1417" w:type="dxa"/>
            <w:tcBorders>
              <w:top w:val="nil"/>
              <w:left w:val="nil"/>
              <w:bottom w:val="single" w:color="auto" w:sz="4" w:space="0"/>
              <w:right w:val="single" w:color="auto" w:sz="4" w:space="0"/>
            </w:tcBorders>
            <w:shd w:val="clear" w:color="auto" w:fill="auto"/>
            <w:noWrap/>
            <w:vAlign w:val="center"/>
          </w:tcPr>
          <w:p w14:paraId="7101D91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22.936029</w:t>
            </w:r>
          </w:p>
        </w:tc>
        <w:tc>
          <w:tcPr>
            <w:tcW w:w="1418" w:type="dxa"/>
            <w:tcBorders>
              <w:top w:val="nil"/>
              <w:left w:val="nil"/>
              <w:bottom w:val="single" w:color="auto" w:sz="4" w:space="0"/>
              <w:right w:val="single" w:color="auto" w:sz="4" w:space="0"/>
            </w:tcBorders>
            <w:shd w:val="clear" w:color="auto" w:fill="auto"/>
            <w:noWrap/>
            <w:vAlign w:val="center"/>
          </w:tcPr>
          <w:p w14:paraId="6EF36B6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0B6C330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50EF2B1A">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4EC6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E571BF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23</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ED92FE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规划点位23</w:t>
            </w:r>
          </w:p>
        </w:tc>
        <w:tc>
          <w:tcPr>
            <w:tcW w:w="1701" w:type="dxa"/>
            <w:tcBorders>
              <w:top w:val="nil"/>
              <w:left w:val="nil"/>
              <w:bottom w:val="single" w:color="auto" w:sz="4" w:space="0"/>
              <w:right w:val="single" w:color="auto" w:sz="4" w:space="0"/>
            </w:tcBorders>
            <w:shd w:val="clear" w:color="auto" w:fill="auto"/>
            <w:noWrap/>
            <w:vAlign w:val="center"/>
          </w:tcPr>
          <w:p w14:paraId="3D10430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115.233965</w:t>
            </w:r>
          </w:p>
        </w:tc>
        <w:tc>
          <w:tcPr>
            <w:tcW w:w="1417" w:type="dxa"/>
            <w:tcBorders>
              <w:top w:val="nil"/>
              <w:left w:val="nil"/>
              <w:bottom w:val="single" w:color="auto" w:sz="4" w:space="0"/>
              <w:right w:val="single" w:color="auto" w:sz="4" w:space="0"/>
            </w:tcBorders>
            <w:shd w:val="clear" w:color="auto" w:fill="auto"/>
            <w:noWrap/>
            <w:vAlign w:val="center"/>
          </w:tcPr>
          <w:p w14:paraId="33E7682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22.935774</w:t>
            </w:r>
          </w:p>
        </w:tc>
        <w:tc>
          <w:tcPr>
            <w:tcW w:w="1418" w:type="dxa"/>
            <w:tcBorders>
              <w:top w:val="nil"/>
              <w:left w:val="nil"/>
              <w:bottom w:val="single" w:color="auto" w:sz="4" w:space="0"/>
              <w:right w:val="single" w:color="auto" w:sz="4" w:space="0"/>
            </w:tcBorders>
            <w:shd w:val="clear" w:color="auto" w:fill="auto"/>
            <w:noWrap/>
            <w:vAlign w:val="center"/>
          </w:tcPr>
          <w:p w14:paraId="4F92DA5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4FCEE3F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4F0D5D7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533C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3230F10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24</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A9A6F3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规划点位24</w:t>
            </w:r>
          </w:p>
        </w:tc>
        <w:tc>
          <w:tcPr>
            <w:tcW w:w="1701" w:type="dxa"/>
            <w:tcBorders>
              <w:top w:val="nil"/>
              <w:left w:val="nil"/>
              <w:bottom w:val="single" w:color="auto" w:sz="4" w:space="0"/>
              <w:right w:val="single" w:color="auto" w:sz="4" w:space="0"/>
            </w:tcBorders>
            <w:shd w:val="clear" w:color="auto" w:fill="auto"/>
            <w:noWrap/>
            <w:vAlign w:val="center"/>
          </w:tcPr>
          <w:p w14:paraId="31AA094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115.226607</w:t>
            </w:r>
          </w:p>
        </w:tc>
        <w:tc>
          <w:tcPr>
            <w:tcW w:w="1417" w:type="dxa"/>
            <w:tcBorders>
              <w:top w:val="nil"/>
              <w:left w:val="nil"/>
              <w:bottom w:val="single" w:color="auto" w:sz="4" w:space="0"/>
              <w:right w:val="single" w:color="auto" w:sz="4" w:space="0"/>
            </w:tcBorders>
            <w:shd w:val="clear" w:color="auto" w:fill="auto"/>
            <w:noWrap/>
            <w:vAlign w:val="center"/>
          </w:tcPr>
          <w:p w14:paraId="63335A6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22.927401</w:t>
            </w:r>
          </w:p>
        </w:tc>
        <w:tc>
          <w:tcPr>
            <w:tcW w:w="1418" w:type="dxa"/>
            <w:tcBorders>
              <w:top w:val="nil"/>
              <w:left w:val="nil"/>
              <w:bottom w:val="single" w:color="auto" w:sz="4" w:space="0"/>
              <w:right w:val="single" w:color="auto" w:sz="4" w:space="0"/>
            </w:tcBorders>
            <w:shd w:val="clear" w:color="auto" w:fill="auto"/>
            <w:noWrap/>
            <w:vAlign w:val="center"/>
          </w:tcPr>
          <w:p w14:paraId="44214C82">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4C80FE8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0BB2539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7ED8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FB29D6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25</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624E62F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规划点位25</w:t>
            </w:r>
          </w:p>
        </w:tc>
        <w:tc>
          <w:tcPr>
            <w:tcW w:w="1701" w:type="dxa"/>
            <w:tcBorders>
              <w:top w:val="nil"/>
              <w:left w:val="nil"/>
              <w:bottom w:val="single" w:color="auto" w:sz="4" w:space="0"/>
              <w:right w:val="single" w:color="auto" w:sz="4" w:space="0"/>
            </w:tcBorders>
            <w:shd w:val="clear" w:color="auto" w:fill="auto"/>
            <w:noWrap/>
            <w:vAlign w:val="center"/>
          </w:tcPr>
          <w:p w14:paraId="7438A8E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115.224534</w:t>
            </w:r>
          </w:p>
        </w:tc>
        <w:tc>
          <w:tcPr>
            <w:tcW w:w="1417" w:type="dxa"/>
            <w:tcBorders>
              <w:top w:val="nil"/>
              <w:left w:val="nil"/>
              <w:bottom w:val="single" w:color="auto" w:sz="4" w:space="0"/>
              <w:right w:val="single" w:color="auto" w:sz="4" w:space="0"/>
            </w:tcBorders>
            <w:shd w:val="clear" w:color="auto" w:fill="auto"/>
            <w:noWrap/>
            <w:vAlign w:val="center"/>
          </w:tcPr>
          <w:p w14:paraId="3CB47EB5">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22.918157</w:t>
            </w:r>
          </w:p>
        </w:tc>
        <w:tc>
          <w:tcPr>
            <w:tcW w:w="1418" w:type="dxa"/>
            <w:tcBorders>
              <w:top w:val="nil"/>
              <w:left w:val="nil"/>
              <w:bottom w:val="single" w:color="auto" w:sz="4" w:space="0"/>
              <w:right w:val="single" w:color="auto" w:sz="4" w:space="0"/>
            </w:tcBorders>
            <w:shd w:val="clear" w:color="auto" w:fill="auto"/>
            <w:noWrap/>
            <w:vAlign w:val="center"/>
          </w:tcPr>
          <w:p w14:paraId="736DC90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55C62B9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E83517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6F68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472DE24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26</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464EE303">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规划点位26</w:t>
            </w:r>
          </w:p>
        </w:tc>
        <w:tc>
          <w:tcPr>
            <w:tcW w:w="1701" w:type="dxa"/>
            <w:tcBorders>
              <w:top w:val="nil"/>
              <w:left w:val="nil"/>
              <w:bottom w:val="single" w:color="auto" w:sz="4" w:space="0"/>
              <w:right w:val="single" w:color="auto" w:sz="4" w:space="0"/>
            </w:tcBorders>
            <w:shd w:val="clear" w:color="auto" w:fill="auto"/>
            <w:noWrap/>
            <w:vAlign w:val="center"/>
          </w:tcPr>
          <w:p w14:paraId="5B67B16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115.221088</w:t>
            </w:r>
          </w:p>
        </w:tc>
        <w:tc>
          <w:tcPr>
            <w:tcW w:w="1417" w:type="dxa"/>
            <w:tcBorders>
              <w:top w:val="nil"/>
              <w:left w:val="nil"/>
              <w:bottom w:val="single" w:color="auto" w:sz="4" w:space="0"/>
              <w:right w:val="single" w:color="auto" w:sz="4" w:space="0"/>
            </w:tcBorders>
            <w:shd w:val="clear" w:color="auto" w:fill="auto"/>
            <w:noWrap/>
            <w:vAlign w:val="center"/>
          </w:tcPr>
          <w:p w14:paraId="340E531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22.959918</w:t>
            </w:r>
          </w:p>
        </w:tc>
        <w:tc>
          <w:tcPr>
            <w:tcW w:w="1418" w:type="dxa"/>
            <w:tcBorders>
              <w:top w:val="nil"/>
              <w:left w:val="nil"/>
              <w:bottom w:val="single" w:color="auto" w:sz="4" w:space="0"/>
              <w:right w:val="single" w:color="auto" w:sz="4" w:space="0"/>
            </w:tcBorders>
            <w:shd w:val="clear" w:color="auto" w:fill="auto"/>
            <w:noWrap/>
            <w:vAlign w:val="center"/>
          </w:tcPr>
          <w:p w14:paraId="2495EDC0">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26CE9D2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5F7039DC">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厂区覆盖</w:t>
            </w:r>
          </w:p>
        </w:tc>
      </w:tr>
      <w:tr w14:paraId="760C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9C7245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27</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7C9DA1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规划点位27</w:t>
            </w:r>
          </w:p>
        </w:tc>
        <w:tc>
          <w:tcPr>
            <w:tcW w:w="1701" w:type="dxa"/>
            <w:tcBorders>
              <w:top w:val="nil"/>
              <w:left w:val="nil"/>
              <w:bottom w:val="single" w:color="auto" w:sz="4" w:space="0"/>
              <w:right w:val="single" w:color="auto" w:sz="4" w:space="0"/>
            </w:tcBorders>
            <w:shd w:val="clear" w:color="auto" w:fill="auto"/>
            <w:noWrap/>
            <w:vAlign w:val="center"/>
          </w:tcPr>
          <w:p w14:paraId="65BFD4C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115.234846</w:t>
            </w:r>
          </w:p>
        </w:tc>
        <w:tc>
          <w:tcPr>
            <w:tcW w:w="1417" w:type="dxa"/>
            <w:tcBorders>
              <w:top w:val="nil"/>
              <w:left w:val="nil"/>
              <w:bottom w:val="single" w:color="auto" w:sz="4" w:space="0"/>
              <w:right w:val="single" w:color="auto" w:sz="4" w:space="0"/>
            </w:tcBorders>
            <w:shd w:val="clear" w:color="auto" w:fill="auto"/>
            <w:noWrap/>
            <w:vAlign w:val="center"/>
          </w:tcPr>
          <w:p w14:paraId="0B52DA3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22.945345</w:t>
            </w:r>
          </w:p>
        </w:tc>
        <w:tc>
          <w:tcPr>
            <w:tcW w:w="1418" w:type="dxa"/>
            <w:tcBorders>
              <w:top w:val="nil"/>
              <w:left w:val="nil"/>
              <w:bottom w:val="single" w:color="auto" w:sz="4" w:space="0"/>
              <w:right w:val="single" w:color="auto" w:sz="4" w:space="0"/>
            </w:tcBorders>
            <w:shd w:val="clear" w:color="auto" w:fill="auto"/>
            <w:noWrap/>
            <w:vAlign w:val="center"/>
          </w:tcPr>
          <w:p w14:paraId="048B5159">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地面站</w:t>
            </w:r>
          </w:p>
        </w:tc>
        <w:tc>
          <w:tcPr>
            <w:tcW w:w="1134" w:type="dxa"/>
            <w:tcBorders>
              <w:top w:val="nil"/>
              <w:left w:val="nil"/>
              <w:bottom w:val="single" w:color="auto" w:sz="4" w:space="0"/>
              <w:right w:val="single" w:color="auto" w:sz="4" w:space="0"/>
            </w:tcBorders>
            <w:shd w:val="clear" w:color="auto" w:fill="auto"/>
            <w:noWrap/>
            <w:vAlign w:val="center"/>
          </w:tcPr>
          <w:p w14:paraId="6FBC681F">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规划基站</w:t>
            </w:r>
          </w:p>
        </w:tc>
        <w:tc>
          <w:tcPr>
            <w:tcW w:w="1134" w:type="dxa"/>
            <w:tcBorders>
              <w:top w:val="nil"/>
              <w:left w:val="nil"/>
              <w:bottom w:val="single" w:color="auto" w:sz="4" w:space="0"/>
              <w:right w:val="single" w:color="auto" w:sz="4" w:space="0"/>
            </w:tcBorders>
            <w:shd w:val="clear" w:color="auto" w:fill="auto"/>
            <w:noWrap/>
            <w:vAlign w:val="center"/>
          </w:tcPr>
          <w:p w14:paraId="29F34E38">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交通干线</w:t>
            </w:r>
          </w:p>
        </w:tc>
      </w:tr>
      <w:tr w14:paraId="3D31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BE29DA4">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28</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FC6864E">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规划室分1</w:t>
            </w:r>
          </w:p>
        </w:tc>
        <w:tc>
          <w:tcPr>
            <w:tcW w:w="1701" w:type="dxa"/>
            <w:tcBorders>
              <w:top w:val="nil"/>
              <w:left w:val="nil"/>
              <w:bottom w:val="single" w:color="auto" w:sz="4" w:space="0"/>
              <w:right w:val="single" w:color="auto" w:sz="4" w:space="0"/>
            </w:tcBorders>
            <w:shd w:val="clear" w:color="auto" w:fill="auto"/>
            <w:noWrap/>
            <w:vAlign w:val="center"/>
          </w:tcPr>
          <w:p w14:paraId="1E1B1D21">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115.222723</w:t>
            </w:r>
          </w:p>
        </w:tc>
        <w:tc>
          <w:tcPr>
            <w:tcW w:w="1417" w:type="dxa"/>
            <w:tcBorders>
              <w:top w:val="nil"/>
              <w:left w:val="nil"/>
              <w:bottom w:val="single" w:color="auto" w:sz="4" w:space="0"/>
              <w:right w:val="single" w:color="auto" w:sz="4" w:space="0"/>
            </w:tcBorders>
            <w:shd w:val="clear" w:color="auto" w:fill="auto"/>
            <w:noWrap/>
            <w:vAlign w:val="center"/>
          </w:tcPr>
          <w:p w14:paraId="113936B6">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22.918185</w:t>
            </w:r>
          </w:p>
        </w:tc>
        <w:tc>
          <w:tcPr>
            <w:tcW w:w="1418" w:type="dxa"/>
            <w:tcBorders>
              <w:top w:val="nil"/>
              <w:left w:val="nil"/>
              <w:bottom w:val="single" w:color="auto" w:sz="4" w:space="0"/>
              <w:right w:val="single" w:color="auto" w:sz="4" w:space="0"/>
            </w:tcBorders>
            <w:shd w:val="clear" w:color="auto" w:fill="auto"/>
            <w:noWrap/>
            <w:vAlign w:val="center"/>
          </w:tcPr>
          <w:p w14:paraId="5AF48EAD">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3126347">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377923B">
            <w:pPr>
              <w:widowControl/>
              <w:jc w:val="center"/>
              <w:rPr>
                <w:rFonts w:hint="eastAsia" w:cs="宋体" w:asciiTheme="minorEastAsia" w:hAnsiTheme="minorEastAsia" w:eastAsiaTheme="minorEastAsia"/>
                <w:color w:val="000000"/>
                <w:kern w:val="0"/>
                <w:sz w:val="22"/>
              </w:rPr>
            </w:pPr>
            <w:r>
              <w:rPr>
                <w:rFonts w:hint="eastAsia" w:asciiTheme="minorEastAsia" w:hAnsiTheme="minorEastAsia" w:eastAsiaTheme="minorEastAsia"/>
                <w:color w:val="000000"/>
                <w:sz w:val="22"/>
              </w:rPr>
              <w:t>住宅小区</w:t>
            </w:r>
          </w:p>
        </w:tc>
      </w:tr>
      <w:tr w14:paraId="6A56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4F1E457">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w:t>
            </w:r>
            <w:r>
              <w:rPr>
                <w:rFonts w:asciiTheme="minorEastAsia" w:hAnsiTheme="minorEastAsia" w:eastAsiaTheme="minorEastAsia"/>
                <w:color w:val="000000"/>
                <w:sz w:val="22"/>
              </w:rPr>
              <w:t>9</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ED1D69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规划室分2</w:t>
            </w:r>
          </w:p>
        </w:tc>
        <w:tc>
          <w:tcPr>
            <w:tcW w:w="1701" w:type="dxa"/>
            <w:tcBorders>
              <w:top w:val="nil"/>
              <w:left w:val="nil"/>
              <w:bottom w:val="single" w:color="auto" w:sz="4" w:space="0"/>
              <w:right w:val="single" w:color="auto" w:sz="4" w:space="0"/>
            </w:tcBorders>
            <w:shd w:val="clear" w:color="auto" w:fill="auto"/>
            <w:noWrap/>
            <w:vAlign w:val="center"/>
          </w:tcPr>
          <w:p w14:paraId="53232C5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115.229339</w:t>
            </w:r>
          </w:p>
        </w:tc>
        <w:tc>
          <w:tcPr>
            <w:tcW w:w="1417" w:type="dxa"/>
            <w:tcBorders>
              <w:top w:val="nil"/>
              <w:left w:val="nil"/>
              <w:bottom w:val="single" w:color="auto" w:sz="4" w:space="0"/>
              <w:right w:val="single" w:color="auto" w:sz="4" w:space="0"/>
            </w:tcBorders>
            <w:shd w:val="clear" w:color="auto" w:fill="auto"/>
            <w:noWrap/>
            <w:vAlign w:val="center"/>
          </w:tcPr>
          <w:p w14:paraId="0769B1D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22.937436</w:t>
            </w:r>
          </w:p>
        </w:tc>
        <w:tc>
          <w:tcPr>
            <w:tcW w:w="1418" w:type="dxa"/>
            <w:tcBorders>
              <w:top w:val="nil"/>
              <w:left w:val="nil"/>
              <w:bottom w:val="single" w:color="auto" w:sz="4" w:space="0"/>
              <w:right w:val="single" w:color="auto" w:sz="4" w:space="0"/>
            </w:tcBorders>
            <w:shd w:val="clear" w:color="auto" w:fill="auto"/>
            <w:noWrap/>
            <w:vAlign w:val="center"/>
          </w:tcPr>
          <w:p w14:paraId="7CD87EE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188AA45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19D0624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0D94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EFAD4B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0</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7BF7C4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规划室分3</w:t>
            </w:r>
          </w:p>
        </w:tc>
        <w:tc>
          <w:tcPr>
            <w:tcW w:w="1701" w:type="dxa"/>
            <w:tcBorders>
              <w:top w:val="nil"/>
              <w:left w:val="nil"/>
              <w:bottom w:val="single" w:color="auto" w:sz="4" w:space="0"/>
              <w:right w:val="single" w:color="auto" w:sz="4" w:space="0"/>
            </w:tcBorders>
            <w:shd w:val="clear" w:color="auto" w:fill="auto"/>
            <w:noWrap/>
            <w:vAlign w:val="center"/>
          </w:tcPr>
          <w:p w14:paraId="2810473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115.230255</w:t>
            </w:r>
          </w:p>
        </w:tc>
        <w:tc>
          <w:tcPr>
            <w:tcW w:w="1417" w:type="dxa"/>
            <w:tcBorders>
              <w:top w:val="nil"/>
              <w:left w:val="nil"/>
              <w:bottom w:val="single" w:color="auto" w:sz="4" w:space="0"/>
              <w:right w:val="single" w:color="auto" w:sz="4" w:space="0"/>
            </w:tcBorders>
            <w:shd w:val="clear" w:color="auto" w:fill="auto"/>
            <w:noWrap/>
            <w:vAlign w:val="center"/>
          </w:tcPr>
          <w:p w14:paraId="1388565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22.937072</w:t>
            </w:r>
          </w:p>
        </w:tc>
        <w:tc>
          <w:tcPr>
            <w:tcW w:w="1418" w:type="dxa"/>
            <w:tcBorders>
              <w:top w:val="nil"/>
              <w:left w:val="nil"/>
              <w:bottom w:val="single" w:color="auto" w:sz="4" w:space="0"/>
              <w:right w:val="single" w:color="auto" w:sz="4" w:space="0"/>
            </w:tcBorders>
            <w:shd w:val="clear" w:color="auto" w:fill="auto"/>
            <w:noWrap/>
            <w:vAlign w:val="center"/>
          </w:tcPr>
          <w:p w14:paraId="7064B67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62B81CC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4C344DA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5E89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DF4F3A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1</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9330D8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规划室分4</w:t>
            </w:r>
          </w:p>
        </w:tc>
        <w:tc>
          <w:tcPr>
            <w:tcW w:w="1701" w:type="dxa"/>
            <w:tcBorders>
              <w:top w:val="nil"/>
              <w:left w:val="nil"/>
              <w:bottom w:val="single" w:color="auto" w:sz="4" w:space="0"/>
              <w:right w:val="single" w:color="auto" w:sz="4" w:space="0"/>
            </w:tcBorders>
            <w:shd w:val="clear" w:color="auto" w:fill="auto"/>
            <w:noWrap/>
            <w:vAlign w:val="center"/>
          </w:tcPr>
          <w:p w14:paraId="069BBE8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115.228898</w:t>
            </w:r>
          </w:p>
        </w:tc>
        <w:tc>
          <w:tcPr>
            <w:tcW w:w="1417" w:type="dxa"/>
            <w:tcBorders>
              <w:top w:val="nil"/>
              <w:left w:val="nil"/>
              <w:bottom w:val="single" w:color="auto" w:sz="4" w:space="0"/>
              <w:right w:val="single" w:color="auto" w:sz="4" w:space="0"/>
            </w:tcBorders>
            <w:shd w:val="clear" w:color="auto" w:fill="auto"/>
            <w:noWrap/>
            <w:vAlign w:val="center"/>
          </w:tcPr>
          <w:p w14:paraId="1FEA096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22.936086</w:t>
            </w:r>
          </w:p>
        </w:tc>
        <w:tc>
          <w:tcPr>
            <w:tcW w:w="1418" w:type="dxa"/>
            <w:tcBorders>
              <w:top w:val="nil"/>
              <w:left w:val="nil"/>
              <w:bottom w:val="single" w:color="auto" w:sz="4" w:space="0"/>
              <w:right w:val="single" w:color="auto" w:sz="4" w:space="0"/>
            </w:tcBorders>
            <w:shd w:val="clear" w:color="auto" w:fill="auto"/>
            <w:noWrap/>
            <w:vAlign w:val="center"/>
          </w:tcPr>
          <w:p w14:paraId="7076A62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12D01C4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54DA876B">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0C00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6EFDB36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2</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5D973F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规划室分5</w:t>
            </w:r>
          </w:p>
        </w:tc>
        <w:tc>
          <w:tcPr>
            <w:tcW w:w="1701" w:type="dxa"/>
            <w:tcBorders>
              <w:top w:val="nil"/>
              <w:left w:val="nil"/>
              <w:bottom w:val="single" w:color="auto" w:sz="4" w:space="0"/>
              <w:right w:val="single" w:color="auto" w:sz="4" w:space="0"/>
            </w:tcBorders>
            <w:shd w:val="clear" w:color="auto" w:fill="auto"/>
            <w:noWrap/>
            <w:vAlign w:val="center"/>
          </w:tcPr>
          <w:p w14:paraId="52422E2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115.229713</w:t>
            </w:r>
          </w:p>
        </w:tc>
        <w:tc>
          <w:tcPr>
            <w:tcW w:w="1417" w:type="dxa"/>
            <w:tcBorders>
              <w:top w:val="nil"/>
              <w:left w:val="nil"/>
              <w:bottom w:val="single" w:color="auto" w:sz="4" w:space="0"/>
              <w:right w:val="single" w:color="auto" w:sz="4" w:space="0"/>
            </w:tcBorders>
            <w:shd w:val="clear" w:color="auto" w:fill="auto"/>
            <w:noWrap/>
            <w:vAlign w:val="center"/>
          </w:tcPr>
          <w:p w14:paraId="4FF2930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22.935705</w:t>
            </w:r>
          </w:p>
        </w:tc>
        <w:tc>
          <w:tcPr>
            <w:tcW w:w="1418" w:type="dxa"/>
            <w:tcBorders>
              <w:top w:val="nil"/>
              <w:left w:val="nil"/>
              <w:bottom w:val="single" w:color="auto" w:sz="4" w:space="0"/>
              <w:right w:val="single" w:color="auto" w:sz="4" w:space="0"/>
            </w:tcBorders>
            <w:shd w:val="clear" w:color="auto" w:fill="auto"/>
            <w:noWrap/>
            <w:vAlign w:val="center"/>
          </w:tcPr>
          <w:p w14:paraId="2800024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2363821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3B822CE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19C6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25E5542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3</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69D9534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规划室分6</w:t>
            </w:r>
          </w:p>
        </w:tc>
        <w:tc>
          <w:tcPr>
            <w:tcW w:w="1701" w:type="dxa"/>
            <w:tcBorders>
              <w:top w:val="nil"/>
              <w:left w:val="nil"/>
              <w:bottom w:val="single" w:color="auto" w:sz="4" w:space="0"/>
              <w:right w:val="single" w:color="auto" w:sz="4" w:space="0"/>
            </w:tcBorders>
            <w:shd w:val="clear" w:color="auto" w:fill="auto"/>
            <w:noWrap/>
            <w:vAlign w:val="center"/>
          </w:tcPr>
          <w:p w14:paraId="515C83B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115.231493</w:t>
            </w:r>
          </w:p>
        </w:tc>
        <w:tc>
          <w:tcPr>
            <w:tcW w:w="1417" w:type="dxa"/>
            <w:tcBorders>
              <w:top w:val="nil"/>
              <w:left w:val="nil"/>
              <w:bottom w:val="single" w:color="auto" w:sz="4" w:space="0"/>
              <w:right w:val="single" w:color="auto" w:sz="4" w:space="0"/>
            </w:tcBorders>
            <w:shd w:val="clear" w:color="auto" w:fill="auto"/>
            <w:noWrap/>
            <w:vAlign w:val="center"/>
          </w:tcPr>
          <w:p w14:paraId="6536C54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22.936654</w:t>
            </w:r>
          </w:p>
        </w:tc>
        <w:tc>
          <w:tcPr>
            <w:tcW w:w="1418" w:type="dxa"/>
            <w:tcBorders>
              <w:top w:val="nil"/>
              <w:left w:val="nil"/>
              <w:bottom w:val="single" w:color="auto" w:sz="4" w:space="0"/>
              <w:right w:val="single" w:color="auto" w:sz="4" w:space="0"/>
            </w:tcBorders>
            <w:shd w:val="clear" w:color="auto" w:fill="auto"/>
            <w:noWrap/>
            <w:vAlign w:val="center"/>
          </w:tcPr>
          <w:p w14:paraId="013BD41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6F4379B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0AA291F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7390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0740E118">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4</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5F08196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规划室分7</w:t>
            </w:r>
          </w:p>
        </w:tc>
        <w:tc>
          <w:tcPr>
            <w:tcW w:w="1701" w:type="dxa"/>
            <w:tcBorders>
              <w:top w:val="nil"/>
              <w:left w:val="nil"/>
              <w:bottom w:val="single" w:color="auto" w:sz="4" w:space="0"/>
              <w:right w:val="single" w:color="auto" w:sz="4" w:space="0"/>
            </w:tcBorders>
            <w:shd w:val="clear" w:color="auto" w:fill="auto"/>
            <w:noWrap/>
            <w:vAlign w:val="center"/>
          </w:tcPr>
          <w:p w14:paraId="54C278E7">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115.232757</w:t>
            </w:r>
          </w:p>
        </w:tc>
        <w:tc>
          <w:tcPr>
            <w:tcW w:w="1417" w:type="dxa"/>
            <w:tcBorders>
              <w:top w:val="nil"/>
              <w:left w:val="nil"/>
              <w:bottom w:val="single" w:color="auto" w:sz="4" w:space="0"/>
              <w:right w:val="single" w:color="auto" w:sz="4" w:space="0"/>
            </w:tcBorders>
            <w:shd w:val="clear" w:color="auto" w:fill="auto"/>
            <w:noWrap/>
            <w:vAlign w:val="center"/>
          </w:tcPr>
          <w:p w14:paraId="43A5078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22.936633</w:t>
            </w:r>
          </w:p>
        </w:tc>
        <w:tc>
          <w:tcPr>
            <w:tcW w:w="1418" w:type="dxa"/>
            <w:tcBorders>
              <w:top w:val="nil"/>
              <w:left w:val="nil"/>
              <w:bottom w:val="single" w:color="auto" w:sz="4" w:space="0"/>
              <w:right w:val="single" w:color="auto" w:sz="4" w:space="0"/>
            </w:tcBorders>
            <w:shd w:val="clear" w:color="auto" w:fill="auto"/>
            <w:noWrap/>
            <w:vAlign w:val="center"/>
          </w:tcPr>
          <w:p w14:paraId="2D1E256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88CA638">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46D1A41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23B7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0AF03A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5</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252B752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规划室分8</w:t>
            </w:r>
          </w:p>
        </w:tc>
        <w:tc>
          <w:tcPr>
            <w:tcW w:w="1701" w:type="dxa"/>
            <w:tcBorders>
              <w:top w:val="nil"/>
              <w:left w:val="nil"/>
              <w:bottom w:val="single" w:color="auto" w:sz="4" w:space="0"/>
              <w:right w:val="single" w:color="auto" w:sz="4" w:space="0"/>
            </w:tcBorders>
            <w:shd w:val="clear" w:color="auto" w:fill="auto"/>
            <w:noWrap/>
            <w:vAlign w:val="center"/>
          </w:tcPr>
          <w:p w14:paraId="0F3968E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115.235811</w:t>
            </w:r>
          </w:p>
        </w:tc>
        <w:tc>
          <w:tcPr>
            <w:tcW w:w="1417" w:type="dxa"/>
            <w:tcBorders>
              <w:top w:val="nil"/>
              <w:left w:val="nil"/>
              <w:bottom w:val="single" w:color="auto" w:sz="4" w:space="0"/>
              <w:right w:val="single" w:color="auto" w:sz="4" w:space="0"/>
            </w:tcBorders>
            <w:shd w:val="clear" w:color="auto" w:fill="auto"/>
            <w:noWrap/>
            <w:vAlign w:val="center"/>
          </w:tcPr>
          <w:p w14:paraId="287B223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22.938067</w:t>
            </w:r>
          </w:p>
        </w:tc>
        <w:tc>
          <w:tcPr>
            <w:tcW w:w="1418" w:type="dxa"/>
            <w:tcBorders>
              <w:top w:val="nil"/>
              <w:left w:val="nil"/>
              <w:bottom w:val="single" w:color="auto" w:sz="4" w:space="0"/>
              <w:right w:val="single" w:color="auto" w:sz="4" w:space="0"/>
            </w:tcBorders>
            <w:shd w:val="clear" w:color="auto" w:fill="auto"/>
            <w:noWrap/>
            <w:vAlign w:val="center"/>
          </w:tcPr>
          <w:p w14:paraId="16DB805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DD6D7C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3620CF2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3D36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C67029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6</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6DC08B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规划室分9</w:t>
            </w:r>
          </w:p>
        </w:tc>
        <w:tc>
          <w:tcPr>
            <w:tcW w:w="1701" w:type="dxa"/>
            <w:tcBorders>
              <w:top w:val="nil"/>
              <w:left w:val="nil"/>
              <w:bottom w:val="single" w:color="auto" w:sz="4" w:space="0"/>
              <w:right w:val="single" w:color="auto" w:sz="4" w:space="0"/>
            </w:tcBorders>
            <w:shd w:val="clear" w:color="auto" w:fill="auto"/>
            <w:noWrap/>
            <w:vAlign w:val="center"/>
          </w:tcPr>
          <w:p w14:paraId="72483457">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115.231349</w:t>
            </w:r>
          </w:p>
        </w:tc>
        <w:tc>
          <w:tcPr>
            <w:tcW w:w="1417" w:type="dxa"/>
            <w:tcBorders>
              <w:top w:val="nil"/>
              <w:left w:val="nil"/>
              <w:bottom w:val="single" w:color="auto" w:sz="4" w:space="0"/>
              <w:right w:val="single" w:color="auto" w:sz="4" w:space="0"/>
            </w:tcBorders>
            <w:shd w:val="clear" w:color="auto" w:fill="auto"/>
            <w:noWrap/>
            <w:vAlign w:val="center"/>
          </w:tcPr>
          <w:p w14:paraId="570CED3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22.935324</w:t>
            </w:r>
          </w:p>
        </w:tc>
        <w:tc>
          <w:tcPr>
            <w:tcW w:w="1418" w:type="dxa"/>
            <w:tcBorders>
              <w:top w:val="nil"/>
              <w:left w:val="nil"/>
              <w:bottom w:val="single" w:color="auto" w:sz="4" w:space="0"/>
              <w:right w:val="single" w:color="auto" w:sz="4" w:space="0"/>
            </w:tcBorders>
            <w:shd w:val="clear" w:color="auto" w:fill="auto"/>
            <w:noWrap/>
            <w:vAlign w:val="center"/>
          </w:tcPr>
          <w:p w14:paraId="25F4F0F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40CDA82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CB880E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6819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6818E1C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7</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D99B32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规划室分10</w:t>
            </w:r>
          </w:p>
        </w:tc>
        <w:tc>
          <w:tcPr>
            <w:tcW w:w="1701" w:type="dxa"/>
            <w:tcBorders>
              <w:top w:val="nil"/>
              <w:left w:val="nil"/>
              <w:bottom w:val="single" w:color="auto" w:sz="4" w:space="0"/>
              <w:right w:val="single" w:color="auto" w:sz="4" w:space="0"/>
            </w:tcBorders>
            <w:shd w:val="clear" w:color="auto" w:fill="auto"/>
            <w:noWrap/>
            <w:vAlign w:val="center"/>
          </w:tcPr>
          <w:p w14:paraId="2C79E928">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115.233226</w:t>
            </w:r>
          </w:p>
        </w:tc>
        <w:tc>
          <w:tcPr>
            <w:tcW w:w="1417" w:type="dxa"/>
            <w:tcBorders>
              <w:top w:val="nil"/>
              <w:left w:val="nil"/>
              <w:bottom w:val="single" w:color="auto" w:sz="4" w:space="0"/>
              <w:right w:val="single" w:color="auto" w:sz="4" w:space="0"/>
            </w:tcBorders>
            <w:shd w:val="clear" w:color="auto" w:fill="auto"/>
            <w:noWrap/>
            <w:vAlign w:val="center"/>
          </w:tcPr>
          <w:p w14:paraId="5BF27A26">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22.935668</w:t>
            </w:r>
          </w:p>
        </w:tc>
        <w:tc>
          <w:tcPr>
            <w:tcW w:w="1418" w:type="dxa"/>
            <w:tcBorders>
              <w:top w:val="nil"/>
              <w:left w:val="nil"/>
              <w:bottom w:val="single" w:color="auto" w:sz="4" w:space="0"/>
              <w:right w:val="single" w:color="auto" w:sz="4" w:space="0"/>
            </w:tcBorders>
            <w:shd w:val="clear" w:color="auto" w:fill="auto"/>
            <w:noWrap/>
            <w:vAlign w:val="center"/>
          </w:tcPr>
          <w:p w14:paraId="0044DCC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6CD5562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4F576DB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7538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75BD48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8</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8F5DE8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规划室分11</w:t>
            </w:r>
          </w:p>
        </w:tc>
        <w:tc>
          <w:tcPr>
            <w:tcW w:w="1701" w:type="dxa"/>
            <w:tcBorders>
              <w:top w:val="nil"/>
              <w:left w:val="nil"/>
              <w:bottom w:val="single" w:color="auto" w:sz="4" w:space="0"/>
              <w:right w:val="single" w:color="auto" w:sz="4" w:space="0"/>
            </w:tcBorders>
            <w:shd w:val="clear" w:color="auto" w:fill="auto"/>
            <w:noWrap/>
            <w:vAlign w:val="center"/>
          </w:tcPr>
          <w:p w14:paraId="0B67529E">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115.228073</w:t>
            </w:r>
          </w:p>
        </w:tc>
        <w:tc>
          <w:tcPr>
            <w:tcW w:w="1417" w:type="dxa"/>
            <w:tcBorders>
              <w:top w:val="nil"/>
              <w:left w:val="nil"/>
              <w:bottom w:val="single" w:color="auto" w:sz="4" w:space="0"/>
              <w:right w:val="single" w:color="auto" w:sz="4" w:space="0"/>
            </w:tcBorders>
            <w:shd w:val="clear" w:color="auto" w:fill="auto"/>
            <w:noWrap/>
            <w:vAlign w:val="center"/>
          </w:tcPr>
          <w:p w14:paraId="15D91BE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22.937759</w:t>
            </w:r>
          </w:p>
        </w:tc>
        <w:tc>
          <w:tcPr>
            <w:tcW w:w="1418" w:type="dxa"/>
            <w:tcBorders>
              <w:top w:val="nil"/>
              <w:left w:val="nil"/>
              <w:bottom w:val="single" w:color="auto" w:sz="4" w:space="0"/>
              <w:right w:val="single" w:color="auto" w:sz="4" w:space="0"/>
            </w:tcBorders>
            <w:shd w:val="clear" w:color="auto" w:fill="auto"/>
            <w:noWrap/>
            <w:vAlign w:val="center"/>
          </w:tcPr>
          <w:p w14:paraId="450FBEE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081BDC9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FEB696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商业楼宇</w:t>
            </w:r>
          </w:p>
        </w:tc>
      </w:tr>
      <w:tr w14:paraId="31BF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3EFFC7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3</w:t>
            </w:r>
            <w:r>
              <w:rPr>
                <w:rFonts w:asciiTheme="minorEastAsia" w:hAnsiTheme="minorEastAsia" w:eastAsiaTheme="minorEastAsia"/>
                <w:color w:val="000000"/>
                <w:sz w:val="22"/>
              </w:rPr>
              <w:t>9</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58B4FF6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规划室分12</w:t>
            </w:r>
          </w:p>
        </w:tc>
        <w:tc>
          <w:tcPr>
            <w:tcW w:w="1701" w:type="dxa"/>
            <w:tcBorders>
              <w:top w:val="nil"/>
              <w:left w:val="nil"/>
              <w:bottom w:val="single" w:color="auto" w:sz="4" w:space="0"/>
              <w:right w:val="single" w:color="auto" w:sz="4" w:space="0"/>
            </w:tcBorders>
            <w:shd w:val="clear" w:color="auto" w:fill="auto"/>
            <w:noWrap/>
            <w:vAlign w:val="center"/>
          </w:tcPr>
          <w:p w14:paraId="32B7DA3B">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115.227722</w:t>
            </w:r>
          </w:p>
        </w:tc>
        <w:tc>
          <w:tcPr>
            <w:tcW w:w="1417" w:type="dxa"/>
            <w:tcBorders>
              <w:top w:val="nil"/>
              <w:left w:val="nil"/>
              <w:bottom w:val="single" w:color="auto" w:sz="4" w:space="0"/>
              <w:right w:val="single" w:color="auto" w:sz="4" w:space="0"/>
            </w:tcBorders>
            <w:shd w:val="clear" w:color="auto" w:fill="auto"/>
            <w:noWrap/>
            <w:vAlign w:val="center"/>
          </w:tcPr>
          <w:p w14:paraId="523BD6E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22.936368</w:t>
            </w:r>
          </w:p>
        </w:tc>
        <w:tc>
          <w:tcPr>
            <w:tcW w:w="1418" w:type="dxa"/>
            <w:tcBorders>
              <w:top w:val="nil"/>
              <w:left w:val="nil"/>
              <w:bottom w:val="single" w:color="auto" w:sz="4" w:space="0"/>
              <w:right w:val="single" w:color="auto" w:sz="4" w:space="0"/>
            </w:tcBorders>
            <w:shd w:val="clear" w:color="auto" w:fill="auto"/>
            <w:noWrap/>
            <w:vAlign w:val="center"/>
          </w:tcPr>
          <w:p w14:paraId="5CB07B7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97C6CD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3569AA8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商业楼宇</w:t>
            </w:r>
          </w:p>
        </w:tc>
      </w:tr>
      <w:tr w14:paraId="4063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1BF0B56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0</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C6C56D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规划室分13</w:t>
            </w:r>
          </w:p>
        </w:tc>
        <w:tc>
          <w:tcPr>
            <w:tcW w:w="1701" w:type="dxa"/>
            <w:tcBorders>
              <w:top w:val="nil"/>
              <w:left w:val="nil"/>
              <w:bottom w:val="single" w:color="auto" w:sz="4" w:space="0"/>
              <w:right w:val="single" w:color="auto" w:sz="4" w:space="0"/>
            </w:tcBorders>
            <w:shd w:val="clear" w:color="auto" w:fill="auto"/>
            <w:noWrap/>
            <w:vAlign w:val="center"/>
          </w:tcPr>
          <w:p w14:paraId="634C137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115.227978</w:t>
            </w:r>
          </w:p>
        </w:tc>
        <w:tc>
          <w:tcPr>
            <w:tcW w:w="1417" w:type="dxa"/>
            <w:tcBorders>
              <w:top w:val="nil"/>
              <w:left w:val="nil"/>
              <w:bottom w:val="single" w:color="auto" w:sz="4" w:space="0"/>
              <w:right w:val="single" w:color="auto" w:sz="4" w:space="0"/>
            </w:tcBorders>
            <w:shd w:val="clear" w:color="auto" w:fill="auto"/>
            <w:noWrap/>
            <w:vAlign w:val="center"/>
          </w:tcPr>
          <w:p w14:paraId="789410F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22.935147</w:t>
            </w:r>
          </w:p>
        </w:tc>
        <w:tc>
          <w:tcPr>
            <w:tcW w:w="1418" w:type="dxa"/>
            <w:tcBorders>
              <w:top w:val="nil"/>
              <w:left w:val="nil"/>
              <w:bottom w:val="single" w:color="auto" w:sz="4" w:space="0"/>
              <w:right w:val="single" w:color="auto" w:sz="4" w:space="0"/>
            </w:tcBorders>
            <w:shd w:val="clear" w:color="auto" w:fill="auto"/>
            <w:noWrap/>
            <w:vAlign w:val="center"/>
          </w:tcPr>
          <w:p w14:paraId="635B2E1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3C0507D8">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80AC63B">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商业楼宇</w:t>
            </w:r>
          </w:p>
        </w:tc>
      </w:tr>
      <w:tr w14:paraId="240D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4472B9A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1</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0485EF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规划室分14</w:t>
            </w:r>
          </w:p>
        </w:tc>
        <w:tc>
          <w:tcPr>
            <w:tcW w:w="1701" w:type="dxa"/>
            <w:tcBorders>
              <w:top w:val="nil"/>
              <w:left w:val="nil"/>
              <w:bottom w:val="single" w:color="auto" w:sz="4" w:space="0"/>
              <w:right w:val="single" w:color="auto" w:sz="4" w:space="0"/>
            </w:tcBorders>
            <w:shd w:val="clear" w:color="auto" w:fill="auto"/>
            <w:noWrap/>
            <w:vAlign w:val="center"/>
          </w:tcPr>
          <w:p w14:paraId="7370A8E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115.238828</w:t>
            </w:r>
          </w:p>
        </w:tc>
        <w:tc>
          <w:tcPr>
            <w:tcW w:w="1417" w:type="dxa"/>
            <w:tcBorders>
              <w:top w:val="nil"/>
              <w:left w:val="nil"/>
              <w:bottom w:val="single" w:color="auto" w:sz="4" w:space="0"/>
              <w:right w:val="single" w:color="auto" w:sz="4" w:space="0"/>
            </w:tcBorders>
            <w:shd w:val="clear" w:color="auto" w:fill="auto"/>
            <w:noWrap/>
            <w:vAlign w:val="center"/>
          </w:tcPr>
          <w:p w14:paraId="440DCC4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22.935647</w:t>
            </w:r>
          </w:p>
        </w:tc>
        <w:tc>
          <w:tcPr>
            <w:tcW w:w="1418" w:type="dxa"/>
            <w:tcBorders>
              <w:top w:val="nil"/>
              <w:left w:val="nil"/>
              <w:bottom w:val="single" w:color="auto" w:sz="4" w:space="0"/>
              <w:right w:val="single" w:color="auto" w:sz="4" w:space="0"/>
            </w:tcBorders>
            <w:shd w:val="clear" w:color="auto" w:fill="auto"/>
            <w:noWrap/>
            <w:vAlign w:val="center"/>
          </w:tcPr>
          <w:p w14:paraId="606317A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548F93F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32D832B">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交通枢纽</w:t>
            </w:r>
          </w:p>
        </w:tc>
      </w:tr>
      <w:tr w14:paraId="6A5A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32A228B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2</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1201881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规划室分15</w:t>
            </w:r>
          </w:p>
        </w:tc>
        <w:tc>
          <w:tcPr>
            <w:tcW w:w="1701" w:type="dxa"/>
            <w:tcBorders>
              <w:top w:val="nil"/>
              <w:left w:val="nil"/>
              <w:bottom w:val="single" w:color="auto" w:sz="4" w:space="0"/>
              <w:right w:val="single" w:color="auto" w:sz="4" w:space="0"/>
            </w:tcBorders>
            <w:shd w:val="clear" w:color="auto" w:fill="auto"/>
            <w:noWrap/>
            <w:vAlign w:val="center"/>
          </w:tcPr>
          <w:p w14:paraId="5FCDD0D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115.211711</w:t>
            </w:r>
          </w:p>
        </w:tc>
        <w:tc>
          <w:tcPr>
            <w:tcW w:w="1417" w:type="dxa"/>
            <w:tcBorders>
              <w:top w:val="nil"/>
              <w:left w:val="nil"/>
              <w:bottom w:val="single" w:color="auto" w:sz="4" w:space="0"/>
              <w:right w:val="single" w:color="auto" w:sz="4" w:space="0"/>
            </w:tcBorders>
            <w:shd w:val="clear" w:color="auto" w:fill="auto"/>
            <w:noWrap/>
            <w:vAlign w:val="center"/>
          </w:tcPr>
          <w:p w14:paraId="75D27C3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22.988544</w:t>
            </w:r>
          </w:p>
        </w:tc>
        <w:tc>
          <w:tcPr>
            <w:tcW w:w="1418" w:type="dxa"/>
            <w:tcBorders>
              <w:top w:val="nil"/>
              <w:left w:val="nil"/>
              <w:bottom w:val="single" w:color="auto" w:sz="4" w:space="0"/>
              <w:right w:val="single" w:color="auto" w:sz="4" w:space="0"/>
            </w:tcBorders>
            <w:shd w:val="clear" w:color="auto" w:fill="auto"/>
            <w:noWrap/>
            <w:vAlign w:val="center"/>
          </w:tcPr>
          <w:p w14:paraId="26F3F9D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8C5497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439FF3DB">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380E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51DB1D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3</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F3D43B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规划室分16</w:t>
            </w:r>
          </w:p>
        </w:tc>
        <w:tc>
          <w:tcPr>
            <w:tcW w:w="1701" w:type="dxa"/>
            <w:tcBorders>
              <w:top w:val="nil"/>
              <w:left w:val="nil"/>
              <w:bottom w:val="single" w:color="auto" w:sz="4" w:space="0"/>
              <w:right w:val="single" w:color="auto" w:sz="4" w:space="0"/>
            </w:tcBorders>
            <w:shd w:val="clear" w:color="auto" w:fill="auto"/>
            <w:noWrap/>
            <w:vAlign w:val="center"/>
          </w:tcPr>
          <w:p w14:paraId="3C5B10C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115.211404</w:t>
            </w:r>
          </w:p>
        </w:tc>
        <w:tc>
          <w:tcPr>
            <w:tcW w:w="1417" w:type="dxa"/>
            <w:tcBorders>
              <w:top w:val="nil"/>
              <w:left w:val="nil"/>
              <w:bottom w:val="single" w:color="auto" w:sz="4" w:space="0"/>
              <w:right w:val="single" w:color="auto" w:sz="4" w:space="0"/>
            </w:tcBorders>
            <w:shd w:val="clear" w:color="auto" w:fill="auto"/>
            <w:noWrap/>
            <w:vAlign w:val="center"/>
          </w:tcPr>
          <w:p w14:paraId="0C9E971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22.986912</w:t>
            </w:r>
          </w:p>
        </w:tc>
        <w:tc>
          <w:tcPr>
            <w:tcW w:w="1418" w:type="dxa"/>
            <w:tcBorders>
              <w:top w:val="nil"/>
              <w:left w:val="nil"/>
              <w:bottom w:val="single" w:color="auto" w:sz="4" w:space="0"/>
              <w:right w:val="single" w:color="auto" w:sz="4" w:space="0"/>
            </w:tcBorders>
            <w:shd w:val="clear" w:color="auto" w:fill="auto"/>
            <w:noWrap/>
            <w:vAlign w:val="center"/>
          </w:tcPr>
          <w:p w14:paraId="3B16A16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6E39A1C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34017C6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21D7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744B8107">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4</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0FA1CEA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规划室分17</w:t>
            </w:r>
          </w:p>
        </w:tc>
        <w:tc>
          <w:tcPr>
            <w:tcW w:w="1701" w:type="dxa"/>
            <w:tcBorders>
              <w:top w:val="nil"/>
              <w:left w:val="nil"/>
              <w:bottom w:val="single" w:color="auto" w:sz="4" w:space="0"/>
              <w:right w:val="single" w:color="auto" w:sz="4" w:space="0"/>
            </w:tcBorders>
            <w:shd w:val="clear" w:color="auto" w:fill="auto"/>
            <w:noWrap/>
            <w:vAlign w:val="center"/>
          </w:tcPr>
          <w:p w14:paraId="4D8084F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115.213401</w:t>
            </w:r>
          </w:p>
        </w:tc>
        <w:tc>
          <w:tcPr>
            <w:tcW w:w="1417" w:type="dxa"/>
            <w:tcBorders>
              <w:top w:val="nil"/>
              <w:left w:val="nil"/>
              <w:bottom w:val="single" w:color="auto" w:sz="4" w:space="0"/>
              <w:right w:val="single" w:color="auto" w:sz="4" w:space="0"/>
            </w:tcBorders>
            <w:shd w:val="clear" w:color="auto" w:fill="auto"/>
            <w:noWrap/>
            <w:vAlign w:val="center"/>
          </w:tcPr>
          <w:p w14:paraId="56793A4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22.986157</w:t>
            </w:r>
          </w:p>
        </w:tc>
        <w:tc>
          <w:tcPr>
            <w:tcW w:w="1418" w:type="dxa"/>
            <w:tcBorders>
              <w:top w:val="nil"/>
              <w:left w:val="nil"/>
              <w:bottom w:val="single" w:color="auto" w:sz="4" w:space="0"/>
              <w:right w:val="single" w:color="auto" w:sz="4" w:space="0"/>
            </w:tcBorders>
            <w:shd w:val="clear" w:color="auto" w:fill="auto"/>
            <w:noWrap/>
            <w:vAlign w:val="center"/>
          </w:tcPr>
          <w:p w14:paraId="03BE04D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2BCBC142">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42C1DA1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住宅小区</w:t>
            </w:r>
          </w:p>
        </w:tc>
      </w:tr>
      <w:tr w14:paraId="4A2F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shd w:val="clear" w:color="auto" w:fill="auto"/>
            <w:noWrap/>
            <w:vAlign w:val="center"/>
          </w:tcPr>
          <w:p w14:paraId="5C745B1C">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4</w:t>
            </w:r>
            <w:r>
              <w:rPr>
                <w:rFonts w:asciiTheme="minorEastAsia" w:hAnsiTheme="minorEastAsia" w:eastAsiaTheme="minorEastAsia"/>
                <w:color w:val="000000"/>
                <w:sz w:val="22"/>
              </w:rPr>
              <w:t>5</w:t>
            </w:r>
          </w:p>
        </w:tc>
        <w:tc>
          <w:tcPr>
            <w:tcW w:w="1985" w:type="dxa"/>
            <w:tcBorders>
              <w:top w:val="nil"/>
              <w:left w:val="single" w:color="auto" w:sz="4" w:space="0"/>
              <w:bottom w:val="single" w:color="auto" w:sz="4" w:space="0"/>
              <w:right w:val="single" w:color="auto" w:sz="4" w:space="0"/>
            </w:tcBorders>
            <w:shd w:val="clear" w:color="auto" w:fill="auto"/>
            <w:noWrap/>
            <w:vAlign w:val="center"/>
          </w:tcPr>
          <w:p w14:paraId="76D828A5">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规划室分18</w:t>
            </w:r>
          </w:p>
        </w:tc>
        <w:tc>
          <w:tcPr>
            <w:tcW w:w="1701" w:type="dxa"/>
            <w:tcBorders>
              <w:top w:val="nil"/>
              <w:left w:val="nil"/>
              <w:bottom w:val="single" w:color="auto" w:sz="4" w:space="0"/>
              <w:right w:val="single" w:color="auto" w:sz="4" w:space="0"/>
            </w:tcBorders>
            <w:shd w:val="clear" w:color="auto" w:fill="auto"/>
            <w:noWrap/>
            <w:vAlign w:val="center"/>
          </w:tcPr>
          <w:p w14:paraId="5D9C3C39">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115.234604</w:t>
            </w:r>
          </w:p>
        </w:tc>
        <w:tc>
          <w:tcPr>
            <w:tcW w:w="1417" w:type="dxa"/>
            <w:tcBorders>
              <w:top w:val="nil"/>
              <w:left w:val="nil"/>
              <w:bottom w:val="single" w:color="auto" w:sz="4" w:space="0"/>
              <w:right w:val="single" w:color="auto" w:sz="4" w:space="0"/>
            </w:tcBorders>
            <w:shd w:val="clear" w:color="auto" w:fill="auto"/>
            <w:noWrap/>
            <w:vAlign w:val="center"/>
          </w:tcPr>
          <w:p w14:paraId="4DBF415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22.950791</w:t>
            </w:r>
          </w:p>
        </w:tc>
        <w:tc>
          <w:tcPr>
            <w:tcW w:w="1418" w:type="dxa"/>
            <w:tcBorders>
              <w:top w:val="nil"/>
              <w:left w:val="nil"/>
              <w:bottom w:val="single" w:color="auto" w:sz="4" w:space="0"/>
              <w:right w:val="single" w:color="auto" w:sz="4" w:space="0"/>
            </w:tcBorders>
            <w:shd w:val="clear" w:color="auto" w:fill="auto"/>
            <w:noWrap/>
            <w:vAlign w:val="center"/>
          </w:tcPr>
          <w:p w14:paraId="3D3A1F9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室分系统</w:t>
            </w:r>
          </w:p>
        </w:tc>
        <w:tc>
          <w:tcPr>
            <w:tcW w:w="1134" w:type="dxa"/>
            <w:tcBorders>
              <w:top w:val="nil"/>
              <w:left w:val="nil"/>
              <w:bottom w:val="single" w:color="auto" w:sz="4" w:space="0"/>
              <w:right w:val="single" w:color="auto" w:sz="4" w:space="0"/>
            </w:tcBorders>
            <w:shd w:val="clear" w:color="auto" w:fill="auto"/>
            <w:noWrap/>
            <w:vAlign w:val="center"/>
          </w:tcPr>
          <w:p w14:paraId="79D9AE4D">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规划室分</w:t>
            </w:r>
          </w:p>
        </w:tc>
        <w:tc>
          <w:tcPr>
            <w:tcW w:w="1134" w:type="dxa"/>
            <w:tcBorders>
              <w:top w:val="nil"/>
              <w:left w:val="nil"/>
              <w:bottom w:val="single" w:color="auto" w:sz="4" w:space="0"/>
              <w:right w:val="single" w:color="auto" w:sz="4" w:space="0"/>
            </w:tcBorders>
            <w:shd w:val="clear" w:color="auto" w:fill="auto"/>
            <w:noWrap/>
            <w:vAlign w:val="center"/>
          </w:tcPr>
          <w:p w14:paraId="2F00BBC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医院</w:t>
            </w:r>
          </w:p>
        </w:tc>
      </w:tr>
    </w:tbl>
    <w:p w14:paraId="4155C58E">
      <w:pPr>
        <w:widowControl/>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注：其中2个规划基站为现网站点搬迁至新规划的站点。</w:t>
      </w:r>
    </w:p>
    <w:p w14:paraId="284401D0">
      <w:pPr>
        <w:pStyle w:val="6"/>
        <w:rPr>
          <w:rFonts w:hint="eastAsia" w:cs="宋体" w:asciiTheme="minorEastAsia" w:hAnsiTheme="minorEastAsia" w:eastAsiaTheme="minorEastAsia"/>
          <w:kern w:val="0"/>
        </w:rPr>
      </w:pPr>
      <w:r>
        <w:rPr>
          <w:rFonts w:hint="eastAsia" w:cs="宋体" w:asciiTheme="minorEastAsia" w:hAnsiTheme="minorEastAsia" w:eastAsiaTheme="minorEastAsia"/>
          <w:kern w:val="0"/>
        </w:rPr>
        <w:t>基站选址优先顺序排序及偏移要求</w:t>
      </w:r>
    </w:p>
    <w:p w14:paraId="3C3DBD0E">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（1）选址优先顺序排序</w:t>
      </w:r>
    </w:p>
    <w:p w14:paraId="7D33B1AB">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强化基站与城市其他公共设施的集约共享原则。中心城区和各镇镇区建设用地内，新增基站优先采用依附公共设施，包括电力塔、道路广告牌、路灯杆等，其次采用依附建筑物方式建站，尽量减少新增单杆落地塔。</w:t>
      </w:r>
    </w:p>
    <w:p w14:paraId="4333E1B6">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基站以依附建筑物方式选址排序如下：</w:t>
      </w:r>
    </w:p>
    <w:p w14:paraId="3866CEDF">
      <w:pPr>
        <w:autoSpaceDE w:val="0"/>
        <w:autoSpaceDN w:val="0"/>
        <w:adjustRightInd w:val="0"/>
        <w:jc w:val="center"/>
      </w:pPr>
      <w:r>
        <w:drawing>
          <wp:inline distT="0" distB="0" distL="0" distR="0">
            <wp:extent cx="5931535" cy="50228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5"/>
                    <a:stretch>
                      <a:fillRect/>
                    </a:stretch>
                  </pic:blipFill>
                  <pic:spPr>
                    <a:xfrm>
                      <a:off x="0" y="0"/>
                      <a:ext cx="6000640" cy="508347"/>
                    </a:xfrm>
                    <a:prstGeom prst="rect">
                      <a:avLst/>
                    </a:prstGeom>
                  </pic:spPr>
                </pic:pic>
              </a:graphicData>
            </a:graphic>
          </wp:inline>
        </w:drawing>
      </w:r>
    </w:p>
    <w:p w14:paraId="5B1B0CFD">
      <w:pPr>
        <w:autoSpaceDE w:val="0"/>
        <w:autoSpaceDN w:val="0"/>
        <w:adjustRightInd w:val="0"/>
        <w:jc w:val="center"/>
        <w:rPr>
          <w:sz w:val="24"/>
        </w:rPr>
      </w:pPr>
      <w:r>
        <w:rPr>
          <w:rFonts w:hint="eastAsia"/>
          <w:sz w:val="24"/>
        </w:rPr>
        <w:t>图</w:t>
      </w:r>
      <w:r>
        <w:rPr>
          <w:sz w:val="24"/>
        </w:rPr>
        <w:t xml:space="preserve">4-2 </w:t>
      </w:r>
      <w:r>
        <w:rPr>
          <w:rFonts w:hint="eastAsia"/>
          <w:sz w:val="24"/>
        </w:rPr>
        <w:t>依附楼顶基站选址排序图</w:t>
      </w:r>
    </w:p>
    <w:p w14:paraId="37CE26CB">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单杆落地塔一般在外围农村区域建设，其选址排序见下图：</w:t>
      </w:r>
    </w:p>
    <w:p w14:paraId="7AB30E43">
      <w:pPr>
        <w:autoSpaceDE w:val="0"/>
        <w:autoSpaceDN w:val="0"/>
        <w:adjustRightInd w:val="0"/>
        <w:jc w:val="left"/>
        <w:rPr>
          <w:rFonts w:hint="eastAsia" w:asciiTheme="minorEastAsia" w:hAnsiTheme="minorEastAsia" w:eastAsiaTheme="minorEastAsia"/>
          <w:sz w:val="28"/>
          <w:szCs w:val="28"/>
        </w:rPr>
      </w:pPr>
      <w:r>
        <w:rPr>
          <w:rFonts w:asciiTheme="minorEastAsia" w:hAnsiTheme="minorEastAsia" w:eastAsiaTheme="minorEastAsia"/>
          <w:sz w:val="28"/>
          <w:szCs w:val="28"/>
        </w:rPr>
        <w:drawing>
          <wp:inline distT="0" distB="0" distL="0" distR="0">
            <wp:extent cx="5732780" cy="762635"/>
            <wp:effectExtent l="0" t="0" r="127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6"/>
                    <a:stretch>
                      <a:fillRect/>
                    </a:stretch>
                  </pic:blipFill>
                  <pic:spPr>
                    <a:xfrm>
                      <a:off x="0" y="0"/>
                      <a:ext cx="5779009" cy="769080"/>
                    </a:xfrm>
                    <a:prstGeom prst="rect">
                      <a:avLst/>
                    </a:prstGeom>
                  </pic:spPr>
                </pic:pic>
              </a:graphicData>
            </a:graphic>
          </wp:inline>
        </w:drawing>
      </w:r>
    </w:p>
    <w:p w14:paraId="42371C59">
      <w:pPr>
        <w:pStyle w:val="32"/>
        <w:spacing w:line="500" w:lineRule="exact"/>
        <w:ind w:firstLine="0" w:firstLineChars="0"/>
        <w:jc w:val="center"/>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图</w:t>
      </w:r>
      <w:r>
        <w:rPr>
          <w:rFonts w:cs="宋体" w:asciiTheme="minorEastAsia" w:hAnsiTheme="minorEastAsia" w:eastAsiaTheme="minorEastAsia"/>
          <w:sz w:val="28"/>
          <w:szCs w:val="28"/>
        </w:rPr>
        <w:t xml:space="preserve">4-3 </w:t>
      </w:r>
      <w:r>
        <w:rPr>
          <w:rFonts w:hint="eastAsia" w:cs="宋体" w:asciiTheme="minorEastAsia" w:hAnsiTheme="minorEastAsia" w:eastAsiaTheme="minorEastAsia"/>
          <w:sz w:val="28"/>
          <w:szCs w:val="28"/>
        </w:rPr>
        <w:t>单杆落地塔选址排序图</w:t>
      </w:r>
    </w:p>
    <w:p w14:paraId="37FC6FFF">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（2）选址偏离规划要求</w:t>
      </w:r>
    </w:p>
    <w:p w14:paraId="796BB508">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网络的信号不仅受到专业技术、设备的影响，在无线传播环境中还会受到建筑物、树木、过往车辆、行人、雨水等影响，因而通信基站后期实际建设站址相比规划站址会出现一定的偏移。主要</w:t>
      </w:r>
      <w:r>
        <w:rPr>
          <w:rFonts w:asciiTheme="minorEastAsia" w:hAnsiTheme="minorEastAsia" w:eastAsiaTheme="minorEastAsia"/>
          <w:szCs w:val="28"/>
        </w:rPr>
        <w:t>原因有：</w:t>
      </w:r>
    </w:p>
    <w:p w14:paraId="6D1A1A20">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（1）城市规划的不断更新调整；</w:t>
      </w:r>
    </w:p>
    <w:p w14:paraId="2CA9F4CB">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（2）城市实际建设情况与城市规划的差距。</w:t>
      </w:r>
    </w:p>
    <w:p w14:paraId="68E8E62C">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移动通信采用蜂窝结构组网，每个基站的覆盖范围经过预先设计，基站之间相互约束，当基站位置确定之后，不适合进行大范围的调整，否则将影响到整个网络的通信服务质量。一般要求基站站址分布与所要求的蜂窝结构的偏离小于站间距的1/4，在密集覆盖区域的偏离尽量小于站间距的1/8。实际情况中，站址受地形起伏、业务分布等因素影响，需因地制宜进行选取。</w:t>
      </w:r>
    </w:p>
    <w:p w14:paraId="0F20DECC">
      <w:pPr>
        <w:pStyle w:val="39"/>
        <w:ind w:firstLine="560"/>
        <w:rPr>
          <w:rFonts w:hint="eastAsia" w:asciiTheme="minorEastAsia" w:hAnsiTheme="minorEastAsia" w:eastAsiaTheme="minorEastAsia"/>
          <w:szCs w:val="28"/>
        </w:rPr>
      </w:pPr>
      <w:r>
        <w:rPr>
          <w:rFonts w:hint="eastAsia" w:asciiTheme="minorEastAsia" w:hAnsiTheme="minorEastAsia" w:eastAsiaTheme="minorEastAsia"/>
          <w:szCs w:val="28"/>
        </w:rPr>
        <w:t>其他</w:t>
      </w:r>
      <w:r>
        <w:rPr>
          <w:rFonts w:asciiTheme="minorEastAsia" w:hAnsiTheme="minorEastAsia" w:eastAsiaTheme="minorEastAsia"/>
          <w:szCs w:val="28"/>
        </w:rPr>
        <w:t>情况下，可</w:t>
      </w:r>
      <w:r>
        <w:rPr>
          <w:rFonts w:hint="eastAsia" w:asciiTheme="minorEastAsia" w:hAnsiTheme="minorEastAsia" w:eastAsiaTheme="minorEastAsia"/>
          <w:szCs w:val="28"/>
        </w:rPr>
        <w:t>按照基站站址</w:t>
      </w:r>
      <w:r>
        <w:rPr>
          <w:rFonts w:asciiTheme="minorEastAsia" w:hAnsiTheme="minorEastAsia" w:eastAsiaTheme="minorEastAsia"/>
          <w:szCs w:val="28"/>
        </w:rPr>
        <w:t>物业</w:t>
      </w:r>
      <w:r>
        <w:rPr>
          <w:rFonts w:hint="eastAsia" w:asciiTheme="minorEastAsia" w:hAnsiTheme="minorEastAsia" w:eastAsiaTheme="minorEastAsia"/>
          <w:szCs w:val="28"/>
        </w:rPr>
        <w:t>归属分类，一般</w:t>
      </w:r>
      <w:r>
        <w:rPr>
          <w:rFonts w:asciiTheme="minorEastAsia" w:hAnsiTheme="minorEastAsia" w:eastAsiaTheme="minorEastAsia"/>
          <w:szCs w:val="28"/>
        </w:rPr>
        <w:t>情况下，</w:t>
      </w:r>
      <w:r>
        <w:rPr>
          <w:rFonts w:hint="eastAsia" w:asciiTheme="minorEastAsia" w:hAnsiTheme="minorEastAsia" w:eastAsiaTheme="minorEastAsia"/>
          <w:szCs w:val="28"/>
        </w:rPr>
        <w:t>各场景基站规划布点选址偏移距离可参考下表。</w:t>
      </w:r>
    </w:p>
    <w:p w14:paraId="1913243D">
      <w:pPr>
        <w:tabs>
          <w:tab w:val="left" w:pos="2160"/>
        </w:tabs>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表4</w:t>
      </w:r>
      <w:r>
        <w:rPr>
          <w:rFonts w:asciiTheme="minorEastAsia" w:hAnsiTheme="minorEastAsia" w:eastAsiaTheme="minorEastAsia"/>
          <w:sz w:val="28"/>
          <w:szCs w:val="28"/>
        </w:rPr>
        <w:t>-</w:t>
      </w:r>
      <w:r>
        <w:rPr>
          <w:rFonts w:hint="eastAsia" w:asciiTheme="minorEastAsia" w:hAnsiTheme="minorEastAsia" w:eastAsiaTheme="minorEastAsia"/>
          <w:sz w:val="28"/>
          <w:szCs w:val="28"/>
        </w:rPr>
        <w:t>1</w:t>
      </w:r>
      <w:r>
        <w:rPr>
          <w:rFonts w:asciiTheme="minorEastAsia" w:hAnsiTheme="minorEastAsia" w:eastAsiaTheme="minorEastAsia"/>
          <w:sz w:val="28"/>
          <w:szCs w:val="28"/>
        </w:rPr>
        <w:t>1</w:t>
      </w:r>
      <w:r>
        <w:rPr>
          <w:rFonts w:hint="eastAsia" w:asciiTheme="minorEastAsia" w:hAnsiTheme="minorEastAsia" w:eastAsiaTheme="minorEastAsia"/>
          <w:sz w:val="28"/>
          <w:szCs w:val="28"/>
        </w:rPr>
        <w:t>：基站规划布点选址偏移距离</w:t>
      </w:r>
    </w:p>
    <w:tbl>
      <w:tblPr>
        <w:tblStyle w:val="20"/>
        <w:tblW w:w="5000" w:type="pct"/>
        <w:tblInd w:w="0" w:type="dxa"/>
        <w:tblLayout w:type="autofit"/>
        <w:tblCellMar>
          <w:top w:w="0" w:type="dxa"/>
          <w:left w:w="108" w:type="dxa"/>
          <w:bottom w:w="0" w:type="dxa"/>
          <w:right w:w="108" w:type="dxa"/>
        </w:tblCellMar>
      </w:tblPr>
      <w:tblGrid>
        <w:gridCol w:w="922"/>
        <w:gridCol w:w="1229"/>
        <w:gridCol w:w="768"/>
        <w:gridCol w:w="4452"/>
        <w:gridCol w:w="1533"/>
      </w:tblGrid>
      <w:tr w14:paraId="1C008025">
        <w:tblPrEx>
          <w:tblCellMar>
            <w:top w:w="0" w:type="dxa"/>
            <w:left w:w="108" w:type="dxa"/>
            <w:bottom w:w="0" w:type="dxa"/>
            <w:right w:w="108" w:type="dxa"/>
          </w:tblCellMar>
        </w:tblPrEx>
        <w:trPr>
          <w:cantSplit/>
          <w:trHeight w:val="388" w:hRule="atLeast"/>
          <w:tblHeader/>
        </w:trPr>
        <w:tc>
          <w:tcPr>
            <w:tcW w:w="518" w:type="pct"/>
            <w:tcBorders>
              <w:top w:val="single" w:color="auto" w:sz="8" w:space="0"/>
              <w:left w:val="single" w:color="auto" w:sz="8" w:space="0"/>
              <w:bottom w:val="single" w:color="auto" w:sz="8" w:space="0"/>
              <w:right w:val="single" w:color="auto" w:sz="8" w:space="0"/>
            </w:tcBorders>
            <w:shd w:val="clear" w:color="auto" w:fill="auto"/>
            <w:vAlign w:val="center"/>
          </w:tcPr>
          <w:p w14:paraId="0E61F1DC">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690" w:type="pct"/>
            <w:tcBorders>
              <w:top w:val="single" w:color="auto" w:sz="8" w:space="0"/>
              <w:left w:val="nil"/>
              <w:bottom w:val="single" w:color="auto" w:sz="8" w:space="0"/>
              <w:right w:val="single" w:color="auto" w:sz="8" w:space="0"/>
            </w:tcBorders>
            <w:shd w:val="clear" w:color="auto" w:fill="auto"/>
            <w:vAlign w:val="center"/>
          </w:tcPr>
          <w:p w14:paraId="5E883327">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站址物业归属</w:t>
            </w:r>
          </w:p>
        </w:tc>
        <w:tc>
          <w:tcPr>
            <w:tcW w:w="431" w:type="pct"/>
            <w:tcBorders>
              <w:top w:val="single" w:color="auto" w:sz="8" w:space="0"/>
              <w:left w:val="nil"/>
              <w:bottom w:val="single" w:color="auto" w:sz="8" w:space="0"/>
              <w:right w:val="single" w:color="auto" w:sz="8" w:space="0"/>
            </w:tcBorders>
            <w:shd w:val="clear" w:color="auto" w:fill="auto"/>
            <w:vAlign w:val="center"/>
          </w:tcPr>
          <w:p w14:paraId="2A1F3BC8">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500" w:type="pct"/>
            <w:tcBorders>
              <w:top w:val="single" w:color="auto" w:sz="8" w:space="0"/>
              <w:left w:val="nil"/>
              <w:bottom w:val="single" w:color="auto" w:sz="8" w:space="0"/>
              <w:right w:val="single" w:color="auto" w:sz="8" w:space="0"/>
            </w:tcBorders>
            <w:shd w:val="clear" w:color="auto" w:fill="auto"/>
            <w:vAlign w:val="center"/>
          </w:tcPr>
          <w:p w14:paraId="0B452E9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细分归属</w:t>
            </w:r>
          </w:p>
        </w:tc>
        <w:tc>
          <w:tcPr>
            <w:tcW w:w="862" w:type="pct"/>
            <w:tcBorders>
              <w:top w:val="single" w:color="auto" w:sz="8" w:space="0"/>
              <w:left w:val="nil"/>
              <w:bottom w:val="single" w:color="auto" w:sz="8" w:space="0"/>
              <w:right w:val="single" w:color="auto" w:sz="8" w:space="0"/>
            </w:tcBorders>
            <w:shd w:val="clear" w:color="auto" w:fill="auto"/>
            <w:vAlign w:val="center"/>
          </w:tcPr>
          <w:p w14:paraId="781A1765">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一般偏移距离</w:t>
            </w:r>
          </w:p>
        </w:tc>
      </w:tr>
      <w:tr w14:paraId="6A69A372">
        <w:tblPrEx>
          <w:tblCellMar>
            <w:top w:w="0" w:type="dxa"/>
            <w:left w:w="108" w:type="dxa"/>
            <w:bottom w:w="0" w:type="dxa"/>
            <w:right w:w="108" w:type="dxa"/>
          </w:tblCellMar>
        </w:tblPrEx>
        <w:trPr>
          <w:cantSplit/>
          <w:trHeight w:val="210" w:hRule="atLeast"/>
        </w:trPr>
        <w:tc>
          <w:tcPr>
            <w:tcW w:w="518" w:type="pct"/>
            <w:vMerge w:val="restart"/>
            <w:tcBorders>
              <w:top w:val="nil"/>
              <w:left w:val="single" w:color="auto" w:sz="8" w:space="0"/>
              <w:bottom w:val="single" w:color="000000" w:sz="8" w:space="0"/>
              <w:right w:val="single" w:color="auto" w:sz="8" w:space="0"/>
            </w:tcBorders>
            <w:shd w:val="clear" w:color="auto" w:fill="auto"/>
            <w:vAlign w:val="center"/>
          </w:tcPr>
          <w:p w14:paraId="5A40C80F">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1</w:t>
            </w:r>
          </w:p>
        </w:tc>
        <w:tc>
          <w:tcPr>
            <w:tcW w:w="690" w:type="pct"/>
            <w:vMerge w:val="restart"/>
            <w:tcBorders>
              <w:top w:val="nil"/>
              <w:left w:val="single" w:color="auto" w:sz="8" w:space="0"/>
              <w:bottom w:val="single" w:color="000000" w:sz="8" w:space="0"/>
              <w:right w:val="single" w:color="auto" w:sz="8" w:space="0"/>
            </w:tcBorders>
            <w:shd w:val="clear" w:color="auto" w:fill="auto"/>
            <w:vAlign w:val="center"/>
          </w:tcPr>
          <w:p w14:paraId="0247BF45">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公共物业</w:t>
            </w:r>
          </w:p>
        </w:tc>
        <w:tc>
          <w:tcPr>
            <w:tcW w:w="431" w:type="pct"/>
            <w:tcBorders>
              <w:top w:val="nil"/>
              <w:left w:val="nil"/>
              <w:bottom w:val="single" w:color="auto" w:sz="8" w:space="0"/>
              <w:right w:val="single" w:color="auto" w:sz="8" w:space="0"/>
            </w:tcBorders>
            <w:shd w:val="clear" w:color="auto" w:fill="auto"/>
            <w:vAlign w:val="center"/>
          </w:tcPr>
          <w:p w14:paraId="1581690D">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500" w:type="pct"/>
            <w:tcBorders>
              <w:top w:val="nil"/>
              <w:left w:val="nil"/>
              <w:bottom w:val="single" w:color="auto" w:sz="8" w:space="0"/>
              <w:right w:val="single" w:color="auto" w:sz="8" w:space="0"/>
            </w:tcBorders>
            <w:shd w:val="clear" w:color="auto" w:fill="auto"/>
            <w:vAlign w:val="center"/>
          </w:tcPr>
          <w:p w14:paraId="20A7C6E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公园景区</w:t>
            </w:r>
          </w:p>
        </w:tc>
        <w:tc>
          <w:tcPr>
            <w:tcW w:w="862" w:type="pct"/>
            <w:tcBorders>
              <w:top w:val="nil"/>
              <w:left w:val="nil"/>
              <w:bottom w:val="single" w:color="auto" w:sz="8" w:space="0"/>
              <w:right w:val="single" w:color="auto" w:sz="8" w:space="0"/>
            </w:tcBorders>
            <w:shd w:val="clear" w:color="auto" w:fill="auto"/>
            <w:vAlign w:val="center"/>
          </w:tcPr>
          <w:p w14:paraId="5F877392">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77291C9D">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71B02C78">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0EA6F28E">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35B3E7E9">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2500" w:type="pct"/>
            <w:tcBorders>
              <w:top w:val="nil"/>
              <w:left w:val="nil"/>
              <w:bottom w:val="single" w:color="auto" w:sz="8" w:space="0"/>
              <w:right w:val="single" w:color="auto" w:sz="8" w:space="0"/>
            </w:tcBorders>
            <w:shd w:val="clear" w:color="auto" w:fill="auto"/>
            <w:vAlign w:val="center"/>
          </w:tcPr>
          <w:p w14:paraId="51D4A392">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政府物业</w:t>
            </w:r>
          </w:p>
        </w:tc>
        <w:tc>
          <w:tcPr>
            <w:tcW w:w="862" w:type="pct"/>
            <w:tcBorders>
              <w:top w:val="nil"/>
              <w:left w:val="nil"/>
              <w:bottom w:val="single" w:color="auto" w:sz="8" w:space="0"/>
              <w:right w:val="single" w:color="auto" w:sz="8" w:space="0"/>
            </w:tcBorders>
            <w:shd w:val="clear" w:color="auto" w:fill="auto"/>
            <w:vAlign w:val="center"/>
          </w:tcPr>
          <w:p w14:paraId="6593EE48">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47342F33">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7F3BB8C7">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312CB357">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1AE8CCA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2500" w:type="pct"/>
            <w:tcBorders>
              <w:top w:val="nil"/>
              <w:left w:val="nil"/>
              <w:bottom w:val="single" w:color="auto" w:sz="8" w:space="0"/>
              <w:right w:val="single" w:color="auto" w:sz="8" w:space="0"/>
            </w:tcBorders>
            <w:shd w:val="clear" w:color="auto" w:fill="auto"/>
            <w:vAlign w:val="center"/>
          </w:tcPr>
          <w:p w14:paraId="6FFEDC8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公用绿地</w:t>
            </w:r>
          </w:p>
        </w:tc>
        <w:tc>
          <w:tcPr>
            <w:tcW w:w="862" w:type="pct"/>
            <w:tcBorders>
              <w:top w:val="nil"/>
              <w:left w:val="nil"/>
              <w:bottom w:val="single" w:color="auto" w:sz="8" w:space="0"/>
              <w:right w:val="single" w:color="auto" w:sz="8" w:space="0"/>
            </w:tcBorders>
            <w:shd w:val="clear" w:color="auto" w:fill="auto"/>
            <w:vAlign w:val="center"/>
          </w:tcPr>
          <w:p w14:paraId="1F6029E6">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22CF5948">
        <w:tblPrEx>
          <w:tblCellMar>
            <w:top w:w="0" w:type="dxa"/>
            <w:left w:w="108" w:type="dxa"/>
            <w:bottom w:w="0" w:type="dxa"/>
            <w:right w:w="108" w:type="dxa"/>
          </w:tblCellMar>
        </w:tblPrEx>
        <w:trPr>
          <w:cantSplit/>
          <w:trHeight w:val="388" w:hRule="atLeast"/>
        </w:trPr>
        <w:tc>
          <w:tcPr>
            <w:tcW w:w="518" w:type="pct"/>
            <w:vMerge w:val="continue"/>
            <w:tcBorders>
              <w:top w:val="nil"/>
              <w:left w:val="single" w:color="auto" w:sz="8" w:space="0"/>
              <w:bottom w:val="single" w:color="000000" w:sz="8" w:space="0"/>
              <w:right w:val="single" w:color="auto" w:sz="8" w:space="0"/>
            </w:tcBorders>
            <w:vAlign w:val="center"/>
          </w:tcPr>
          <w:p w14:paraId="38039EC8">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7DEF1DAB">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5952201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2500" w:type="pct"/>
            <w:tcBorders>
              <w:top w:val="nil"/>
              <w:left w:val="nil"/>
              <w:bottom w:val="single" w:color="auto" w:sz="8" w:space="0"/>
              <w:right w:val="single" w:color="auto" w:sz="8" w:space="0"/>
            </w:tcBorders>
            <w:shd w:val="clear" w:color="auto" w:fill="auto"/>
            <w:vAlign w:val="center"/>
          </w:tcPr>
          <w:p w14:paraId="3EA696B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行政办公楼</w:t>
            </w:r>
          </w:p>
        </w:tc>
        <w:tc>
          <w:tcPr>
            <w:tcW w:w="862" w:type="pct"/>
            <w:tcBorders>
              <w:top w:val="nil"/>
              <w:left w:val="nil"/>
              <w:bottom w:val="single" w:color="auto" w:sz="8" w:space="0"/>
              <w:right w:val="single" w:color="auto" w:sz="8" w:space="0"/>
            </w:tcBorders>
            <w:shd w:val="clear" w:color="auto" w:fill="auto"/>
            <w:vAlign w:val="center"/>
          </w:tcPr>
          <w:p w14:paraId="17F1657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18FB8BBB">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07A0F614">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450D055A">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1F932E5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2500" w:type="pct"/>
            <w:tcBorders>
              <w:top w:val="nil"/>
              <w:left w:val="nil"/>
              <w:bottom w:val="single" w:color="auto" w:sz="8" w:space="0"/>
              <w:right w:val="single" w:color="auto" w:sz="8" w:space="0"/>
            </w:tcBorders>
            <w:shd w:val="clear" w:color="auto" w:fill="auto"/>
            <w:vAlign w:val="center"/>
          </w:tcPr>
          <w:p w14:paraId="6C6618AC">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部队</w:t>
            </w:r>
          </w:p>
        </w:tc>
        <w:tc>
          <w:tcPr>
            <w:tcW w:w="862" w:type="pct"/>
            <w:tcBorders>
              <w:top w:val="nil"/>
              <w:left w:val="nil"/>
              <w:bottom w:val="single" w:color="auto" w:sz="8" w:space="0"/>
              <w:right w:val="single" w:color="auto" w:sz="8" w:space="0"/>
            </w:tcBorders>
            <w:shd w:val="clear" w:color="auto" w:fill="auto"/>
            <w:vAlign w:val="center"/>
          </w:tcPr>
          <w:p w14:paraId="23CD607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1236A9D6">
        <w:tblPrEx>
          <w:tblCellMar>
            <w:top w:w="0" w:type="dxa"/>
            <w:left w:w="108" w:type="dxa"/>
            <w:bottom w:w="0" w:type="dxa"/>
            <w:right w:w="108" w:type="dxa"/>
          </w:tblCellMar>
        </w:tblPrEx>
        <w:trPr>
          <w:cantSplit/>
          <w:trHeight w:val="157" w:hRule="atLeast"/>
        </w:trPr>
        <w:tc>
          <w:tcPr>
            <w:tcW w:w="518" w:type="pct"/>
            <w:vMerge w:val="continue"/>
            <w:tcBorders>
              <w:top w:val="nil"/>
              <w:left w:val="single" w:color="auto" w:sz="8" w:space="0"/>
              <w:bottom w:val="single" w:color="000000" w:sz="8" w:space="0"/>
              <w:right w:val="single" w:color="auto" w:sz="8" w:space="0"/>
            </w:tcBorders>
            <w:vAlign w:val="center"/>
          </w:tcPr>
          <w:p w14:paraId="052C4321">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0E17F353">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7DE82A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6</w:t>
            </w:r>
          </w:p>
        </w:tc>
        <w:tc>
          <w:tcPr>
            <w:tcW w:w="2500" w:type="pct"/>
            <w:tcBorders>
              <w:top w:val="nil"/>
              <w:left w:val="nil"/>
              <w:bottom w:val="single" w:color="auto" w:sz="8" w:space="0"/>
              <w:right w:val="single" w:color="auto" w:sz="8" w:space="0"/>
            </w:tcBorders>
            <w:shd w:val="clear" w:color="auto" w:fill="auto"/>
            <w:vAlign w:val="center"/>
          </w:tcPr>
          <w:p w14:paraId="3E482AA6">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场馆（运动场、体育馆、剧院、图书馆）</w:t>
            </w:r>
          </w:p>
        </w:tc>
        <w:tc>
          <w:tcPr>
            <w:tcW w:w="862" w:type="pct"/>
            <w:tcBorders>
              <w:top w:val="nil"/>
              <w:left w:val="nil"/>
              <w:bottom w:val="single" w:color="auto" w:sz="8" w:space="0"/>
              <w:right w:val="single" w:color="auto" w:sz="8" w:space="0"/>
            </w:tcBorders>
            <w:shd w:val="clear" w:color="auto" w:fill="auto"/>
            <w:vAlign w:val="center"/>
          </w:tcPr>
          <w:p w14:paraId="7198E92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7AB4A4CD">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561E30A9">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5F3DACE4">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5C1E9D7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7</w:t>
            </w:r>
          </w:p>
        </w:tc>
        <w:tc>
          <w:tcPr>
            <w:tcW w:w="2500" w:type="pct"/>
            <w:tcBorders>
              <w:top w:val="nil"/>
              <w:left w:val="nil"/>
              <w:bottom w:val="single" w:color="auto" w:sz="8" w:space="0"/>
              <w:right w:val="single" w:color="auto" w:sz="8" w:space="0"/>
            </w:tcBorders>
            <w:shd w:val="clear" w:color="auto" w:fill="auto"/>
            <w:vAlign w:val="center"/>
          </w:tcPr>
          <w:p w14:paraId="1D8AC022">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交通枢纽</w:t>
            </w:r>
          </w:p>
        </w:tc>
        <w:tc>
          <w:tcPr>
            <w:tcW w:w="862" w:type="pct"/>
            <w:tcBorders>
              <w:top w:val="nil"/>
              <w:left w:val="nil"/>
              <w:bottom w:val="single" w:color="auto" w:sz="8" w:space="0"/>
              <w:right w:val="single" w:color="auto" w:sz="8" w:space="0"/>
            </w:tcBorders>
            <w:shd w:val="clear" w:color="auto" w:fill="auto"/>
            <w:vAlign w:val="center"/>
          </w:tcPr>
          <w:p w14:paraId="6EF9A826">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33A18E4D">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7F2334FE">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04B50377">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2F52A434">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2500" w:type="pct"/>
            <w:tcBorders>
              <w:top w:val="nil"/>
              <w:left w:val="nil"/>
              <w:bottom w:val="single" w:color="auto" w:sz="8" w:space="0"/>
              <w:right w:val="single" w:color="auto" w:sz="8" w:space="0"/>
            </w:tcBorders>
            <w:shd w:val="clear" w:color="auto" w:fill="auto"/>
            <w:vAlign w:val="center"/>
          </w:tcPr>
          <w:p w14:paraId="10722CA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铁路</w:t>
            </w:r>
          </w:p>
        </w:tc>
        <w:tc>
          <w:tcPr>
            <w:tcW w:w="862" w:type="pct"/>
            <w:tcBorders>
              <w:top w:val="nil"/>
              <w:left w:val="nil"/>
              <w:bottom w:val="single" w:color="auto" w:sz="8" w:space="0"/>
              <w:right w:val="single" w:color="auto" w:sz="8" w:space="0"/>
            </w:tcBorders>
            <w:shd w:val="clear" w:color="auto" w:fill="auto"/>
            <w:vAlign w:val="center"/>
          </w:tcPr>
          <w:p w14:paraId="0728646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小于200米</w:t>
            </w:r>
          </w:p>
        </w:tc>
      </w:tr>
      <w:tr w14:paraId="3154B495">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57DCFE9B">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542069F5">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7A8DBA2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9</w:t>
            </w:r>
          </w:p>
        </w:tc>
        <w:tc>
          <w:tcPr>
            <w:tcW w:w="2500" w:type="pct"/>
            <w:tcBorders>
              <w:top w:val="nil"/>
              <w:left w:val="nil"/>
              <w:bottom w:val="single" w:color="auto" w:sz="8" w:space="0"/>
              <w:right w:val="single" w:color="auto" w:sz="8" w:space="0"/>
            </w:tcBorders>
            <w:shd w:val="clear" w:color="auto" w:fill="auto"/>
            <w:vAlign w:val="center"/>
          </w:tcPr>
          <w:p w14:paraId="2A2CA9A4">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高速公路</w:t>
            </w:r>
          </w:p>
        </w:tc>
        <w:tc>
          <w:tcPr>
            <w:tcW w:w="862" w:type="pct"/>
            <w:tcBorders>
              <w:top w:val="nil"/>
              <w:left w:val="nil"/>
              <w:bottom w:val="single" w:color="auto" w:sz="8" w:space="0"/>
              <w:right w:val="single" w:color="auto" w:sz="8" w:space="0"/>
            </w:tcBorders>
            <w:shd w:val="clear" w:color="auto" w:fill="auto"/>
            <w:vAlign w:val="center"/>
          </w:tcPr>
          <w:p w14:paraId="0E74C921">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小于200米</w:t>
            </w:r>
          </w:p>
        </w:tc>
      </w:tr>
      <w:tr w14:paraId="135CB2B9">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19A07772">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3C13168C">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354D34C">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2500" w:type="pct"/>
            <w:tcBorders>
              <w:top w:val="nil"/>
              <w:left w:val="nil"/>
              <w:bottom w:val="single" w:color="auto" w:sz="8" w:space="0"/>
              <w:right w:val="single" w:color="auto" w:sz="8" w:space="0"/>
            </w:tcBorders>
            <w:shd w:val="clear" w:color="auto" w:fill="auto"/>
            <w:vAlign w:val="center"/>
          </w:tcPr>
          <w:p w14:paraId="283AEDA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市政道路</w:t>
            </w:r>
          </w:p>
        </w:tc>
        <w:tc>
          <w:tcPr>
            <w:tcW w:w="862" w:type="pct"/>
            <w:tcBorders>
              <w:top w:val="nil"/>
              <w:left w:val="nil"/>
              <w:bottom w:val="single" w:color="auto" w:sz="8" w:space="0"/>
              <w:right w:val="single" w:color="auto" w:sz="8" w:space="0"/>
            </w:tcBorders>
            <w:shd w:val="clear" w:color="auto" w:fill="auto"/>
            <w:vAlign w:val="center"/>
          </w:tcPr>
          <w:p w14:paraId="77BC718A">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7972E1E1">
        <w:tblPrEx>
          <w:tblCellMar>
            <w:top w:w="0" w:type="dxa"/>
            <w:left w:w="108" w:type="dxa"/>
            <w:bottom w:w="0" w:type="dxa"/>
            <w:right w:w="108" w:type="dxa"/>
          </w:tblCellMar>
        </w:tblPrEx>
        <w:trPr>
          <w:cantSplit/>
          <w:trHeight w:val="388" w:hRule="atLeast"/>
        </w:trPr>
        <w:tc>
          <w:tcPr>
            <w:tcW w:w="518" w:type="pct"/>
            <w:vMerge w:val="continue"/>
            <w:tcBorders>
              <w:top w:val="nil"/>
              <w:left w:val="single" w:color="auto" w:sz="8" w:space="0"/>
              <w:bottom w:val="single" w:color="000000" w:sz="8" w:space="0"/>
              <w:right w:val="single" w:color="auto" w:sz="8" w:space="0"/>
            </w:tcBorders>
            <w:vAlign w:val="center"/>
          </w:tcPr>
          <w:p w14:paraId="664112C9">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697A8FF8">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1DF20CF7">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11</w:t>
            </w:r>
          </w:p>
        </w:tc>
        <w:tc>
          <w:tcPr>
            <w:tcW w:w="2500" w:type="pct"/>
            <w:tcBorders>
              <w:top w:val="nil"/>
              <w:left w:val="nil"/>
              <w:bottom w:val="single" w:color="auto" w:sz="8" w:space="0"/>
              <w:right w:val="single" w:color="auto" w:sz="8" w:space="0"/>
            </w:tcBorders>
            <w:shd w:val="clear" w:color="auto" w:fill="auto"/>
            <w:vAlign w:val="center"/>
          </w:tcPr>
          <w:p w14:paraId="69E81A79">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国（省、县）道</w:t>
            </w:r>
          </w:p>
        </w:tc>
        <w:tc>
          <w:tcPr>
            <w:tcW w:w="862" w:type="pct"/>
            <w:tcBorders>
              <w:top w:val="nil"/>
              <w:left w:val="nil"/>
              <w:bottom w:val="single" w:color="auto" w:sz="8" w:space="0"/>
              <w:right w:val="single" w:color="auto" w:sz="8" w:space="0"/>
            </w:tcBorders>
            <w:shd w:val="clear" w:color="auto" w:fill="auto"/>
            <w:vAlign w:val="center"/>
          </w:tcPr>
          <w:p w14:paraId="084C7D63">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小于250米</w:t>
            </w:r>
          </w:p>
        </w:tc>
      </w:tr>
      <w:tr w14:paraId="33747A84">
        <w:tblPrEx>
          <w:tblCellMar>
            <w:top w:w="0" w:type="dxa"/>
            <w:left w:w="108" w:type="dxa"/>
            <w:bottom w:w="0" w:type="dxa"/>
            <w:right w:w="108" w:type="dxa"/>
          </w:tblCellMar>
        </w:tblPrEx>
        <w:trPr>
          <w:cantSplit/>
          <w:trHeight w:val="283" w:hRule="atLeast"/>
        </w:trPr>
        <w:tc>
          <w:tcPr>
            <w:tcW w:w="518" w:type="pct"/>
            <w:vMerge w:val="continue"/>
            <w:tcBorders>
              <w:top w:val="nil"/>
              <w:left w:val="single" w:color="auto" w:sz="8" w:space="0"/>
              <w:bottom w:val="single" w:color="000000" w:sz="8" w:space="0"/>
              <w:right w:val="single" w:color="auto" w:sz="8" w:space="0"/>
            </w:tcBorders>
            <w:vAlign w:val="center"/>
          </w:tcPr>
          <w:p w14:paraId="4750674E">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7297EAD5">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918E2D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12</w:t>
            </w:r>
          </w:p>
        </w:tc>
        <w:tc>
          <w:tcPr>
            <w:tcW w:w="2500" w:type="pct"/>
            <w:tcBorders>
              <w:top w:val="nil"/>
              <w:left w:val="nil"/>
              <w:bottom w:val="single" w:color="auto" w:sz="8" w:space="0"/>
              <w:right w:val="single" w:color="auto" w:sz="8" w:space="0"/>
            </w:tcBorders>
            <w:shd w:val="clear" w:color="auto" w:fill="auto"/>
            <w:vAlign w:val="center"/>
          </w:tcPr>
          <w:p w14:paraId="5AC4314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学校（包括大中专、小学、幼儿园等）</w:t>
            </w:r>
          </w:p>
        </w:tc>
        <w:tc>
          <w:tcPr>
            <w:tcW w:w="862" w:type="pct"/>
            <w:tcBorders>
              <w:top w:val="nil"/>
              <w:left w:val="nil"/>
              <w:bottom w:val="single" w:color="auto" w:sz="8" w:space="0"/>
              <w:right w:val="single" w:color="auto" w:sz="8" w:space="0"/>
            </w:tcBorders>
            <w:shd w:val="clear" w:color="auto" w:fill="auto"/>
            <w:vAlign w:val="center"/>
          </w:tcPr>
          <w:p w14:paraId="33A3F18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36BD7651">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168CEA94">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370FF453">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7A1CF5B5">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13</w:t>
            </w:r>
          </w:p>
        </w:tc>
        <w:tc>
          <w:tcPr>
            <w:tcW w:w="2500" w:type="pct"/>
            <w:tcBorders>
              <w:top w:val="nil"/>
              <w:left w:val="nil"/>
              <w:bottom w:val="single" w:color="auto" w:sz="8" w:space="0"/>
              <w:right w:val="single" w:color="auto" w:sz="8" w:space="0"/>
            </w:tcBorders>
            <w:shd w:val="clear" w:color="auto" w:fill="auto"/>
            <w:vAlign w:val="center"/>
          </w:tcPr>
          <w:p w14:paraId="440B0DA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医院</w:t>
            </w:r>
          </w:p>
        </w:tc>
        <w:tc>
          <w:tcPr>
            <w:tcW w:w="862" w:type="pct"/>
            <w:tcBorders>
              <w:top w:val="nil"/>
              <w:left w:val="nil"/>
              <w:bottom w:val="single" w:color="auto" w:sz="8" w:space="0"/>
              <w:right w:val="single" w:color="auto" w:sz="8" w:space="0"/>
            </w:tcBorders>
            <w:shd w:val="clear" w:color="auto" w:fill="auto"/>
            <w:vAlign w:val="center"/>
          </w:tcPr>
          <w:p w14:paraId="77168A1D">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7A764BA9">
        <w:tblPrEx>
          <w:tblCellMar>
            <w:top w:w="0" w:type="dxa"/>
            <w:left w:w="108" w:type="dxa"/>
            <w:bottom w:w="0" w:type="dxa"/>
            <w:right w:w="108" w:type="dxa"/>
          </w:tblCellMar>
        </w:tblPrEx>
        <w:trPr>
          <w:cantSplit/>
          <w:trHeight w:val="388" w:hRule="atLeast"/>
        </w:trPr>
        <w:tc>
          <w:tcPr>
            <w:tcW w:w="518" w:type="pct"/>
            <w:vMerge w:val="restart"/>
            <w:tcBorders>
              <w:top w:val="nil"/>
              <w:left w:val="single" w:color="auto" w:sz="8" w:space="0"/>
              <w:bottom w:val="single" w:color="000000" w:sz="8" w:space="0"/>
              <w:right w:val="single" w:color="auto" w:sz="8" w:space="0"/>
            </w:tcBorders>
            <w:shd w:val="clear" w:color="auto" w:fill="auto"/>
            <w:vAlign w:val="center"/>
          </w:tcPr>
          <w:p w14:paraId="1D70DDF7">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2</w:t>
            </w:r>
          </w:p>
        </w:tc>
        <w:tc>
          <w:tcPr>
            <w:tcW w:w="690" w:type="pct"/>
            <w:vMerge w:val="restart"/>
            <w:tcBorders>
              <w:top w:val="nil"/>
              <w:left w:val="single" w:color="auto" w:sz="8" w:space="0"/>
              <w:bottom w:val="single" w:color="000000" w:sz="8" w:space="0"/>
              <w:right w:val="single" w:color="auto" w:sz="8" w:space="0"/>
            </w:tcBorders>
            <w:shd w:val="clear" w:color="auto" w:fill="auto"/>
            <w:vAlign w:val="center"/>
          </w:tcPr>
          <w:p w14:paraId="0E000CB9">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企事业单位(含园区)</w:t>
            </w:r>
          </w:p>
        </w:tc>
        <w:tc>
          <w:tcPr>
            <w:tcW w:w="431" w:type="pct"/>
            <w:tcBorders>
              <w:top w:val="nil"/>
              <w:left w:val="nil"/>
              <w:bottom w:val="single" w:color="auto" w:sz="8" w:space="0"/>
              <w:right w:val="single" w:color="auto" w:sz="8" w:space="0"/>
            </w:tcBorders>
            <w:shd w:val="clear" w:color="auto" w:fill="auto"/>
            <w:vAlign w:val="center"/>
          </w:tcPr>
          <w:p w14:paraId="32F4CD54">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14</w:t>
            </w:r>
          </w:p>
        </w:tc>
        <w:tc>
          <w:tcPr>
            <w:tcW w:w="2500" w:type="pct"/>
            <w:tcBorders>
              <w:top w:val="nil"/>
              <w:left w:val="nil"/>
              <w:bottom w:val="single" w:color="auto" w:sz="8" w:space="0"/>
              <w:right w:val="single" w:color="auto" w:sz="8" w:space="0"/>
            </w:tcBorders>
            <w:shd w:val="clear" w:color="auto" w:fill="auto"/>
            <w:vAlign w:val="center"/>
          </w:tcPr>
          <w:p w14:paraId="7475EB3A">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工业科技园区</w:t>
            </w:r>
          </w:p>
        </w:tc>
        <w:tc>
          <w:tcPr>
            <w:tcW w:w="862" w:type="pct"/>
            <w:tcBorders>
              <w:top w:val="nil"/>
              <w:left w:val="nil"/>
              <w:bottom w:val="single" w:color="auto" w:sz="8" w:space="0"/>
              <w:right w:val="single" w:color="auto" w:sz="8" w:space="0"/>
            </w:tcBorders>
            <w:shd w:val="clear" w:color="auto" w:fill="auto"/>
            <w:vAlign w:val="center"/>
          </w:tcPr>
          <w:p w14:paraId="6ACDF67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小于100米</w:t>
            </w:r>
          </w:p>
        </w:tc>
      </w:tr>
      <w:tr w14:paraId="79E8A865">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27419765">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1A59C10E">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004FF4E1">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15</w:t>
            </w:r>
          </w:p>
        </w:tc>
        <w:tc>
          <w:tcPr>
            <w:tcW w:w="2500" w:type="pct"/>
            <w:tcBorders>
              <w:top w:val="nil"/>
              <w:left w:val="nil"/>
              <w:bottom w:val="single" w:color="auto" w:sz="8" w:space="0"/>
              <w:right w:val="single" w:color="auto" w:sz="8" w:space="0"/>
            </w:tcBorders>
            <w:shd w:val="clear" w:color="auto" w:fill="auto"/>
            <w:vAlign w:val="center"/>
          </w:tcPr>
          <w:p w14:paraId="16721776">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工厂</w:t>
            </w:r>
          </w:p>
        </w:tc>
        <w:tc>
          <w:tcPr>
            <w:tcW w:w="862" w:type="pct"/>
            <w:tcBorders>
              <w:top w:val="nil"/>
              <w:left w:val="nil"/>
              <w:bottom w:val="single" w:color="auto" w:sz="8" w:space="0"/>
              <w:right w:val="single" w:color="auto" w:sz="8" w:space="0"/>
            </w:tcBorders>
            <w:shd w:val="clear" w:color="auto" w:fill="auto"/>
            <w:vAlign w:val="center"/>
          </w:tcPr>
          <w:p w14:paraId="31FAB46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小于200米</w:t>
            </w:r>
          </w:p>
        </w:tc>
      </w:tr>
      <w:tr w14:paraId="2EBE8BBC">
        <w:tblPrEx>
          <w:tblCellMar>
            <w:top w:w="0" w:type="dxa"/>
            <w:left w:w="108" w:type="dxa"/>
            <w:bottom w:w="0" w:type="dxa"/>
            <w:right w:w="108" w:type="dxa"/>
          </w:tblCellMar>
        </w:tblPrEx>
        <w:trPr>
          <w:cantSplit/>
          <w:trHeight w:val="401" w:hRule="atLeast"/>
        </w:trPr>
        <w:tc>
          <w:tcPr>
            <w:tcW w:w="518" w:type="pct"/>
            <w:vMerge w:val="continue"/>
            <w:tcBorders>
              <w:top w:val="nil"/>
              <w:left w:val="single" w:color="auto" w:sz="8" w:space="0"/>
              <w:bottom w:val="single" w:color="000000" w:sz="8" w:space="0"/>
              <w:right w:val="single" w:color="auto" w:sz="8" w:space="0"/>
            </w:tcBorders>
            <w:vAlign w:val="center"/>
          </w:tcPr>
          <w:p w14:paraId="6D912532">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744CEEC4">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670BBE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16</w:t>
            </w:r>
          </w:p>
        </w:tc>
        <w:tc>
          <w:tcPr>
            <w:tcW w:w="2500" w:type="pct"/>
            <w:tcBorders>
              <w:top w:val="nil"/>
              <w:left w:val="nil"/>
              <w:bottom w:val="single" w:color="auto" w:sz="8" w:space="0"/>
              <w:right w:val="single" w:color="auto" w:sz="8" w:space="0"/>
            </w:tcBorders>
            <w:shd w:val="clear" w:color="auto" w:fill="auto"/>
            <w:vAlign w:val="center"/>
          </w:tcPr>
          <w:p w14:paraId="6DE6747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国有国资企业办公场所及建筑物</w:t>
            </w:r>
          </w:p>
        </w:tc>
        <w:tc>
          <w:tcPr>
            <w:tcW w:w="862" w:type="pct"/>
            <w:tcBorders>
              <w:top w:val="nil"/>
              <w:left w:val="nil"/>
              <w:bottom w:val="single" w:color="auto" w:sz="8" w:space="0"/>
              <w:right w:val="single" w:color="auto" w:sz="8" w:space="0"/>
            </w:tcBorders>
            <w:shd w:val="clear" w:color="auto" w:fill="auto"/>
            <w:vAlign w:val="center"/>
          </w:tcPr>
          <w:p w14:paraId="3D102093">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61FF1CEC">
        <w:tblPrEx>
          <w:tblCellMar>
            <w:top w:w="0" w:type="dxa"/>
            <w:left w:w="108" w:type="dxa"/>
            <w:bottom w:w="0" w:type="dxa"/>
            <w:right w:w="108" w:type="dxa"/>
          </w:tblCellMar>
        </w:tblPrEx>
        <w:trPr>
          <w:cantSplit/>
          <w:trHeight w:val="210" w:hRule="atLeast"/>
        </w:trPr>
        <w:tc>
          <w:tcPr>
            <w:tcW w:w="518" w:type="pct"/>
            <w:vMerge w:val="restart"/>
            <w:tcBorders>
              <w:top w:val="nil"/>
              <w:left w:val="single" w:color="auto" w:sz="8" w:space="0"/>
              <w:bottom w:val="single" w:color="000000" w:sz="8" w:space="0"/>
              <w:right w:val="single" w:color="auto" w:sz="8" w:space="0"/>
            </w:tcBorders>
            <w:shd w:val="clear" w:color="auto" w:fill="auto"/>
            <w:vAlign w:val="center"/>
          </w:tcPr>
          <w:p w14:paraId="5F036717">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3</w:t>
            </w:r>
          </w:p>
        </w:tc>
        <w:tc>
          <w:tcPr>
            <w:tcW w:w="690" w:type="pct"/>
            <w:vMerge w:val="restart"/>
            <w:tcBorders>
              <w:top w:val="nil"/>
              <w:left w:val="single" w:color="auto" w:sz="8" w:space="0"/>
              <w:bottom w:val="single" w:color="000000" w:sz="8" w:space="0"/>
              <w:right w:val="single" w:color="auto" w:sz="8" w:space="0"/>
            </w:tcBorders>
            <w:shd w:val="clear" w:color="auto" w:fill="auto"/>
            <w:vAlign w:val="center"/>
          </w:tcPr>
          <w:p w14:paraId="2096B54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农村</w:t>
            </w:r>
          </w:p>
        </w:tc>
        <w:tc>
          <w:tcPr>
            <w:tcW w:w="431" w:type="pct"/>
            <w:tcBorders>
              <w:top w:val="nil"/>
              <w:left w:val="nil"/>
              <w:bottom w:val="single" w:color="auto" w:sz="8" w:space="0"/>
              <w:right w:val="single" w:color="auto" w:sz="8" w:space="0"/>
            </w:tcBorders>
            <w:shd w:val="clear" w:color="auto" w:fill="auto"/>
            <w:vAlign w:val="center"/>
          </w:tcPr>
          <w:p w14:paraId="50B40E33">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17</w:t>
            </w:r>
          </w:p>
        </w:tc>
        <w:tc>
          <w:tcPr>
            <w:tcW w:w="2500" w:type="pct"/>
            <w:tcBorders>
              <w:top w:val="nil"/>
              <w:left w:val="nil"/>
              <w:bottom w:val="single" w:color="auto" w:sz="8" w:space="0"/>
              <w:right w:val="single" w:color="auto" w:sz="8" w:space="0"/>
            </w:tcBorders>
            <w:shd w:val="clear" w:color="auto" w:fill="auto"/>
            <w:vAlign w:val="center"/>
          </w:tcPr>
          <w:p w14:paraId="26918BFA">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城中村</w:t>
            </w:r>
          </w:p>
        </w:tc>
        <w:tc>
          <w:tcPr>
            <w:tcW w:w="862" w:type="pct"/>
            <w:tcBorders>
              <w:top w:val="nil"/>
              <w:left w:val="nil"/>
              <w:bottom w:val="single" w:color="auto" w:sz="8" w:space="0"/>
              <w:right w:val="single" w:color="auto" w:sz="8" w:space="0"/>
            </w:tcBorders>
            <w:shd w:val="clear" w:color="auto" w:fill="auto"/>
            <w:vAlign w:val="center"/>
          </w:tcPr>
          <w:p w14:paraId="38B3BA4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52D1DA2F">
        <w:tblPrEx>
          <w:tblCellMar>
            <w:top w:w="0" w:type="dxa"/>
            <w:left w:w="108" w:type="dxa"/>
            <w:bottom w:w="0" w:type="dxa"/>
            <w:right w:w="108" w:type="dxa"/>
          </w:tblCellMar>
        </w:tblPrEx>
        <w:trPr>
          <w:cantSplit/>
          <w:trHeight w:val="255" w:hRule="atLeast"/>
        </w:trPr>
        <w:tc>
          <w:tcPr>
            <w:tcW w:w="518" w:type="pct"/>
            <w:vMerge w:val="continue"/>
            <w:tcBorders>
              <w:top w:val="nil"/>
              <w:left w:val="single" w:color="auto" w:sz="8" w:space="0"/>
              <w:bottom w:val="single" w:color="000000" w:sz="8" w:space="0"/>
              <w:right w:val="single" w:color="auto" w:sz="8" w:space="0"/>
            </w:tcBorders>
            <w:vAlign w:val="center"/>
          </w:tcPr>
          <w:p w14:paraId="13057ABB">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5442081D">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043E1283">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18</w:t>
            </w:r>
          </w:p>
        </w:tc>
        <w:tc>
          <w:tcPr>
            <w:tcW w:w="2500" w:type="pct"/>
            <w:tcBorders>
              <w:top w:val="nil"/>
              <w:left w:val="nil"/>
              <w:bottom w:val="single" w:color="auto" w:sz="8" w:space="0"/>
              <w:right w:val="single" w:color="auto" w:sz="8" w:space="0"/>
            </w:tcBorders>
            <w:shd w:val="clear" w:color="auto" w:fill="auto"/>
            <w:vAlign w:val="center"/>
          </w:tcPr>
          <w:p w14:paraId="5C58D420">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行政村（含农村林地、荒地、山地）</w:t>
            </w:r>
          </w:p>
        </w:tc>
        <w:tc>
          <w:tcPr>
            <w:tcW w:w="862" w:type="pct"/>
            <w:tcBorders>
              <w:top w:val="nil"/>
              <w:left w:val="nil"/>
              <w:bottom w:val="single" w:color="auto" w:sz="8" w:space="0"/>
              <w:right w:val="single" w:color="auto" w:sz="8" w:space="0"/>
            </w:tcBorders>
            <w:shd w:val="clear" w:color="auto" w:fill="auto"/>
            <w:vAlign w:val="center"/>
          </w:tcPr>
          <w:p w14:paraId="56CEB3BA">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小于250米</w:t>
            </w:r>
          </w:p>
        </w:tc>
      </w:tr>
      <w:tr w14:paraId="36CB23D9">
        <w:tblPrEx>
          <w:tblCellMar>
            <w:top w:w="0" w:type="dxa"/>
            <w:left w:w="108" w:type="dxa"/>
            <w:bottom w:w="0" w:type="dxa"/>
            <w:right w:w="108" w:type="dxa"/>
          </w:tblCellMar>
        </w:tblPrEx>
        <w:trPr>
          <w:cantSplit/>
          <w:trHeight w:val="210" w:hRule="atLeast"/>
        </w:trPr>
        <w:tc>
          <w:tcPr>
            <w:tcW w:w="518" w:type="pct"/>
            <w:vMerge w:val="restart"/>
            <w:tcBorders>
              <w:top w:val="nil"/>
              <w:left w:val="single" w:color="auto" w:sz="8" w:space="0"/>
              <w:bottom w:val="single" w:color="000000" w:sz="8" w:space="0"/>
              <w:right w:val="single" w:color="auto" w:sz="8" w:space="0"/>
            </w:tcBorders>
            <w:shd w:val="clear" w:color="auto" w:fill="auto"/>
            <w:vAlign w:val="center"/>
          </w:tcPr>
          <w:p w14:paraId="57AC2154">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4</w:t>
            </w:r>
          </w:p>
        </w:tc>
        <w:tc>
          <w:tcPr>
            <w:tcW w:w="690" w:type="pct"/>
            <w:vMerge w:val="restart"/>
            <w:tcBorders>
              <w:top w:val="nil"/>
              <w:left w:val="single" w:color="auto" w:sz="8" w:space="0"/>
              <w:bottom w:val="single" w:color="000000" w:sz="8" w:space="0"/>
              <w:right w:val="single" w:color="auto" w:sz="8" w:space="0"/>
            </w:tcBorders>
            <w:shd w:val="clear" w:color="auto" w:fill="auto"/>
            <w:vAlign w:val="center"/>
          </w:tcPr>
          <w:p w14:paraId="01876EB5">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小区</w:t>
            </w:r>
          </w:p>
        </w:tc>
        <w:tc>
          <w:tcPr>
            <w:tcW w:w="431" w:type="pct"/>
            <w:tcBorders>
              <w:top w:val="nil"/>
              <w:left w:val="nil"/>
              <w:bottom w:val="single" w:color="auto" w:sz="8" w:space="0"/>
              <w:right w:val="single" w:color="auto" w:sz="8" w:space="0"/>
            </w:tcBorders>
            <w:shd w:val="clear" w:color="auto" w:fill="auto"/>
            <w:vAlign w:val="center"/>
          </w:tcPr>
          <w:p w14:paraId="43AECB67">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19</w:t>
            </w:r>
          </w:p>
        </w:tc>
        <w:tc>
          <w:tcPr>
            <w:tcW w:w="2500" w:type="pct"/>
            <w:tcBorders>
              <w:top w:val="nil"/>
              <w:left w:val="nil"/>
              <w:bottom w:val="single" w:color="auto" w:sz="8" w:space="0"/>
              <w:right w:val="single" w:color="auto" w:sz="8" w:space="0"/>
            </w:tcBorders>
            <w:shd w:val="clear" w:color="auto" w:fill="auto"/>
            <w:vAlign w:val="center"/>
          </w:tcPr>
          <w:p w14:paraId="23BE0A5C">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住宅小区</w:t>
            </w:r>
          </w:p>
        </w:tc>
        <w:tc>
          <w:tcPr>
            <w:tcW w:w="862" w:type="pct"/>
            <w:tcBorders>
              <w:top w:val="nil"/>
              <w:left w:val="nil"/>
              <w:bottom w:val="single" w:color="auto" w:sz="8" w:space="0"/>
              <w:right w:val="single" w:color="auto" w:sz="8" w:space="0"/>
            </w:tcBorders>
            <w:shd w:val="clear" w:color="auto" w:fill="auto"/>
            <w:vAlign w:val="center"/>
          </w:tcPr>
          <w:p w14:paraId="4CA0257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22FF2182">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2A2B03D7">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4F3F17EF">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2861AF1">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20</w:t>
            </w:r>
          </w:p>
        </w:tc>
        <w:tc>
          <w:tcPr>
            <w:tcW w:w="2500" w:type="pct"/>
            <w:tcBorders>
              <w:top w:val="nil"/>
              <w:left w:val="nil"/>
              <w:bottom w:val="single" w:color="auto" w:sz="8" w:space="0"/>
              <w:right w:val="single" w:color="auto" w:sz="8" w:space="0"/>
            </w:tcBorders>
            <w:shd w:val="clear" w:color="auto" w:fill="auto"/>
            <w:vAlign w:val="center"/>
          </w:tcPr>
          <w:p w14:paraId="2DC477B4">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写字楼</w:t>
            </w:r>
          </w:p>
        </w:tc>
        <w:tc>
          <w:tcPr>
            <w:tcW w:w="862" w:type="pct"/>
            <w:tcBorders>
              <w:top w:val="nil"/>
              <w:left w:val="nil"/>
              <w:bottom w:val="single" w:color="auto" w:sz="8" w:space="0"/>
              <w:right w:val="single" w:color="auto" w:sz="8" w:space="0"/>
            </w:tcBorders>
            <w:shd w:val="clear" w:color="auto" w:fill="auto"/>
            <w:vAlign w:val="center"/>
          </w:tcPr>
          <w:p w14:paraId="6530FA4C">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5C90DFC6">
        <w:tblPrEx>
          <w:tblCellMar>
            <w:top w:w="0" w:type="dxa"/>
            <w:left w:w="108" w:type="dxa"/>
            <w:bottom w:w="0" w:type="dxa"/>
            <w:right w:w="108" w:type="dxa"/>
          </w:tblCellMar>
        </w:tblPrEx>
        <w:trPr>
          <w:cantSplit/>
          <w:trHeight w:val="210" w:hRule="atLeast"/>
        </w:trPr>
        <w:tc>
          <w:tcPr>
            <w:tcW w:w="518" w:type="pct"/>
            <w:vMerge w:val="continue"/>
            <w:tcBorders>
              <w:top w:val="nil"/>
              <w:left w:val="single" w:color="auto" w:sz="8" w:space="0"/>
              <w:bottom w:val="single" w:color="000000" w:sz="8" w:space="0"/>
              <w:right w:val="single" w:color="auto" w:sz="8" w:space="0"/>
            </w:tcBorders>
            <w:vAlign w:val="center"/>
          </w:tcPr>
          <w:p w14:paraId="30B54148">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349644D1">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03DAE1B8">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21</w:t>
            </w:r>
          </w:p>
        </w:tc>
        <w:tc>
          <w:tcPr>
            <w:tcW w:w="2500" w:type="pct"/>
            <w:tcBorders>
              <w:top w:val="nil"/>
              <w:left w:val="nil"/>
              <w:bottom w:val="single" w:color="auto" w:sz="8" w:space="0"/>
              <w:right w:val="single" w:color="auto" w:sz="8" w:space="0"/>
            </w:tcBorders>
            <w:shd w:val="clear" w:color="auto" w:fill="auto"/>
            <w:vAlign w:val="center"/>
          </w:tcPr>
          <w:p w14:paraId="7F11F082">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商业场所</w:t>
            </w:r>
          </w:p>
        </w:tc>
        <w:tc>
          <w:tcPr>
            <w:tcW w:w="862" w:type="pct"/>
            <w:tcBorders>
              <w:top w:val="nil"/>
              <w:left w:val="nil"/>
              <w:bottom w:val="single" w:color="auto" w:sz="8" w:space="0"/>
              <w:right w:val="single" w:color="auto" w:sz="8" w:space="0"/>
            </w:tcBorders>
            <w:shd w:val="clear" w:color="auto" w:fill="auto"/>
            <w:vAlign w:val="center"/>
          </w:tcPr>
          <w:p w14:paraId="6E44B2EB">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r w14:paraId="0113BECE">
        <w:tblPrEx>
          <w:tblCellMar>
            <w:top w:w="0" w:type="dxa"/>
            <w:left w:w="108" w:type="dxa"/>
            <w:bottom w:w="0" w:type="dxa"/>
            <w:right w:w="108" w:type="dxa"/>
          </w:tblCellMar>
        </w:tblPrEx>
        <w:trPr>
          <w:cantSplit/>
          <w:trHeight w:val="73" w:hRule="atLeast"/>
        </w:trPr>
        <w:tc>
          <w:tcPr>
            <w:tcW w:w="518" w:type="pct"/>
            <w:vMerge w:val="continue"/>
            <w:tcBorders>
              <w:top w:val="nil"/>
              <w:left w:val="single" w:color="auto" w:sz="8" w:space="0"/>
              <w:bottom w:val="single" w:color="000000" w:sz="8" w:space="0"/>
              <w:right w:val="single" w:color="auto" w:sz="8" w:space="0"/>
            </w:tcBorders>
            <w:vAlign w:val="center"/>
          </w:tcPr>
          <w:p w14:paraId="3CE59941">
            <w:pPr>
              <w:widowControl/>
              <w:jc w:val="left"/>
              <w:rPr>
                <w:rFonts w:hint="eastAsia" w:ascii="宋体" w:hAnsi="宋体" w:cs="宋体"/>
                <w:b/>
                <w:bCs/>
                <w:color w:val="000000"/>
                <w:kern w:val="0"/>
                <w:sz w:val="24"/>
                <w:szCs w:val="24"/>
              </w:rPr>
            </w:pPr>
          </w:p>
        </w:tc>
        <w:tc>
          <w:tcPr>
            <w:tcW w:w="690" w:type="pct"/>
            <w:vMerge w:val="continue"/>
            <w:tcBorders>
              <w:top w:val="nil"/>
              <w:left w:val="single" w:color="auto" w:sz="8" w:space="0"/>
              <w:bottom w:val="single" w:color="000000" w:sz="8" w:space="0"/>
              <w:right w:val="single" w:color="auto" w:sz="8" w:space="0"/>
            </w:tcBorders>
            <w:vAlign w:val="center"/>
          </w:tcPr>
          <w:p w14:paraId="4F3522C9">
            <w:pPr>
              <w:widowControl/>
              <w:jc w:val="left"/>
              <w:rPr>
                <w:rFonts w:hint="eastAsia" w:ascii="宋体" w:hAnsi="宋体" w:cs="宋体"/>
                <w:color w:val="000000"/>
                <w:kern w:val="0"/>
                <w:sz w:val="24"/>
                <w:szCs w:val="24"/>
              </w:rPr>
            </w:pPr>
          </w:p>
        </w:tc>
        <w:tc>
          <w:tcPr>
            <w:tcW w:w="431" w:type="pct"/>
            <w:tcBorders>
              <w:top w:val="nil"/>
              <w:left w:val="nil"/>
              <w:bottom w:val="single" w:color="auto" w:sz="8" w:space="0"/>
              <w:right w:val="single" w:color="auto" w:sz="8" w:space="0"/>
            </w:tcBorders>
            <w:shd w:val="clear" w:color="auto" w:fill="auto"/>
            <w:vAlign w:val="center"/>
          </w:tcPr>
          <w:p w14:paraId="4484607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22</w:t>
            </w:r>
          </w:p>
        </w:tc>
        <w:tc>
          <w:tcPr>
            <w:tcW w:w="2500" w:type="pct"/>
            <w:tcBorders>
              <w:top w:val="nil"/>
              <w:left w:val="nil"/>
              <w:bottom w:val="single" w:color="auto" w:sz="8" w:space="0"/>
              <w:right w:val="single" w:color="auto" w:sz="8" w:space="0"/>
            </w:tcBorders>
            <w:shd w:val="clear" w:color="auto" w:fill="auto"/>
            <w:vAlign w:val="center"/>
          </w:tcPr>
          <w:p w14:paraId="2576BC0F">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酒店娱乐场所</w:t>
            </w:r>
          </w:p>
        </w:tc>
        <w:tc>
          <w:tcPr>
            <w:tcW w:w="862" w:type="pct"/>
            <w:tcBorders>
              <w:top w:val="nil"/>
              <w:left w:val="nil"/>
              <w:bottom w:val="single" w:color="auto" w:sz="8" w:space="0"/>
              <w:right w:val="single" w:color="auto" w:sz="8" w:space="0"/>
            </w:tcBorders>
            <w:shd w:val="clear" w:color="auto" w:fill="auto"/>
            <w:vAlign w:val="center"/>
          </w:tcPr>
          <w:p w14:paraId="57194FB5">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小于50米</w:t>
            </w:r>
          </w:p>
        </w:tc>
      </w:tr>
    </w:tbl>
    <w:p w14:paraId="4B94F07B">
      <w:pPr>
        <w:pStyle w:val="39"/>
        <w:ind w:firstLine="560"/>
        <w:jc w:val="left"/>
      </w:pPr>
    </w:p>
    <w:p w14:paraId="540656F0">
      <w:pPr>
        <w:pStyle w:val="6"/>
        <w:rPr>
          <w:rFonts w:hint="eastAsia" w:cs="宋体" w:asciiTheme="minorEastAsia" w:hAnsiTheme="minorEastAsia" w:eastAsiaTheme="minorEastAsia"/>
          <w:kern w:val="0"/>
        </w:rPr>
      </w:pPr>
      <w:r>
        <w:rPr>
          <w:rFonts w:hint="eastAsia" w:cs="宋体" w:asciiTheme="minorEastAsia" w:hAnsiTheme="minorEastAsia" w:eastAsiaTheme="minorEastAsia"/>
          <w:kern w:val="0"/>
        </w:rPr>
        <w:t>基站建设空间及配套要求</w:t>
      </w:r>
    </w:p>
    <w:p w14:paraId="04E25F90">
      <w:pPr>
        <w:pStyle w:val="11"/>
        <w:ind w:firstLine="198" w:firstLineChars="71"/>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（1）基站机房</w:t>
      </w:r>
    </w:p>
    <w:p w14:paraId="7B78D533">
      <w:pPr>
        <w:pStyle w:val="11"/>
        <w:ind w:firstLine="198" w:firstLineChars="71"/>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本着由铁塔公司统一建设、多家运营商共享的集约化建设和利用原则，并结合当前建设经验和各运营商实际需求按综合汇聚机房建设，预留25平方米建筑面积进行预留，独立占地机房则对应其所需用地面积。</w:t>
      </w:r>
    </w:p>
    <w:p w14:paraId="65980714">
      <w:pPr>
        <w:pStyle w:val="11"/>
        <w:ind w:firstLine="198" w:firstLineChars="71"/>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（2）铁塔</w:t>
      </w:r>
    </w:p>
    <w:p w14:paraId="1454665B">
      <w:pPr>
        <w:pStyle w:val="11"/>
        <w:ind w:firstLine="198" w:firstLineChars="71"/>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铁塔类型主要分为角钢塔、三管塔、单管塔、拉线塔、楼顶桅杆、楼顶抱杆等，不同类型的铁塔占地面积各不相同，角钢塔占地面积约60-100平方米，三管塔占地面积约为50平方米，单管塔占地面积约30平方米，楼顶桅杆和抱杆占用面积为楼顶空间。综合考虑基站铁塔占地面积建议按30-100平方米进行预留。</w:t>
      </w:r>
    </w:p>
    <w:p w14:paraId="49FEA842">
      <w:pPr>
        <w:pStyle w:val="6"/>
        <w:rPr>
          <w:rFonts w:hint="eastAsia" w:cs="宋体" w:asciiTheme="minorEastAsia" w:hAnsiTheme="minorEastAsia" w:eastAsiaTheme="minorEastAsia"/>
          <w:kern w:val="0"/>
        </w:rPr>
      </w:pPr>
      <w:r>
        <w:rPr>
          <w:rFonts w:hint="eastAsia" w:cs="宋体" w:asciiTheme="minorEastAsia" w:hAnsiTheme="minorEastAsia" w:eastAsiaTheme="minorEastAsia"/>
          <w:kern w:val="0"/>
        </w:rPr>
        <w:t>景观化基站布局要求</w:t>
      </w:r>
    </w:p>
    <w:p w14:paraId="6633F65A">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景观化基站指在无线基站建设过程中，在满足无线网络设计目标要求的前提下，对普通天线（定向或全面的）、支撑杆、馈线、走线架，采用装饰性材料对其进行装饰、伪装、隐蔽或者遮挡，或者采用一体化隐蔽天线，对馈线系统的外观进行绿色环保，使天馈线系统的外观与周围环境和谐统一，从而降低无线基站选址和实施难度的过程。美化方式没有固定的模式和方法，可随着环境的改变而采取灵活方式。景观化基站是响应国家“环境友好性社会”总体发展战略的重要措施。从社会效益来看，景观化基站可以改变目前建筑楼顶天线林立的尴尬状况，营造良好的人居环境，实现了经济社会与环境协调发展。</w:t>
      </w:r>
    </w:p>
    <w:p w14:paraId="727ECCE2">
      <w:pPr>
        <w:pStyle w:val="7"/>
        <w:rPr>
          <w:rFonts w:hint="eastAsia" w:cs="宋体" w:asciiTheme="minorEastAsia" w:hAnsiTheme="minorEastAsia" w:eastAsiaTheme="minorEastAsia"/>
          <w:kern w:val="0"/>
        </w:rPr>
      </w:pPr>
      <w:bookmarkStart w:id="80" w:name="_Toc60177536"/>
      <w:r>
        <w:rPr>
          <w:rFonts w:hint="eastAsia" w:cs="宋体" w:asciiTheme="minorEastAsia" w:hAnsiTheme="minorEastAsia" w:eastAsiaTheme="minorEastAsia"/>
          <w:kern w:val="0"/>
        </w:rPr>
        <w:t>景观化基站的建设要求</w:t>
      </w:r>
      <w:bookmarkEnd w:id="80"/>
    </w:p>
    <w:p w14:paraId="0586F36A">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）城市景观控制区域的新建基站直接建设成为景观化基站</w:t>
      </w:r>
    </w:p>
    <w:p w14:paraId="2534DFFC">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本次规划将结合城市建设发展要求，划出景观化基站的分布区域。该区域内新建基站，直接建设成为景观化基站。</w:t>
      </w:r>
    </w:p>
    <w:p w14:paraId="78817C0B">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）城市景观控制区域的非景观化现状基站逐步改造为景观化基站</w:t>
      </w:r>
    </w:p>
    <w:p w14:paraId="1A80A65D">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对于位于城市景观控制区域的非景观化现状基站，逐步进行改造，避免基站对城市景观造成负面影响，同时增加市民对基站的不必要的负面认识。</w:t>
      </w:r>
    </w:p>
    <w:p w14:paraId="547AF4B5">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）进一步丰富和拓展景观化基站的建设形式</w:t>
      </w:r>
    </w:p>
    <w:p w14:paraId="0C0AA311">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目前，汕尾市已经使用仿生态化抱杆、隐藏天线、美化天线、美化机房等形式，并取得良好的应用效果；国内外的主流美化天线产品以伪装系列为主，除变色龙、水塔、圆柱、方柱等系列外，还开发出了更加适应现场环境的“绿化”、路灯、公交站牌等系列的新型产品。随着城市建设的发展，建筑单体的形式和风格会更加个性化，景观化基站的应用范围也会更加广泛，应进一步丰富和拓展景观化基站的建设形式，特别是附设式基站的天线，使之与建筑单体的外观更加浑然一体，如采用墙面隐蔽型、空调型、水箱型、树木型、雕塑型、路灯型、指示牌等多种类型。</w:t>
      </w:r>
    </w:p>
    <w:p w14:paraId="0F1E7874">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景观化基站使基站与自然环境和建设环境融为一体，减少对市民视觉的不利影响，增强基站是城市基础设施的归属感。尽管基站对城市景观影响较小，但景观化基站有助于进一步提升城市景观的含量，本次规划也将尽可能将其对景观的负面影响降到较低水平（此举以增加运营商投资为代价）。景观化基站以城市总体规划确定的景观区域为基础，结合城市性质、城市功能结构以及基站的建设特点和建设形式，对景观化进行系统布局规划。</w:t>
      </w:r>
    </w:p>
    <w:p w14:paraId="1EFFB33D">
      <w:pPr>
        <w:pStyle w:val="7"/>
        <w:rPr>
          <w:rFonts w:hint="eastAsia" w:cs="宋体" w:asciiTheme="minorEastAsia" w:hAnsiTheme="minorEastAsia" w:eastAsiaTheme="minorEastAsia"/>
          <w:kern w:val="0"/>
        </w:rPr>
      </w:pPr>
      <w:bookmarkStart w:id="81" w:name="_Toc60177537"/>
      <w:r>
        <w:rPr>
          <w:rFonts w:hint="eastAsia" w:cs="宋体" w:asciiTheme="minorEastAsia" w:hAnsiTheme="minorEastAsia" w:eastAsiaTheme="minorEastAsia"/>
          <w:kern w:val="0"/>
        </w:rPr>
        <w:t>景观化基站的适建区域分析</w:t>
      </w:r>
      <w:bookmarkEnd w:id="81"/>
    </w:p>
    <w:p w14:paraId="528BEE5F">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结合汕尾市总体规划及已有控制性详细规划资料，划分出景观化基站的适建区域，该区域内的基站都将建成或改造成景观化基站。具体内容分析如下：</w:t>
      </w:r>
    </w:p>
    <w:p w14:paraId="5D4489BA">
      <w:pPr>
        <w:autoSpaceDE w:val="0"/>
        <w:autoSpaceDN w:val="0"/>
        <w:adjustRightInd w:val="0"/>
        <w:spacing w:line="360" w:lineRule="auto"/>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）城市绿线地区</w:t>
      </w:r>
    </w:p>
    <w:p w14:paraId="29648EE5">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该区域既包括位于生态控制区的山地森林和郊野公园，也包括位于建设区的城市公园和城市绿地。该区域的自然环境优美，在此区域建设的基站需与环境相配套，建设景观化基站。</w:t>
      </w:r>
    </w:p>
    <w:p w14:paraId="11CAB75E">
      <w:pPr>
        <w:autoSpaceDE w:val="0"/>
        <w:autoSpaceDN w:val="0"/>
        <w:adjustRightInd w:val="0"/>
        <w:spacing w:line="360" w:lineRule="auto"/>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）城市景观轴带地区</w:t>
      </w:r>
    </w:p>
    <w:p w14:paraId="28E95243">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城市景观轴带主要包括城市滨海景观轴带、城市山水景观轴带、城市综合功能景观轴带和行政文化区景观轴带。该区域作为城市控制的景观轴带，其红线范围内区域建设基站时需符合景观化原则，进行景观化处理。</w:t>
      </w:r>
    </w:p>
    <w:p w14:paraId="1A05A843">
      <w:pPr>
        <w:autoSpaceDE w:val="0"/>
        <w:autoSpaceDN w:val="0"/>
        <w:adjustRightInd w:val="0"/>
        <w:spacing w:line="360" w:lineRule="auto"/>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）城市标志性建筑周边地区</w:t>
      </w:r>
    </w:p>
    <w:p w14:paraId="6614D699">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该类地区包括城市地标性建筑（以超高层建筑群为主）以及市级重要公共建筑，上述两类区域（部分区域交叉重合）作为城市标志性象征，对相关或周围区域需要进行景观化基站控制。</w:t>
      </w:r>
    </w:p>
    <w:p w14:paraId="487997A1">
      <w:pPr>
        <w:autoSpaceDE w:val="0"/>
        <w:autoSpaceDN w:val="0"/>
        <w:adjustRightInd w:val="0"/>
        <w:spacing w:line="360" w:lineRule="auto"/>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4</w:t>
      </w:r>
      <w:r>
        <w:rPr>
          <w:rFonts w:hint="eastAsia" w:asciiTheme="minorEastAsia" w:hAnsiTheme="minorEastAsia" w:eastAsiaTheme="minorEastAsia"/>
          <w:kern w:val="24"/>
          <w:sz w:val="28"/>
          <w:szCs w:val="28"/>
        </w:rPr>
        <w:t>）城市重要功能地区</w:t>
      </w:r>
    </w:p>
    <w:p w14:paraId="7BBAD27A">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城市重要功能区包括汕尾市主城区、各区县的中心城区等核心地区，该类地区是城市重要行政办公、金融、大型公共建筑等综合地区，是汕尾市民活动的重要场所，也是汕尾对外交流的重要窗口，需进行基站的景观化控制；部分新建地区因定位高、建设要求高，更需实现基站的景观化控制。</w:t>
      </w:r>
    </w:p>
    <w:p w14:paraId="49298E1A">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①旅游景区地区</w:t>
      </w:r>
    </w:p>
    <w:p w14:paraId="5A3D57FB">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旅游景区除城市绿线范围内生态旅游外，还包括市域范围内都市风情旅游区、文化旅游区、休闲娱乐旅游区；上述场所是汕尾市的名片，也是其它城市市民了解汕尾的窗口，进行基站建设时需进行景观化处理。</w:t>
      </w:r>
    </w:p>
    <w:p w14:paraId="7E651E88">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②城市门户和景观通道</w:t>
      </w:r>
    </w:p>
    <w:p w14:paraId="08514C42">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城市门户包括港口、火车站、汽车站等；城市通道包括铁路、高速公路及快速路。来往汕尾的人来自五湖四海，世界各地，而上述场所是外地市民进入汕尾的门户，同时给人对汕尾的初始印象留下印记；因而上述地区需进行基站的景观化管理。</w:t>
      </w:r>
    </w:p>
    <w:p w14:paraId="31E73567">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③文物保护单位的建设控制地带</w:t>
      </w:r>
    </w:p>
    <w:p w14:paraId="0DF87774">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文物保护单位的保护范围是禁止建设基站区域，保护范围外的建设控制地带内建设时基站时需进行景观化设计，使基站与周边环境协调一致。</w:t>
      </w:r>
    </w:p>
    <w:p w14:paraId="100B581D">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④其它地区</w:t>
      </w:r>
    </w:p>
    <w:p w14:paraId="1E400224">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市和镇两级单独建设的政府办公大楼：市、区两级政府办公大楼是流动人口较集中的区域，也是政府形象的象征；当建设宏基站时，其天线需进行景观化设计及建设。</w:t>
      </w:r>
    </w:p>
    <w:p w14:paraId="189EDBFF">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已实现“穿衣”未完成“戴帽”的街景区域：近年来，各级城市政府已对部分城市街景进行景观化改造，与此相配套，位于上述区域的已建基站，需配套进行景观化处理。</w:t>
      </w:r>
    </w:p>
    <w:p w14:paraId="216A92F7">
      <w:pPr>
        <w:autoSpaceDE w:val="0"/>
        <w:autoSpaceDN w:val="0"/>
        <w:adjustRightInd w:val="0"/>
        <w:spacing w:line="360" w:lineRule="auto"/>
        <w:ind w:firstLine="560" w:firstLineChars="200"/>
        <w:jc w:val="left"/>
        <w:rPr>
          <w:rFonts w:hint="eastAsia" w:asciiTheme="minorEastAsia" w:hAnsiTheme="minorEastAsia" w:eastAsiaTheme="minorEastAsia"/>
          <w:kern w:val="24"/>
          <w:sz w:val="24"/>
        </w:rPr>
      </w:pPr>
      <w:r>
        <w:rPr>
          <w:rFonts w:hint="eastAsia" w:asciiTheme="minorEastAsia" w:hAnsiTheme="minorEastAsia" w:eastAsiaTheme="minorEastAsia"/>
          <w:kern w:val="24"/>
          <w:sz w:val="28"/>
          <w:szCs w:val="28"/>
        </w:rPr>
        <w:t>物业单位有要求的单体建筑：对于分散在不同区域的建筑单体，物业单位有要求时，各运营商需配合物业单位设计景观化基站。</w:t>
      </w:r>
    </w:p>
    <w:p w14:paraId="1094D298">
      <w:pPr>
        <w:pStyle w:val="7"/>
        <w:rPr>
          <w:rFonts w:hint="eastAsia" w:cs="宋体" w:asciiTheme="minorEastAsia" w:hAnsiTheme="minorEastAsia" w:eastAsiaTheme="minorEastAsia"/>
          <w:kern w:val="0"/>
        </w:rPr>
      </w:pPr>
      <w:bookmarkStart w:id="82" w:name="_Toc60177538"/>
      <w:r>
        <w:rPr>
          <w:rFonts w:hint="eastAsia" w:cs="宋体" w:asciiTheme="minorEastAsia" w:hAnsiTheme="minorEastAsia" w:eastAsiaTheme="minorEastAsia"/>
          <w:kern w:val="0"/>
        </w:rPr>
        <w:t>景观化基站的建设形式</w:t>
      </w:r>
      <w:bookmarkEnd w:id="82"/>
    </w:p>
    <w:p w14:paraId="385FC1EC">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景观化基站主要针对宏基站而言，不同区域、不同建设方式的宏基站，在进行景观化处理时有不同的建设形式。</w:t>
      </w:r>
    </w:p>
    <w:p w14:paraId="4C9F571F">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1</w:t>
      </w:r>
      <w:r>
        <w:rPr>
          <w:rFonts w:hint="eastAsia" w:asciiTheme="minorEastAsia" w:hAnsiTheme="minorEastAsia" w:eastAsiaTheme="minorEastAsia"/>
          <w:kern w:val="24"/>
          <w:sz w:val="28"/>
          <w:szCs w:val="28"/>
        </w:rPr>
        <w:t>）整体美化基站</w:t>
      </w:r>
    </w:p>
    <w:p w14:paraId="17DE18AE">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一体化景观基站包括天线、抱杆、机房等设施全部进行景观化处理。主要针对独立式宏基站，比较合适建设此类基站的片区位于生态区内标志性景观区。</w:t>
      </w:r>
    </w:p>
    <w:p w14:paraId="3E658B93">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2</w:t>
      </w:r>
      <w:r>
        <w:rPr>
          <w:rFonts w:hint="eastAsia" w:asciiTheme="minorEastAsia" w:hAnsiTheme="minorEastAsia" w:eastAsiaTheme="minorEastAsia"/>
          <w:kern w:val="24"/>
          <w:sz w:val="28"/>
          <w:szCs w:val="28"/>
        </w:rPr>
        <w:t>）抱杆及天线美化基站</w:t>
      </w:r>
    </w:p>
    <w:p w14:paraId="58A8615D">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此类基站仅对抱杆、天线进行景观化处理。主要针对独立式宏基站，比较合适建设此类基站的片区有城市绿线围合的片区以及部分景观轴带、景观通道等红线内。</w:t>
      </w:r>
    </w:p>
    <w:p w14:paraId="4EAC1A41">
      <w:pPr>
        <w:autoSpaceDE w:val="0"/>
        <w:autoSpaceDN w:val="0"/>
        <w:adjustRightInd w:val="0"/>
        <w:spacing w:line="360" w:lineRule="auto"/>
        <w:ind w:firstLine="560" w:firstLineChars="200"/>
        <w:jc w:val="left"/>
        <w:rPr>
          <w:rFonts w:hint="eastAsia" w:asciiTheme="minorEastAsia" w:hAnsiTheme="minorEastAsia" w:eastAsiaTheme="minorEastAsia"/>
          <w:kern w:val="24"/>
          <w:sz w:val="28"/>
          <w:szCs w:val="28"/>
        </w:rPr>
      </w:pPr>
      <w:r>
        <w:rPr>
          <w:rFonts w:hint="eastAsia" w:asciiTheme="minorEastAsia" w:hAnsiTheme="minorEastAsia" w:eastAsiaTheme="minorEastAsia"/>
          <w:kern w:val="24"/>
          <w:sz w:val="28"/>
          <w:szCs w:val="28"/>
        </w:rPr>
        <w:t>（</w:t>
      </w:r>
      <w:r>
        <w:rPr>
          <w:rFonts w:asciiTheme="minorEastAsia" w:hAnsiTheme="minorEastAsia" w:eastAsiaTheme="minorEastAsia"/>
          <w:kern w:val="24"/>
          <w:sz w:val="28"/>
          <w:szCs w:val="28"/>
        </w:rPr>
        <w:t>3</w:t>
      </w:r>
      <w:r>
        <w:rPr>
          <w:rFonts w:hint="eastAsia" w:asciiTheme="minorEastAsia" w:hAnsiTheme="minorEastAsia" w:eastAsiaTheme="minorEastAsia"/>
          <w:kern w:val="24"/>
          <w:sz w:val="28"/>
          <w:szCs w:val="28"/>
        </w:rPr>
        <w:t>）天线美化基站</w:t>
      </w:r>
    </w:p>
    <w:p w14:paraId="45E9AF6D">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kern w:val="24"/>
          <w:sz w:val="28"/>
          <w:szCs w:val="28"/>
        </w:rPr>
        <w:t>此类基站仅对天线进行景观化处理。主要针对附设式宏基站，比较合适建设此类基站的片区在城市建设区内，包括城市地标性建筑周围、城市重要功能区域、城市门户以及其它需要做景观化基站的单体建筑。</w:t>
      </w:r>
    </w:p>
    <w:p w14:paraId="523015BA">
      <w:pPr>
        <w:pStyle w:val="5"/>
        <w:rPr>
          <w:color w:val="000000" w:themeColor="text1"/>
          <w14:textFill>
            <w14:solidFill>
              <w14:schemeClr w14:val="tx1"/>
            </w14:solidFill>
          </w14:textFill>
        </w:rPr>
      </w:pPr>
      <w:bookmarkStart w:id="83" w:name="_Toc525667134"/>
      <w:bookmarkStart w:id="84" w:name="_Toc428266718"/>
      <w:bookmarkStart w:id="85" w:name="_Toc188027496"/>
      <w:r>
        <w:rPr>
          <w:rFonts w:hint="eastAsia"/>
          <w:color w:val="000000" w:themeColor="text1"/>
          <w14:textFill>
            <w14:solidFill>
              <w14:schemeClr w14:val="tx1"/>
            </w14:solidFill>
          </w14:textFill>
        </w:rPr>
        <w:t>通信汇聚机房、管道及光交箱规划</w:t>
      </w:r>
      <w:bookmarkEnd w:id="83"/>
      <w:bookmarkEnd w:id="84"/>
      <w:bookmarkEnd w:id="85"/>
    </w:p>
    <w:p w14:paraId="0F911417">
      <w:pPr>
        <w:pStyle w:val="11"/>
        <w:widowControl w:val="0"/>
        <w:numPr>
          <w:ilvl w:val="0"/>
          <w:numId w:val="14"/>
        </w:numPr>
        <w:autoSpaceDE w:val="0"/>
        <w:autoSpaceDN w:val="0"/>
        <w:spacing w:before="40"/>
        <w:ind w:firstLineChars="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通信汇聚机房规划</w:t>
      </w:r>
    </w:p>
    <w:p w14:paraId="4BBC8076">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根据《深圳市-汕尾市产业转移合作园（天星湖片区）详细规划及城市设计（调整）》，核心区规划新增2</w:t>
      </w:r>
      <w:r>
        <w:rPr>
          <w:rFonts w:asciiTheme="minorEastAsia" w:hAnsiTheme="minorEastAsia" w:eastAsiaTheme="minorEastAsia"/>
          <w:sz w:val="28"/>
          <w:szCs w:val="28"/>
        </w:rPr>
        <w:t>座汇聚机房，预留建筑面积</w:t>
      </w:r>
      <w:r>
        <w:rPr>
          <w:rFonts w:hint="eastAsia" w:asciiTheme="minorEastAsia" w:hAnsiTheme="minorEastAsia" w:eastAsiaTheme="minorEastAsia"/>
          <w:sz w:val="28"/>
          <w:szCs w:val="28"/>
        </w:rPr>
        <w:t>12</w:t>
      </w:r>
      <w:r>
        <w:rPr>
          <w:rFonts w:asciiTheme="minorEastAsia" w:hAnsiTheme="minorEastAsia" w:eastAsiaTheme="minorEastAsia"/>
          <w:sz w:val="28"/>
          <w:szCs w:val="28"/>
        </w:rPr>
        <w:t>00-</w:t>
      </w:r>
      <w:r>
        <w:rPr>
          <w:rFonts w:hint="eastAsia" w:asciiTheme="minorEastAsia" w:hAnsiTheme="minorEastAsia" w:eastAsiaTheme="minorEastAsia"/>
          <w:sz w:val="28"/>
          <w:szCs w:val="28"/>
        </w:rPr>
        <w:t>16</w:t>
      </w:r>
      <w:r>
        <w:rPr>
          <w:rFonts w:asciiTheme="minorEastAsia" w:hAnsiTheme="minorEastAsia" w:eastAsiaTheme="minorEastAsia"/>
          <w:sz w:val="28"/>
          <w:szCs w:val="28"/>
        </w:rPr>
        <w:t>00平方米</w:t>
      </w:r>
      <w:r>
        <w:rPr>
          <w:rFonts w:hint="eastAsia" w:asciiTheme="minorEastAsia" w:hAnsiTheme="minorEastAsia" w:eastAsiaTheme="minorEastAsia"/>
          <w:sz w:val="28"/>
          <w:szCs w:val="28"/>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个运营商，每个运营商各3</w:t>
      </w:r>
      <w:r>
        <w:rPr>
          <w:rFonts w:asciiTheme="minorEastAsia" w:hAnsiTheme="minorEastAsia" w:eastAsiaTheme="minorEastAsia"/>
          <w:sz w:val="28"/>
          <w:szCs w:val="28"/>
        </w:rPr>
        <w:t>00-400</w:t>
      </w:r>
      <w:r>
        <w:rPr>
          <w:rFonts w:hint="eastAsia" w:asciiTheme="minorEastAsia" w:hAnsiTheme="minorEastAsia" w:eastAsiaTheme="minorEastAsia"/>
          <w:sz w:val="28"/>
          <w:szCs w:val="28"/>
        </w:rPr>
        <w:t>平方米）</w:t>
      </w:r>
      <w:r>
        <w:rPr>
          <w:rFonts w:asciiTheme="minorEastAsia" w:hAnsiTheme="minorEastAsia" w:eastAsiaTheme="minorEastAsia"/>
          <w:sz w:val="28"/>
          <w:szCs w:val="28"/>
        </w:rPr>
        <w:t>；</w:t>
      </w:r>
      <w:r>
        <w:rPr>
          <w:rFonts w:hint="eastAsia" w:asciiTheme="minorEastAsia" w:hAnsiTheme="minorEastAsia" w:eastAsiaTheme="minorEastAsia"/>
          <w:sz w:val="28"/>
          <w:szCs w:val="28"/>
        </w:rPr>
        <w:t>北部片区暂不规划汇聚机房。</w:t>
      </w:r>
    </w:p>
    <w:p w14:paraId="39E352BE">
      <w:pPr>
        <w:pStyle w:val="11"/>
        <w:ind w:firstLine="56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表4</w:t>
      </w:r>
      <w:r>
        <w:rPr>
          <w:rFonts w:asciiTheme="minorEastAsia" w:hAnsiTheme="minorEastAsia" w:eastAsiaTheme="minorEastAsia"/>
          <w:sz w:val="28"/>
          <w:szCs w:val="28"/>
        </w:rPr>
        <w:t xml:space="preserve">-12 </w:t>
      </w:r>
      <w:r>
        <w:rPr>
          <w:rFonts w:hint="eastAsia" w:asciiTheme="minorEastAsia" w:hAnsiTheme="minorEastAsia" w:eastAsiaTheme="minorEastAsia"/>
          <w:sz w:val="28"/>
          <w:szCs w:val="28"/>
        </w:rPr>
        <w:t>天星湖片区通信汇聚机房规划清单</w:t>
      </w:r>
    </w:p>
    <w:tbl>
      <w:tblPr>
        <w:tblStyle w:val="20"/>
        <w:tblW w:w="9493" w:type="dxa"/>
        <w:tblInd w:w="113" w:type="dxa"/>
        <w:tblLayout w:type="autofit"/>
        <w:tblCellMar>
          <w:top w:w="0" w:type="dxa"/>
          <w:left w:w="108" w:type="dxa"/>
          <w:bottom w:w="0" w:type="dxa"/>
          <w:right w:w="108" w:type="dxa"/>
        </w:tblCellMar>
      </w:tblPr>
      <w:tblGrid>
        <w:gridCol w:w="704"/>
        <w:gridCol w:w="1985"/>
        <w:gridCol w:w="1701"/>
        <w:gridCol w:w="1559"/>
        <w:gridCol w:w="1276"/>
        <w:gridCol w:w="1134"/>
        <w:gridCol w:w="1134"/>
      </w:tblGrid>
      <w:tr w14:paraId="5C792253">
        <w:tblPrEx>
          <w:tblCellMar>
            <w:top w:w="0" w:type="dxa"/>
            <w:left w:w="108" w:type="dxa"/>
            <w:bottom w:w="0" w:type="dxa"/>
            <w:right w:w="108" w:type="dxa"/>
          </w:tblCellMar>
        </w:tblPrEx>
        <w:trPr>
          <w:trHeight w:val="454"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8FAFF">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序号</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1CE1D118">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规划站名</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1E1F5200">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经度</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2997A08">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纬度</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4EB48F1">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站点类型</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15A1CB2">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规划类型</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490B95A8">
            <w:pPr>
              <w:widowControl/>
              <w:jc w:val="center"/>
              <w:rPr>
                <w:rFonts w:hint="eastAsia" w:cs="宋体" w:asciiTheme="minorEastAsia" w:hAnsiTheme="minorEastAsia" w:eastAsiaTheme="minorEastAsia"/>
                <w:color w:val="000000"/>
                <w:kern w:val="0"/>
                <w:sz w:val="22"/>
              </w:rPr>
            </w:pPr>
            <w:r>
              <w:rPr>
                <w:rFonts w:hint="eastAsia" w:cs="宋体" w:asciiTheme="minorEastAsia" w:hAnsiTheme="minorEastAsia" w:eastAsiaTheme="minorEastAsia"/>
                <w:color w:val="000000"/>
                <w:kern w:val="0"/>
                <w:sz w:val="22"/>
              </w:rPr>
              <w:t>备注</w:t>
            </w:r>
          </w:p>
        </w:tc>
      </w:tr>
      <w:tr w14:paraId="228D92C8">
        <w:tblPrEx>
          <w:tblCellMar>
            <w:top w:w="0" w:type="dxa"/>
            <w:left w:w="108" w:type="dxa"/>
            <w:bottom w:w="0" w:type="dxa"/>
            <w:right w:w="108" w:type="dxa"/>
          </w:tblCellMar>
        </w:tblPrEx>
        <w:trPr>
          <w:trHeight w:val="454"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6B14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1</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1D6AE20F">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汇聚机房1</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286F0BF4">
            <w:pPr>
              <w:widowControl/>
              <w:jc w:val="center"/>
              <w:rPr>
                <w:rFonts w:hint="eastAsia" w:asciiTheme="minorEastAsia" w:hAnsiTheme="minorEastAsia" w:eastAsiaTheme="minorEastAsia"/>
                <w:color w:val="000000"/>
                <w:sz w:val="22"/>
              </w:rPr>
            </w:pPr>
            <w:r>
              <w:rPr>
                <w:rFonts w:asciiTheme="minorEastAsia" w:hAnsiTheme="minorEastAsia" w:eastAsiaTheme="minorEastAsia"/>
                <w:color w:val="000000"/>
                <w:sz w:val="22"/>
              </w:rPr>
              <w:t>115.220903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72A5373">
            <w:pPr>
              <w:widowControl/>
              <w:jc w:val="center"/>
              <w:rPr>
                <w:rFonts w:hint="eastAsia" w:asciiTheme="minorEastAsia" w:hAnsiTheme="minorEastAsia" w:eastAsiaTheme="minorEastAsia"/>
                <w:color w:val="000000"/>
                <w:sz w:val="22"/>
              </w:rPr>
            </w:pPr>
            <w:r>
              <w:rPr>
                <w:rFonts w:asciiTheme="minorEastAsia" w:hAnsiTheme="minorEastAsia" w:eastAsiaTheme="minorEastAsia"/>
                <w:color w:val="000000"/>
                <w:sz w:val="22"/>
              </w:rPr>
              <w:t>22.922260</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3DD04B61">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AE89197">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新增</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47264764">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w:t>
            </w:r>
          </w:p>
        </w:tc>
      </w:tr>
      <w:tr w14:paraId="20600F49">
        <w:tblPrEx>
          <w:tblCellMar>
            <w:top w:w="0" w:type="dxa"/>
            <w:left w:w="108" w:type="dxa"/>
            <w:bottom w:w="0" w:type="dxa"/>
            <w:right w:w="108" w:type="dxa"/>
          </w:tblCellMar>
        </w:tblPrEx>
        <w:trPr>
          <w:trHeight w:val="454"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4D92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2</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684A6BA0">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汇聚机房2</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A0FD283">
            <w:pPr>
              <w:widowControl/>
              <w:jc w:val="center"/>
              <w:rPr>
                <w:rFonts w:hint="eastAsia" w:asciiTheme="minorEastAsia" w:hAnsiTheme="minorEastAsia" w:eastAsiaTheme="minorEastAsia"/>
                <w:color w:val="000000"/>
                <w:sz w:val="22"/>
              </w:rPr>
            </w:pPr>
            <w:r>
              <w:rPr>
                <w:rFonts w:asciiTheme="minorEastAsia" w:hAnsiTheme="minorEastAsia" w:eastAsiaTheme="minorEastAsia"/>
                <w:color w:val="000000"/>
                <w:sz w:val="22"/>
              </w:rPr>
              <w:t>115.238913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C0BA8F5">
            <w:pPr>
              <w:widowControl/>
              <w:jc w:val="center"/>
              <w:rPr>
                <w:rFonts w:hint="eastAsia" w:asciiTheme="minorEastAsia" w:hAnsiTheme="minorEastAsia" w:eastAsiaTheme="minorEastAsia"/>
                <w:color w:val="000000"/>
                <w:sz w:val="22"/>
              </w:rPr>
            </w:pPr>
            <w:r>
              <w:rPr>
                <w:rFonts w:asciiTheme="minorEastAsia" w:hAnsiTheme="minorEastAsia" w:eastAsiaTheme="minorEastAsia"/>
                <w:color w:val="000000"/>
                <w:sz w:val="22"/>
              </w:rPr>
              <w:t>22.934655</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065D8FC8">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4E6197CA">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新增</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108F9B3">
            <w:pPr>
              <w:widowControl/>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汇聚机房</w:t>
            </w:r>
          </w:p>
        </w:tc>
      </w:tr>
    </w:tbl>
    <w:p w14:paraId="25CA4470">
      <w:pPr>
        <w:pStyle w:val="11"/>
        <w:ind w:firstLine="560"/>
        <w:rPr>
          <w:rFonts w:hint="eastAsia" w:asciiTheme="minorEastAsia" w:hAnsiTheme="minorEastAsia" w:eastAsiaTheme="minorEastAsia"/>
          <w:sz w:val="28"/>
          <w:szCs w:val="28"/>
        </w:rPr>
      </w:pPr>
    </w:p>
    <w:p w14:paraId="61462BAC">
      <w:pPr>
        <w:pStyle w:val="11"/>
        <w:ind w:firstLine="480"/>
        <w:jc w:val="center"/>
        <w:rPr>
          <w:rFonts w:hint="eastAsia" w:asciiTheme="minorEastAsia" w:hAnsiTheme="minorEastAsia" w:eastAsiaTheme="minorEastAsia"/>
          <w:sz w:val="28"/>
          <w:szCs w:val="28"/>
        </w:rPr>
      </w:pPr>
      <w:r>
        <w:drawing>
          <wp:inline distT="0" distB="0" distL="0" distR="0">
            <wp:extent cx="2968625" cy="4592955"/>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7"/>
                    <a:stretch>
                      <a:fillRect/>
                    </a:stretch>
                  </pic:blipFill>
                  <pic:spPr>
                    <a:xfrm>
                      <a:off x="0" y="0"/>
                      <a:ext cx="2974480" cy="4601740"/>
                    </a:xfrm>
                    <a:prstGeom prst="rect">
                      <a:avLst/>
                    </a:prstGeom>
                  </pic:spPr>
                </pic:pic>
              </a:graphicData>
            </a:graphic>
          </wp:inline>
        </w:drawing>
      </w:r>
    </w:p>
    <w:p w14:paraId="795026F2">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图4</w:t>
      </w:r>
      <w:r>
        <w:rPr>
          <w:rFonts w:asciiTheme="minorEastAsia" w:hAnsiTheme="minorEastAsia" w:eastAsiaTheme="minorEastAsia"/>
          <w:sz w:val="28"/>
          <w:szCs w:val="28"/>
        </w:rPr>
        <w:t>-4</w:t>
      </w:r>
      <w:r>
        <w:rPr>
          <w:rFonts w:hint="eastAsia" w:asciiTheme="minorEastAsia" w:hAnsiTheme="minorEastAsia" w:eastAsiaTheme="minorEastAsia"/>
          <w:sz w:val="28"/>
          <w:szCs w:val="28"/>
        </w:rPr>
        <w:t xml:space="preserve"> </w:t>
      </w:r>
      <w:r>
        <w:rPr>
          <w:rFonts w:hint="eastAsia" w:asciiTheme="minorEastAsia" w:hAnsiTheme="minorEastAsia" w:eastAsiaTheme="minorEastAsia"/>
        </w:rPr>
        <w:t>深圳市-汕尾市产业转移合作园（天星湖片区）汇聚机房规划</w:t>
      </w:r>
    </w:p>
    <w:p w14:paraId="3B88F0F7">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（2）通信管道规划</w:t>
      </w:r>
    </w:p>
    <w:p w14:paraId="19BE51B8">
      <w:pPr>
        <w:pStyle w:val="11"/>
        <w:ind w:firstLine="560"/>
        <w:rPr>
          <w:rFonts w:hint="eastAsia" w:asciiTheme="minorEastAsia" w:hAnsiTheme="minorEastAsia" w:eastAsiaTheme="minorEastAsia"/>
          <w:sz w:val="28"/>
          <w:szCs w:val="28"/>
        </w:rPr>
      </w:pPr>
      <w:r>
        <w:rPr>
          <w:rFonts w:asciiTheme="minorEastAsia" w:hAnsiTheme="minorEastAsia" w:eastAsiaTheme="minorEastAsia"/>
          <w:sz w:val="28"/>
          <w:szCs w:val="28"/>
        </w:rPr>
        <w:t>规划区范围内通信管道建设不完善，在新建或改造规划区道路的同时，原则上在道路</w:t>
      </w:r>
      <w:r>
        <w:rPr>
          <w:rFonts w:hint="eastAsia" w:asciiTheme="minorEastAsia" w:hAnsiTheme="minorEastAsia" w:eastAsiaTheme="minorEastAsia"/>
          <w:sz w:val="28"/>
          <w:szCs w:val="28"/>
        </w:rPr>
        <w:t>西</w:t>
      </w:r>
      <w:r>
        <w:rPr>
          <w:rFonts w:asciiTheme="minorEastAsia" w:hAnsiTheme="minorEastAsia" w:eastAsiaTheme="minorEastAsia"/>
          <w:sz w:val="28"/>
          <w:szCs w:val="28"/>
        </w:rPr>
        <w:t>侧、</w:t>
      </w:r>
      <w:r>
        <w:rPr>
          <w:rFonts w:hint="eastAsia" w:asciiTheme="minorEastAsia" w:hAnsiTheme="minorEastAsia" w:eastAsiaTheme="minorEastAsia"/>
          <w:sz w:val="28"/>
          <w:szCs w:val="28"/>
        </w:rPr>
        <w:t>北</w:t>
      </w:r>
      <w:r>
        <w:rPr>
          <w:rFonts w:asciiTheme="minorEastAsia" w:hAnsiTheme="minorEastAsia" w:eastAsiaTheme="minorEastAsia"/>
          <w:sz w:val="28"/>
          <w:szCs w:val="28"/>
        </w:rPr>
        <w:t>侧人行道下，统一规划建设综合通信管群。</w:t>
      </w:r>
      <w:r>
        <w:rPr>
          <w:rFonts w:hint="eastAsia" w:asciiTheme="minorEastAsia" w:hAnsiTheme="minorEastAsia" w:eastAsiaTheme="minorEastAsia"/>
          <w:sz w:val="28"/>
          <w:szCs w:val="28"/>
        </w:rPr>
        <w:t>除现有通信管道外，规划在所有内部道路新增综合信息管道（通信管道预留至少9孔），埋深不少于0.7米。</w:t>
      </w:r>
    </w:p>
    <w:p w14:paraId="3551CED2">
      <w:pPr>
        <w:pStyle w:val="11"/>
        <w:ind w:firstLine="560"/>
        <w:rPr>
          <w:rFonts w:hint="eastAsia" w:asciiTheme="minorEastAsia" w:hAnsiTheme="minorEastAsia" w:eastAsiaTheme="minorEastAsia"/>
          <w:sz w:val="28"/>
          <w:szCs w:val="28"/>
        </w:rPr>
      </w:pPr>
      <w:r>
        <w:rPr>
          <w:rFonts w:asciiTheme="minorEastAsia" w:hAnsiTheme="minorEastAsia" w:eastAsiaTheme="minorEastAsia"/>
          <w:sz w:val="28"/>
          <w:szCs w:val="28"/>
        </w:rPr>
        <w:t>综合通信管群除传统电信业务外还包含数据业务、移动通信、交通监控，有线电视等各种信息传输所需管孔，应在道路施工同期统一设计施工，避免营运商各自为政，重复开挖。</w:t>
      </w:r>
    </w:p>
    <w:p w14:paraId="1E781300">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管线宜采用地下敷设的方式。地下管线的走向，宜沿道路或与主体建筑平行布置，并力求线型顺直、短捷和适当集中，尽量减少转弯，并应使管线之间及管线与道路之间尽量减少交叉。</w:t>
      </w:r>
      <w:r>
        <w:rPr>
          <w:rFonts w:asciiTheme="minorEastAsia" w:hAnsiTheme="minorEastAsia" w:eastAsiaTheme="minorEastAsia"/>
          <w:sz w:val="28"/>
          <w:szCs w:val="28"/>
        </w:rPr>
        <w:t>通信管道采用PVC管群，埋深需符合要求，管径采用φ110。道路交叉口应预留足够数量过路管，并根据要求预留足够数量的横过管。</w:t>
      </w:r>
      <w:r>
        <w:rPr>
          <w:rFonts w:hint="eastAsia" w:asciiTheme="minorEastAsia" w:hAnsiTheme="minorEastAsia" w:eastAsiaTheme="minorEastAsia"/>
          <w:sz w:val="28"/>
          <w:szCs w:val="28"/>
        </w:rPr>
        <w:t>管井按照每隔100米1个规划放置，道路交叉口及拐弯处必须设置管井，便于传输线缆施工接入。</w:t>
      </w:r>
    </w:p>
    <w:p w14:paraId="7F7DB020">
      <w:pPr>
        <w:widowControl/>
        <w:ind w:firstLine="420" w:firstLineChars="200"/>
        <w:jc w:val="center"/>
        <w:rPr>
          <w:rFonts w:hint="eastAsia" w:cs="宋体" w:asciiTheme="minorEastAsia" w:hAnsiTheme="minorEastAsia" w:eastAsiaTheme="minorEastAsia"/>
          <w:kern w:val="0"/>
          <w:sz w:val="28"/>
          <w:szCs w:val="28"/>
        </w:rPr>
      </w:pPr>
      <w:r>
        <w:drawing>
          <wp:inline distT="0" distB="0" distL="0" distR="0">
            <wp:extent cx="4302125" cy="4581525"/>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8"/>
                    <a:stretch>
                      <a:fillRect/>
                    </a:stretch>
                  </pic:blipFill>
                  <pic:spPr>
                    <a:xfrm>
                      <a:off x="0" y="0"/>
                      <a:ext cx="4310693" cy="4590189"/>
                    </a:xfrm>
                    <a:prstGeom prst="rect">
                      <a:avLst/>
                    </a:prstGeom>
                  </pic:spPr>
                </pic:pic>
              </a:graphicData>
            </a:graphic>
          </wp:inline>
        </w:drawing>
      </w:r>
    </w:p>
    <w:p w14:paraId="13DAC69F">
      <w:pPr>
        <w:ind w:firstLine="360" w:firstLineChars="150"/>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图4-</w:t>
      </w:r>
      <w:r>
        <w:rPr>
          <w:rFonts w:cs="宋体" w:asciiTheme="minorEastAsia" w:hAnsiTheme="minorEastAsia" w:eastAsiaTheme="minorEastAsia"/>
          <w:kern w:val="0"/>
          <w:sz w:val="24"/>
          <w:szCs w:val="24"/>
        </w:rPr>
        <w:t>5</w:t>
      </w:r>
      <w:r>
        <w:rPr>
          <w:rFonts w:hint="eastAsia" w:cs="宋体" w:asciiTheme="minorEastAsia" w:hAnsiTheme="minorEastAsia" w:eastAsiaTheme="minorEastAsia"/>
          <w:kern w:val="0"/>
          <w:sz w:val="24"/>
          <w:szCs w:val="24"/>
        </w:rPr>
        <w:t>：深圳市-汕尾市产业转移合作园（天星湖片区）传输管道规划</w:t>
      </w:r>
    </w:p>
    <w:p w14:paraId="4B027324">
      <w:pPr>
        <w:ind w:firstLine="360" w:firstLineChars="150"/>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（蓝色线段：现有管道；紫色线段：规划管道；红色：规划管道（规划区外部，上联管道））</w:t>
      </w:r>
    </w:p>
    <w:p w14:paraId="3DAF0392">
      <w:pPr>
        <w:spacing w:line="360" w:lineRule="auto"/>
        <w:ind w:firstLine="420" w:firstLineChars="150"/>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2</w:t>
      </w:r>
      <w:r>
        <w:rPr>
          <w:rFonts w:hint="eastAsia" w:asciiTheme="minorEastAsia" w:hAnsiTheme="minorEastAsia" w:eastAsiaTheme="minorEastAsia"/>
          <w:sz w:val="28"/>
          <w:szCs w:val="28"/>
        </w:rPr>
        <w:t>）通信光交箱规划</w:t>
      </w:r>
    </w:p>
    <w:p w14:paraId="63786933">
      <w:pPr>
        <w:spacing w:line="360" w:lineRule="auto"/>
        <w:ind w:firstLine="420" w:firstLineChars="15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通信光交箱，即光缆交接箱，安装位置应接近用户分布中心，方便主干光缆和配线光缆、接入光缆的敷设，可采用落地式、壁挂式或架空方式安装，应优选公共绿地或靠近其他公共弱电设施等稳健地带安装。落地式光交箱应争取与市政管道工程同步施工。</w:t>
      </w:r>
    </w:p>
    <w:p w14:paraId="55565443">
      <w:pPr>
        <w:spacing w:line="360" w:lineRule="auto"/>
        <w:ind w:firstLine="420" w:firstLineChars="15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光交箱容量应根据不同使用场景、按终期的最大需求选择相应的设备。考虑到建设和将来扩容等困难，在城区主干光交容量应不小于576芯，配线光交容量应不小于144芯；乡镇或农村应因地制宜地选用144芯、288芯或576芯容量。</w:t>
      </w:r>
    </w:p>
    <w:p w14:paraId="49385240">
      <w:pPr>
        <w:spacing w:line="360" w:lineRule="auto"/>
        <w:ind w:firstLine="420" w:firstLineChars="15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本次通信规划建议在天星湖片区主干路、次干路、支路的交叉口（详见图4</w:t>
      </w:r>
      <w:r>
        <w:rPr>
          <w:rFonts w:cs="宋体" w:asciiTheme="minorEastAsia" w:hAnsiTheme="minorEastAsia" w:eastAsiaTheme="minorEastAsia"/>
          <w:kern w:val="0"/>
          <w:sz w:val="28"/>
          <w:szCs w:val="28"/>
        </w:rPr>
        <w:t>-5</w:t>
      </w:r>
      <w:r>
        <w:rPr>
          <w:rFonts w:hint="eastAsia" w:cs="宋体" w:asciiTheme="minorEastAsia" w:hAnsiTheme="minorEastAsia" w:eastAsiaTheme="minorEastAsia"/>
          <w:kern w:val="0"/>
          <w:sz w:val="28"/>
          <w:szCs w:val="28"/>
        </w:rPr>
        <w:t>），共8</w:t>
      </w:r>
      <w:r>
        <w:rPr>
          <w:rFonts w:cs="宋体" w:asciiTheme="minorEastAsia" w:hAnsiTheme="minorEastAsia" w:eastAsiaTheme="minorEastAsia"/>
          <w:kern w:val="0"/>
          <w:sz w:val="28"/>
          <w:szCs w:val="28"/>
        </w:rPr>
        <w:t>0</w:t>
      </w:r>
      <w:r>
        <w:rPr>
          <w:rFonts w:hint="eastAsia" w:cs="宋体" w:asciiTheme="minorEastAsia" w:hAnsiTheme="minorEastAsia" w:eastAsiaTheme="minorEastAsia"/>
          <w:kern w:val="0"/>
          <w:sz w:val="28"/>
          <w:szCs w:val="28"/>
        </w:rPr>
        <w:t>处，每处光交箱设置4个5</w:t>
      </w:r>
      <w:r>
        <w:rPr>
          <w:rFonts w:cs="宋体" w:asciiTheme="minorEastAsia" w:hAnsiTheme="minorEastAsia" w:eastAsiaTheme="minorEastAsia"/>
          <w:kern w:val="0"/>
          <w:sz w:val="28"/>
          <w:szCs w:val="28"/>
        </w:rPr>
        <w:t>76</w:t>
      </w:r>
      <w:r>
        <w:rPr>
          <w:rFonts w:hint="eastAsia" w:cs="宋体" w:asciiTheme="minorEastAsia" w:hAnsiTheme="minorEastAsia" w:eastAsiaTheme="minorEastAsia"/>
          <w:kern w:val="0"/>
          <w:sz w:val="28"/>
          <w:szCs w:val="28"/>
        </w:rPr>
        <w:t>芯光交箱（中国电信、中国移动、中国联通、中国广电各1个）。</w:t>
      </w:r>
    </w:p>
    <w:p w14:paraId="0A07DDA4">
      <w:pPr>
        <w:pStyle w:val="5"/>
      </w:pPr>
      <w:bookmarkStart w:id="86" w:name="_Toc188027497"/>
      <w:r>
        <w:rPr>
          <w:rFonts w:hint="eastAsia"/>
        </w:rPr>
        <w:t>规划效果分析</w:t>
      </w:r>
      <w:bookmarkEnd w:id="86"/>
    </w:p>
    <w:p w14:paraId="6ACE9958">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深圳市-汕尾市产业转移合作园（天星湖片区）</w:t>
      </w:r>
      <w:r>
        <w:rPr>
          <w:rFonts w:cs="宋体" w:asciiTheme="minorEastAsia" w:hAnsiTheme="minorEastAsia" w:eastAsiaTheme="minorEastAsia"/>
          <w:kern w:val="0"/>
          <w:sz w:val="28"/>
          <w:szCs w:val="28"/>
        </w:rPr>
        <w:t>站址规划将基站站址等移动通信基础设施纳入城乡发展规划。通过科学规划深化共享，合理配置投资，实现规划牵引项目、主动满足需求、提升投资效益等目的。</w:t>
      </w:r>
    </w:p>
    <w:p w14:paraId="5CEB4875">
      <w:pPr>
        <w:widowControl/>
        <w:spacing w:line="360" w:lineRule="auto"/>
        <w:ind w:firstLine="560" w:firstLineChars="200"/>
        <w:jc w:val="left"/>
        <w:rPr>
          <w:rFonts w:hint="eastAsia"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由</w:t>
      </w:r>
      <w:r>
        <w:rPr>
          <w:rFonts w:hint="eastAsia" w:cs="宋体" w:asciiTheme="minorEastAsia" w:hAnsiTheme="minorEastAsia" w:eastAsiaTheme="minorEastAsia"/>
          <w:kern w:val="0"/>
          <w:sz w:val="28"/>
          <w:szCs w:val="28"/>
        </w:rPr>
        <w:t>中国</w:t>
      </w:r>
      <w:r>
        <w:rPr>
          <w:rFonts w:cs="宋体" w:asciiTheme="minorEastAsia" w:hAnsiTheme="minorEastAsia" w:eastAsiaTheme="minorEastAsia"/>
          <w:kern w:val="0"/>
          <w:sz w:val="28"/>
          <w:szCs w:val="28"/>
        </w:rPr>
        <w:t>铁塔</w:t>
      </w:r>
      <w:r>
        <w:rPr>
          <w:rFonts w:hint="eastAsia" w:cs="宋体" w:asciiTheme="minorEastAsia" w:hAnsiTheme="minorEastAsia" w:eastAsiaTheme="minorEastAsia"/>
          <w:kern w:val="0"/>
          <w:sz w:val="28"/>
          <w:szCs w:val="28"/>
        </w:rPr>
        <w:t>股份有限公司汕尾市分公司</w:t>
      </w:r>
      <w:r>
        <w:rPr>
          <w:rFonts w:cs="宋体" w:asciiTheme="minorEastAsia" w:hAnsiTheme="minorEastAsia" w:eastAsiaTheme="minorEastAsia"/>
          <w:kern w:val="0"/>
          <w:sz w:val="28"/>
          <w:szCs w:val="28"/>
        </w:rPr>
        <w:t>对接</w:t>
      </w:r>
      <w:r>
        <w:rPr>
          <w:rFonts w:hint="eastAsia" w:cs="宋体" w:asciiTheme="minorEastAsia" w:hAnsiTheme="minorEastAsia" w:eastAsiaTheme="minorEastAsia"/>
          <w:kern w:val="0"/>
          <w:sz w:val="28"/>
          <w:szCs w:val="28"/>
        </w:rPr>
        <w:t>城乡发展规划</w:t>
      </w:r>
      <w:r>
        <w:rPr>
          <w:rFonts w:cs="宋体" w:asciiTheme="minorEastAsia" w:hAnsiTheme="minorEastAsia" w:eastAsiaTheme="minorEastAsia"/>
          <w:kern w:val="0"/>
          <w:sz w:val="28"/>
          <w:szCs w:val="28"/>
        </w:rPr>
        <w:t>，提供无线、传输、配套综合一体化解决方案，</w:t>
      </w:r>
      <w:r>
        <w:rPr>
          <w:rFonts w:hint="eastAsia" w:cs="宋体" w:asciiTheme="minorEastAsia" w:hAnsiTheme="minorEastAsia" w:eastAsiaTheme="minorEastAsia"/>
          <w:kern w:val="0"/>
          <w:sz w:val="28"/>
          <w:szCs w:val="28"/>
        </w:rPr>
        <w:t>实现</w:t>
      </w:r>
      <w:r>
        <w:rPr>
          <w:rFonts w:cs="宋体" w:asciiTheme="minorEastAsia" w:hAnsiTheme="minorEastAsia" w:eastAsiaTheme="minorEastAsia"/>
          <w:kern w:val="0"/>
          <w:sz w:val="28"/>
          <w:szCs w:val="28"/>
        </w:rPr>
        <w:t>“三统一”：统一规划、统一建设、统一实施</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避免多次施工资源浪费</w:t>
      </w:r>
      <w:r>
        <w:rPr>
          <w:rFonts w:hint="eastAsia" w:cs="宋体" w:asciiTheme="minorEastAsia" w:hAnsiTheme="minorEastAsia" w:eastAsiaTheme="minorEastAsia"/>
          <w:kern w:val="0"/>
          <w:sz w:val="28"/>
          <w:szCs w:val="28"/>
        </w:rPr>
        <w:t>，同时</w:t>
      </w:r>
      <w:r>
        <w:rPr>
          <w:rFonts w:cs="宋体" w:asciiTheme="minorEastAsia" w:hAnsiTheme="minorEastAsia" w:eastAsiaTheme="minorEastAsia"/>
          <w:kern w:val="0"/>
          <w:sz w:val="28"/>
          <w:szCs w:val="28"/>
        </w:rPr>
        <w:t>对无线、传输、电源进行整体设计</w:t>
      </w:r>
      <w:r>
        <w:rPr>
          <w:rFonts w:hint="eastAsia" w:cs="宋体" w:asciiTheme="minorEastAsia" w:hAnsiTheme="minorEastAsia" w:eastAsiaTheme="minorEastAsia"/>
          <w:kern w:val="0"/>
          <w:sz w:val="28"/>
          <w:szCs w:val="28"/>
        </w:rPr>
        <w:t>，</w:t>
      </w:r>
      <w:r>
        <w:rPr>
          <w:rFonts w:cs="宋体" w:asciiTheme="minorEastAsia" w:hAnsiTheme="minorEastAsia" w:eastAsiaTheme="minorEastAsia"/>
          <w:kern w:val="0"/>
          <w:sz w:val="28"/>
          <w:szCs w:val="28"/>
        </w:rPr>
        <w:t>实现资源共享，提升社会效益。</w:t>
      </w:r>
    </w:p>
    <w:p w14:paraId="494794C2">
      <w:pPr>
        <w:pStyle w:val="39"/>
        <w:ind w:firstLine="560"/>
        <w:rPr>
          <w:rFonts w:hint="eastAsia" w:cs="宋体" w:asciiTheme="minorEastAsia" w:hAnsiTheme="minorEastAsia" w:eastAsiaTheme="minorEastAsia"/>
          <w:kern w:val="0"/>
          <w:szCs w:val="28"/>
        </w:rPr>
      </w:pPr>
      <w:r>
        <w:rPr>
          <w:rFonts w:hint="eastAsia" w:cs="宋体" w:asciiTheme="minorEastAsia" w:hAnsiTheme="minorEastAsia" w:eastAsiaTheme="minorEastAsia"/>
          <w:kern w:val="0"/>
          <w:szCs w:val="28"/>
        </w:rPr>
        <w:t>本次规划期内（202</w:t>
      </w:r>
      <w:r>
        <w:rPr>
          <w:rFonts w:cs="宋体" w:asciiTheme="minorEastAsia" w:hAnsiTheme="minorEastAsia" w:eastAsiaTheme="minorEastAsia"/>
          <w:kern w:val="0"/>
          <w:szCs w:val="28"/>
        </w:rPr>
        <w:t>5</w:t>
      </w:r>
      <w:r>
        <w:rPr>
          <w:rFonts w:hint="eastAsia" w:cs="宋体" w:asciiTheme="minorEastAsia" w:hAnsiTheme="minorEastAsia" w:eastAsiaTheme="minorEastAsia"/>
          <w:kern w:val="0"/>
          <w:szCs w:val="28"/>
        </w:rPr>
        <w:t>-202</w:t>
      </w:r>
      <w:r>
        <w:rPr>
          <w:rFonts w:cs="宋体" w:asciiTheme="minorEastAsia" w:hAnsiTheme="minorEastAsia" w:eastAsiaTheme="minorEastAsia"/>
          <w:kern w:val="0"/>
          <w:szCs w:val="28"/>
        </w:rPr>
        <w:t>9</w:t>
      </w:r>
      <w:r>
        <w:rPr>
          <w:rFonts w:hint="eastAsia" w:cs="宋体" w:asciiTheme="minorEastAsia" w:hAnsiTheme="minorEastAsia" w:eastAsiaTheme="minorEastAsia"/>
          <w:kern w:val="0"/>
          <w:szCs w:val="28"/>
        </w:rPr>
        <w:t>年）规划移动通信基站站址共计</w:t>
      </w:r>
      <w:r>
        <w:rPr>
          <w:rFonts w:cs="宋体" w:asciiTheme="minorEastAsia" w:hAnsiTheme="minorEastAsia" w:eastAsiaTheme="minorEastAsia"/>
          <w:kern w:val="0"/>
          <w:szCs w:val="28"/>
        </w:rPr>
        <w:t>56</w:t>
      </w:r>
      <w:r>
        <w:rPr>
          <w:rFonts w:hint="eastAsia" w:cs="宋体" w:asciiTheme="minorEastAsia" w:hAnsiTheme="minorEastAsia" w:eastAsiaTheme="minorEastAsia"/>
          <w:kern w:val="0"/>
          <w:szCs w:val="28"/>
        </w:rPr>
        <w:t>个，规划宏基站</w:t>
      </w:r>
      <w:r>
        <w:rPr>
          <w:rFonts w:cs="宋体" w:asciiTheme="minorEastAsia" w:hAnsiTheme="minorEastAsia" w:eastAsiaTheme="minorEastAsia"/>
          <w:kern w:val="0"/>
          <w:szCs w:val="28"/>
        </w:rPr>
        <w:t>38</w:t>
      </w:r>
      <w:r>
        <w:rPr>
          <w:rFonts w:hint="eastAsia" w:cs="宋体" w:asciiTheme="minorEastAsia" w:hAnsiTheme="minorEastAsia" w:eastAsiaTheme="minorEastAsia"/>
          <w:kern w:val="0"/>
          <w:szCs w:val="28"/>
        </w:rPr>
        <w:t>个(包括1</w:t>
      </w:r>
      <w:r>
        <w:rPr>
          <w:rFonts w:cs="宋体" w:asciiTheme="minorEastAsia" w:hAnsiTheme="minorEastAsia" w:eastAsiaTheme="minorEastAsia"/>
          <w:kern w:val="0"/>
          <w:szCs w:val="28"/>
        </w:rPr>
        <w:t>1</w:t>
      </w:r>
      <w:r>
        <w:rPr>
          <w:rFonts w:hint="eastAsia" w:cs="宋体" w:asciiTheme="minorEastAsia" w:hAnsiTheme="minorEastAsia" w:eastAsiaTheme="minorEastAsia"/>
          <w:kern w:val="0"/>
          <w:szCs w:val="28"/>
        </w:rPr>
        <w:t>个现有基站、2个搬迁站</w:t>
      </w:r>
      <w:r>
        <w:rPr>
          <w:rFonts w:cs="宋体" w:asciiTheme="minorEastAsia" w:hAnsiTheme="minorEastAsia" w:eastAsiaTheme="minorEastAsia"/>
          <w:kern w:val="0"/>
          <w:szCs w:val="28"/>
        </w:rPr>
        <w:t>)</w:t>
      </w:r>
      <w:r>
        <w:rPr>
          <w:rFonts w:hint="eastAsia" w:cs="宋体" w:asciiTheme="minorEastAsia" w:hAnsiTheme="minorEastAsia" w:eastAsiaTheme="minorEastAsia"/>
          <w:kern w:val="0"/>
          <w:szCs w:val="28"/>
        </w:rPr>
        <w:t>，室内分布系统</w:t>
      </w:r>
      <w:r>
        <w:rPr>
          <w:rFonts w:cs="宋体" w:asciiTheme="minorEastAsia" w:hAnsiTheme="minorEastAsia" w:eastAsiaTheme="minorEastAsia"/>
          <w:kern w:val="0"/>
          <w:szCs w:val="28"/>
        </w:rPr>
        <w:t>18</w:t>
      </w:r>
      <w:r>
        <w:rPr>
          <w:rFonts w:hint="eastAsia" w:cs="宋体" w:asciiTheme="minorEastAsia" w:hAnsiTheme="minorEastAsia" w:eastAsiaTheme="minorEastAsia"/>
          <w:kern w:val="0"/>
          <w:szCs w:val="28"/>
        </w:rPr>
        <w:t>个，汇聚机房</w:t>
      </w:r>
      <w:r>
        <w:rPr>
          <w:rFonts w:cs="宋体" w:asciiTheme="minorEastAsia" w:hAnsiTheme="minorEastAsia" w:eastAsiaTheme="minorEastAsia"/>
          <w:kern w:val="0"/>
          <w:szCs w:val="28"/>
        </w:rPr>
        <w:t>2</w:t>
      </w:r>
      <w:r>
        <w:rPr>
          <w:rFonts w:hint="eastAsia" w:cs="宋体" w:asciiTheme="minorEastAsia" w:hAnsiTheme="minorEastAsia" w:eastAsiaTheme="minorEastAsia"/>
          <w:kern w:val="0"/>
          <w:szCs w:val="28"/>
        </w:rPr>
        <w:t>个。</w:t>
      </w:r>
    </w:p>
    <w:p w14:paraId="050B6199">
      <w:pPr>
        <w:widowControl/>
        <w:spacing w:line="360" w:lineRule="auto"/>
        <w:ind w:firstLine="56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8"/>
          <w:szCs w:val="28"/>
        </w:rPr>
        <w:t>逐步实现从合作园区基础设施配套，企业服务中心到产业功能区、生态休闲观光区的网络连续覆盖，实现产业园通信网络连续覆盖的目标。</w:t>
      </w:r>
    </w:p>
    <w:p w14:paraId="6B4F42EA">
      <w:pPr>
        <w:pStyle w:val="2"/>
      </w:pPr>
      <w:bookmarkStart w:id="87" w:name="_Toc188027498"/>
      <w:bookmarkStart w:id="88" w:name="_Toc42019885"/>
      <w:r>
        <w:rPr>
          <w:rFonts w:hint="eastAsia"/>
        </w:rPr>
        <w:t>建设计划及投资估算</w:t>
      </w:r>
      <w:bookmarkEnd w:id="87"/>
    </w:p>
    <w:p w14:paraId="5AC6E957">
      <w:pPr>
        <w:pStyle w:val="39"/>
        <w:ind w:firstLine="560"/>
      </w:pPr>
      <w:r>
        <w:rPr>
          <w:rFonts w:hint="eastAsia"/>
        </w:rPr>
        <w:t>（1）建设计划</w:t>
      </w:r>
    </w:p>
    <w:p w14:paraId="1BF2A2D2">
      <w:pPr>
        <w:pStyle w:val="39"/>
        <w:ind w:firstLine="560"/>
      </w:pPr>
      <w:r>
        <w:rPr>
          <w:rFonts w:hint="eastAsia"/>
        </w:rPr>
        <w:t>移动通信基站的分期建设安排需要综合考虑多方面的因素，如现状网络覆盖情况、城市近期发展建设规划、通信行业发展形式、各运营商之间竞争情况等。由于微基站、室内覆盖基站建设安排受宏基站整体网络覆盖情况影响及运营商的实际建设需求，存在较大的不确定性。本规划的移动通信基站、汇聚机房、室内分布系统将根据园区开发程度相应建设，通信管道根据道路建设进度相应建设。</w:t>
      </w:r>
    </w:p>
    <w:p w14:paraId="465D2190">
      <w:pPr>
        <w:pStyle w:val="39"/>
        <w:ind w:firstLine="560"/>
      </w:pPr>
      <w:r>
        <w:rPr>
          <w:rFonts w:hint="eastAsia"/>
        </w:rPr>
        <w:t>（2）用电量及投资估算</w:t>
      </w:r>
    </w:p>
    <w:p w14:paraId="7DDD71E4">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根据通信基础设施规划规模，预估通信基础设施总体用电量为</w:t>
      </w:r>
      <w:r>
        <w:rPr>
          <w:rFonts w:asciiTheme="minorEastAsia" w:hAnsiTheme="minorEastAsia" w:eastAsiaTheme="minorEastAsia"/>
          <w:sz w:val="28"/>
          <w:szCs w:val="28"/>
        </w:rPr>
        <w:t>21</w:t>
      </w:r>
      <w:r>
        <w:rPr>
          <w:rFonts w:hint="eastAsia" w:asciiTheme="minorEastAsia" w:hAnsiTheme="minorEastAsia" w:eastAsiaTheme="minorEastAsia"/>
          <w:sz w:val="28"/>
          <w:szCs w:val="28"/>
        </w:rPr>
        <w:t>00KW，具体详见表5</w:t>
      </w:r>
      <w:r>
        <w:rPr>
          <w:rFonts w:asciiTheme="minorEastAsia" w:hAnsiTheme="minorEastAsia" w:eastAsiaTheme="minorEastAsia"/>
          <w:sz w:val="28"/>
          <w:szCs w:val="28"/>
        </w:rPr>
        <w:t>-1</w:t>
      </w:r>
      <w:r>
        <w:rPr>
          <w:rFonts w:hint="eastAsia" w:asciiTheme="minorEastAsia" w:hAnsiTheme="minorEastAsia" w:eastAsiaTheme="minorEastAsia"/>
          <w:sz w:val="28"/>
          <w:szCs w:val="28"/>
        </w:rPr>
        <w:t>；对应总体造价为5</w:t>
      </w:r>
      <w:r>
        <w:rPr>
          <w:rFonts w:asciiTheme="minorEastAsia" w:hAnsiTheme="minorEastAsia" w:eastAsiaTheme="minorEastAsia"/>
          <w:sz w:val="28"/>
          <w:szCs w:val="28"/>
        </w:rPr>
        <w:t>245</w:t>
      </w:r>
      <w:r>
        <w:rPr>
          <w:rFonts w:hint="eastAsia" w:asciiTheme="minorEastAsia" w:hAnsiTheme="minorEastAsia" w:eastAsiaTheme="minorEastAsia"/>
          <w:sz w:val="28"/>
          <w:szCs w:val="28"/>
        </w:rPr>
        <w:t>万元，详见表</w:t>
      </w:r>
      <w:r>
        <w:rPr>
          <w:rFonts w:asciiTheme="minorEastAsia" w:hAnsiTheme="minorEastAsia" w:eastAsiaTheme="minorEastAsia"/>
          <w:sz w:val="28"/>
          <w:szCs w:val="28"/>
        </w:rPr>
        <w:t>5-2</w:t>
      </w:r>
      <w:r>
        <w:rPr>
          <w:rFonts w:hint="eastAsia" w:asciiTheme="minorEastAsia" w:hAnsiTheme="minorEastAsia" w:eastAsiaTheme="minorEastAsia"/>
          <w:sz w:val="28"/>
          <w:szCs w:val="28"/>
        </w:rPr>
        <w:t>。</w:t>
      </w:r>
    </w:p>
    <w:p w14:paraId="33673D34">
      <w:pPr>
        <w:pStyle w:val="11"/>
        <w:ind w:firstLine="0" w:firstLineChars="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表</w:t>
      </w:r>
      <w:r>
        <w:rPr>
          <w:rFonts w:asciiTheme="minorEastAsia" w:hAnsiTheme="minorEastAsia" w:eastAsiaTheme="minorEastAsia"/>
          <w:sz w:val="28"/>
          <w:szCs w:val="28"/>
        </w:rPr>
        <w:t>5-1</w:t>
      </w:r>
      <w:r>
        <w:rPr>
          <w:rFonts w:hint="eastAsia" w:asciiTheme="minorEastAsia" w:hAnsiTheme="minorEastAsia" w:eastAsiaTheme="minorEastAsia"/>
          <w:sz w:val="28"/>
          <w:szCs w:val="28"/>
        </w:rPr>
        <w:t>：深圳市-汕尾市产业转移合作园（天星湖片区）通信用电估算</w:t>
      </w:r>
    </w:p>
    <w:tbl>
      <w:tblPr>
        <w:tblStyle w:val="20"/>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525"/>
        <w:gridCol w:w="885"/>
        <w:gridCol w:w="885"/>
        <w:gridCol w:w="2804"/>
        <w:gridCol w:w="2805"/>
      </w:tblGrid>
      <w:tr w14:paraId="372DCB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856" w:type="pct"/>
            <w:shd w:val="clear" w:color="auto" w:fill="auto"/>
            <w:noWrap/>
            <w:vAlign w:val="center"/>
          </w:tcPr>
          <w:p w14:paraId="1AA3B3A8">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类别</w:t>
            </w:r>
          </w:p>
        </w:tc>
        <w:tc>
          <w:tcPr>
            <w:tcW w:w="497" w:type="pct"/>
            <w:shd w:val="clear" w:color="auto" w:fill="auto"/>
            <w:noWrap/>
            <w:vAlign w:val="center"/>
          </w:tcPr>
          <w:p w14:paraId="152FFD9D">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w:t>
            </w:r>
          </w:p>
        </w:tc>
        <w:tc>
          <w:tcPr>
            <w:tcW w:w="497" w:type="pct"/>
            <w:vAlign w:val="center"/>
          </w:tcPr>
          <w:p w14:paraId="6D2131BF">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数量</w:t>
            </w:r>
          </w:p>
        </w:tc>
        <w:tc>
          <w:tcPr>
            <w:tcW w:w="1574" w:type="pct"/>
            <w:shd w:val="clear" w:color="auto" w:fill="auto"/>
            <w:noWrap/>
            <w:vAlign w:val="center"/>
          </w:tcPr>
          <w:p w14:paraId="2D7E51B1">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单位用电量（K</w:t>
            </w:r>
            <w:r>
              <w:rPr>
                <w:rFonts w:cs="宋体" w:asciiTheme="minorEastAsia" w:hAnsiTheme="minorEastAsia" w:eastAsiaTheme="minorEastAsia"/>
                <w:color w:val="000000"/>
                <w:kern w:val="0"/>
                <w:sz w:val="28"/>
                <w:szCs w:val="28"/>
              </w:rPr>
              <w:t>W</w:t>
            </w:r>
            <w:r>
              <w:rPr>
                <w:rFonts w:hint="eastAsia" w:cs="宋体" w:asciiTheme="minorEastAsia" w:hAnsiTheme="minorEastAsia" w:eastAsiaTheme="minorEastAsia"/>
                <w:color w:val="000000"/>
                <w:kern w:val="0"/>
                <w:sz w:val="28"/>
                <w:szCs w:val="28"/>
              </w:rPr>
              <w:t>）</w:t>
            </w:r>
          </w:p>
        </w:tc>
        <w:tc>
          <w:tcPr>
            <w:tcW w:w="1574" w:type="pct"/>
            <w:shd w:val="clear" w:color="auto" w:fill="auto"/>
            <w:noWrap/>
            <w:vAlign w:val="center"/>
          </w:tcPr>
          <w:p w14:paraId="6210BCF4">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合计用电量（K</w:t>
            </w:r>
            <w:r>
              <w:rPr>
                <w:rFonts w:cs="宋体" w:asciiTheme="minorEastAsia" w:hAnsiTheme="minorEastAsia" w:eastAsiaTheme="minorEastAsia"/>
                <w:color w:val="000000"/>
                <w:kern w:val="0"/>
                <w:sz w:val="28"/>
                <w:szCs w:val="28"/>
              </w:rPr>
              <w:t>W</w:t>
            </w:r>
            <w:r>
              <w:rPr>
                <w:rFonts w:hint="eastAsia" w:cs="宋体" w:asciiTheme="minorEastAsia" w:hAnsiTheme="minorEastAsia" w:eastAsiaTheme="minorEastAsia"/>
                <w:color w:val="000000"/>
                <w:kern w:val="0"/>
                <w:sz w:val="28"/>
                <w:szCs w:val="28"/>
              </w:rPr>
              <w:t>）</w:t>
            </w:r>
          </w:p>
        </w:tc>
      </w:tr>
      <w:tr w14:paraId="156AF5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856" w:type="pct"/>
            <w:shd w:val="clear" w:color="auto" w:fill="auto"/>
            <w:noWrap/>
            <w:vAlign w:val="center"/>
          </w:tcPr>
          <w:p w14:paraId="72EBD9C1">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宏基站</w:t>
            </w:r>
          </w:p>
        </w:tc>
        <w:tc>
          <w:tcPr>
            <w:tcW w:w="497" w:type="pct"/>
            <w:shd w:val="clear" w:color="auto" w:fill="auto"/>
            <w:noWrap/>
            <w:vAlign w:val="center"/>
          </w:tcPr>
          <w:p w14:paraId="5D0DB181">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站点</w:t>
            </w:r>
          </w:p>
        </w:tc>
        <w:tc>
          <w:tcPr>
            <w:tcW w:w="497" w:type="pct"/>
          </w:tcPr>
          <w:p w14:paraId="715F8D62">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3</w:t>
            </w:r>
            <w:r>
              <w:rPr>
                <w:rFonts w:cs="宋体" w:asciiTheme="minorEastAsia" w:hAnsiTheme="minorEastAsia" w:eastAsiaTheme="minorEastAsia"/>
                <w:color w:val="000000"/>
                <w:kern w:val="0"/>
                <w:sz w:val="28"/>
                <w:szCs w:val="28"/>
              </w:rPr>
              <w:t>8</w:t>
            </w:r>
          </w:p>
        </w:tc>
        <w:tc>
          <w:tcPr>
            <w:tcW w:w="1574" w:type="pct"/>
            <w:shd w:val="clear" w:color="auto" w:fill="auto"/>
            <w:noWrap/>
            <w:vAlign w:val="center"/>
          </w:tcPr>
          <w:p w14:paraId="79BFDB8A">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3</w:t>
            </w:r>
            <w:r>
              <w:rPr>
                <w:rFonts w:cs="宋体" w:asciiTheme="minorEastAsia" w:hAnsiTheme="minorEastAsia" w:eastAsiaTheme="minorEastAsia"/>
                <w:color w:val="000000"/>
                <w:kern w:val="0"/>
                <w:sz w:val="28"/>
                <w:szCs w:val="28"/>
              </w:rPr>
              <w:t>0</w:t>
            </w:r>
          </w:p>
        </w:tc>
        <w:tc>
          <w:tcPr>
            <w:tcW w:w="1574" w:type="pct"/>
            <w:shd w:val="clear" w:color="auto" w:fill="auto"/>
            <w:noWrap/>
            <w:vAlign w:val="center"/>
          </w:tcPr>
          <w:p w14:paraId="50562F8C">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1</w:t>
            </w:r>
            <w:r>
              <w:rPr>
                <w:rFonts w:cs="宋体" w:asciiTheme="minorEastAsia" w:hAnsiTheme="minorEastAsia" w:eastAsiaTheme="minorEastAsia"/>
                <w:color w:val="000000"/>
                <w:kern w:val="0"/>
                <w:sz w:val="28"/>
                <w:szCs w:val="28"/>
              </w:rPr>
              <w:t>140</w:t>
            </w:r>
          </w:p>
        </w:tc>
      </w:tr>
      <w:tr w14:paraId="06C135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856" w:type="pct"/>
            <w:shd w:val="clear" w:color="auto" w:fill="auto"/>
            <w:noWrap/>
            <w:vAlign w:val="center"/>
          </w:tcPr>
          <w:p w14:paraId="4363F763">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室分</w:t>
            </w:r>
          </w:p>
        </w:tc>
        <w:tc>
          <w:tcPr>
            <w:tcW w:w="497" w:type="pct"/>
            <w:shd w:val="clear" w:color="auto" w:fill="auto"/>
            <w:noWrap/>
            <w:vAlign w:val="center"/>
          </w:tcPr>
          <w:p w14:paraId="6D1662DC">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站点</w:t>
            </w:r>
          </w:p>
        </w:tc>
        <w:tc>
          <w:tcPr>
            <w:tcW w:w="497" w:type="pct"/>
          </w:tcPr>
          <w:p w14:paraId="0EDB8038">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1</w:t>
            </w:r>
            <w:r>
              <w:rPr>
                <w:rFonts w:cs="宋体" w:asciiTheme="minorEastAsia" w:hAnsiTheme="minorEastAsia" w:eastAsiaTheme="minorEastAsia"/>
                <w:color w:val="000000"/>
                <w:kern w:val="0"/>
                <w:sz w:val="28"/>
                <w:szCs w:val="28"/>
              </w:rPr>
              <w:t>8</w:t>
            </w:r>
          </w:p>
        </w:tc>
        <w:tc>
          <w:tcPr>
            <w:tcW w:w="1574" w:type="pct"/>
            <w:shd w:val="clear" w:color="auto" w:fill="auto"/>
            <w:noWrap/>
            <w:vAlign w:val="center"/>
          </w:tcPr>
          <w:p w14:paraId="15D2A635">
            <w:pPr>
              <w:widowControl/>
              <w:jc w:val="center"/>
              <w:rPr>
                <w:rFonts w:hint="eastAsia" w:cs="宋体" w:asciiTheme="minorEastAsia" w:hAnsiTheme="minorEastAsia" w:eastAsiaTheme="minorEastAsia"/>
                <w:color w:val="000000"/>
                <w:kern w:val="0"/>
                <w:sz w:val="28"/>
                <w:szCs w:val="28"/>
              </w:rPr>
            </w:pPr>
            <w:r>
              <w:rPr>
                <w:rFonts w:cs="宋体" w:asciiTheme="minorEastAsia" w:hAnsiTheme="minorEastAsia" w:eastAsiaTheme="minorEastAsia"/>
                <w:color w:val="000000"/>
                <w:kern w:val="0"/>
                <w:sz w:val="28"/>
                <w:szCs w:val="28"/>
              </w:rPr>
              <w:t>20</w:t>
            </w:r>
          </w:p>
        </w:tc>
        <w:tc>
          <w:tcPr>
            <w:tcW w:w="1574" w:type="pct"/>
            <w:shd w:val="clear" w:color="auto" w:fill="auto"/>
            <w:noWrap/>
            <w:vAlign w:val="center"/>
          </w:tcPr>
          <w:p w14:paraId="4D3F0C21">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3</w:t>
            </w:r>
            <w:r>
              <w:rPr>
                <w:rFonts w:cs="宋体" w:asciiTheme="minorEastAsia" w:hAnsiTheme="minorEastAsia" w:eastAsiaTheme="minorEastAsia"/>
                <w:color w:val="000000"/>
                <w:kern w:val="0"/>
                <w:sz w:val="28"/>
                <w:szCs w:val="28"/>
              </w:rPr>
              <w:t>60</w:t>
            </w:r>
          </w:p>
        </w:tc>
      </w:tr>
      <w:tr w14:paraId="5343C8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856" w:type="pct"/>
            <w:shd w:val="clear" w:color="auto" w:fill="auto"/>
            <w:noWrap/>
            <w:vAlign w:val="center"/>
          </w:tcPr>
          <w:p w14:paraId="3D3869A2">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汇聚机房</w:t>
            </w:r>
          </w:p>
        </w:tc>
        <w:tc>
          <w:tcPr>
            <w:tcW w:w="497" w:type="pct"/>
            <w:shd w:val="clear" w:color="auto" w:fill="auto"/>
            <w:noWrap/>
            <w:vAlign w:val="center"/>
          </w:tcPr>
          <w:p w14:paraId="383945FE">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个</w:t>
            </w:r>
          </w:p>
        </w:tc>
        <w:tc>
          <w:tcPr>
            <w:tcW w:w="497" w:type="pct"/>
          </w:tcPr>
          <w:p w14:paraId="083EE876">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2</w:t>
            </w:r>
          </w:p>
        </w:tc>
        <w:tc>
          <w:tcPr>
            <w:tcW w:w="1574" w:type="pct"/>
            <w:shd w:val="clear" w:color="auto" w:fill="auto"/>
            <w:noWrap/>
            <w:vAlign w:val="center"/>
          </w:tcPr>
          <w:p w14:paraId="70689968">
            <w:pPr>
              <w:widowControl/>
              <w:jc w:val="center"/>
              <w:rPr>
                <w:rFonts w:hint="eastAsia" w:cs="宋体" w:asciiTheme="minorEastAsia" w:hAnsiTheme="minorEastAsia" w:eastAsiaTheme="minorEastAsia"/>
                <w:color w:val="000000"/>
                <w:kern w:val="0"/>
                <w:sz w:val="28"/>
                <w:szCs w:val="28"/>
              </w:rPr>
            </w:pPr>
            <w:r>
              <w:rPr>
                <w:rFonts w:cs="宋体" w:asciiTheme="minorEastAsia" w:hAnsiTheme="minorEastAsia" w:eastAsiaTheme="minorEastAsia"/>
                <w:color w:val="000000"/>
                <w:kern w:val="0"/>
                <w:sz w:val="28"/>
                <w:szCs w:val="28"/>
              </w:rPr>
              <w:t>300</w:t>
            </w:r>
          </w:p>
        </w:tc>
        <w:tc>
          <w:tcPr>
            <w:tcW w:w="1574" w:type="pct"/>
            <w:shd w:val="clear" w:color="auto" w:fill="auto"/>
            <w:noWrap/>
            <w:vAlign w:val="center"/>
          </w:tcPr>
          <w:p w14:paraId="77D220DD">
            <w:pPr>
              <w:widowControl/>
              <w:jc w:val="center"/>
              <w:rPr>
                <w:rFonts w:hint="eastAsia" w:cs="宋体" w:asciiTheme="minorEastAsia" w:hAnsiTheme="minorEastAsia" w:eastAsiaTheme="minorEastAsia"/>
                <w:color w:val="000000"/>
                <w:kern w:val="0"/>
                <w:sz w:val="28"/>
                <w:szCs w:val="28"/>
              </w:rPr>
            </w:pPr>
            <w:r>
              <w:rPr>
                <w:rFonts w:cs="宋体" w:asciiTheme="minorEastAsia" w:hAnsiTheme="minorEastAsia" w:eastAsiaTheme="minorEastAsia"/>
                <w:color w:val="000000"/>
                <w:kern w:val="0"/>
                <w:sz w:val="28"/>
                <w:szCs w:val="28"/>
              </w:rPr>
              <w:t>600</w:t>
            </w:r>
          </w:p>
        </w:tc>
      </w:tr>
      <w:tr w14:paraId="16938A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856" w:type="pct"/>
            <w:shd w:val="clear" w:color="auto" w:fill="auto"/>
            <w:noWrap/>
            <w:vAlign w:val="center"/>
          </w:tcPr>
          <w:p w14:paraId="6A768191">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总计</w:t>
            </w:r>
          </w:p>
        </w:tc>
        <w:tc>
          <w:tcPr>
            <w:tcW w:w="497" w:type="pct"/>
            <w:shd w:val="clear" w:color="auto" w:fill="auto"/>
            <w:noWrap/>
            <w:vAlign w:val="center"/>
          </w:tcPr>
          <w:p w14:paraId="5F558705">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w:t>
            </w:r>
          </w:p>
        </w:tc>
        <w:tc>
          <w:tcPr>
            <w:tcW w:w="497" w:type="pct"/>
          </w:tcPr>
          <w:p w14:paraId="6F29A182">
            <w:pPr>
              <w:widowControl/>
              <w:jc w:val="center"/>
              <w:rPr>
                <w:rFonts w:hint="eastAsia" w:cs="宋体" w:asciiTheme="minorEastAsia" w:hAnsiTheme="minorEastAsia" w:eastAsiaTheme="minorEastAsia"/>
                <w:color w:val="000000"/>
                <w:kern w:val="0"/>
                <w:sz w:val="28"/>
                <w:szCs w:val="28"/>
              </w:rPr>
            </w:pPr>
          </w:p>
        </w:tc>
        <w:tc>
          <w:tcPr>
            <w:tcW w:w="1574" w:type="pct"/>
            <w:shd w:val="clear" w:color="auto" w:fill="auto"/>
            <w:noWrap/>
            <w:vAlign w:val="center"/>
          </w:tcPr>
          <w:p w14:paraId="2B25D823">
            <w:pPr>
              <w:widowControl/>
              <w:jc w:val="center"/>
              <w:rPr>
                <w:rFonts w:hint="eastAsia"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w:t>
            </w:r>
          </w:p>
        </w:tc>
        <w:tc>
          <w:tcPr>
            <w:tcW w:w="1574" w:type="pct"/>
            <w:shd w:val="clear" w:color="auto" w:fill="auto"/>
            <w:noWrap/>
            <w:vAlign w:val="center"/>
          </w:tcPr>
          <w:p w14:paraId="65E17D5F">
            <w:pPr>
              <w:widowControl/>
              <w:jc w:val="center"/>
              <w:rPr>
                <w:rFonts w:hint="eastAsia" w:cs="宋体" w:asciiTheme="minorEastAsia" w:hAnsiTheme="minorEastAsia" w:eastAsiaTheme="minorEastAsia"/>
                <w:color w:val="000000"/>
                <w:kern w:val="0"/>
                <w:sz w:val="28"/>
                <w:szCs w:val="28"/>
              </w:rPr>
            </w:pPr>
            <w:r>
              <w:rPr>
                <w:rFonts w:cs="宋体" w:asciiTheme="minorEastAsia" w:hAnsiTheme="minorEastAsia" w:eastAsiaTheme="minorEastAsia"/>
                <w:color w:val="000000"/>
                <w:kern w:val="0"/>
                <w:sz w:val="28"/>
                <w:szCs w:val="28"/>
              </w:rPr>
              <w:t>210</w:t>
            </w:r>
            <w:r>
              <w:rPr>
                <w:rFonts w:hint="eastAsia" w:cs="宋体" w:asciiTheme="minorEastAsia" w:hAnsiTheme="minorEastAsia" w:eastAsiaTheme="minorEastAsia"/>
                <w:color w:val="000000"/>
                <w:kern w:val="0"/>
                <w:sz w:val="28"/>
                <w:szCs w:val="28"/>
              </w:rPr>
              <w:t>0</w:t>
            </w:r>
          </w:p>
        </w:tc>
      </w:tr>
    </w:tbl>
    <w:p w14:paraId="352FFE5B">
      <w:pPr>
        <w:pStyle w:val="11"/>
        <w:ind w:firstLine="56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注：3</w:t>
      </w:r>
      <w:r>
        <w:rPr>
          <w:rFonts w:asciiTheme="minorEastAsia" w:hAnsiTheme="minorEastAsia" w:eastAsiaTheme="minorEastAsia"/>
          <w:sz w:val="28"/>
          <w:szCs w:val="28"/>
        </w:rPr>
        <w:t>8</w:t>
      </w:r>
      <w:r>
        <w:rPr>
          <w:rFonts w:hint="eastAsia" w:asciiTheme="minorEastAsia" w:hAnsiTheme="minorEastAsia" w:eastAsiaTheme="minorEastAsia"/>
          <w:sz w:val="28"/>
          <w:szCs w:val="28"/>
        </w:rPr>
        <w:t>个宏基站包括现有1</w:t>
      </w:r>
      <w:r>
        <w:rPr>
          <w:rFonts w:asciiTheme="minorEastAsia" w:hAnsiTheme="minorEastAsia" w:eastAsiaTheme="minorEastAsia"/>
          <w:sz w:val="28"/>
          <w:szCs w:val="28"/>
        </w:rPr>
        <w:t>1</w:t>
      </w:r>
      <w:r>
        <w:rPr>
          <w:rFonts w:hint="eastAsia" w:asciiTheme="minorEastAsia" w:hAnsiTheme="minorEastAsia" w:eastAsiaTheme="minorEastAsia"/>
          <w:sz w:val="28"/>
          <w:szCs w:val="28"/>
        </w:rPr>
        <w:t>个站点和2个搬迁站点。</w:t>
      </w:r>
    </w:p>
    <w:p w14:paraId="0D3DCA78">
      <w:pPr>
        <w:pStyle w:val="11"/>
        <w:ind w:firstLine="0" w:firstLineChars="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表</w:t>
      </w:r>
      <w:r>
        <w:rPr>
          <w:rFonts w:asciiTheme="minorEastAsia" w:hAnsiTheme="minorEastAsia" w:eastAsiaTheme="minorEastAsia"/>
          <w:sz w:val="28"/>
          <w:szCs w:val="28"/>
        </w:rPr>
        <w:t>5-2</w:t>
      </w:r>
      <w:r>
        <w:rPr>
          <w:rFonts w:hint="eastAsia" w:asciiTheme="minorEastAsia" w:hAnsiTheme="minorEastAsia" w:eastAsiaTheme="minorEastAsia"/>
          <w:sz w:val="28"/>
          <w:szCs w:val="28"/>
        </w:rPr>
        <w:t>：深圳市-汕尾市产业转移合作园（天星湖片区）规划投资估算</w:t>
      </w:r>
    </w:p>
    <w:tbl>
      <w:tblPr>
        <w:tblStyle w:val="20"/>
        <w:tblW w:w="5000" w:type="pct"/>
        <w:tblInd w:w="0" w:type="dxa"/>
        <w:tblLayout w:type="fixed"/>
        <w:tblCellMar>
          <w:top w:w="0" w:type="dxa"/>
          <w:left w:w="108" w:type="dxa"/>
          <w:bottom w:w="0" w:type="dxa"/>
          <w:right w:w="108" w:type="dxa"/>
        </w:tblCellMar>
      </w:tblPr>
      <w:tblGrid>
        <w:gridCol w:w="2235"/>
        <w:gridCol w:w="2490"/>
        <w:gridCol w:w="2311"/>
        <w:gridCol w:w="1868"/>
      </w:tblGrid>
      <w:tr w14:paraId="6956B17C">
        <w:tblPrEx>
          <w:tblCellMar>
            <w:top w:w="0" w:type="dxa"/>
            <w:left w:w="108" w:type="dxa"/>
            <w:bottom w:w="0" w:type="dxa"/>
            <w:right w:w="108" w:type="dxa"/>
          </w:tblCellMar>
        </w:tblPrEx>
        <w:trPr>
          <w:trHeight w:val="430" w:hRule="atLeast"/>
        </w:trPr>
        <w:tc>
          <w:tcPr>
            <w:tcW w:w="1255" w:type="pct"/>
            <w:tcBorders>
              <w:top w:val="single" w:color="auto" w:sz="8" w:space="0"/>
              <w:left w:val="single" w:color="auto" w:sz="8" w:space="0"/>
              <w:bottom w:val="single" w:color="auto" w:sz="8" w:space="0"/>
              <w:right w:val="single" w:color="auto" w:sz="8" w:space="0"/>
            </w:tcBorders>
            <w:shd w:val="clear" w:color="auto" w:fill="auto"/>
            <w:noWrap/>
            <w:vAlign w:val="center"/>
          </w:tcPr>
          <w:p w14:paraId="168D162B">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类别</w:t>
            </w:r>
          </w:p>
        </w:tc>
        <w:tc>
          <w:tcPr>
            <w:tcW w:w="1398" w:type="pct"/>
            <w:tcBorders>
              <w:top w:val="single" w:color="auto" w:sz="8" w:space="0"/>
              <w:left w:val="nil"/>
              <w:bottom w:val="single" w:color="auto" w:sz="8" w:space="0"/>
              <w:right w:val="single" w:color="auto" w:sz="8" w:space="0"/>
            </w:tcBorders>
            <w:shd w:val="clear" w:color="auto" w:fill="auto"/>
            <w:noWrap/>
            <w:vAlign w:val="center"/>
          </w:tcPr>
          <w:p w14:paraId="3D98286B">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规划单位</w:t>
            </w:r>
          </w:p>
        </w:tc>
        <w:tc>
          <w:tcPr>
            <w:tcW w:w="1298" w:type="pct"/>
            <w:tcBorders>
              <w:top w:val="single" w:color="auto" w:sz="8" w:space="0"/>
              <w:left w:val="nil"/>
              <w:bottom w:val="single" w:color="auto" w:sz="8" w:space="0"/>
              <w:right w:val="single" w:color="auto" w:sz="8" w:space="0"/>
            </w:tcBorders>
            <w:shd w:val="clear" w:color="auto" w:fill="auto"/>
            <w:noWrap/>
            <w:vAlign w:val="center"/>
          </w:tcPr>
          <w:p w14:paraId="11535E93">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单价</w:t>
            </w:r>
          </w:p>
        </w:tc>
        <w:tc>
          <w:tcPr>
            <w:tcW w:w="1049" w:type="pct"/>
            <w:tcBorders>
              <w:top w:val="single" w:color="auto" w:sz="8" w:space="0"/>
              <w:left w:val="nil"/>
              <w:bottom w:val="single" w:color="auto" w:sz="8" w:space="0"/>
              <w:right w:val="single" w:color="auto" w:sz="8" w:space="0"/>
            </w:tcBorders>
            <w:shd w:val="clear" w:color="auto" w:fill="auto"/>
            <w:noWrap/>
            <w:vAlign w:val="center"/>
          </w:tcPr>
          <w:p w14:paraId="465FEEBD">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总价（万元）</w:t>
            </w:r>
          </w:p>
        </w:tc>
      </w:tr>
      <w:tr w14:paraId="04CAAACC">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3DE3C04F">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站址拆除</w:t>
            </w:r>
          </w:p>
        </w:tc>
        <w:tc>
          <w:tcPr>
            <w:tcW w:w="1398" w:type="pct"/>
            <w:tcBorders>
              <w:top w:val="nil"/>
              <w:left w:val="nil"/>
              <w:bottom w:val="single" w:color="auto" w:sz="8" w:space="0"/>
              <w:right w:val="single" w:color="auto" w:sz="8" w:space="0"/>
            </w:tcBorders>
            <w:shd w:val="clear" w:color="auto" w:fill="auto"/>
            <w:noWrap/>
            <w:vAlign w:val="center"/>
          </w:tcPr>
          <w:p w14:paraId="65555D81">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2座</w:t>
            </w:r>
          </w:p>
        </w:tc>
        <w:tc>
          <w:tcPr>
            <w:tcW w:w="1298" w:type="pct"/>
            <w:tcBorders>
              <w:top w:val="nil"/>
              <w:left w:val="nil"/>
              <w:bottom w:val="single" w:color="auto" w:sz="8" w:space="0"/>
              <w:right w:val="single" w:color="auto" w:sz="8" w:space="0"/>
            </w:tcBorders>
            <w:shd w:val="clear" w:color="auto" w:fill="auto"/>
            <w:noWrap/>
            <w:vAlign w:val="center"/>
          </w:tcPr>
          <w:p w14:paraId="16F110A8">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40万元/座</w:t>
            </w:r>
          </w:p>
        </w:tc>
        <w:tc>
          <w:tcPr>
            <w:tcW w:w="1049" w:type="pct"/>
            <w:tcBorders>
              <w:top w:val="nil"/>
              <w:left w:val="nil"/>
              <w:bottom w:val="single" w:color="auto" w:sz="8" w:space="0"/>
              <w:right w:val="single" w:color="auto" w:sz="8" w:space="0"/>
            </w:tcBorders>
            <w:shd w:val="clear" w:color="auto" w:fill="auto"/>
            <w:noWrap/>
            <w:vAlign w:val="center"/>
          </w:tcPr>
          <w:p w14:paraId="3918BAFF">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80</w:t>
            </w:r>
          </w:p>
        </w:tc>
      </w:tr>
      <w:tr w14:paraId="6988FA90">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6E0705A2">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改造站址</w:t>
            </w:r>
          </w:p>
        </w:tc>
        <w:tc>
          <w:tcPr>
            <w:tcW w:w="1398" w:type="pct"/>
            <w:tcBorders>
              <w:top w:val="nil"/>
              <w:left w:val="nil"/>
              <w:bottom w:val="single" w:color="auto" w:sz="8" w:space="0"/>
              <w:right w:val="single" w:color="auto" w:sz="8" w:space="0"/>
            </w:tcBorders>
            <w:shd w:val="clear" w:color="auto" w:fill="auto"/>
            <w:noWrap/>
            <w:vAlign w:val="center"/>
          </w:tcPr>
          <w:p w14:paraId="1E701A87">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9座</w:t>
            </w:r>
          </w:p>
        </w:tc>
        <w:tc>
          <w:tcPr>
            <w:tcW w:w="1298" w:type="pct"/>
            <w:tcBorders>
              <w:top w:val="nil"/>
              <w:left w:val="nil"/>
              <w:bottom w:val="single" w:color="auto" w:sz="8" w:space="0"/>
              <w:right w:val="single" w:color="auto" w:sz="8" w:space="0"/>
            </w:tcBorders>
            <w:shd w:val="clear" w:color="auto" w:fill="auto"/>
            <w:noWrap/>
            <w:vAlign w:val="center"/>
          </w:tcPr>
          <w:p w14:paraId="4DB67E7D">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5万元/座</w:t>
            </w:r>
          </w:p>
        </w:tc>
        <w:tc>
          <w:tcPr>
            <w:tcW w:w="1049" w:type="pct"/>
            <w:tcBorders>
              <w:top w:val="nil"/>
              <w:left w:val="nil"/>
              <w:bottom w:val="single" w:color="auto" w:sz="8" w:space="0"/>
              <w:right w:val="single" w:color="auto" w:sz="8" w:space="0"/>
            </w:tcBorders>
            <w:shd w:val="clear" w:color="auto" w:fill="auto"/>
            <w:noWrap/>
            <w:vAlign w:val="center"/>
          </w:tcPr>
          <w:p w14:paraId="6D1F6C41">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45</w:t>
            </w:r>
          </w:p>
        </w:tc>
      </w:tr>
      <w:tr w14:paraId="604E2BED">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47015761">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新建地面宏基站</w:t>
            </w:r>
          </w:p>
        </w:tc>
        <w:tc>
          <w:tcPr>
            <w:tcW w:w="1398" w:type="pct"/>
            <w:tcBorders>
              <w:top w:val="nil"/>
              <w:left w:val="nil"/>
              <w:bottom w:val="single" w:color="auto" w:sz="8" w:space="0"/>
              <w:right w:val="single" w:color="auto" w:sz="8" w:space="0"/>
            </w:tcBorders>
            <w:shd w:val="clear" w:color="auto" w:fill="auto"/>
            <w:noWrap/>
            <w:vAlign w:val="center"/>
          </w:tcPr>
          <w:p w14:paraId="198201C0">
            <w:pPr>
              <w:widowControl/>
              <w:jc w:val="center"/>
              <w:rPr>
                <w:rFonts w:hint="eastAsia" w:ascii="宋体" w:hAnsi="宋体" w:cs="宋体"/>
                <w:color w:val="000000"/>
                <w:kern w:val="0"/>
                <w:sz w:val="28"/>
                <w:szCs w:val="28"/>
              </w:rPr>
            </w:pPr>
            <w:r>
              <w:rPr>
                <w:rFonts w:ascii="宋体" w:hAnsi="宋体" w:cs="宋体"/>
                <w:color w:val="000000"/>
                <w:kern w:val="0"/>
                <w:sz w:val="28"/>
                <w:szCs w:val="28"/>
              </w:rPr>
              <w:t>15</w:t>
            </w:r>
            <w:r>
              <w:rPr>
                <w:rFonts w:hint="eastAsia" w:ascii="宋体" w:hAnsi="宋体" w:cs="宋体"/>
                <w:color w:val="000000"/>
                <w:kern w:val="0"/>
                <w:sz w:val="28"/>
                <w:szCs w:val="28"/>
              </w:rPr>
              <w:t>座</w:t>
            </w:r>
          </w:p>
        </w:tc>
        <w:tc>
          <w:tcPr>
            <w:tcW w:w="1298" w:type="pct"/>
            <w:tcBorders>
              <w:top w:val="nil"/>
              <w:left w:val="nil"/>
              <w:bottom w:val="single" w:color="auto" w:sz="8" w:space="0"/>
              <w:right w:val="single" w:color="auto" w:sz="8" w:space="0"/>
            </w:tcBorders>
            <w:shd w:val="clear" w:color="auto" w:fill="auto"/>
            <w:noWrap/>
            <w:vAlign w:val="center"/>
          </w:tcPr>
          <w:p w14:paraId="2B89F09A">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100万元/座</w:t>
            </w:r>
          </w:p>
        </w:tc>
        <w:tc>
          <w:tcPr>
            <w:tcW w:w="1049" w:type="pct"/>
            <w:tcBorders>
              <w:top w:val="nil"/>
              <w:left w:val="nil"/>
              <w:bottom w:val="single" w:color="auto" w:sz="8" w:space="0"/>
              <w:right w:val="single" w:color="auto" w:sz="8" w:space="0"/>
            </w:tcBorders>
            <w:shd w:val="clear" w:color="auto" w:fill="auto"/>
            <w:noWrap/>
            <w:vAlign w:val="center"/>
          </w:tcPr>
          <w:p w14:paraId="65E01338">
            <w:pPr>
              <w:widowControl/>
              <w:jc w:val="center"/>
              <w:rPr>
                <w:rFonts w:hint="eastAsia" w:ascii="宋体" w:hAnsi="宋体" w:cs="宋体"/>
                <w:color w:val="000000"/>
                <w:kern w:val="0"/>
                <w:sz w:val="28"/>
                <w:szCs w:val="28"/>
              </w:rPr>
            </w:pPr>
            <w:r>
              <w:rPr>
                <w:rFonts w:ascii="宋体" w:hAnsi="宋体" w:cs="宋体"/>
                <w:color w:val="000000"/>
                <w:kern w:val="0"/>
                <w:sz w:val="28"/>
                <w:szCs w:val="28"/>
              </w:rPr>
              <w:t>15</w:t>
            </w:r>
            <w:r>
              <w:rPr>
                <w:rFonts w:hint="eastAsia" w:ascii="宋体" w:hAnsi="宋体" w:cs="宋体"/>
                <w:color w:val="000000"/>
                <w:kern w:val="0"/>
                <w:sz w:val="28"/>
                <w:szCs w:val="28"/>
              </w:rPr>
              <w:t>00</w:t>
            </w:r>
          </w:p>
        </w:tc>
      </w:tr>
      <w:tr w14:paraId="11E86B19">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31F8021C">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新建楼面宏基站</w:t>
            </w:r>
          </w:p>
        </w:tc>
        <w:tc>
          <w:tcPr>
            <w:tcW w:w="1398" w:type="pct"/>
            <w:tcBorders>
              <w:top w:val="nil"/>
              <w:left w:val="nil"/>
              <w:bottom w:val="single" w:color="auto" w:sz="8" w:space="0"/>
              <w:right w:val="single" w:color="auto" w:sz="8" w:space="0"/>
            </w:tcBorders>
            <w:shd w:val="clear" w:color="auto" w:fill="auto"/>
            <w:noWrap/>
            <w:vAlign w:val="center"/>
          </w:tcPr>
          <w:p w14:paraId="1275ABF0">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1</w:t>
            </w:r>
            <w:r>
              <w:rPr>
                <w:rFonts w:ascii="宋体" w:hAnsi="宋体" w:cs="宋体"/>
                <w:color w:val="000000"/>
                <w:kern w:val="0"/>
                <w:sz w:val="28"/>
                <w:szCs w:val="28"/>
              </w:rPr>
              <w:t>2</w:t>
            </w:r>
            <w:r>
              <w:rPr>
                <w:rFonts w:hint="eastAsia" w:ascii="宋体" w:hAnsi="宋体" w:cs="宋体"/>
                <w:color w:val="000000"/>
                <w:kern w:val="0"/>
                <w:sz w:val="28"/>
                <w:szCs w:val="28"/>
              </w:rPr>
              <w:t>座</w:t>
            </w:r>
          </w:p>
        </w:tc>
        <w:tc>
          <w:tcPr>
            <w:tcW w:w="1298" w:type="pct"/>
            <w:tcBorders>
              <w:top w:val="nil"/>
              <w:left w:val="nil"/>
              <w:bottom w:val="single" w:color="auto" w:sz="8" w:space="0"/>
              <w:right w:val="single" w:color="auto" w:sz="8" w:space="0"/>
            </w:tcBorders>
            <w:shd w:val="clear" w:color="auto" w:fill="auto"/>
            <w:noWrap/>
            <w:vAlign w:val="center"/>
          </w:tcPr>
          <w:p w14:paraId="4751DFC4">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50万元/座</w:t>
            </w:r>
          </w:p>
        </w:tc>
        <w:tc>
          <w:tcPr>
            <w:tcW w:w="1049" w:type="pct"/>
            <w:tcBorders>
              <w:top w:val="nil"/>
              <w:left w:val="nil"/>
              <w:bottom w:val="single" w:color="auto" w:sz="8" w:space="0"/>
              <w:right w:val="single" w:color="auto" w:sz="8" w:space="0"/>
            </w:tcBorders>
            <w:shd w:val="clear" w:color="auto" w:fill="auto"/>
            <w:noWrap/>
            <w:vAlign w:val="center"/>
          </w:tcPr>
          <w:p w14:paraId="2B024A48">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6</w:t>
            </w:r>
            <w:r>
              <w:rPr>
                <w:rFonts w:ascii="宋体" w:hAnsi="宋体" w:cs="宋体"/>
                <w:color w:val="000000"/>
                <w:kern w:val="0"/>
                <w:sz w:val="28"/>
                <w:szCs w:val="28"/>
              </w:rPr>
              <w:t>0</w:t>
            </w:r>
            <w:r>
              <w:rPr>
                <w:rFonts w:hint="eastAsia" w:ascii="宋体" w:hAnsi="宋体" w:cs="宋体"/>
                <w:color w:val="000000"/>
                <w:kern w:val="0"/>
                <w:sz w:val="28"/>
                <w:szCs w:val="28"/>
              </w:rPr>
              <w:t>0</w:t>
            </w:r>
          </w:p>
        </w:tc>
      </w:tr>
      <w:tr w14:paraId="7EF172AA">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1C6167BD">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室分</w:t>
            </w:r>
          </w:p>
        </w:tc>
        <w:tc>
          <w:tcPr>
            <w:tcW w:w="1398" w:type="pct"/>
            <w:tcBorders>
              <w:top w:val="nil"/>
              <w:left w:val="nil"/>
              <w:bottom w:val="single" w:color="auto" w:sz="8" w:space="0"/>
              <w:right w:val="single" w:color="auto" w:sz="8" w:space="0"/>
            </w:tcBorders>
            <w:shd w:val="clear" w:color="auto" w:fill="auto"/>
            <w:noWrap/>
            <w:vAlign w:val="center"/>
          </w:tcPr>
          <w:p w14:paraId="5FD58657">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5</w:t>
            </w:r>
            <w:r>
              <w:rPr>
                <w:rFonts w:ascii="宋体" w:hAnsi="宋体" w:cs="宋体"/>
                <w:color w:val="000000"/>
                <w:kern w:val="0"/>
                <w:sz w:val="28"/>
                <w:szCs w:val="28"/>
              </w:rPr>
              <w:t>2</w:t>
            </w:r>
            <w:r>
              <w:rPr>
                <w:rFonts w:hint="eastAsia" w:ascii="宋体" w:hAnsi="宋体" w:cs="宋体"/>
                <w:color w:val="000000"/>
                <w:kern w:val="0"/>
                <w:sz w:val="28"/>
                <w:szCs w:val="28"/>
              </w:rPr>
              <w:t>00000平方米</w:t>
            </w:r>
          </w:p>
        </w:tc>
        <w:tc>
          <w:tcPr>
            <w:tcW w:w="1298" w:type="pct"/>
            <w:tcBorders>
              <w:top w:val="nil"/>
              <w:left w:val="nil"/>
              <w:bottom w:val="single" w:color="auto" w:sz="8" w:space="0"/>
              <w:right w:val="single" w:color="auto" w:sz="8" w:space="0"/>
            </w:tcBorders>
            <w:shd w:val="clear" w:color="auto" w:fill="auto"/>
            <w:noWrap/>
            <w:vAlign w:val="center"/>
          </w:tcPr>
          <w:p w14:paraId="1D8F98CA">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5元/平方米</w:t>
            </w:r>
          </w:p>
        </w:tc>
        <w:tc>
          <w:tcPr>
            <w:tcW w:w="1049" w:type="pct"/>
            <w:tcBorders>
              <w:top w:val="nil"/>
              <w:left w:val="nil"/>
              <w:bottom w:val="single" w:color="auto" w:sz="8" w:space="0"/>
              <w:right w:val="single" w:color="auto" w:sz="8" w:space="0"/>
            </w:tcBorders>
            <w:shd w:val="clear" w:color="auto" w:fill="auto"/>
            <w:noWrap/>
            <w:vAlign w:val="center"/>
          </w:tcPr>
          <w:p w14:paraId="28E5476A">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2</w:t>
            </w:r>
            <w:r>
              <w:rPr>
                <w:rFonts w:ascii="宋体" w:hAnsi="宋体" w:cs="宋体"/>
                <w:color w:val="000000"/>
                <w:kern w:val="0"/>
                <w:sz w:val="28"/>
                <w:szCs w:val="28"/>
              </w:rPr>
              <w:t>6</w:t>
            </w:r>
            <w:r>
              <w:rPr>
                <w:rFonts w:hint="eastAsia" w:ascii="宋体" w:hAnsi="宋体" w:cs="宋体"/>
                <w:color w:val="000000"/>
                <w:kern w:val="0"/>
                <w:sz w:val="28"/>
                <w:szCs w:val="28"/>
              </w:rPr>
              <w:t>00</w:t>
            </w:r>
          </w:p>
        </w:tc>
      </w:tr>
      <w:tr w14:paraId="52321CA0">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0FC8D6B3">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传输管道</w:t>
            </w:r>
          </w:p>
        </w:tc>
        <w:tc>
          <w:tcPr>
            <w:tcW w:w="1398" w:type="pct"/>
            <w:tcBorders>
              <w:top w:val="nil"/>
              <w:left w:val="nil"/>
              <w:bottom w:val="single" w:color="auto" w:sz="8" w:space="0"/>
              <w:right w:val="single" w:color="auto" w:sz="8" w:space="0"/>
            </w:tcBorders>
            <w:shd w:val="clear" w:color="auto" w:fill="auto"/>
            <w:noWrap/>
            <w:vAlign w:val="center"/>
          </w:tcPr>
          <w:p w14:paraId="26E15D15">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2</w:t>
            </w:r>
            <w:r>
              <w:rPr>
                <w:rFonts w:ascii="宋体" w:hAnsi="宋体" w:cs="宋体"/>
                <w:color w:val="000000"/>
                <w:kern w:val="0"/>
                <w:sz w:val="28"/>
                <w:szCs w:val="28"/>
              </w:rPr>
              <w:t>8</w:t>
            </w:r>
            <w:r>
              <w:rPr>
                <w:rFonts w:hint="eastAsia" w:ascii="宋体" w:hAnsi="宋体" w:cs="宋体"/>
                <w:color w:val="000000"/>
                <w:kern w:val="0"/>
                <w:sz w:val="28"/>
                <w:szCs w:val="28"/>
              </w:rPr>
              <w:t>公里</w:t>
            </w:r>
          </w:p>
        </w:tc>
        <w:tc>
          <w:tcPr>
            <w:tcW w:w="1298" w:type="pct"/>
            <w:tcBorders>
              <w:top w:val="nil"/>
              <w:left w:val="nil"/>
              <w:bottom w:val="single" w:color="auto" w:sz="8" w:space="0"/>
              <w:right w:val="single" w:color="auto" w:sz="8" w:space="0"/>
            </w:tcBorders>
            <w:shd w:val="clear" w:color="auto" w:fill="auto"/>
            <w:noWrap/>
            <w:vAlign w:val="center"/>
          </w:tcPr>
          <w:p w14:paraId="2EBCB01E">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15万/公里</w:t>
            </w:r>
          </w:p>
        </w:tc>
        <w:tc>
          <w:tcPr>
            <w:tcW w:w="1049" w:type="pct"/>
            <w:tcBorders>
              <w:top w:val="nil"/>
              <w:left w:val="nil"/>
              <w:bottom w:val="single" w:color="auto" w:sz="8" w:space="0"/>
              <w:right w:val="single" w:color="auto" w:sz="8" w:space="0"/>
            </w:tcBorders>
            <w:shd w:val="clear" w:color="auto" w:fill="auto"/>
            <w:noWrap/>
            <w:vAlign w:val="center"/>
          </w:tcPr>
          <w:p w14:paraId="17BD3F4D">
            <w:pPr>
              <w:widowControl/>
              <w:jc w:val="center"/>
              <w:rPr>
                <w:rFonts w:hint="eastAsia" w:ascii="宋体" w:hAnsi="宋体" w:cs="宋体"/>
                <w:color w:val="000000"/>
                <w:kern w:val="0"/>
                <w:sz w:val="28"/>
                <w:szCs w:val="28"/>
              </w:rPr>
            </w:pPr>
            <w:r>
              <w:rPr>
                <w:rFonts w:ascii="宋体" w:hAnsi="宋体" w:cs="宋体"/>
                <w:color w:val="000000"/>
                <w:kern w:val="0"/>
                <w:sz w:val="28"/>
                <w:szCs w:val="28"/>
              </w:rPr>
              <w:t>420</w:t>
            </w:r>
          </w:p>
        </w:tc>
      </w:tr>
      <w:tr w14:paraId="1A631F3E">
        <w:tblPrEx>
          <w:tblCellMar>
            <w:top w:w="0" w:type="dxa"/>
            <w:left w:w="108" w:type="dxa"/>
            <w:bottom w:w="0" w:type="dxa"/>
            <w:right w:w="108" w:type="dxa"/>
          </w:tblCellMar>
        </w:tblPrEx>
        <w:trPr>
          <w:trHeight w:val="430" w:hRule="atLeast"/>
        </w:trPr>
        <w:tc>
          <w:tcPr>
            <w:tcW w:w="1255" w:type="pct"/>
            <w:tcBorders>
              <w:top w:val="nil"/>
              <w:left w:val="single" w:color="auto" w:sz="8" w:space="0"/>
              <w:bottom w:val="single" w:color="auto" w:sz="8" w:space="0"/>
              <w:right w:val="single" w:color="auto" w:sz="8" w:space="0"/>
            </w:tcBorders>
            <w:shd w:val="clear" w:color="auto" w:fill="auto"/>
            <w:noWrap/>
            <w:vAlign w:val="center"/>
          </w:tcPr>
          <w:p w14:paraId="6781140B">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总计</w:t>
            </w:r>
          </w:p>
        </w:tc>
        <w:tc>
          <w:tcPr>
            <w:tcW w:w="1398" w:type="pct"/>
            <w:tcBorders>
              <w:top w:val="nil"/>
              <w:left w:val="nil"/>
              <w:bottom w:val="single" w:color="auto" w:sz="8" w:space="0"/>
              <w:right w:val="single" w:color="auto" w:sz="8" w:space="0"/>
            </w:tcBorders>
            <w:shd w:val="clear" w:color="auto" w:fill="auto"/>
            <w:noWrap/>
            <w:vAlign w:val="center"/>
          </w:tcPr>
          <w:p w14:paraId="5DEAD5BE">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　</w:t>
            </w:r>
          </w:p>
        </w:tc>
        <w:tc>
          <w:tcPr>
            <w:tcW w:w="1298" w:type="pct"/>
            <w:tcBorders>
              <w:top w:val="nil"/>
              <w:left w:val="nil"/>
              <w:bottom w:val="single" w:color="auto" w:sz="8" w:space="0"/>
              <w:right w:val="single" w:color="auto" w:sz="8" w:space="0"/>
            </w:tcBorders>
            <w:shd w:val="clear" w:color="auto" w:fill="auto"/>
            <w:noWrap/>
            <w:vAlign w:val="center"/>
          </w:tcPr>
          <w:p w14:paraId="1516BB82">
            <w:pPr>
              <w:widowControl/>
              <w:jc w:val="center"/>
              <w:rPr>
                <w:rFonts w:hint="eastAsia" w:ascii="宋体" w:hAnsi="宋体" w:cs="宋体"/>
                <w:color w:val="000000"/>
                <w:kern w:val="0"/>
                <w:sz w:val="28"/>
                <w:szCs w:val="28"/>
              </w:rPr>
            </w:pPr>
            <w:r>
              <w:rPr>
                <w:rFonts w:hint="eastAsia" w:ascii="宋体" w:hAnsi="宋体" w:cs="宋体"/>
                <w:color w:val="000000"/>
                <w:kern w:val="0"/>
                <w:sz w:val="28"/>
                <w:szCs w:val="28"/>
              </w:rPr>
              <w:t>　</w:t>
            </w:r>
          </w:p>
        </w:tc>
        <w:tc>
          <w:tcPr>
            <w:tcW w:w="1049" w:type="pct"/>
            <w:tcBorders>
              <w:top w:val="nil"/>
              <w:left w:val="nil"/>
              <w:bottom w:val="single" w:color="auto" w:sz="8" w:space="0"/>
              <w:right w:val="single" w:color="auto" w:sz="8" w:space="0"/>
            </w:tcBorders>
            <w:shd w:val="clear" w:color="auto" w:fill="auto"/>
            <w:noWrap/>
            <w:vAlign w:val="center"/>
          </w:tcPr>
          <w:p w14:paraId="242429C5">
            <w:pPr>
              <w:widowControl/>
              <w:jc w:val="center"/>
              <w:rPr>
                <w:rFonts w:hint="eastAsia" w:ascii="宋体" w:hAnsi="宋体" w:cs="宋体"/>
                <w:color w:val="000000"/>
                <w:kern w:val="0"/>
                <w:sz w:val="28"/>
                <w:szCs w:val="28"/>
              </w:rPr>
            </w:pPr>
            <w:r>
              <w:rPr>
                <w:rFonts w:ascii="宋体" w:hAnsi="宋体" w:cs="宋体"/>
                <w:color w:val="000000"/>
                <w:kern w:val="0"/>
                <w:sz w:val="28"/>
                <w:szCs w:val="28"/>
              </w:rPr>
              <w:t>5245</w:t>
            </w:r>
          </w:p>
        </w:tc>
      </w:tr>
    </w:tbl>
    <w:p w14:paraId="67B25B99">
      <w:pPr>
        <w:pStyle w:val="39"/>
        <w:ind w:firstLine="0" w:firstLineChars="0"/>
      </w:pPr>
      <w:r>
        <w:rPr>
          <w:rFonts w:hint="eastAsia"/>
        </w:rPr>
        <w:t>注：通信光交箱由运营商投资。</w:t>
      </w:r>
    </w:p>
    <w:p w14:paraId="0EE22E53">
      <w:pPr>
        <w:pStyle w:val="2"/>
        <w:rPr>
          <w:color w:val="FF0000"/>
        </w:rPr>
      </w:pPr>
      <w:bookmarkStart w:id="89" w:name="_Toc188027499"/>
      <w:r>
        <w:rPr>
          <w:rFonts w:hint="eastAsia"/>
        </w:rPr>
        <w:t>规划</w:t>
      </w:r>
      <w:r>
        <w:t>成果与国土空间</w:t>
      </w:r>
      <w:r>
        <w:rPr>
          <w:rFonts w:hint="eastAsia"/>
        </w:rPr>
        <w:t>规划的</w:t>
      </w:r>
      <w:r>
        <w:t>接口</w:t>
      </w:r>
      <w:bookmarkEnd w:id="88"/>
      <w:bookmarkEnd w:id="89"/>
    </w:p>
    <w:p w14:paraId="4EA0AF89">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0" w:name="_Toc187965736"/>
      <w:bookmarkEnd w:id="90"/>
      <w:bookmarkStart w:id="91" w:name="_Toc187966405"/>
      <w:bookmarkEnd w:id="91"/>
      <w:bookmarkStart w:id="92" w:name="_Toc187966469"/>
      <w:bookmarkEnd w:id="92"/>
      <w:bookmarkStart w:id="93" w:name="_Toc188025788"/>
      <w:bookmarkEnd w:id="93"/>
      <w:bookmarkStart w:id="94" w:name="_Toc188027500"/>
      <w:bookmarkEnd w:id="94"/>
    </w:p>
    <w:p w14:paraId="5A96645E">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5" w:name="_Toc188027501"/>
      <w:bookmarkEnd w:id="95"/>
    </w:p>
    <w:p w14:paraId="37B16ED5">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6" w:name="_Toc188027502"/>
      <w:bookmarkEnd w:id="96"/>
    </w:p>
    <w:p w14:paraId="69614D6B">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7" w:name="_Toc188027503"/>
      <w:bookmarkEnd w:id="97"/>
    </w:p>
    <w:p w14:paraId="4A054684">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8" w:name="_Toc188027504"/>
      <w:bookmarkEnd w:id="98"/>
    </w:p>
    <w:p w14:paraId="08706AEF">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99" w:name="_Toc188027505"/>
      <w:bookmarkEnd w:id="99"/>
    </w:p>
    <w:p w14:paraId="6932ECCA">
      <w:pPr>
        <w:pStyle w:val="5"/>
      </w:pPr>
      <w:bookmarkStart w:id="100" w:name="_Toc188027506"/>
      <w:r>
        <w:rPr>
          <w:rFonts w:hint="eastAsia"/>
        </w:rPr>
        <w:t>县政府对规划成果的认定</w:t>
      </w:r>
      <w:bookmarkEnd w:id="100"/>
    </w:p>
    <w:p w14:paraId="5F513D39">
      <w:pPr>
        <w:pStyle w:val="39"/>
        <w:ind w:firstLine="560"/>
      </w:pPr>
      <w:r>
        <w:t>为</w:t>
      </w:r>
      <w:r>
        <w:rPr>
          <w:rFonts w:hint="eastAsia"/>
        </w:rPr>
        <w:t>社会</w:t>
      </w:r>
      <w:r>
        <w:t>公众提供</w:t>
      </w:r>
      <w:r>
        <w:rPr>
          <w:rFonts w:hint="eastAsia"/>
        </w:rPr>
        <w:t>服务</w:t>
      </w:r>
      <w:r>
        <w:t>的</w:t>
      </w:r>
      <w:r>
        <w:rPr>
          <w:rFonts w:hint="eastAsia"/>
        </w:rPr>
        <w:t>移动</w:t>
      </w:r>
      <w:r>
        <w:t>通信基站</w:t>
      </w:r>
      <w:r>
        <w:rPr>
          <w:rFonts w:hint="eastAsia"/>
        </w:rPr>
        <w:t>单体</w:t>
      </w:r>
      <w:r>
        <w:t>面积不超过</w:t>
      </w:r>
      <w:r>
        <w:rPr>
          <w:rFonts w:hint="eastAsia"/>
        </w:rPr>
        <w:t>400平方米</w:t>
      </w:r>
      <w:r>
        <w:t>，</w:t>
      </w:r>
      <w:r>
        <w:rPr>
          <w:rFonts w:hint="eastAsia"/>
        </w:rPr>
        <w:t>属于</w:t>
      </w:r>
      <w:r>
        <w:t>小面积零星分散</w:t>
      </w:r>
      <w:r>
        <w:rPr>
          <w:rFonts w:hint="eastAsia"/>
        </w:rPr>
        <w:t>公共</w:t>
      </w:r>
      <w:r>
        <w:t>基础设施项目</w:t>
      </w:r>
      <w:r>
        <w:rPr>
          <w:rFonts w:hint="eastAsia"/>
        </w:rPr>
        <w:t>。根据广东省人民政府办公厅印发《广东省土地利用总体规划实施管理规定》（粤府办[2013]3号）的</w:t>
      </w:r>
      <w:r>
        <w:t>规定，</w:t>
      </w:r>
      <w:r>
        <w:rPr>
          <w:rFonts w:hint="eastAsia"/>
        </w:rPr>
        <w:t>单体</w:t>
      </w:r>
      <w:r>
        <w:t>面积在</w:t>
      </w:r>
      <w:r>
        <w:rPr>
          <w:rFonts w:hint="eastAsia"/>
        </w:rPr>
        <w:t>400平方米</w:t>
      </w:r>
      <w:r>
        <w:t>以下、</w:t>
      </w:r>
      <w:r>
        <w:rPr>
          <w:rFonts w:hint="eastAsia"/>
        </w:rPr>
        <w:t>不涉及</w:t>
      </w:r>
      <w:r>
        <w:t>占用基本</w:t>
      </w:r>
      <w:r>
        <w:rPr>
          <w:rFonts w:hint="eastAsia"/>
        </w:rPr>
        <w:t>农田</w:t>
      </w:r>
      <w:r>
        <w:t>时，</w:t>
      </w:r>
      <w:r>
        <w:rPr>
          <w:rFonts w:hint="eastAsia"/>
        </w:rPr>
        <w:t>视作</w:t>
      </w:r>
      <w:r>
        <w:t>符合土地利用</w:t>
      </w:r>
      <w:r>
        <w:rPr>
          <w:rFonts w:hint="eastAsia"/>
        </w:rPr>
        <w:t>总体</w:t>
      </w:r>
      <w:r>
        <w:t>规划</w:t>
      </w:r>
      <w:r>
        <w:rPr>
          <w:rFonts w:hint="eastAsia"/>
        </w:rPr>
        <w:t>。</w:t>
      </w:r>
    </w:p>
    <w:p w14:paraId="4AA6ACB7">
      <w:pPr>
        <w:pStyle w:val="39"/>
        <w:ind w:firstLine="560"/>
      </w:pPr>
      <w:r>
        <w:rPr>
          <w:rFonts w:hint="eastAsia"/>
        </w:rPr>
        <w:t>县政府在</w:t>
      </w:r>
      <w:r>
        <w:t>组织</w:t>
      </w:r>
      <w:r>
        <w:rPr>
          <w:rFonts w:hint="eastAsia"/>
        </w:rPr>
        <w:t>编制公众</w:t>
      </w:r>
      <w:r>
        <w:t>移动通信</w:t>
      </w:r>
      <w:r>
        <w:rPr>
          <w:rFonts w:hint="eastAsia"/>
        </w:rPr>
        <w:t>基站</w:t>
      </w:r>
      <w:r>
        <w:t>站址专项规划时，应以本</w:t>
      </w:r>
      <w:r>
        <w:rPr>
          <w:rFonts w:hint="eastAsia"/>
        </w:rPr>
        <w:t>规划</w:t>
      </w:r>
      <w:r>
        <w:t>成果作为依据，明确该区域范围内</w:t>
      </w:r>
      <w:r>
        <w:rPr>
          <w:rFonts w:hint="eastAsia"/>
        </w:rPr>
        <w:t>公众</w:t>
      </w:r>
      <w:r>
        <w:t>移动通信</w:t>
      </w:r>
      <w:r>
        <w:rPr>
          <w:rFonts w:hint="eastAsia"/>
        </w:rPr>
        <w:t>基站</w:t>
      </w:r>
      <w:r>
        <w:t>站址</w:t>
      </w:r>
      <w:r>
        <w:rPr>
          <w:rFonts w:hint="eastAsia"/>
        </w:rPr>
        <w:t>的</w:t>
      </w:r>
      <w:r>
        <w:t>总体规模和主要建设要求。</w:t>
      </w:r>
    </w:p>
    <w:p w14:paraId="281D493D">
      <w:pPr>
        <w:pStyle w:val="5"/>
      </w:pPr>
      <w:bookmarkStart w:id="101" w:name="_Toc188027507"/>
      <w:r>
        <w:rPr>
          <w:rFonts w:hint="eastAsia"/>
        </w:rPr>
        <w:t>控</w:t>
      </w:r>
      <w:r>
        <w:rPr>
          <w:rFonts w:hint="eastAsia" w:ascii="宋体" w:hAnsi="宋体"/>
          <w:szCs w:val="24"/>
        </w:rPr>
        <w:t>制性详细规划编制区域</w:t>
      </w:r>
      <w:r>
        <w:t>对</w:t>
      </w:r>
      <w:r>
        <w:rPr>
          <w:rFonts w:hint="eastAsia"/>
        </w:rPr>
        <w:t>规划</w:t>
      </w:r>
      <w:r>
        <w:t>成果的认</w:t>
      </w:r>
      <w:r>
        <w:rPr>
          <w:rFonts w:hint="eastAsia"/>
        </w:rPr>
        <w:t>定</w:t>
      </w:r>
      <w:bookmarkEnd w:id="101"/>
    </w:p>
    <w:p w14:paraId="5C0070AE">
      <w:pPr>
        <w:pStyle w:val="39"/>
        <w:ind w:firstLine="560"/>
      </w:pPr>
      <w:r>
        <w:rPr>
          <w:rFonts w:hint="eastAsia"/>
        </w:rPr>
        <w:t>在控制性详细规划编制时，应以产业园专项规划成果为依据，可根据产业园用地规划情况，通过在地块分图图则中对</w:t>
      </w:r>
      <w:r>
        <w:t>本次规划的</w:t>
      </w:r>
      <w:r>
        <w:rPr>
          <w:rFonts w:hint="eastAsia"/>
        </w:rPr>
        <w:t>移动</w:t>
      </w:r>
      <w:r>
        <w:t>通信站址</w:t>
      </w:r>
      <w:r>
        <w:rPr>
          <w:rFonts w:hint="eastAsia"/>
        </w:rPr>
        <w:t>进行调整落实。</w:t>
      </w:r>
    </w:p>
    <w:p w14:paraId="17CCD900">
      <w:pPr>
        <w:pStyle w:val="5"/>
      </w:pPr>
      <w:bookmarkStart w:id="102" w:name="_Toc188027508"/>
      <w:r>
        <w:rPr>
          <w:rFonts w:hint="eastAsia" w:ascii="宋体" w:hAnsi="宋体"/>
          <w:szCs w:val="24"/>
        </w:rPr>
        <w:t>规划接口程序</w:t>
      </w:r>
      <w:bookmarkEnd w:id="102"/>
    </w:p>
    <w:p w14:paraId="7A92ACB7">
      <w:pPr>
        <w:pStyle w:val="39"/>
        <w:ind w:firstLine="560"/>
      </w:pPr>
      <w:r>
        <w:rPr>
          <w:rFonts w:hint="eastAsia"/>
        </w:rPr>
        <w:t>受</w:t>
      </w:r>
      <w:r>
        <w:t>项目深度限制，本规划所确定的基站站址布局结果不对基站位置产生硬性的、直接的约束作用</w:t>
      </w:r>
      <w:r>
        <w:rPr>
          <w:rFonts w:hint="eastAsia"/>
        </w:rPr>
        <w:t>。为</w:t>
      </w:r>
      <w:r>
        <w:t>保障通信基站的建设，基站</w:t>
      </w:r>
      <w:r>
        <w:rPr>
          <w:rFonts w:hint="eastAsia"/>
        </w:rPr>
        <w:t>选址</w:t>
      </w:r>
      <w:r>
        <w:t>和建设</w:t>
      </w:r>
      <w:r>
        <w:rPr>
          <w:rFonts w:hint="eastAsia"/>
        </w:rPr>
        <w:t>在</w:t>
      </w:r>
      <w:r>
        <w:t>本规划成果</w:t>
      </w:r>
      <w:r>
        <w:rPr>
          <w:rFonts w:hint="eastAsia"/>
        </w:rPr>
        <w:t>为</w:t>
      </w:r>
      <w:r>
        <w:t>依据的基础上，应对每一个基站的选址进行</w:t>
      </w:r>
      <w:r>
        <w:rPr>
          <w:rFonts w:hint="eastAsia"/>
        </w:rPr>
        <w:t>详细</w:t>
      </w:r>
      <w:r>
        <w:t>的</w:t>
      </w:r>
      <w:r>
        <w:rPr>
          <w:rFonts w:hint="eastAsia"/>
        </w:rPr>
        <w:t>无线</w:t>
      </w:r>
      <w:r>
        <w:t>环境勘察</w:t>
      </w:r>
      <w:r>
        <w:rPr>
          <w:rFonts w:hint="eastAsia"/>
        </w:rPr>
        <w:t>，可在允许的范围内精校基站位置。</w:t>
      </w:r>
    </w:p>
    <w:p w14:paraId="553DFB40">
      <w:pPr>
        <w:pStyle w:val="2"/>
        <w:rPr>
          <w:color w:val="FF0000"/>
        </w:rPr>
      </w:pPr>
      <w:bookmarkStart w:id="103" w:name="_Toc188027509"/>
      <w:r>
        <w:rPr>
          <w:rFonts w:hint="eastAsia"/>
        </w:rPr>
        <w:t>环境影响评估及节能减排</w:t>
      </w:r>
      <w:bookmarkEnd w:id="103"/>
    </w:p>
    <w:p w14:paraId="34A976EF">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04" w:name="_Toc188025798"/>
      <w:bookmarkEnd w:id="104"/>
      <w:bookmarkStart w:id="105" w:name="_Toc187966479"/>
      <w:bookmarkEnd w:id="105"/>
      <w:bookmarkStart w:id="106" w:name="_Toc187965746"/>
      <w:bookmarkEnd w:id="106"/>
      <w:bookmarkStart w:id="107" w:name="_Toc187966415"/>
      <w:bookmarkEnd w:id="107"/>
      <w:bookmarkStart w:id="108" w:name="_Toc188027510"/>
      <w:bookmarkEnd w:id="108"/>
    </w:p>
    <w:p w14:paraId="3480B054">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09" w:name="_Toc187966480"/>
      <w:bookmarkEnd w:id="109"/>
      <w:bookmarkStart w:id="110" w:name="_Toc187965747"/>
      <w:bookmarkEnd w:id="110"/>
      <w:bookmarkStart w:id="111" w:name="_Toc188027511"/>
      <w:bookmarkEnd w:id="111"/>
      <w:bookmarkStart w:id="112" w:name="_Toc188025799"/>
      <w:bookmarkEnd w:id="112"/>
      <w:bookmarkStart w:id="113" w:name="_Toc187966416"/>
      <w:bookmarkEnd w:id="113"/>
    </w:p>
    <w:p w14:paraId="418E3BC9">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14" w:name="_Toc188027512"/>
      <w:bookmarkEnd w:id="114"/>
      <w:bookmarkStart w:id="115" w:name="_Toc187966417"/>
      <w:bookmarkEnd w:id="115"/>
      <w:bookmarkStart w:id="116" w:name="_Toc187965748"/>
      <w:bookmarkEnd w:id="116"/>
      <w:bookmarkStart w:id="117" w:name="_Toc187966481"/>
      <w:bookmarkEnd w:id="117"/>
      <w:bookmarkStart w:id="118" w:name="_Toc188025800"/>
      <w:bookmarkEnd w:id="118"/>
    </w:p>
    <w:p w14:paraId="5C4D9824">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19" w:name="_Toc187966482"/>
      <w:bookmarkEnd w:id="119"/>
      <w:bookmarkStart w:id="120" w:name="_Toc188025801"/>
      <w:bookmarkEnd w:id="120"/>
      <w:bookmarkStart w:id="121" w:name="_Toc188027513"/>
      <w:bookmarkEnd w:id="121"/>
      <w:bookmarkStart w:id="122" w:name="_Toc187966418"/>
      <w:bookmarkEnd w:id="122"/>
      <w:bookmarkStart w:id="123" w:name="_Toc187965749"/>
      <w:bookmarkEnd w:id="123"/>
    </w:p>
    <w:p w14:paraId="52340F81">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24" w:name="_Toc188027514"/>
      <w:bookmarkEnd w:id="124"/>
      <w:bookmarkStart w:id="125" w:name="_Toc187965750"/>
      <w:bookmarkEnd w:id="125"/>
      <w:bookmarkStart w:id="126" w:name="_Toc187966483"/>
      <w:bookmarkEnd w:id="126"/>
      <w:bookmarkStart w:id="127" w:name="_Toc188025802"/>
      <w:bookmarkEnd w:id="127"/>
      <w:bookmarkStart w:id="128" w:name="_Toc187966419"/>
      <w:bookmarkEnd w:id="128"/>
    </w:p>
    <w:p w14:paraId="6A232B17">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29" w:name="_Toc187966484"/>
      <w:bookmarkEnd w:id="129"/>
      <w:bookmarkStart w:id="130" w:name="_Toc187965751"/>
      <w:bookmarkEnd w:id="130"/>
      <w:bookmarkStart w:id="131" w:name="_Toc187966420"/>
      <w:bookmarkEnd w:id="131"/>
      <w:bookmarkStart w:id="132" w:name="_Toc188025803"/>
      <w:bookmarkEnd w:id="132"/>
      <w:bookmarkStart w:id="133" w:name="_Toc188027515"/>
      <w:bookmarkEnd w:id="133"/>
    </w:p>
    <w:p w14:paraId="41F63189">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34" w:name="_Toc188027516"/>
      <w:bookmarkEnd w:id="134"/>
      <w:bookmarkStart w:id="135" w:name="_Toc188025804"/>
      <w:bookmarkEnd w:id="135"/>
      <w:bookmarkStart w:id="136" w:name="_Toc187966485"/>
      <w:bookmarkEnd w:id="136"/>
      <w:bookmarkStart w:id="137" w:name="_Toc187966421"/>
      <w:bookmarkEnd w:id="137"/>
      <w:bookmarkStart w:id="138" w:name="_Toc187965752"/>
      <w:bookmarkEnd w:id="138"/>
    </w:p>
    <w:p w14:paraId="2B0A70FB">
      <w:pPr>
        <w:pStyle w:val="5"/>
      </w:pPr>
      <w:bookmarkStart w:id="139" w:name="_Toc188027517"/>
      <w:r>
        <w:rPr>
          <w:rFonts w:hint="eastAsia"/>
        </w:rPr>
        <w:t>环境保护要求</w:t>
      </w:r>
      <w:bookmarkEnd w:id="139"/>
    </w:p>
    <w:p w14:paraId="226A644C">
      <w:pPr>
        <w:pStyle w:val="39"/>
        <w:ind w:firstLine="560"/>
      </w:pPr>
      <w:r>
        <w:rPr>
          <w:rFonts w:hint="eastAsia"/>
        </w:rPr>
        <w:t>移动通信基站设置及电磁辐射应满足《电磁环境控制限制》（GB8072）、《通信工程建设环境保护技术暂行规定》（YD5039）的要求。按照环境保护部办公厅《关于印发“通信基站环境保护工作备忘录”的通知》（环办辐射函[2017]1990号）要求，无线通讯类建设项目环境影响评价类别由环境影响报告表调整为环境影响登记表，生态环境主管部门依法对通信基站实行环境影响登记表备案管理。同时，对等效辐射功率小于100W的通信基站豁免管理。</w:t>
      </w:r>
    </w:p>
    <w:p w14:paraId="669681A3">
      <w:pPr>
        <w:pStyle w:val="39"/>
        <w:ind w:firstLine="560"/>
      </w:pPr>
      <w:r>
        <w:rPr>
          <w:rFonts w:hint="eastAsia"/>
        </w:rPr>
        <w:t>各运营商和铁塔公司应将环境环保管理纳入企业管理全过程，遵守各项环境保护法律法规，制定完善环境保护规章制度，依法履行环境影响登记表备案手续，积极开展通信基站周围环境敏感目标电磁辐射环境监测，数据真实有效，确保环境质量达标，加强信息公开和科普宣传，妥善处理环境信访投诉，切实做好各项环境保护工作。</w:t>
      </w:r>
    </w:p>
    <w:p w14:paraId="5B4D1BAD">
      <w:pPr>
        <w:pStyle w:val="5"/>
      </w:pPr>
      <w:bookmarkStart w:id="140" w:name="_Toc188027518"/>
      <w:r>
        <w:rPr>
          <w:rFonts w:hint="eastAsia"/>
        </w:rPr>
        <w:t>绿色通信</w:t>
      </w:r>
      <w:bookmarkEnd w:id="140"/>
    </w:p>
    <w:p w14:paraId="087D9F5C">
      <w:pPr>
        <w:pStyle w:val="39"/>
        <w:ind w:firstLine="560"/>
      </w:pPr>
      <w:r>
        <w:rPr>
          <w:rFonts w:hint="eastAsia"/>
        </w:rPr>
        <w:t>绿色通信是指节能减排，减少环境污染、资源浪费以及对人体和环境危害的新一代通信理念，主要采用创新的高效功放、多载波、分布式、智能温控等技术，配合灵活的站点场景模型，对通信局所、基站进行积极改造，以达到降低能耗的目的，最终实现人与自然和谐相处，实现可持续发展。</w:t>
      </w:r>
    </w:p>
    <w:p w14:paraId="0DB4CED8">
      <w:pPr>
        <w:pStyle w:val="2"/>
        <w:rPr>
          <w:color w:val="FF0000"/>
        </w:rPr>
      </w:pPr>
      <w:bookmarkStart w:id="141" w:name="_Toc188027519"/>
      <w:r>
        <w:rPr>
          <w:rFonts w:hint="eastAsia"/>
        </w:rPr>
        <w:t>规划实施保障</w:t>
      </w:r>
      <w:bookmarkEnd w:id="141"/>
    </w:p>
    <w:p w14:paraId="086730B1">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42" w:name="_Toc188025808"/>
      <w:bookmarkEnd w:id="142"/>
      <w:bookmarkStart w:id="143" w:name="_Toc187965756"/>
      <w:bookmarkEnd w:id="143"/>
      <w:bookmarkStart w:id="144" w:name="_Toc188027520"/>
      <w:bookmarkEnd w:id="144"/>
      <w:bookmarkStart w:id="145" w:name="_Toc187966425"/>
      <w:bookmarkEnd w:id="145"/>
      <w:bookmarkStart w:id="146" w:name="_Toc187966489"/>
      <w:bookmarkEnd w:id="146"/>
    </w:p>
    <w:p w14:paraId="606F3ED2">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47" w:name="_Toc187965757"/>
      <w:bookmarkEnd w:id="147"/>
      <w:bookmarkStart w:id="148" w:name="_Toc187966426"/>
      <w:bookmarkEnd w:id="148"/>
      <w:bookmarkStart w:id="149" w:name="_Toc188025809"/>
      <w:bookmarkEnd w:id="149"/>
      <w:bookmarkStart w:id="150" w:name="_Toc187966490"/>
      <w:bookmarkEnd w:id="150"/>
      <w:bookmarkStart w:id="151" w:name="_Toc188027521"/>
      <w:bookmarkEnd w:id="151"/>
    </w:p>
    <w:p w14:paraId="2949F217">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52" w:name="_Toc187966491"/>
      <w:bookmarkEnd w:id="152"/>
      <w:bookmarkStart w:id="153" w:name="_Toc187965758"/>
      <w:bookmarkEnd w:id="153"/>
      <w:bookmarkStart w:id="154" w:name="_Toc188025810"/>
      <w:bookmarkEnd w:id="154"/>
      <w:bookmarkStart w:id="155" w:name="_Toc188027522"/>
      <w:bookmarkEnd w:id="155"/>
      <w:bookmarkStart w:id="156" w:name="_Toc187966427"/>
      <w:bookmarkEnd w:id="156"/>
    </w:p>
    <w:p w14:paraId="6C3A6B3F">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57" w:name="_Toc188025811"/>
      <w:bookmarkEnd w:id="157"/>
      <w:bookmarkStart w:id="158" w:name="_Toc188027523"/>
      <w:bookmarkEnd w:id="158"/>
      <w:bookmarkStart w:id="159" w:name="_Toc187966492"/>
      <w:bookmarkEnd w:id="159"/>
      <w:bookmarkStart w:id="160" w:name="_Toc187966428"/>
      <w:bookmarkEnd w:id="160"/>
      <w:bookmarkStart w:id="161" w:name="_Toc187965759"/>
      <w:bookmarkEnd w:id="161"/>
    </w:p>
    <w:p w14:paraId="35EE9EB5">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62" w:name="_Toc187966493"/>
      <w:bookmarkEnd w:id="162"/>
      <w:bookmarkStart w:id="163" w:name="_Toc188025812"/>
      <w:bookmarkEnd w:id="163"/>
      <w:bookmarkStart w:id="164" w:name="_Toc188027524"/>
      <w:bookmarkEnd w:id="164"/>
      <w:bookmarkStart w:id="165" w:name="_Toc187965760"/>
      <w:bookmarkEnd w:id="165"/>
      <w:bookmarkStart w:id="166" w:name="_Toc187966429"/>
      <w:bookmarkEnd w:id="166"/>
    </w:p>
    <w:p w14:paraId="4C7F7D50">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67" w:name="_Toc187966494"/>
      <w:bookmarkEnd w:id="167"/>
      <w:bookmarkStart w:id="168" w:name="_Toc188025813"/>
      <w:bookmarkEnd w:id="168"/>
      <w:bookmarkStart w:id="169" w:name="_Toc187966430"/>
      <w:bookmarkEnd w:id="169"/>
      <w:bookmarkStart w:id="170" w:name="_Toc187965761"/>
      <w:bookmarkEnd w:id="170"/>
      <w:bookmarkStart w:id="171" w:name="_Toc188027525"/>
      <w:bookmarkEnd w:id="171"/>
    </w:p>
    <w:p w14:paraId="16556757">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72" w:name="_Toc188027526"/>
      <w:bookmarkEnd w:id="172"/>
      <w:bookmarkStart w:id="173" w:name="_Toc187965762"/>
      <w:bookmarkEnd w:id="173"/>
      <w:bookmarkStart w:id="174" w:name="_Toc188025814"/>
      <w:bookmarkEnd w:id="174"/>
      <w:bookmarkStart w:id="175" w:name="_Toc187966495"/>
      <w:bookmarkEnd w:id="175"/>
      <w:bookmarkStart w:id="176" w:name="_Toc187966431"/>
      <w:bookmarkEnd w:id="176"/>
    </w:p>
    <w:p w14:paraId="384234C1">
      <w:pPr>
        <w:pStyle w:val="32"/>
        <w:keepNext/>
        <w:keepLines/>
        <w:widowControl/>
        <w:numPr>
          <w:ilvl w:val="1"/>
          <w:numId w:val="1"/>
        </w:numPr>
        <w:spacing w:before="160" w:after="160" w:line="160" w:lineRule="atLeast"/>
        <w:ind w:firstLineChars="0"/>
        <w:jc w:val="left"/>
        <w:outlineLvl w:val="1"/>
        <w:rPr>
          <w:rFonts w:ascii="黑体" w:hAnsi="Arial" w:eastAsia="黑体"/>
          <w:bCs/>
          <w:vanish/>
          <w:sz w:val="24"/>
          <w:szCs w:val="30"/>
        </w:rPr>
      </w:pPr>
      <w:bookmarkStart w:id="177" w:name="_Toc187965763"/>
      <w:bookmarkEnd w:id="177"/>
      <w:bookmarkStart w:id="178" w:name="_Toc187966432"/>
      <w:bookmarkEnd w:id="178"/>
      <w:bookmarkStart w:id="179" w:name="_Toc187966496"/>
      <w:bookmarkEnd w:id="179"/>
      <w:bookmarkStart w:id="180" w:name="_Toc188025815"/>
      <w:bookmarkEnd w:id="180"/>
      <w:bookmarkStart w:id="181" w:name="_Toc188027527"/>
      <w:bookmarkEnd w:id="181"/>
    </w:p>
    <w:p w14:paraId="5A2C3B86">
      <w:pPr>
        <w:pStyle w:val="5"/>
      </w:pPr>
      <w:bookmarkStart w:id="182" w:name="_Toc188027528"/>
      <w:r>
        <w:rPr>
          <w:rFonts w:hint="eastAsia"/>
        </w:rPr>
        <w:t>规划保障</w:t>
      </w:r>
      <w:bookmarkEnd w:id="182"/>
    </w:p>
    <w:p w14:paraId="60F940F6">
      <w:pPr>
        <w:pStyle w:val="39"/>
        <w:ind w:firstLine="560"/>
      </w:pPr>
      <w:r>
        <w:rPr>
          <w:rFonts w:hint="eastAsia"/>
        </w:rPr>
        <w:t>做好信息基础设施规划同城市总体规划、控制性详细规划的衔接，将网络基站建设规划纳入到国土空间规划及控制性详细规划中，并根据网络建设和发展情况滚动修编。产业园应同步规划信息基础设施及相关配套设施，预留站址、机房、电源、管道和天面等空间，并征求铁塔公司及各通信运营企业意见。</w:t>
      </w:r>
    </w:p>
    <w:p w14:paraId="0F91F82C">
      <w:pPr>
        <w:pStyle w:val="5"/>
      </w:pPr>
      <w:bookmarkStart w:id="183" w:name="_Toc188027529"/>
      <w:r>
        <w:rPr>
          <w:rFonts w:hint="eastAsia"/>
        </w:rPr>
        <w:t>技术保障</w:t>
      </w:r>
      <w:bookmarkEnd w:id="183"/>
    </w:p>
    <w:p w14:paraId="28A8FE1D">
      <w:pPr>
        <w:pStyle w:val="39"/>
        <w:ind w:firstLine="560"/>
      </w:pPr>
      <w:r>
        <w:rPr>
          <w:rFonts w:hint="eastAsia"/>
        </w:rPr>
        <w:t>（1）发挥企业主体作用</w:t>
      </w:r>
    </w:p>
    <w:p w14:paraId="76295C7F">
      <w:pPr>
        <w:pStyle w:val="39"/>
        <w:ind w:firstLine="560"/>
      </w:pPr>
      <w:r>
        <w:rPr>
          <w:rFonts w:hint="eastAsia"/>
        </w:rPr>
        <w:t>充分发挥铁塔公司、各通信运营企业的建设主体作用，落实规划成果，编制网络年度建设及投资计划，做好网络覆盖和应用示范场景建设。</w:t>
      </w:r>
    </w:p>
    <w:p w14:paraId="2B911113">
      <w:pPr>
        <w:pStyle w:val="39"/>
        <w:ind w:firstLine="560"/>
      </w:pPr>
      <w:r>
        <w:rPr>
          <w:rFonts w:hint="eastAsia"/>
        </w:rPr>
        <w:t>（2）加强共建共享</w:t>
      </w:r>
    </w:p>
    <w:p w14:paraId="7748C9C9">
      <w:pPr>
        <w:pStyle w:val="39"/>
        <w:ind w:firstLine="560"/>
      </w:pPr>
      <w:r>
        <w:rPr>
          <w:rFonts w:hint="eastAsia"/>
        </w:rPr>
        <w:t>铁塔公司发挥通信基础设施建设需求统筹作用，各通信运营企业积极配合，落实国家关于通信基础设施共建共享相关要求，提升存量资源利用率，加强基础设施资源共建共享、集约建设。</w:t>
      </w:r>
    </w:p>
    <w:p w14:paraId="4644E25B">
      <w:pPr>
        <w:pStyle w:val="5"/>
      </w:pPr>
      <w:bookmarkStart w:id="184" w:name="_Toc188027530"/>
      <w:r>
        <w:rPr>
          <w:rFonts w:hint="eastAsia"/>
        </w:rPr>
        <w:t>实施保障</w:t>
      </w:r>
      <w:bookmarkEnd w:id="184"/>
    </w:p>
    <w:p w14:paraId="6C7662AC">
      <w:pPr>
        <w:pStyle w:val="39"/>
        <w:ind w:firstLine="560"/>
      </w:pPr>
      <w:r>
        <w:rPr>
          <w:rFonts w:hint="eastAsia"/>
        </w:rPr>
        <w:t>明确编制国土空间总体规划时，应涵盖通信专项规划相关内容，落实移动通信基站站址、机房、电源、管道和屋面设施等配建空间。将专项规划中关于通信基础设施预留5G宏站、微站、室内分布系统等通信设施的要求，作为建设工程规划许可或竣工验收审批的重要依据。</w:t>
      </w:r>
    </w:p>
    <w:p w14:paraId="625FF43F">
      <w:pPr>
        <w:pStyle w:val="39"/>
        <w:ind w:firstLine="560"/>
      </w:pPr>
      <w:r>
        <w:rPr>
          <w:rFonts w:hint="eastAsia"/>
        </w:rPr>
        <w:t>自然资源规划</w:t>
      </w:r>
      <w:r>
        <w:t>主管部门</w:t>
      </w:r>
      <w:r>
        <w:rPr>
          <w:rFonts w:hint="eastAsia"/>
        </w:rPr>
        <w:t>在具体地块编制控制性详细规划时，应在规划图则中标示该地块中应配置的移动通信基础设施的数量、规模等要求；在具体项目编制修建性详细规划或建设工程方案时，或者新建建筑</w:t>
      </w:r>
      <w:r>
        <w:t>项目</w:t>
      </w:r>
      <w:r>
        <w:rPr>
          <w:rFonts w:hint="eastAsia"/>
        </w:rPr>
        <w:t>及</w:t>
      </w:r>
      <w:r>
        <w:t>市政项目</w:t>
      </w:r>
      <w:r>
        <w:rPr>
          <w:rFonts w:hint="eastAsia"/>
        </w:rPr>
        <w:t>涉及到本期规划通信站址</w:t>
      </w:r>
      <w:r>
        <w:t>，</w:t>
      </w:r>
      <w:r>
        <w:rPr>
          <w:rFonts w:hint="eastAsia"/>
        </w:rPr>
        <w:t>应征求海丰县信息化主管部门和汕尾市铁塔公司对通信基础设施预留的意见。</w:t>
      </w:r>
    </w:p>
    <w:p w14:paraId="5E01F918">
      <w:pPr>
        <w:widowControl/>
        <w:jc w:val="left"/>
        <w:rPr>
          <w:rFonts w:hint="eastAsia" w:asciiTheme="minorEastAsia" w:hAnsiTheme="minorEastAsia" w:eastAsiaTheme="minorEastAsia"/>
        </w:rPr>
      </w:pPr>
    </w:p>
    <w:sectPr>
      <w:pgSz w:w="11906" w:h="16838"/>
      <w:pgMar w:top="1440" w:right="1418" w:bottom="1440" w:left="1800"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7FFAEFF" w:usb1="F9DFFFFF"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861635"/>
      <w:docPartObj>
        <w:docPartGallery w:val="autotext"/>
      </w:docPartObj>
    </w:sdtPr>
    <w:sdtContent>
      <w:p w14:paraId="48220AC3">
        <w:pPr>
          <w:pStyle w:val="14"/>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14:paraId="12CA258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E984C">
    <w:pPr>
      <w:pStyle w:val="14"/>
      <w:jc w:val="center"/>
    </w:pPr>
  </w:p>
  <w:p w14:paraId="6DDB3935">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0710497"/>
      <w:docPartObj>
        <w:docPartGallery w:val="autotext"/>
      </w:docPartObj>
    </w:sdtPr>
    <w:sdtContent>
      <w:p w14:paraId="73B51FFF">
        <w:pPr>
          <w:pStyle w:val="14"/>
          <w:jc w:val="center"/>
        </w:pPr>
        <w:r>
          <w:fldChar w:fldCharType="begin"/>
        </w:r>
        <w:r>
          <w:instrText xml:space="preserve">PAGE   \* MERGEFORMAT</w:instrText>
        </w:r>
        <w:r>
          <w:fldChar w:fldCharType="separate"/>
        </w:r>
        <w:r>
          <w:t>II</w:t>
        </w:r>
        <w:r>
          <w:fldChar w:fldCharType="end"/>
        </w:r>
      </w:p>
    </w:sdtContent>
  </w:sdt>
  <w:p w14:paraId="069964DD">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86F8B"/>
    <w:multiLevelType w:val="multilevel"/>
    <w:tmpl w:val="04486F8B"/>
    <w:lvl w:ilvl="0" w:tentative="0">
      <w:start w:val="1"/>
      <w:numFmt w:val="decimal"/>
      <w:lvlText w:val="(%1)"/>
      <w:lvlJc w:val="left"/>
      <w:pPr>
        <w:ind w:left="902" w:hanging="420"/>
      </w:pPr>
      <w:rPr>
        <w:rFonts w:hint="eastAsia"/>
      </w:rPr>
    </w:lvl>
    <w:lvl w:ilvl="1" w:tentative="0">
      <w:start w:val="1"/>
      <w:numFmt w:val="lowerLetter"/>
      <w:lvlText w:val="%2)"/>
      <w:lvlJc w:val="left"/>
      <w:pPr>
        <w:ind w:left="1322" w:hanging="420"/>
      </w:pPr>
    </w:lvl>
    <w:lvl w:ilvl="2" w:tentative="0">
      <w:start w:val="1"/>
      <w:numFmt w:val="decimal"/>
      <w:lvlText w:val="(%3)"/>
      <w:lvlJc w:val="left"/>
      <w:pPr>
        <w:ind w:left="1742" w:hanging="420"/>
      </w:pPr>
      <w:rPr>
        <w:rFonts w:hint="eastAsia"/>
      </w:r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057F0E2D"/>
    <w:multiLevelType w:val="multilevel"/>
    <w:tmpl w:val="057F0E2D"/>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none"/>
      <w:lvlText w:val="表"/>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none"/>
      <w:lvlRestart w:val="1"/>
      <w:pStyle w:val="9"/>
      <w:lvlText w:val="表%1.%2.%8"/>
      <w:lvlJc w:val="center"/>
      <w:pPr>
        <w:ind w:left="0" w:firstLine="0"/>
      </w:pPr>
      <w:rPr>
        <w:rFonts w:hint="eastAsia"/>
      </w:rPr>
    </w:lvl>
  </w:abstractNum>
  <w:abstractNum w:abstractNumId="2">
    <w:nsid w:val="096A4788"/>
    <w:multiLevelType w:val="multilevel"/>
    <w:tmpl w:val="096A478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2A20D52"/>
    <w:multiLevelType w:val="multilevel"/>
    <w:tmpl w:val="12A20D52"/>
    <w:lvl w:ilvl="0" w:tentative="0">
      <w:start w:val="1"/>
      <w:numFmt w:val="decimal"/>
      <w:lvlText w:val="(%1)"/>
      <w:lvlJc w:val="left"/>
      <w:pPr>
        <w:ind w:left="840" w:hanging="420"/>
      </w:pPr>
      <w:rPr>
        <w:rFonts w:hint="eastAsia"/>
      </w:rPr>
    </w:lvl>
    <w:lvl w:ilvl="1" w:tentative="0">
      <w:start w:val="1"/>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366655D"/>
    <w:multiLevelType w:val="multilevel"/>
    <w:tmpl w:val="1366655D"/>
    <w:lvl w:ilvl="0" w:tentative="0">
      <w:start w:val="1"/>
      <w:numFmt w:val="decimal"/>
      <w:lvlText w:val="(%1)"/>
      <w:lvlJc w:val="left"/>
      <w:pPr>
        <w:ind w:left="980" w:hanging="420"/>
      </w:pPr>
      <w:rPr>
        <w:rFonts w:hint="eastAsia"/>
      </w:rPr>
    </w:lvl>
    <w:lvl w:ilvl="1" w:tentative="0">
      <w:start w:val="1"/>
      <w:numFmt w:val="decimal"/>
      <w:lvlText w:val="(%2)"/>
      <w:lvlJc w:val="left"/>
      <w:pPr>
        <w:ind w:left="1400" w:hanging="420"/>
      </w:pPr>
      <w:rPr>
        <w:rFonts w:hint="eastAsia"/>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141C2FF0"/>
    <w:multiLevelType w:val="multilevel"/>
    <w:tmpl w:val="141C2FF0"/>
    <w:lvl w:ilvl="0" w:tentative="0">
      <w:start w:val="1"/>
      <w:numFmt w:val="decimal"/>
      <w:lvlText w:val="（%1）"/>
      <w:lvlJc w:val="left"/>
      <w:pPr>
        <w:ind w:left="1127" w:hanging="64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6">
    <w:nsid w:val="1E9F6DE3"/>
    <w:multiLevelType w:val="multilevel"/>
    <w:tmpl w:val="1E9F6DE3"/>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22CA48AF"/>
    <w:multiLevelType w:val="multilevel"/>
    <w:tmpl w:val="22CA48AF"/>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80B6ED4"/>
    <w:multiLevelType w:val="multilevel"/>
    <w:tmpl w:val="280B6ED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534D6CCE"/>
    <w:multiLevelType w:val="multilevel"/>
    <w:tmpl w:val="534D6CCE"/>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0">
    <w:nsid w:val="53AE0355"/>
    <w:multiLevelType w:val="multilevel"/>
    <w:tmpl w:val="53AE0355"/>
    <w:lvl w:ilvl="0" w:tentative="0">
      <w:start w:val="1"/>
      <w:numFmt w:val="chineseCountingThousand"/>
      <w:pStyle w:val="2"/>
      <w:lvlText w:val="%1."/>
      <w:lvlJc w:val="left"/>
      <w:pPr>
        <w:tabs>
          <w:tab w:val="left" w:pos="-1"/>
        </w:tabs>
        <w:ind w:left="424" w:hanging="425"/>
      </w:pPr>
      <w:rPr>
        <w:rFonts w:hint="default" w:ascii="Arial" w:hAnsi="Arial"/>
        <w:color w:val="auto"/>
      </w:rPr>
    </w:lvl>
    <w:lvl w:ilvl="1" w:tentative="0">
      <w:start w:val="1"/>
      <w:numFmt w:val="decimal"/>
      <w:pStyle w:val="4"/>
      <w:lvlText w:val="%2."/>
      <w:lvlJc w:val="left"/>
      <w:pPr>
        <w:tabs>
          <w:tab w:val="left" w:pos="-1"/>
        </w:tabs>
        <w:ind w:left="680" w:hanging="255"/>
      </w:pPr>
      <w:rPr>
        <w:rFonts w:hint="default" w:ascii="Arial" w:hAnsi="Arial" w:eastAsia="宋体"/>
      </w:rPr>
    </w:lvl>
    <w:lvl w:ilvl="2" w:tentative="0">
      <w:start w:val="1"/>
      <w:numFmt w:val="decimal"/>
      <w:pStyle w:val="5"/>
      <w:lvlText w:val="%2.%3"/>
      <w:lvlJc w:val="left"/>
      <w:pPr>
        <w:tabs>
          <w:tab w:val="left" w:pos="0"/>
        </w:tabs>
        <w:ind w:left="737" w:hanging="255"/>
      </w:pPr>
      <w:rPr>
        <w:rFonts w:hint="default" w:ascii="Arial" w:hAnsi="Arial" w:eastAsia="宋体"/>
        <w:b w:val="0"/>
        <w:i w:val="0"/>
      </w:rPr>
    </w:lvl>
    <w:lvl w:ilvl="3" w:tentative="0">
      <w:start w:val="1"/>
      <w:numFmt w:val="decimal"/>
      <w:pStyle w:val="6"/>
      <w:lvlText w:val="%2.%3.%4"/>
      <w:lvlJc w:val="left"/>
      <w:pPr>
        <w:tabs>
          <w:tab w:val="left" w:pos="0"/>
        </w:tabs>
        <w:ind w:left="794" w:hanging="255"/>
      </w:pPr>
      <w:rPr>
        <w:rFonts w:hint="default" w:ascii="Arial" w:hAnsi="Arial" w:eastAsia="宋体"/>
        <w:b w:val="0"/>
        <w:i w:val="0"/>
      </w:rPr>
    </w:lvl>
    <w:lvl w:ilvl="4" w:tentative="0">
      <w:start w:val="1"/>
      <w:numFmt w:val="decimal"/>
      <w:pStyle w:val="7"/>
      <w:lvlText w:val="%2.%3.%4.%5"/>
      <w:lvlJc w:val="left"/>
      <w:pPr>
        <w:tabs>
          <w:tab w:val="left" w:pos="0"/>
        </w:tabs>
        <w:ind w:left="851" w:hanging="256"/>
      </w:pPr>
      <w:rPr>
        <w:rFonts w:hint="eastAsia"/>
      </w:rPr>
    </w:lvl>
    <w:lvl w:ilvl="5" w:tentative="0">
      <w:start w:val="1"/>
      <w:numFmt w:val="decimal"/>
      <w:pStyle w:val="8"/>
      <w:lvlText w:val="(%6)"/>
      <w:lvlJc w:val="left"/>
      <w:pPr>
        <w:tabs>
          <w:tab w:val="left" w:pos="-1"/>
        </w:tabs>
        <w:ind w:left="2549" w:hanging="425"/>
      </w:pPr>
      <w:rPr>
        <w:rFonts w:hint="eastAsia"/>
      </w:rPr>
    </w:lvl>
    <w:lvl w:ilvl="6" w:tentative="0">
      <w:start w:val="1"/>
      <w:numFmt w:val="lowerLetter"/>
      <w:lvlText w:val="(%7)"/>
      <w:lvlJc w:val="left"/>
      <w:pPr>
        <w:tabs>
          <w:tab w:val="left" w:pos="-1"/>
        </w:tabs>
        <w:ind w:left="2974" w:hanging="425"/>
      </w:pPr>
      <w:rPr>
        <w:rFonts w:hint="eastAsia"/>
      </w:rPr>
    </w:lvl>
    <w:lvl w:ilvl="7" w:tentative="0">
      <w:start w:val="1"/>
      <w:numFmt w:val="lowerRoman"/>
      <w:lvlText w:val="(%8)"/>
      <w:lvlJc w:val="left"/>
      <w:pPr>
        <w:tabs>
          <w:tab w:val="left" w:pos="-1"/>
        </w:tabs>
        <w:ind w:left="3399" w:hanging="425"/>
      </w:pPr>
      <w:rPr>
        <w:rFonts w:hint="eastAsia"/>
      </w:rPr>
    </w:lvl>
    <w:lvl w:ilvl="8" w:tentative="0">
      <w:start w:val="1"/>
      <w:numFmt w:val="upperRoman"/>
      <w:lvlText w:val="(%9)"/>
      <w:lvlJc w:val="left"/>
      <w:pPr>
        <w:tabs>
          <w:tab w:val="left" w:pos="-1"/>
        </w:tabs>
        <w:ind w:left="3824" w:hanging="425"/>
      </w:pPr>
      <w:rPr>
        <w:rFonts w:hint="eastAsia"/>
      </w:rPr>
    </w:lvl>
  </w:abstractNum>
  <w:abstractNum w:abstractNumId="11">
    <w:nsid w:val="71076A94"/>
    <w:multiLevelType w:val="multilevel"/>
    <w:tmpl w:val="71076A94"/>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2FF6AF7"/>
    <w:multiLevelType w:val="multilevel"/>
    <w:tmpl w:val="72FF6AF7"/>
    <w:lvl w:ilvl="0" w:tentative="0">
      <w:start w:val="1"/>
      <w:numFmt w:val="decimal"/>
      <w:lvlText w:val="(%1)"/>
      <w:lvlJc w:val="left"/>
      <w:pPr>
        <w:ind w:left="980" w:hanging="420"/>
      </w:pPr>
      <w:rPr>
        <w:rFonts w:hint="eastAsia"/>
      </w:rPr>
    </w:lvl>
    <w:lvl w:ilvl="1" w:tentative="0">
      <w:start w:val="1"/>
      <w:numFmt w:val="decimal"/>
      <w:lvlText w:val="(%2)"/>
      <w:lvlJc w:val="left"/>
      <w:pPr>
        <w:ind w:left="1400" w:hanging="420"/>
      </w:pPr>
      <w:rPr>
        <w:rFonts w:hint="eastAsia"/>
      </w:rPr>
    </w:lvl>
    <w:lvl w:ilvl="2" w:tentative="0">
      <w:start w:val="1"/>
      <w:numFmt w:val="decimal"/>
      <w:lvlText w:val="%3."/>
      <w:lvlJc w:val="left"/>
      <w:pPr>
        <w:ind w:left="1760" w:hanging="360"/>
      </w:pPr>
      <w:rPr>
        <w:rFonts w:hint="default"/>
      </w:r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7EEB5071"/>
    <w:multiLevelType w:val="multilevel"/>
    <w:tmpl w:val="7EEB5071"/>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1"/>
  </w:num>
  <w:num w:numId="3">
    <w:abstractNumId w:val="2"/>
  </w:num>
  <w:num w:numId="4">
    <w:abstractNumId w:val="6"/>
  </w:num>
  <w:num w:numId="5">
    <w:abstractNumId w:val="8"/>
  </w:num>
  <w:num w:numId="6">
    <w:abstractNumId w:val="7"/>
  </w:num>
  <w:num w:numId="7">
    <w:abstractNumId w:val="3"/>
  </w:num>
  <w:num w:numId="8">
    <w:abstractNumId w:val="9"/>
  </w:num>
  <w:num w:numId="9">
    <w:abstractNumId w:val="4"/>
  </w:num>
  <w:num w:numId="10">
    <w:abstractNumId w:val="12"/>
  </w:num>
  <w:num w:numId="11">
    <w:abstractNumId w:val="0"/>
  </w:num>
  <w:num w:numId="12">
    <w:abstractNumId w:val="1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2N2I5YjJmN2VmMmYzMmFiYTQ4ODNmYzY0MmQ1ZjQifQ=="/>
  </w:docVars>
  <w:rsids>
    <w:rsidRoot w:val="006A2FB3"/>
    <w:rsid w:val="00001859"/>
    <w:rsid w:val="0000473F"/>
    <w:rsid w:val="00013DF3"/>
    <w:rsid w:val="00015737"/>
    <w:rsid w:val="00015CB6"/>
    <w:rsid w:val="00030B89"/>
    <w:rsid w:val="000319AA"/>
    <w:rsid w:val="00042745"/>
    <w:rsid w:val="00053482"/>
    <w:rsid w:val="0005508D"/>
    <w:rsid w:val="000724B4"/>
    <w:rsid w:val="00072848"/>
    <w:rsid w:val="0007469C"/>
    <w:rsid w:val="0008014D"/>
    <w:rsid w:val="00084800"/>
    <w:rsid w:val="00087992"/>
    <w:rsid w:val="00090CC0"/>
    <w:rsid w:val="000A44BA"/>
    <w:rsid w:val="000B1DFE"/>
    <w:rsid w:val="000B6967"/>
    <w:rsid w:val="000D1841"/>
    <w:rsid w:val="000D2B36"/>
    <w:rsid w:val="000D6097"/>
    <w:rsid w:val="000E6245"/>
    <w:rsid w:val="000F79DF"/>
    <w:rsid w:val="00110E69"/>
    <w:rsid w:val="001137C1"/>
    <w:rsid w:val="001212BB"/>
    <w:rsid w:val="00127970"/>
    <w:rsid w:val="00134FD6"/>
    <w:rsid w:val="001406B5"/>
    <w:rsid w:val="00140D2E"/>
    <w:rsid w:val="00144A7C"/>
    <w:rsid w:val="00146220"/>
    <w:rsid w:val="00151C5A"/>
    <w:rsid w:val="001548BE"/>
    <w:rsid w:val="001607BF"/>
    <w:rsid w:val="00163B0F"/>
    <w:rsid w:val="00173CAD"/>
    <w:rsid w:val="00180C3F"/>
    <w:rsid w:val="00197257"/>
    <w:rsid w:val="001A15E2"/>
    <w:rsid w:val="001A26BE"/>
    <w:rsid w:val="001A4926"/>
    <w:rsid w:val="001B0E99"/>
    <w:rsid w:val="001B6005"/>
    <w:rsid w:val="001C0032"/>
    <w:rsid w:val="001C5F56"/>
    <w:rsid w:val="001D7C88"/>
    <w:rsid w:val="00210680"/>
    <w:rsid w:val="00210E12"/>
    <w:rsid w:val="002127C5"/>
    <w:rsid w:val="00215B20"/>
    <w:rsid w:val="002226E4"/>
    <w:rsid w:val="002308C1"/>
    <w:rsid w:val="00231B58"/>
    <w:rsid w:val="00234291"/>
    <w:rsid w:val="002379FA"/>
    <w:rsid w:val="00245026"/>
    <w:rsid w:val="00253682"/>
    <w:rsid w:val="00256605"/>
    <w:rsid w:val="00260C0C"/>
    <w:rsid w:val="00261F56"/>
    <w:rsid w:val="00283544"/>
    <w:rsid w:val="00290C75"/>
    <w:rsid w:val="002C410D"/>
    <w:rsid w:val="002D35D4"/>
    <w:rsid w:val="002D4989"/>
    <w:rsid w:val="002D53D0"/>
    <w:rsid w:val="002E3384"/>
    <w:rsid w:val="003112C0"/>
    <w:rsid w:val="00317B30"/>
    <w:rsid w:val="0032355C"/>
    <w:rsid w:val="00334A65"/>
    <w:rsid w:val="003358B9"/>
    <w:rsid w:val="00346DC7"/>
    <w:rsid w:val="00350345"/>
    <w:rsid w:val="00371D8D"/>
    <w:rsid w:val="00387118"/>
    <w:rsid w:val="00390A9F"/>
    <w:rsid w:val="0039134E"/>
    <w:rsid w:val="003954F1"/>
    <w:rsid w:val="003A1500"/>
    <w:rsid w:val="003A613E"/>
    <w:rsid w:val="003B4E4D"/>
    <w:rsid w:val="003B5A43"/>
    <w:rsid w:val="003B6BB0"/>
    <w:rsid w:val="003C3384"/>
    <w:rsid w:val="003C59AA"/>
    <w:rsid w:val="003D6602"/>
    <w:rsid w:val="003E0E4F"/>
    <w:rsid w:val="003E4992"/>
    <w:rsid w:val="00400B37"/>
    <w:rsid w:val="0041309A"/>
    <w:rsid w:val="004213BA"/>
    <w:rsid w:val="00424418"/>
    <w:rsid w:val="00433C62"/>
    <w:rsid w:val="0045537D"/>
    <w:rsid w:val="00456F8C"/>
    <w:rsid w:val="00462AC1"/>
    <w:rsid w:val="004662D5"/>
    <w:rsid w:val="004662F3"/>
    <w:rsid w:val="00471B21"/>
    <w:rsid w:val="00477B82"/>
    <w:rsid w:val="00481131"/>
    <w:rsid w:val="004879BC"/>
    <w:rsid w:val="00492701"/>
    <w:rsid w:val="00495BDD"/>
    <w:rsid w:val="004960C9"/>
    <w:rsid w:val="004A0C44"/>
    <w:rsid w:val="004A27F6"/>
    <w:rsid w:val="004A3903"/>
    <w:rsid w:val="004B0338"/>
    <w:rsid w:val="004B3589"/>
    <w:rsid w:val="004C5D90"/>
    <w:rsid w:val="004C5FE3"/>
    <w:rsid w:val="004C72C7"/>
    <w:rsid w:val="004D0456"/>
    <w:rsid w:val="004D1ED5"/>
    <w:rsid w:val="004E3AE7"/>
    <w:rsid w:val="004E5DA3"/>
    <w:rsid w:val="004F0120"/>
    <w:rsid w:val="004F11E0"/>
    <w:rsid w:val="00504299"/>
    <w:rsid w:val="0051387E"/>
    <w:rsid w:val="0051718A"/>
    <w:rsid w:val="00533381"/>
    <w:rsid w:val="00542DDA"/>
    <w:rsid w:val="00544A8D"/>
    <w:rsid w:val="005563AD"/>
    <w:rsid w:val="00560DBB"/>
    <w:rsid w:val="00564F7F"/>
    <w:rsid w:val="005674C9"/>
    <w:rsid w:val="005742CC"/>
    <w:rsid w:val="005837E7"/>
    <w:rsid w:val="00587E0A"/>
    <w:rsid w:val="005A4BF1"/>
    <w:rsid w:val="005A6DE4"/>
    <w:rsid w:val="005D3933"/>
    <w:rsid w:val="005E0252"/>
    <w:rsid w:val="005E1793"/>
    <w:rsid w:val="006016BA"/>
    <w:rsid w:val="00602630"/>
    <w:rsid w:val="006031E1"/>
    <w:rsid w:val="00614B17"/>
    <w:rsid w:val="00620B67"/>
    <w:rsid w:val="00630306"/>
    <w:rsid w:val="00633E1D"/>
    <w:rsid w:val="00635DC5"/>
    <w:rsid w:val="00641069"/>
    <w:rsid w:val="00646789"/>
    <w:rsid w:val="0065406E"/>
    <w:rsid w:val="006546A2"/>
    <w:rsid w:val="0066355D"/>
    <w:rsid w:val="00680086"/>
    <w:rsid w:val="00684A1A"/>
    <w:rsid w:val="0068530D"/>
    <w:rsid w:val="006857BB"/>
    <w:rsid w:val="006874F2"/>
    <w:rsid w:val="006A028E"/>
    <w:rsid w:val="006A2FB3"/>
    <w:rsid w:val="006A52F7"/>
    <w:rsid w:val="006A757D"/>
    <w:rsid w:val="006B0B23"/>
    <w:rsid w:val="006B6BF5"/>
    <w:rsid w:val="006C052E"/>
    <w:rsid w:val="006D22D7"/>
    <w:rsid w:val="006E2D25"/>
    <w:rsid w:val="006E4633"/>
    <w:rsid w:val="006E586D"/>
    <w:rsid w:val="006E73E5"/>
    <w:rsid w:val="006F01CC"/>
    <w:rsid w:val="006F176E"/>
    <w:rsid w:val="006F5C72"/>
    <w:rsid w:val="00700C7B"/>
    <w:rsid w:val="007042CA"/>
    <w:rsid w:val="00704E75"/>
    <w:rsid w:val="00730786"/>
    <w:rsid w:val="00735A5E"/>
    <w:rsid w:val="00756ED3"/>
    <w:rsid w:val="007648D9"/>
    <w:rsid w:val="007701CE"/>
    <w:rsid w:val="00773379"/>
    <w:rsid w:val="007850BD"/>
    <w:rsid w:val="00791C0A"/>
    <w:rsid w:val="0079324C"/>
    <w:rsid w:val="007A1F57"/>
    <w:rsid w:val="007B2ACE"/>
    <w:rsid w:val="007C27BC"/>
    <w:rsid w:val="007D189A"/>
    <w:rsid w:val="007D3170"/>
    <w:rsid w:val="007F39B3"/>
    <w:rsid w:val="00822702"/>
    <w:rsid w:val="0082465D"/>
    <w:rsid w:val="0082695A"/>
    <w:rsid w:val="00830E40"/>
    <w:rsid w:val="0083130F"/>
    <w:rsid w:val="00835733"/>
    <w:rsid w:val="00853DCF"/>
    <w:rsid w:val="00856D4D"/>
    <w:rsid w:val="0086016E"/>
    <w:rsid w:val="00860AEF"/>
    <w:rsid w:val="0087367C"/>
    <w:rsid w:val="00876A98"/>
    <w:rsid w:val="00884F4F"/>
    <w:rsid w:val="00885216"/>
    <w:rsid w:val="00886FFD"/>
    <w:rsid w:val="00891065"/>
    <w:rsid w:val="00892E1F"/>
    <w:rsid w:val="0089377D"/>
    <w:rsid w:val="008939F6"/>
    <w:rsid w:val="008B5B8C"/>
    <w:rsid w:val="008B61C8"/>
    <w:rsid w:val="008C0BF8"/>
    <w:rsid w:val="008C0FF3"/>
    <w:rsid w:val="008C3708"/>
    <w:rsid w:val="008C50FD"/>
    <w:rsid w:val="008C5166"/>
    <w:rsid w:val="008C5AD5"/>
    <w:rsid w:val="008C692D"/>
    <w:rsid w:val="008D3F55"/>
    <w:rsid w:val="008F2252"/>
    <w:rsid w:val="008F32C4"/>
    <w:rsid w:val="00913706"/>
    <w:rsid w:val="00914143"/>
    <w:rsid w:val="009150A0"/>
    <w:rsid w:val="009247C3"/>
    <w:rsid w:val="00933853"/>
    <w:rsid w:val="00936090"/>
    <w:rsid w:val="00941CD6"/>
    <w:rsid w:val="00964017"/>
    <w:rsid w:val="009709E2"/>
    <w:rsid w:val="00973EF8"/>
    <w:rsid w:val="00974865"/>
    <w:rsid w:val="00974944"/>
    <w:rsid w:val="00985463"/>
    <w:rsid w:val="0099402C"/>
    <w:rsid w:val="00994060"/>
    <w:rsid w:val="009A2CB0"/>
    <w:rsid w:val="009A3D36"/>
    <w:rsid w:val="009A5348"/>
    <w:rsid w:val="009C1904"/>
    <w:rsid w:val="009D11C8"/>
    <w:rsid w:val="009E2EE5"/>
    <w:rsid w:val="009F1028"/>
    <w:rsid w:val="009F358D"/>
    <w:rsid w:val="009F39CB"/>
    <w:rsid w:val="009F3E26"/>
    <w:rsid w:val="009F739B"/>
    <w:rsid w:val="00A01EE8"/>
    <w:rsid w:val="00A1108E"/>
    <w:rsid w:val="00A11BF6"/>
    <w:rsid w:val="00A2315F"/>
    <w:rsid w:val="00A353D4"/>
    <w:rsid w:val="00A46356"/>
    <w:rsid w:val="00A501FB"/>
    <w:rsid w:val="00A50319"/>
    <w:rsid w:val="00A56116"/>
    <w:rsid w:val="00A5642C"/>
    <w:rsid w:val="00A62339"/>
    <w:rsid w:val="00A732DF"/>
    <w:rsid w:val="00A8759C"/>
    <w:rsid w:val="00A91F34"/>
    <w:rsid w:val="00A957A5"/>
    <w:rsid w:val="00A95CB6"/>
    <w:rsid w:val="00A96BF1"/>
    <w:rsid w:val="00AA1B48"/>
    <w:rsid w:val="00AA1F6E"/>
    <w:rsid w:val="00AC2B58"/>
    <w:rsid w:val="00AC46CE"/>
    <w:rsid w:val="00AC5AD4"/>
    <w:rsid w:val="00AC5E3D"/>
    <w:rsid w:val="00B041E4"/>
    <w:rsid w:val="00B14B52"/>
    <w:rsid w:val="00B16E35"/>
    <w:rsid w:val="00B34E65"/>
    <w:rsid w:val="00B37583"/>
    <w:rsid w:val="00B514D5"/>
    <w:rsid w:val="00B57D49"/>
    <w:rsid w:val="00B65D70"/>
    <w:rsid w:val="00B92FCC"/>
    <w:rsid w:val="00BA0FB8"/>
    <w:rsid w:val="00BA1728"/>
    <w:rsid w:val="00BA1AE5"/>
    <w:rsid w:val="00BB00EF"/>
    <w:rsid w:val="00BB0E45"/>
    <w:rsid w:val="00BB71DB"/>
    <w:rsid w:val="00BD122A"/>
    <w:rsid w:val="00BD66E2"/>
    <w:rsid w:val="00C00E9B"/>
    <w:rsid w:val="00C01459"/>
    <w:rsid w:val="00C02B6C"/>
    <w:rsid w:val="00C03362"/>
    <w:rsid w:val="00C206B5"/>
    <w:rsid w:val="00C2090C"/>
    <w:rsid w:val="00C25C90"/>
    <w:rsid w:val="00C26912"/>
    <w:rsid w:val="00C36D41"/>
    <w:rsid w:val="00C5424A"/>
    <w:rsid w:val="00C55134"/>
    <w:rsid w:val="00C55804"/>
    <w:rsid w:val="00C5770F"/>
    <w:rsid w:val="00C70AC3"/>
    <w:rsid w:val="00C74A25"/>
    <w:rsid w:val="00C77C58"/>
    <w:rsid w:val="00C878D5"/>
    <w:rsid w:val="00C92F8A"/>
    <w:rsid w:val="00CA4E6F"/>
    <w:rsid w:val="00CA6A26"/>
    <w:rsid w:val="00CB74E2"/>
    <w:rsid w:val="00CC13A8"/>
    <w:rsid w:val="00CC2FDA"/>
    <w:rsid w:val="00CC455A"/>
    <w:rsid w:val="00CC46E2"/>
    <w:rsid w:val="00CD4F85"/>
    <w:rsid w:val="00CD557E"/>
    <w:rsid w:val="00CE2EC3"/>
    <w:rsid w:val="00CF4F62"/>
    <w:rsid w:val="00D00CEE"/>
    <w:rsid w:val="00D318F9"/>
    <w:rsid w:val="00D345B1"/>
    <w:rsid w:val="00D555AA"/>
    <w:rsid w:val="00D62D96"/>
    <w:rsid w:val="00D65ABC"/>
    <w:rsid w:val="00D72F52"/>
    <w:rsid w:val="00D7703C"/>
    <w:rsid w:val="00D8243E"/>
    <w:rsid w:val="00D87C4F"/>
    <w:rsid w:val="00D91D7E"/>
    <w:rsid w:val="00DB14FC"/>
    <w:rsid w:val="00DB38A8"/>
    <w:rsid w:val="00DB456B"/>
    <w:rsid w:val="00DB6FE4"/>
    <w:rsid w:val="00DC5F73"/>
    <w:rsid w:val="00E02126"/>
    <w:rsid w:val="00E14C97"/>
    <w:rsid w:val="00E30DB1"/>
    <w:rsid w:val="00E32A99"/>
    <w:rsid w:val="00E3407B"/>
    <w:rsid w:val="00E46818"/>
    <w:rsid w:val="00E501DA"/>
    <w:rsid w:val="00E57CF9"/>
    <w:rsid w:val="00E630E7"/>
    <w:rsid w:val="00E71A5C"/>
    <w:rsid w:val="00E80167"/>
    <w:rsid w:val="00E807FD"/>
    <w:rsid w:val="00E80ABB"/>
    <w:rsid w:val="00E911F2"/>
    <w:rsid w:val="00E9364D"/>
    <w:rsid w:val="00E95D70"/>
    <w:rsid w:val="00EA3FDB"/>
    <w:rsid w:val="00EA57B7"/>
    <w:rsid w:val="00EA6DCC"/>
    <w:rsid w:val="00EA76BB"/>
    <w:rsid w:val="00EB5FED"/>
    <w:rsid w:val="00EC3D50"/>
    <w:rsid w:val="00EC538C"/>
    <w:rsid w:val="00ED0135"/>
    <w:rsid w:val="00ED6313"/>
    <w:rsid w:val="00EE37C4"/>
    <w:rsid w:val="00EF7E1F"/>
    <w:rsid w:val="00F04633"/>
    <w:rsid w:val="00F05077"/>
    <w:rsid w:val="00F371F2"/>
    <w:rsid w:val="00F55026"/>
    <w:rsid w:val="00F55E51"/>
    <w:rsid w:val="00F75703"/>
    <w:rsid w:val="00F83614"/>
    <w:rsid w:val="00F8365C"/>
    <w:rsid w:val="00F90173"/>
    <w:rsid w:val="00FB040B"/>
    <w:rsid w:val="00FB6DB8"/>
    <w:rsid w:val="00FC104D"/>
    <w:rsid w:val="00FC52EB"/>
    <w:rsid w:val="00FD1DE7"/>
    <w:rsid w:val="00FD3765"/>
    <w:rsid w:val="0F821329"/>
    <w:rsid w:val="1C006A5E"/>
    <w:rsid w:val="1F947BE9"/>
    <w:rsid w:val="206B2DFE"/>
    <w:rsid w:val="26113EA9"/>
    <w:rsid w:val="28E052F8"/>
    <w:rsid w:val="388E291C"/>
    <w:rsid w:val="407A652F"/>
    <w:rsid w:val="54C3004D"/>
    <w:rsid w:val="70220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3"/>
    <w:link w:val="24"/>
    <w:autoRedefine/>
    <w:qFormat/>
    <w:uiPriority w:val="0"/>
    <w:pPr>
      <w:keepNext/>
      <w:keepLines/>
      <w:numPr>
        <w:ilvl w:val="0"/>
        <w:numId w:val="1"/>
      </w:numPr>
      <w:spacing w:before="240" w:after="120" w:line="360" w:lineRule="auto"/>
      <w:ind w:left="646" w:hanging="646"/>
      <w:outlineLvl w:val="0"/>
    </w:pPr>
    <w:rPr>
      <w:rFonts w:ascii="黑体" w:hAnsi="Times New Roman" w:eastAsia="黑体"/>
      <w:bCs/>
      <w:kern w:val="44"/>
      <w:sz w:val="32"/>
      <w:szCs w:val="32"/>
    </w:rPr>
  </w:style>
  <w:style w:type="paragraph" w:styleId="4">
    <w:name w:val="heading 2"/>
    <w:basedOn w:val="1"/>
    <w:next w:val="3"/>
    <w:link w:val="25"/>
    <w:autoRedefine/>
    <w:qFormat/>
    <w:uiPriority w:val="0"/>
    <w:pPr>
      <w:keepNext/>
      <w:keepLines/>
      <w:widowControl/>
      <w:numPr>
        <w:ilvl w:val="1"/>
        <w:numId w:val="1"/>
      </w:numPr>
      <w:spacing w:before="160" w:after="160" w:line="160" w:lineRule="atLeast"/>
      <w:jc w:val="left"/>
      <w:outlineLvl w:val="1"/>
    </w:pPr>
    <w:rPr>
      <w:rFonts w:ascii="黑体" w:hAnsi="Arial" w:eastAsia="黑体"/>
      <w:bCs/>
      <w:sz w:val="24"/>
      <w:szCs w:val="30"/>
    </w:rPr>
  </w:style>
  <w:style w:type="paragraph" w:styleId="5">
    <w:name w:val="heading 3"/>
    <w:basedOn w:val="1"/>
    <w:next w:val="1"/>
    <w:link w:val="26"/>
    <w:qFormat/>
    <w:uiPriority w:val="0"/>
    <w:pPr>
      <w:keepNext/>
      <w:keepLines/>
      <w:numPr>
        <w:ilvl w:val="2"/>
        <w:numId w:val="1"/>
      </w:numPr>
      <w:tabs>
        <w:tab w:val="left" w:pos="-1"/>
        <w:tab w:val="clear" w:pos="0"/>
      </w:tabs>
      <w:spacing w:before="240" w:after="240" w:line="360" w:lineRule="auto"/>
      <w:outlineLvl w:val="2"/>
    </w:pPr>
    <w:rPr>
      <w:rFonts w:ascii="Times New Roman" w:hAnsi="Times New Roman"/>
      <w:b/>
      <w:bCs/>
      <w:sz w:val="32"/>
      <w:szCs w:val="32"/>
    </w:rPr>
  </w:style>
  <w:style w:type="paragraph" w:styleId="6">
    <w:name w:val="heading 4"/>
    <w:basedOn w:val="1"/>
    <w:next w:val="1"/>
    <w:link w:val="27"/>
    <w:qFormat/>
    <w:uiPriority w:val="0"/>
    <w:pPr>
      <w:keepNext/>
      <w:keepLines/>
      <w:numPr>
        <w:ilvl w:val="3"/>
        <w:numId w:val="1"/>
      </w:numPr>
      <w:tabs>
        <w:tab w:val="left" w:pos="-1"/>
        <w:tab w:val="clear" w:pos="0"/>
      </w:tabs>
      <w:spacing w:before="240" w:after="240" w:line="377" w:lineRule="auto"/>
      <w:outlineLvl w:val="3"/>
    </w:pPr>
    <w:rPr>
      <w:rFonts w:ascii="Arial" w:hAnsi="Arial" w:eastAsia="黑体"/>
      <w:b/>
      <w:bCs/>
      <w:sz w:val="28"/>
      <w:szCs w:val="28"/>
    </w:rPr>
  </w:style>
  <w:style w:type="paragraph" w:styleId="7">
    <w:name w:val="heading 5"/>
    <w:basedOn w:val="1"/>
    <w:next w:val="1"/>
    <w:link w:val="28"/>
    <w:qFormat/>
    <w:uiPriority w:val="0"/>
    <w:pPr>
      <w:keepNext/>
      <w:keepLines/>
      <w:numPr>
        <w:ilvl w:val="4"/>
        <w:numId w:val="1"/>
      </w:numPr>
      <w:tabs>
        <w:tab w:val="left" w:pos="-1"/>
        <w:tab w:val="clear" w:pos="0"/>
      </w:tabs>
      <w:spacing w:before="280" w:after="290" w:line="376" w:lineRule="auto"/>
      <w:outlineLvl w:val="4"/>
    </w:pPr>
    <w:rPr>
      <w:rFonts w:ascii="Times New Roman" w:hAnsi="Times New Roman"/>
      <w:b/>
      <w:bCs/>
      <w:sz w:val="28"/>
      <w:szCs w:val="28"/>
    </w:rPr>
  </w:style>
  <w:style w:type="paragraph" w:styleId="8">
    <w:name w:val="heading 6"/>
    <w:basedOn w:val="1"/>
    <w:next w:val="1"/>
    <w:link w:val="29"/>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3">
    <w:name w:val="文档正文"/>
    <w:basedOn w:val="1"/>
    <w:link w:val="30"/>
    <w:qFormat/>
    <w:uiPriority w:val="0"/>
    <w:pPr>
      <w:ind w:firstLine="560" w:firstLineChars="200"/>
    </w:pPr>
    <w:rPr>
      <w:rFonts w:ascii="Times New Roman" w:hAnsi="Times New Roman"/>
      <w:sz w:val="28"/>
      <w:szCs w:val="28"/>
    </w:rPr>
  </w:style>
  <w:style w:type="paragraph" w:styleId="9">
    <w:name w:val="List Number"/>
    <w:basedOn w:val="1"/>
    <w:autoRedefine/>
    <w:unhideWhenUsed/>
    <w:qFormat/>
    <w:uiPriority w:val="99"/>
    <w:pPr>
      <w:numPr>
        <w:ilvl w:val="8"/>
        <w:numId w:val="2"/>
      </w:numPr>
      <w:contextualSpacing/>
      <w:jc w:val="center"/>
      <w:outlineLvl w:val="8"/>
    </w:pPr>
    <w:rPr>
      <w:rFonts w:ascii="宋体" w:hAnsi="宋体"/>
      <w:sz w:val="24"/>
      <w:szCs w:val="21"/>
    </w:rPr>
  </w:style>
  <w:style w:type="paragraph" w:styleId="10">
    <w:name w:val="caption"/>
    <w:basedOn w:val="1"/>
    <w:next w:val="1"/>
    <w:unhideWhenUsed/>
    <w:qFormat/>
    <w:uiPriority w:val="35"/>
    <w:rPr>
      <w:rFonts w:eastAsia="黑体" w:asciiTheme="majorHAnsi" w:hAnsiTheme="majorHAnsi" w:cstheme="majorBidi"/>
      <w:sz w:val="20"/>
      <w:szCs w:val="20"/>
    </w:rPr>
  </w:style>
  <w:style w:type="paragraph" w:styleId="11">
    <w:name w:val="Body Text"/>
    <w:basedOn w:val="1"/>
    <w:link w:val="36"/>
    <w:qFormat/>
    <w:uiPriority w:val="1"/>
    <w:pPr>
      <w:widowControl/>
      <w:spacing w:line="360" w:lineRule="auto"/>
      <w:ind w:firstLine="200" w:firstLineChars="200"/>
    </w:pPr>
    <w:rPr>
      <w:rFonts w:ascii="宋体" w:hAnsi="宋体" w:cs="宋体"/>
      <w:kern w:val="0"/>
      <w:sz w:val="24"/>
      <w:szCs w:val="24"/>
    </w:rPr>
  </w:style>
  <w:style w:type="paragraph" w:styleId="12">
    <w:name w:val="toc 3"/>
    <w:basedOn w:val="1"/>
    <w:next w:val="1"/>
    <w:autoRedefine/>
    <w:unhideWhenUsed/>
    <w:qFormat/>
    <w:uiPriority w:val="39"/>
    <w:pPr>
      <w:ind w:left="840" w:leftChars="400"/>
    </w:pPr>
  </w:style>
  <w:style w:type="paragraph" w:styleId="13">
    <w:name w:val="Balloon Text"/>
    <w:basedOn w:val="1"/>
    <w:link w:val="31"/>
    <w:semiHidden/>
    <w:unhideWhenUsed/>
    <w:qFormat/>
    <w:uiPriority w:val="99"/>
    <w:rPr>
      <w:sz w:val="18"/>
      <w:szCs w:val="18"/>
    </w:rPr>
  </w:style>
  <w:style w:type="paragraph" w:styleId="14">
    <w:name w:val="footer"/>
    <w:basedOn w:val="1"/>
    <w:link w:val="38"/>
    <w:unhideWhenUsed/>
    <w:qFormat/>
    <w:uiPriority w:val="99"/>
    <w:pPr>
      <w:tabs>
        <w:tab w:val="center" w:pos="4153"/>
        <w:tab w:val="right" w:pos="8306"/>
      </w:tabs>
      <w:snapToGrid w:val="0"/>
      <w:jc w:val="left"/>
    </w:pPr>
    <w:rPr>
      <w:sz w:val="18"/>
      <w:szCs w:val="18"/>
    </w:rPr>
  </w:style>
  <w:style w:type="paragraph" w:styleId="15">
    <w:name w:val="header"/>
    <w:basedOn w:val="1"/>
    <w:link w:val="37"/>
    <w:unhideWhenUsed/>
    <w:qFormat/>
    <w:uiPriority w:val="99"/>
    <w:pP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List"/>
    <w:basedOn w:val="1"/>
    <w:next w:val="1"/>
    <w:autoRedefine/>
    <w:unhideWhenUsed/>
    <w:qFormat/>
    <w:uiPriority w:val="99"/>
    <w:pPr>
      <w:spacing w:line="240" w:lineRule="atLeast"/>
      <w:contextualSpacing/>
      <w:jc w:val="center"/>
    </w:pPr>
    <w:rPr>
      <w:rFonts w:ascii="宋体" w:hAnsi="宋体"/>
      <w:szCs w:val="21"/>
    </w:rPr>
  </w:style>
  <w:style w:type="paragraph" w:styleId="18">
    <w:name w:val="toc 2"/>
    <w:basedOn w:val="1"/>
    <w:next w:val="1"/>
    <w:autoRedefine/>
    <w:semiHidden/>
    <w:unhideWhenUsed/>
    <w:qFormat/>
    <w:uiPriority w:val="39"/>
    <w:pPr>
      <w:ind w:left="420" w:leftChars="200"/>
    </w:p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000FF" w:themeColor="hyperlink"/>
      <w:u w:val="single"/>
      <w14:textFill>
        <w14:solidFill>
          <w14:schemeClr w14:val="hlink"/>
        </w14:solidFill>
      </w14:textFill>
    </w:rPr>
  </w:style>
  <w:style w:type="character" w:customStyle="1" w:styleId="24">
    <w:name w:val="标题 1 字符"/>
    <w:basedOn w:val="22"/>
    <w:link w:val="2"/>
    <w:qFormat/>
    <w:uiPriority w:val="0"/>
    <w:rPr>
      <w:rFonts w:ascii="黑体" w:hAnsi="Times New Roman" w:eastAsia="黑体" w:cs="Times New Roman"/>
      <w:bCs/>
      <w:kern w:val="44"/>
      <w:sz w:val="32"/>
      <w:szCs w:val="32"/>
    </w:rPr>
  </w:style>
  <w:style w:type="character" w:customStyle="1" w:styleId="25">
    <w:name w:val="标题 2 字符"/>
    <w:basedOn w:val="22"/>
    <w:link w:val="4"/>
    <w:qFormat/>
    <w:uiPriority w:val="0"/>
    <w:rPr>
      <w:rFonts w:ascii="黑体" w:hAnsi="Arial" w:eastAsia="黑体" w:cs="Times New Roman"/>
      <w:bCs/>
      <w:kern w:val="2"/>
      <w:sz w:val="24"/>
      <w:szCs w:val="30"/>
    </w:rPr>
  </w:style>
  <w:style w:type="character" w:customStyle="1" w:styleId="26">
    <w:name w:val="标题 3 字符"/>
    <w:basedOn w:val="22"/>
    <w:link w:val="5"/>
    <w:qFormat/>
    <w:uiPriority w:val="0"/>
    <w:rPr>
      <w:rFonts w:ascii="Times New Roman" w:hAnsi="Times New Roman" w:eastAsia="宋体" w:cs="Times New Roman"/>
      <w:b/>
      <w:bCs/>
      <w:kern w:val="2"/>
      <w:sz w:val="32"/>
      <w:szCs w:val="32"/>
    </w:rPr>
  </w:style>
  <w:style w:type="character" w:customStyle="1" w:styleId="27">
    <w:name w:val="标题 4 字符"/>
    <w:basedOn w:val="22"/>
    <w:link w:val="6"/>
    <w:qFormat/>
    <w:uiPriority w:val="0"/>
    <w:rPr>
      <w:rFonts w:ascii="Arial" w:hAnsi="Arial" w:eastAsia="黑体" w:cs="Times New Roman"/>
      <w:b/>
      <w:bCs/>
      <w:kern w:val="2"/>
      <w:sz w:val="28"/>
      <w:szCs w:val="28"/>
    </w:rPr>
  </w:style>
  <w:style w:type="character" w:customStyle="1" w:styleId="28">
    <w:name w:val="标题 5 字符"/>
    <w:basedOn w:val="22"/>
    <w:link w:val="7"/>
    <w:qFormat/>
    <w:uiPriority w:val="0"/>
    <w:rPr>
      <w:rFonts w:ascii="Times New Roman" w:hAnsi="Times New Roman" w:eastAsia="宋体" w:cs="Times New Roman"/>
      <w:b/>
      <w:bCs/>
      <w:kern w:val="2"/>
      <w:sz w:val="28"/>
      <w:szCs w:val="28"/>
    </w:rPr>
  </w:style>
  <w:style w:type="character" w:customStyle="1" w:styleId="29">
    <w:name w:val="标题 6 字符"/>
    <w:basedOn w:val="22"/>
    <w:link w:val="8"/>
    <w:qFormat/>
    <w:uiPriority w:val="0"/>
    <w:rPr>
      <w:rFonts w:ascii="Arial" w:hAnsi="Arial" w:eastAsia="黑体" w:cs="Times New Roman"/>
      <w:b/>
      <w:bCs/>
      <w:kern w:val="2"/>
      <w:sz w:val="24"/>
      <w:szCs w:val="24"/>
    </w:rPr>
  </w:style>
  <w:style w:type="character" w:customStyle="1" w:styleId="30">
    <w:name w:val="文档正文 Char Char"/>
    <w:link w:val="3"/>
    <w:qFormat/>
    <w:uiPriority w:val="0"/>
    <w:rPr>
      <w:rFonts w:ascii="Times New Roman" w:hAnsi="Times New Roman" w:eastAsia="宋体" w:cs="Times New Roman"/>
      <w:sz w:val="28"/>
      <w:szCs w:val="28"/>
    </w:rPr>
  </w:style>
  <w:style w:type="character" w:customStyle="1" w:styleId="31">
    <w:name w:val="批注框文本 字符"/>
    <w:basedOn w:val="22"/>
    <w:link w:val="13"/>
    <w:semiHidden/>
    <w:qFormat/>
    <w:uiPriority w:val="99"/>
    <w:rPr>
      <w:rFonts w:ascii="Calibri" w:hAnsi="Calibri" w:eastAsia="宋体" w:cs="Times New Roman"/>
      <w:sz w:val="18"/>
      <w:szCs w:val="18"/>
    </w:rPr>
  </w:style>
  <w:style w:type="paragraph" w:styleId="32">
    <w:name w:val="List Paragraph"/>
    <w:basedOn w:val="1"/>
    <w:qFormat/>
    <w:uiPriority w:val="99"/>
    <w:pPr>
      <w:ind w:firstLine="420" w:firstLineChars="200"/>
    </w:pPr>
  </w:style>
  <w:style w:type="paragraph" w:customStyle="1" w:styleId="33">
    <w:name w:val="正文 图标题"/>
    <w:next w:val="1"/>
    <w:autoRedefine/>
    <w:qFormat/>
    <w:uiPriority w:val="0"/>
    <w:pPr>
      <w:spacing w:before="156" w:beforeLines="50" w:after="156" w:afterLines="50"/>
      <w:jc w:val="center"/>
    </w:pPr>
    <w:rPr>
      <w:rFonts w:ascii="仿宋" w:hAnsi="仿宋" w:eastAsia="仿宋" w:cs="Times New Roman"/>
      <w:color w:val="000000" w:themeColor="text1"/>
      <w:kern w:val="2"/>
      <w:sz w:val="24"/>
      <w:szCs w:val="24"/>
      <w:lang w:val="en-US" w:eastAsia="zh-CN" w:bidi="ar-SA"/>
      <w14:textFill>
        <w14:solidFill>
          <w14:schemeClr w14:val="tx1"/>
        </w14:solidFill>
      </w14:textFill>
    </w:rPr>
  </w:style>
  <w:style w:type="character" w:customStyle="1" w:styleId="34">
    <w:name w:val="说明书正文 Char"/>
    <w:link w:val="35"/>
    <w:qFormat/>
    <w:uiPriority w:val="0"/>
    <w:rPr>
      <w:rFonts w:ascii="宋体" w:hAnsi="宋体" w:eastAsia="宋体" w:cs="Times New Roman"/>
      <w:szCs w:val="21"/>
    </w:rPr>
  </w:style>
  <w:style w:type="paragraph" w:customStyle="1" w:styleId="35">
    <w:name w:val="说明书正文"/>
    <w:basedOn w:val="1"/>
    <w:link w:val="34"/>
    <w:qFormat/>
    <w:uiPriority w:val="0"/>
    <w:pPr>
      <w:spacing w:line="360" w:lineRule="auto"/>
      <w:ind w:firstLine="202" w:firstLineChars="202"/>
    </w:pPr>
    <w:rPr>
      <w:rFonts w:ascii="宋体" w:hAnsi="宋体"/>
      <w:szCs w:val="21"/>
    </w:rPr>
  </w:style>
  <w:style w:type="character" w:customStyle="1" w:styleId="36">
    <w:name w:val="正文文本 字符"/>
    <w:basedOn w:val="22"/>
    <w:link w:val="11"/>
    <w:qFormat/>
    <w:uiPriority w:val="1"/>
    <w:rPr>
      <w:rFonts w:ascii="宋体" w:hAnsi="宋体" w:eastAsia="宋体" w:cs="宋体"/>
      <w:kern w:val="0"/>
      <w:sz w:val="24"/>
      <w:szCs w:val="24"/>
    </w:rPr>
  </w:style>
  <w:style w:type="character" w:customStyle="1" w:styleId="37">
    <w:name w:val="页眉 字符"/>
    <w:basedOn w:val="22"/>
    <w:link w:val="15"/>
    <w:qFormat/>
    <w:uiPriority w:val="99"/>
    <w:rPr>
      <w:rFonts w:ascii="Calibri" w:hAnsi="Calibri" w:eastAsia="宋体" w:cs="Times New Roman"/>
      <w:sz w:val="18"/>
      <w:szCs w:val="18"/>
    </w:rPr>
  </w:style>
  <w:style w:type="character" w:customStyle="1" w:styleId="38">
    <w:name w:val="页脚 字符"/>
    <w:basedOn w:val="22"/>
    <w:link w:val="14"/>
    <w:qFormat/>
    <w:uiPriority w:val="99"/>
    <w:rPr>
      <w:rFonts w:ascii="Calibri" w:hAnsi="Calibri" w:eastAsia="宋体" w:cs="Times New Roman"/>
      <w:sz w:val="18"/>
      <w:szCs w:val="18"/>
    </w:rPr>
  </w:style>
  <w:style w:type="paragraph" w:customStyle="1" w:styleId="39">
    <w:name w:val="!正文"/>
    <w:basedOn w:val="1"/>
    <w:qFormat/>
    <w:uiPriority w:val="0"/>
    <w:pPr>
      <w:spacing w:line="360" w:lineRule="auto"/>
      <w:ind w:firstLine="480" w:firstLineChars="200"/>
    </w:pPr>
    <w:rPr>
      <w:sz w:val="28"/>
      <w:szCs w:val="21"/>
    </w:rPr>
  </w:style>
  <w:style w:type="character" w:customStyle="1" w:styleId="40">
    <w:name w:val="标题 3 字符2"/>
    <w:basedOn w:val="22"/>
    <w:qFormat/>
    <w:uiPriority w:val="0"/>
    <w:rPr>
      <w:rFonts w:ascii="Arial Unicode MS" w:hAnsi="Arial Unicode MS" w:eastAsia="黑体"/>
      <w:bCs/>
      <w:sz w:val="28"/>
      <w:szCs w:val="32"/>
    </w:rPr>
  </w:style>
  <w:style w:type="paragraph" w:customStyle="1" w:styleId="41">
    <w:name w:val="TOC Heading"/>
    <w:basedOn w:val="2"/>
    <w:next w:val="1"/>
    <w:unhideWhenUsed/>
    <w:qFormat/>
    <w:uiPriority w:val="39"/>
    <w:pPr>
      <w:widowControl/>
      <w:numPr>
        <w:numId w:val="0"/>
      </w:numPr>
      <w:tabs>
        <w:tab w:val="clear" w:pos="-1"/>
      </w:tabs>
      <w:spacing w:after="0" w:line="259" w:lineRule="auto"/>
      <w:jc w:val="left"/>
      <w:outlineLvl w:val="9"/>
    </w:pPr>
    <w:rPr>
      <w:rFonts w:asciiTheme="majorHAnsi" w:hAnsiTheme="majorHAnsi" w:eastAsiaTheme="majorEastAsia" w:cstheme="majorBidi"/>
      <w:bCs w:val="0"/>
      <w:color w:val="376092" w:themeColor="accent1" w:themeShade="BF"/>
      <w:kern w:val="0"/>
    </w:rPr>
  </w:style>
  <w:style w:type="paragraph" w:styleId="42">
    <w:name w:val="No Spacing"/>
    <w:link w:val="43"/>
    <w:qFormat/>
    <w:uiPriority w:val="1"/>
    <w:rPr>
      <w:rFonts w:asciiTheme="minorHAnsi" w:hAnsiTheme="minorHAnsi" w:eastAsiaTheme="minorEastAsia" w:cstheme="minorBidi"/>
      <w:sz w:val="22"/>
      <w:szCs w:val="22"/>
      <w:lang w:val="en-US" w:eastAsia="zh-CN" w:bidi="ar-SA"/>
    </w:rPr>
  </w:style>
  <w:style w:type="character" w:customStyle="1" w:styleId="43">
    <w:name w:val="无间隔 字符"/>
    <w:basedOn w:val="22"/>
    <w:link w:val="42"/>
    <w:qFormat/>
    <w:uiPriority w:val="1"/>
    <w:rPr>
      <w:sz w:val="22"/>
      <w:szCs w:val="22"/>
    </w:rPr>
  </w:style>
  <w:style w:type="paragraph" w:customStyle="1" w:styleId="44">
    <w:name w:val="默认段落字体 Para Char Char Char Char"/>
    <w:basedOn w:val="1"/>
    <w:qFormat/>
    <w:uiPriority w:val="0"/>
    <w:pPr>
      <w:spacing w:line="360" w:lineRule="auto"/>
      <w:ind w:firstLine="200" w:firstLineChars="200"/>
      <w:jc w:val="left"/>
    </w:pPr>
    <w:rPr>
      <w:rFonts w:ascii="宋体" w:hAnsi="宋体" w:eastAsia="仿宋_GB2312" w:cs="宋体"/>
      <w:sz w:val="24"/>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4" Type="http://schemas.openxmlformats.org/officeDocument/2006/relationships/glossaryDocument" Target="glossary/document.xml"/><Relationship Id="rId43" Type="http://schemas.openxmlformats.org/officeDocument/2006/relationships/fontTable" Target="fontTable.xml"/><Relationship Id="rId42" Type="http://schemas.openxmlformats.org/officeDocument/2006/relationships/customXml" Target="../customXml/item3.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footer" Target="footer2.xml"/><Relationship Id="rId39" Type="http://schemas.openxmlformats.org/officeDocument/2006/relationships/customXml" Target="../customXml/item1.xml"/><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oleObject" Target="embeddings/oleObject12.bin"/><Relationship Id="rId32" Type="http://schemas.openxmlformats.org/officeDocument/2006/relationships/oleObject" Target="embeddings/oleObject11.bin"/><Relationship Id="rId31" Type="http://schemas.openxmlformats.org/officeDocument/2006/relationships/image" Target="media/image15.wmf"/><Relationship Id="rId30" Type="http://schemas.openxmlformats.org/officeDocument/2006/relationships/oleObject" Target="embeddings/oleObject10.bin"/><Relationship Id="rId3" Type="http://schemas.openxmlformats.org/officeDocument/2006/relationships/footer" Target="footer1.xml"/><Relationship Id="rId29" Type="http://schemas.openxmlformats.org/officeDocument/2006/relationships/image" Target="media/image14.wmf"/><Relationship Id="rId28" Type="http://schemas.openxmlformats.org/officeDocument/2006/relationships/oleObject" Target="embeddings/oleObject9.bin"/><Relationship Id="rId27" Type="http://schemas.openxmlformats.org/officeDocument/2006/relationships/image" Target="media/image13.wmf"/><Relationship Id="rId26" Type="http://schemas.openxmlformats.org/officeDocument/2006/relationships/oleObject" Target="embeddings/oleObject8.bin"/><Relationship Id="rId25" Type="http://schemas.openxmlformats.org/officeDocument/2006/relationships/image" Target="media/image12.wmf"/><Relationship Id="rId24" Type="http://schemas.openxmlformats.org/officeDocument/2006/relationships/oleObject" Target="embeddings/oleObject7.bin"/><Relationship Id="rId23" Type="http://schemas.openxmlformats.org/officeDocument/2006/relationships/image" Target="media/image11.wmf"/><Relationship Id="rId22" Type="http://schemas.openxmlformats.org/officeDocument/2006/relationships/oleObject" Target="embeddings/oleObject6.bin"/><Relationship Id="rId21" Type="http://schemas.openxmlformats.org/officeDocument/2006/relationships/image" Target="media/image10.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4.bin"/><Relationship Id="rId17" Type="http://schemas.openxmlformats.org/officeDocument/2006/relationships/image" Target="media/image8.wmf"/><Relationship Id="rId16" Type="http://schemas.openxmlformats.org/officeDocument/2006/relationships/oleObject" Target="embeddings/oleObject3.bin"/><Relationship Id="rId15" Type="http://schemas.openxmlformats.org/officeDocument/2006/relationships/image" Target="media/image7.wmf"/><Relationship Id="rId14" Type="http://schemas.openxmlformats.org/officeDocument/2006/relationships/oleObject" Target="embeddings/oleObject2.bin"/><Relationship Id="rId13" Type="http://schemas.openxmlformats.org/officeDocument/2006/relationships/image" Target="media/image6.wmf"/><Relationship Id="rId12" Type="http://schemas.openxmlformats.org/officeDocument/2006/relationships/oleObject" Target="embeddings/oleObject1.bin"/><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86A51BC409F4A1195AC53D9B6174103"/>
        <w:style w:val=""/>
        <w:category>
          <w:name w:val="常规"/>
          <w:gallery w:val="placeholder"/>
        </w:category>
        <w:types>
          <w:type w:val="bbPlcHdr"/>
        </w:types>
        <w:behaviors>
          <w:behavior w:val="content"/>
        </w:behaviors>
        <w:description w:val=""/>
        <w:guid w:val="{12933203-9DB7-4C99-88DF-6228B8EE501A}"/>
      </w:docPartPr>
      <w:docPartBody>
        <w:p w14:paraId="0830F2CD">
          <w:pPr>
            <w:pStyle w:val="4"/>
            <w:rPr>
              <w:rFonts w:hint="eastAsia"/>
            </w:rPr>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C1"/>
    <w:rsid w:val="000B0F6F"/>
    <w:rsid w:val="00124132"/>
    <w:rsid w:val="00140D2E"/>
    <w:rsid w:val="0020095A"/>
    <w:rsid w:val="002B4969"/>
    <w:rsid w:val="00305672"/>
    <w:rsid w:val="00316FC1"/>
    <w:rsid w:val="004F0220"/>
    <w:rsid w:val="00774179"/>
    <w:rsid w:val="007F6B76"/>
    <w:rsid w:val="008628C1"/>
    <w:rsid w:val="00AC67C6"/>
    <w:rsid w:val="00B82F85"/>
    <w:rsid w:val="00E60A88"/>
    <w:rsid w:val="00FC0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786A51BC409F4A1195AC53D9B61741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
  <Abstract/>
  <CompanyAddress>编制单位：广东南方电信规划咨询设计院有限公司</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49E903-1089-4FBF-9E6B-30DAE0BD9624}">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59</Pages>
  <Words>372</Words>
  <Characters>448</Characters>
  <Lines>248</Lines>
  <Paragraphs>70</Paragraphs>
  <TotalTime>8</TotalTime>
  <ScaleCrop>false</ScaleCrop>
  <LinksUpToDate>false</LinksUpToDate>
  <CharactersWithSpaces>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2018-08-26T08:25:00Z</dcterms:created>
  <dc:creator>Windows 用户</dc:creator>
  <cp:lastModifiedBy>嚓嚓</cp:lastModifiedBy>
  <cp:lastPrinted>2025-01-20T09:23:00Z</cp:lastPrinted>
  <dcterms:modified xsi:type="dcterms:W3CDTF">2026-08-27T09:01:31Z</dcterms:modified>
  <dc:title>深圳市-汕尾市产业转移合作园   （天星湖片区）通信规划（征求意见稿） </dc:title>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C0F2D732A3B242E2A77DBEDE1C184576_13</vt:lpwstr>
  </property>
  <property fmtid="{D5CDD505-2E9C-101B-9397-08002B2CF9AE}" pid="4" name="KSOTemplateDocerSaveRecord">
    <vt:lpwstr>eyJoZGlkIjoiZTcxZTY3NzUzMzY0MzY5MWVmMjg3YWE4ODkzYjFjZTMiLCJ1c2VySWQiOiIxODQ5ODczMzQ5In0=</vt:lpwstr>
  </property>
</Properties>
</file>