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bookmarkStart w:id="0" w:name="PO_part2Table5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36"/>
                <w:szCs w:val="36"/>
              </w:rPr>
            </w:pPr>
            <w:bookmarkStart w:id="3" w:name="_GoBack" w:colFirst="0" w:colLast="1"/>
            <w:bookmarkStart w:id="1" w:name="PO_part2Table5Area1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2020</w:t>
            </w: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 </w:t>
            </w:r>
            <w:bookmarkEnd w:id="1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年</w:t>
            </w:r>
            <w:bookmarkStart w:id="2" w:name="PO_part2Table5Area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  <w:lang w:eastAsia="zh-CN"/>
              </w:rPr>
              <w:t>海丰县县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本级</w:t>
            </w: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 </w:t>
            </w:r>
            <w:bookmarkEnd w:id="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一般公共预算“三公”经费表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“三公”经费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其中：（一）因公出国（境）费用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（三）公务接待费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609</w:t>
            </w:r>
          </w:p>
        </w:tc>
      </w:tr>
    </w:tbl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0"/>
          <w:szCs w:val="20"/>
          <w:lang w:bidi="ar"/>
        </w:rPr>
        <w:t>备注</w:t>
      </w:r>
      <w:r>
        <w:rPr>
          <w:rFonts w:hint="eastAsia" w:ascii="黑体" w:hAnsi="黑体" w:eastAsia="黑体" w:cs="宋体"/>
          <w:kern w:val="0"/>
          <w:sz w:val="20"/>
          <w:szCs w:val="20"/>
          <w:lang w:eastAsia="zh-CN" w:bidi="ar"/>
        </w:rPr>
        <w:t>：海丰县</w:t>
      </w:r>
      <w:r>
        <w:rPr>
          <w:rFonts w:hint="eastAsia" w:ascii="黑体" w:hAnsi="黑体" w:eastAsia="黑体" w:cs="宋体"/>
          <w:kern w:val="0"/>
          <w:sz w:val="20"/>
          <w:szCs w:val="20"/>
          <w:lang w:bidi="ar"/>
        </w:rPr>
        <w:t>本级一般公共预算中安排的“三公”经费是指部门预算基本支出及项目支出中安排的因公出国（境）支出、公务用车购置及运行维护支出和公务接待费支出。</w:t>
      </w:r>
      <w:r>
        <w:rPr>
          <w:rFonts w:hint="eastAsia" w:ascii="黑体" w:hAnsi="黑体" w:eastAsia="黑体" w:cs="宋体"/>
          <w:kern w:val="0"/>
          <w:sz w:val="24"/>
          <w:lang w:bidi="ar"/>
        </w:rPr>
        <w:t xml:space="preserve"> </w:t>
      </w:r>
      <w:bookmarkEnd w:id="0"/>
      <w:r>
        <w:rPr>
          <w:rFonts w:hint="eastAsia" w:ascii="黑体" w:hAnsi="黑体" w:eastAsia="黑体" w:cs="宋体"/>
          <w:kern w:val="0"/>
          <w:sz w:val="24"/>
          <w:lang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F5260"/>
    <w:rsid w:val="5D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2020-11-02T04:00:00Z</dcterms:created>
  <dc:creator>wang</dc:creator>
  <cp:lastModifiedBy>wang</cp:lastModifiedBy>
  <dcterms:modified xsi:type="dcterms:W3CDTF">2020-11-02T04:01:00Z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