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ascii="黑体" w:hAnsi="黑体" w:eastAsia="黑体"/>
          <w:b/>
          <w:sz w:val="84"/>
          <w:szCs w:val="84"/>
        </w:rPr>
      </w:pPr>
    </w:p>
    <w:p>
      <w:pPr>
        <w:ind w:firstLine="0" w:firstLineChars="0"/>
        <w:jc w:val="center"/>
      </w:pPr>
      <w:r>
        <w:rPr>
          <w:rFonts w:hint="eastAsia" w:ascii="黑体" w:hAnsi="黑体" w:eastAsia="黑体"/>
          <w:b/>
          <w:sz w:val="56"/>
          <w:szCs w:val="56"/>
        </w:rPr>
        <w:t>广东省电子非税收入一般缴款书（缴费端）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ind w:firstLine="1680"/>
        <w:jc w:val="left"/>
        <w:rPr>
          <w:rFonts w:ascii="黑体" w:hAnsi="黑体" w:eastAsia="黑体"/>
          <w:sz w:val="84"/>
          <w:szCs w:val="84"/>
        </w:rPr>
      </w:pPr>
      <w:r>
        <w:rPr>
          <w:rFonts w:ascii="黑体" w:hAnsi="黑体" w:eastAsia="黑体"/>
          <w:sz w:val="84"/>
          <w:szCs w:val="84"/>
        </w:rPr>
        <w:t>用户操作</w:t>
      </w:r>
      <w:r>
        <w:rPr>
          <w:rFonts w:hint="eastAsia" w:ascii="黑体" w:hAnsi="黑体" w:eastAsia="黑体"/>
          <w:sz w:val="84"/>
          <w:szCs w:val="84"/>
        </w:rPr>
        <w:t>手册</w:t>
      </w:r>
    </w:p>
    <w:p>
      <w:pPr>
        <w:jc w:val="center"/>
      </w:pPr>
    </w:p>
    <w:p>
      <w:pPr>
        <w:jc w:val="center"/>
      </w:pPr>
    </w:p>
    <w:p>
      <w:pPr>
        <w:pStyle w:val="2"/>
        <w:ind w:firstLine="480"/>
      </w:pPr>
    </w:p>
    <w:p>
      <w:pPr>
        <w:pStyle w:val="2"/>
        <w:ind w:firstLine="480"/>
      </w:pPr>
    </w:p>
    <w:p>
      <w:pPr>
        <w:pStyle w:val="2"/>
        <w:ind w:firstLine="480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ind w:firstLine="0" w:firstLineChars="0"/>
        <w:jc w:val="center"/>
      </w:pPr>
      <w:r>
        <w:rPr>
          <w:rFonts w:hint="eastAsia" w:ascii="黑体" w:hAnsi="黑体" w:eastAsia="黑体"/>
          <w:sz w:val="44"/>
          <w:szCs w:val="44"/>
        </w:rPr>
        <w:t>2022年7月2</w:t>
      </w:r>
      <w:r>
        <w:rPr>
          <w:rFonts w:ascii="黑体" w:hAnsi="黑体" w:eastAsia="黑体"/>
          <w:sz w:val="44"/>
          <w:szCs w:val="44"/>
        </w:rPr>
        <w:t>6</w:t>
      </w:r>
      <w:r>
        <w:rPr>
          <w:rFonts w:hint="eastAsia" w:ascii="黑体" w:hAnsi="黑体" w:eastAsia="黑体"/>
          <w:sz w:val="44"/>
          <w:szCs w:val="44"/>
        </w:rPr>
        <w:t>日</w:t>
      </w:r>
    </w:p>
    <w:p>
      <w:r>
        <w:br w:type="page"/>
      </w:r>
    </w:p>
    <w:p>
      <w:pPr>
        <w:pStyle w:val="34"/>
        <w:numPr>
          <w:ilvl w:val="0"/>
          <w:numId w:val="0"/>
        </w:numPr>
        <w:spacing w:before="200" w:after="200" w:afterLines="0" w:line="240" w:lineRule="auto"/>
        <w:ind w:left="248" w:leftChars="20" w:hanging="200" w:hangingChars="71"/>
        <w:jc w:val="center"/>
      </w:pPr>
      <w:r>
        <w:rPr>
          <w:color w:val="auto"/>
          <w:lang w:val="zh-CN"/>
        </w:rPr>
        <w:t>目</w:t>
      </w:r>
      <w:r>
        <w:rPr>
          <w:rFonts w:hint="eastAsia"/>
          <w:color w:val="auto"/>
          <w:lang w:val="zh-CN"/>
        </w:rPr>
        <w:t xml:space="preserve">  </w:t>
      </w:r>
      <w:r>
        <w:rPr>
          <w:color w:val="auto"/>
          <w:lang w:val="zh-CN"/>
        </w:rPr>
        <w:t>录</w:t>
      </w:r>
    </w:p>
    <w:p>
      <w:pPr>
        <w:pStyle w:val="12"/>
        <w:tabs>
          <w:tab w:val="right" w:leader="dot" w:pos="8306"/>
        </w:tabs>
      </w:pPr>
      <w:bookmarkStart w:id="36" w:name="_GoBack"/>
      <w:bookmarkEnd w:id="36"/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_Toc15758 </w:instrText>
      </w:r>
      <w:r>
        <w:fldChar w:fldCharType="separate"/>
      </w:r>
      <w:r>
        <w:rPr>
          <w:rFonts w:hint="eastAsia" w:ascii="黑体" w:hAnsi="黑体" w:eastAsia="黑体" w:cs="黑体"/>
          <w:kern w:val="28"/>
          <w:szCs w:val="32"/>
        </w:rPr>
        <w:t>第一章 PC端缴费</w:t>
      </w:r>
      <w:r>
        <w:tab/>
      </w:r>
      <w:r>
        <w:fldChar w:fldCharType="begin"/>
      </w:r>
      <w:r>
        <w:instrText xml:space="preserve"> PAGEREF _Toc15758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_Toc14025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1.1 登录广东公共服务支付平台</w:t>
      </w:r>
      <w:r>
        <w:tab/>
      </w:r>
      <w:r>
        <w:fldChar w:fldCharType="begin"/>
      </w:r>
      <w:r>
        <w:instrText xml:space="preserve"> PAGEREF _Toc14025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_Toc27027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1.2 查询应缴信息</w:t>
      </w:r>
      <w:r>
        <w:tab/>
      </w:r>
      <w:r>
        <w:fldChar w:fldCharType="begin"/>
      </w:r>
      <w:r>
        <w:instrText xml:space="preserve"> PAGEREF _Toc27027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_Toc27380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1.3 缴费</w:t>
      </w:r>
      <w:r>
        <w:tab/>
      </w:r>
      <w:r>
        <w:fldChar w:fldCharType="begin"/>
      </w:r>
      <w:r>
        <w:instrText xml:space="preserve"> PAGEREF _Toc27380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_Toc31239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1.4 缴费成功</w:t>
      </w:r>
      <w:r>
        <w:tab/>
      </w:r>
      <w:r>
        <w:fldChar w:fldCharType="begin"/>
      </w:r>
      <w:r>
        <w:instrText xml:space="preserve"> PAGEREF _Toc31239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_Toc12759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1.5 查看电子缴款书</w:t>
      </w:r>
      <w:r>
        <w:tab/>
      </w:r>
      <w:r>
        <w:fldChar w:fldCharType="begin"/>
      </w:r>
      <w:r>
        <w:instrText xml:space="preserve"> PAGEREF _Toc12759 \h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_Toc16191 </w:instrText>
      </w:r>
      <w:r>
        <w:rPr>
          <w:bCs/>
          <w:lang w:val="zh-CN"/>
        </w:rPr>
        <w:fldChar w:fldCharType="separate"/>
      </w:r>
      <w:r>
        <w:rPr>
          <w:rFonts w:hint="eastAsia" w:ascii="黑体" w:hAnsi="黑体" w:eastAsia="黑体" w:cs="黑体"/>
          <w:kern w:val="28"/>
          <w:szCs w:val="32"/>
        </w:rPr>
        <w:t>第二章 手机端缴费</w:t>
      </w:r>
      <w:r>
        <w:tab/>
      </w:r>
      <w:r>
        <w:fldChar w:fldCharType="begin"/>
      </w:r>
      <w:r>
        <w:instrText xml:space="preserve"> PAGEREF _Toc16191 \h </w:instrText>
      </w:r>
      <w:r>
        <w:fldChar w:fldCharType="separate"/>
      </w:r>
      <w:r>
        <w:t>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_Toc3249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2.1 登录广东公共服务支付平台手机端</w:t>
      </w:r>
      <w:r>
        <w:tab/>
      </w:r>
      <w:r>
        <w:fldChar w:fldCharType="begin"/>
      </w:r>
      <w:r>
        <w:instrText xml:space="preserve"> PAGEREF _Toc3249 \h </w:instrText>
      </w:r>
      <w:r>
        <w:fldChar w:fldCharType="separate"/>
      </w:r>
      <w:r>
        <w:t>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_Toc18123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2.2 查询应缴信息</w:t>
      </w:r>
      <w:r>
        <w:tab/>
      </w:r>
      <w:r>
        <w:fldChar w:fldCharType="begin"/>
      </w:r>
      <w:r>
        <w:instrText xml:space="preserve"> PAGEREF _Toc18123 \h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_Toc26329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2.3 缴费</w:t>
      </w:r>
      <w:r>
        <w:tab/>
      </w:r>
      <w:r>
        <w:fldChar w:fldCharType="begin"/>
      </w:r>
      <w:r>
        <w:instrText xml:space="preserve"> PAGEREF _Toc26329 \h </w:instrText>
      </w:r>
      <w:r>
        <w:fldChar w:fldCharType="separate"/>
      </w:r>
      <w:r>
        <w:t>11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_Toc14989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2.4 缴费成功</w:t>
      </w:r>
      <w:r>
        <w:tab/>
      </w:r>
      <w:r>
        <w:fldChar w:fldCharType="begin"/>
      </w:r>
      <w:r>
        <w:instrText xml:space="preserve"> PAGEREF _Toc14989 \h </w:instrText>
      </w:r>
      <w:r>
        <w:fldChar w:fldCharType="separate"/>
      </w:r>
      <w:r>
        <w:t>12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_Toc1797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2.5 查看</w:t>
      </w:r>
      <w:r>
        <w:rPr>
          <w:rFonts w:hint="eastAsia" w:ascii="楷体_GB2312" w:hAnsi="楷体_GB2312" w:eastAsia="楷体_GB2312" w:cs="楷体_GB2312"/>
          <w:bCs/>
          <w:szCs w:val="32"/>
          <w:lang w:eastAsia="zh-CN"/>
        </w:rPr>
        <w:t>及下载</w:t>
      </w:r>
      <w:r>
        <w:rPr>
          <w:rFonts w:hint="eastAsia" w:ascii="楷体_GB2312" w:hAnsi="楷体_GB2312" w:eastAsia="楷体_GB2312" w:cs="楷体_GB2312"/>
          <w:bCs/>
          <w:szCs w:val="32"/>
        </w:rPr>
        <w:t>电子缴款书</w:t>
      </w:r>
      <w:r>
        <w:tab/>
      </w:r>
      <w:r>
        <w:fldChar w:fldCharType="begin"/>
      </w:r>
      <w:r>
        <w:instrText xml:space="preserve"> PAGEREF _Toc1797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_Toc24917 </w:instrText>
      </w:r>
      <w:r>
        <w:rPr>
          <w:bCs/>
          <w:lang w:val="zh-CN"/>
        </w:rPr>
        <w:fldChar w:fldCharType="separate"/>
      </w:r>
      <w:r>
        <w:rPr>
          <w:rFonts w:hint="eastAsia" w:ascii="黑体" w:hAnsi="黑体" w:eastAsia="黑体" w:cs="黑体"/>
          <w:kern w:val="28"/>
          <w:szCs w:val="32"/>
        </w:rPr>
        <w:t>第三章 扫码缴费</w:t>
      </w:r>
      <w:r>
        <w:tab/>
      </w:r>
      <w:r>
        <w:fldChar w:fldCharType="begin"/>
      </w:r>
      <w:r>
        <w:instrText xml:space="preserve"> PAGEREF _Toc24917 \h </w:instrText>
      </w:r>
      <w:r>
        <w:fldChar w:fldCharType="separate"/>
      </w:r>
      <w:r>
        <w:t>15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_Toc4079 </w:instrText>
      </w:r>
      <w:r>
        <w:rPr>
          <w:bCs/>
          <w:lang w:val="zh-CN"/>
        </w:rPr>
        <w:fldChar w:fldCharType="separate"/>
      </w:r>
      <w:r>
        <w:rPr>
          <w:rFonts w:hint="eastAsia" w:ascii="黑体" w:hAnsi="黑体" w:eastAsia="黑体" w:cs="黑体"/>
          <w:kern w:val="28"/>
          <w:szCs w:val="32"/>
        </w:rPr>
        <w:t>第四章 线下缴费</w:t>
      </w:r>
      <w:r>
        <w:tab/>
      </w:r>
      <w:r>
        <w:fldChar w:fldCharType="begin"/>
      </w:r>
      <w:r>
        <w:instrText xml:space="preserve"> PAGEREF _Toc4079 \h </w:instrText>
      </w:r>
      <w:r>
        <w:fldChar w:fldCharType="separate"/>
      </w:r>
      <w:r>
        <w:t>16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_Toc5492 </w:instrText>
      </w:r>
      <w:r>
        <w:rPr>
          <w:bCs/>
          <w:lang w:val="zh-CN"/>
        </w:rPr>
        <w:fldChar w:fldCharType="separate"/>
      </w:r>
      <w:r>
        <w:rPr>
          <w:rFonts w:hint="eastAsia" w:ascii="黑体" w:hAnsi="黑体" w:eastAsia="黑体" w:cs="黑体"/>
          <w:kern w:val="28"/>
          <w:szCs w:val="32"/>
        </w:rPr>
        <w:t>第五章 电子缴款书查验</w:t>
      </w:r>
      <w:r>
        <w:tab/>
      </w:r>
      <w:r>
        <w:fldChar w:fldCharType="begin"/>
      </w:r>
      <w:r>
        <w:instrText xml:space="preserve"> PAGEREF _Toc5492 \h </w:instrText>
      </w:r>
      <w:r>
        <w:fldChar w:fldCharType="separate"/>
      </w:r>
      <w:r>
        <w:t>17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_Toc13083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5.1 查验平台入口</w:t>
      </w:r>
      <w:r>
        <w:tab/>
      </w:r>
      <w:r>
        <w:fldChar w:fldCharType="begin"/>
      </w:r>
      <w:r>
        <w:instrText xml:space="preserve"> PAGEREF _Toc13083 \h </w:instrText>
      </w:r>
      <w:r>
        <w:fldChar w:fldCharType="separate"/>
      </w:r>
      <w:r>
        <w:t>17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_Toc26864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5.2 电子缴款书查验</w:t>
      </w:r>
      <w:r>
        <w:tab/>
      </w:r>
      <w:r>
        <w:fldChar w:fldCharType="begin"/>
      </w:r>
      <w:r>
        <w:instrText xml:space="preserve"> PAGEREF _Toc26864 \h </w:instrText>
      </w:r>
      <w:r>
        <w:fldChar w:fldCharType="separate"/>
      </w:r>
      <w:r>
        <w:t>18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_Toc3783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5.3 票样公示</w:t>
      </w:r>
      <w:r>
        <w:tab/>
      </w:r>
      <w:r>
        <w:fldChar w:fldCharType="begin"/>
      </w:r>
      <w:r>
        <w:instrText xml:space="preserve"> PAGEREF _Toc3783 \h </w:instrText>
      </w:r>
      <w:r>
        <w:fldChar w:fldCharType="separate"/>
      </w:r>
      <w:r>
        <w:t>19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_Toc11316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5.4 操作说明</w:t>
      </w:r>
      <w:r>
        <w:tab/>
      </w:r>
      <w:r>
        <w:fldChar w:fldCharType="begin"/>
      </w:r>
      <w:r>
        <w:instrText xml:space="preserve"> PAGEREF _Toc11316 \h </w:instrText>
      </w:r>
      <w:r>
        <w:fldChar w:fldCharType="separate"/>
      </w:r>
      <w:r>
        <w:t>20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_Toc14405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5.5 常见问题</w:t>
      </w:r>
      <w:r>
        <w:tab/>
      </w:r>
      <w:r>
        <w:fldChar w:fldCharType="begin"/>
      </w:r>
      <w:r>
        <w:instrText xml:space="preserve"> PAGEREF _Toc14405 \h </w:instrText>
      </w:r>
      <w:r>
        <w:fldChar w:fldCharType="separate"/>
      </w:r>
      <w:r>
        <w:t>20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_Toc29561 </w:instrText>
      </w:r>
      <w:r>
        <w:rPr>
          <w:bCs/>
          <w:lang w:val="zh-CN"/>
        </w:rPr>
        <w:fldChar w:fldCharType="separate"/>
      </w:r>
      <w:r>
        <w:rPr>
          <w:rFonts w:hint="eastAsia" w:ascii="楷体_GB2312" w:hAnsi="楷体_GB2312" w:eastAsia="楷体_GB2312" w:cs="楷体_GB2312"/>
          <w:bCs/>
          <w:szCs w:val="32"/>
        </w:rPr>
        <w:t>5.6 查验结果说明</w:t>
      </w:r>
      <w:r>
        <w:tab/>
      </w:r>
      <w:r>
        <w:fldChar w:fldCharType="begin"/>
      </w:r>
      <w:r>
        <w:instrText xml:space="preserve"> PAGEREF _Toc29561 \h </w:instrText>
      </w:r>
      <w:r>
        <w:fldChar w:fldCharType="separate"/>
      </w:r>
      <w:r>
        <w:t>21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widowControl/>
        <w:jc w:val="left"/>
        <w:rPr>
          <w:bCs/>
          <w:lang w:val="zh-CN"/>
        </w:rPr>
      </w:pPr>
      <w:r>
        <w:rPr>
          <w:bCs/>
          <w:lang w:val="zh-CN"/>
        </w:rPr>
        <w:fldChar w:fldCharType="end"/>
      </w:r>
    </w:p>
    <w:p>
      <w:pPr>
        <w:pStyle w:val="2"/>
        <w:ind w:firstLine="480"/>
        <w:rPr>
          <w:lang w:val="zh-CN"/>
        </w:rPr>
      </w:pPr>
      <w:r>
        <w:rPr>
          <w:lang w:val="zh-CN"/>
        </w:rPr>
        <w:br w:type="page"/>
      </w:r>
    </w:p>
    <w:p>
      <w:pPr>
        <w:widowControl/>
        <w:jc w:val="left"/>
        <w:rPr>
          <w:bCs/>
          <w:lang w:val="zh-CN"/>
        </w:rPr>
      </w:pPr>
    </w:p>
    <w:p>
      <w:pPr>
        <w:pStyle w:val="3"/>
        <w:keepNext/>
        <w:keepLines/>
        <w:pageBreakBefore w:val="0"/>
        <w:widowControl/>
        <w:numPr>
          <w:ilvl w:val="0"/>
          <w:numId w:val="0"/>
        </w:numPr>
        <w:tabs>
          <w:tab w:val="clear" w:pos="420"/>
        </w:tabs>
        <w:spacing w:after="0" w:afterLines="0"/>
        <w:ind w:firstLine="640" w:firstLineChars="200"/>
        <w:jc w:val="left"/>
        <w:rPr>
          <w:rFonts w:ascii="黑体" w:hAnsi="黑体" w:eastAsia="黑体" w:cs="黑体"/>
          <w:b w:val="0"/>
          <w:kern w:val="28"/>
          <w:sz w:val="32"/>
          <w:szCs w:val="32"/>
        </w:rPr>
      </w:pPr>
      <w:bookmarkStart w:id="0" w:name="_Toc8525"/>
      <w:bookmarkStart w:id="1" w:name="_Toc15758"/>
      <w:r>
        <w:rPr>
          <w:rFonts w:hint="eastAsia" w:ascii="黑体" w:hAnsi="黑体" w:eastAsia="黑体" w:cs="黑体"/>
          <w:b w:val="0"/>
          <w:kern w:val="28"/>
          <w:sz w:val="32"/>
          <w:szCs w:val="32"/>
        </w:rPr>
        <w:t>第一章 PC端缴费</w:t>
      </w:r>
      <w:bookmarkEnd w:id="0"/>
      <w:bookmarkEnd w:id="1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缴款人访问广东公共服务支付平台，输入缴款码或单位通知书号，完成查询及缴费，系统实时生成电子缴款书，缴款人可以下载电子缴款书，也可以将电子缴款书发送到邮箱/手机短信。</w:t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2" w:name="_Toc28953"/>
      <w:bookmarkStart w:id="3" w:name="_Toc14025"/>
      <w:r>
        <w:rPr>
          <w:rFonts w:hint="eastAsia" w:ascii="楷体_GB2312" w:hAnsi="楷体_GB2312" w:eastAsia="楷体_GB2312" w:cs="楷体_GB2312"/>
          <w:bCs/>
          <w:szCs w:val="32"/>
        </w:rPr>
        <w:t>1.1 登录广东公共服务支付平台</w:t>
      </w:r>
      <w:bookmarkEnd w:id="2"/>
      <w:bookmarkEnd w:id="3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访问广东公共服务支付平台（https://ggzf.czt.gd.gov.cn/onlinePay/），显示页面如下：</w:t>
      </w:r>
    </w:p>
    <w:p>
      <w:pPr>
        <w:pStyle w:val="24"/>
        <w:ind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13380"/>
            <wp:effectExtent l="0" t="0" r="2540" b="127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4" w:name="_Toc10201"/>
      <w:bookmarkStart w:id="5" w:name="_Toc27027"/>
      <w:r>
        <w:rPr>
          <w:rFonts w:hint="eastAsia" w:ascii="楷体_GB2312" w:hAnsi="楷体_GB2312" w:eastAsia="楷体_GB2312" w:cs="楷体_GB2312"/>
          <w:bCs/>
          <w:szCs w:val="32"/>
        </w:rPr>
        <w:t>1.2 查询应缴信息</w:t>
      </w:r>
      <w:bookmarkEnd w:id="4"/>
      <w:bookmarkEnd w:id="5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输入缴款识别码和验证码，进入应缴信息详情页面。</w:t>
      </w:r>
    </w:p>
    <w:p>
      <w:pPr>
        <w:pStyle w:val="24"/>
        <w:ind w:firstLine="0" w:firstLineChars="0"/>
        <w:jc w:val="center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4926330" cy="4078605"/>
            <wp:effectExtent l="0" t="0" r="11430" b="5715"/>
            <wp:docPr id="5" name="图片 5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firstLine="640"/>
        <w:rPr>
          <w:rFonts w:ascii="仿宋" w:hAnsi="仿宋" w:eastAsia="仿宋" w:cs="仿宋_GB2312"/>
          <w:sz w:val="32"/>
          <w:szCs w:val="32"/>
        </w:rPr>
      </w:pPr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缴款人可以点击【查看电子缴款书】按钮预览缴费前的电子缴款书（不含财政监制电子签名）。缴款人也可以点击【缴费】按钮进行缴费。</w:t>
      </w:r>
    </w:p>
    <w:p>
      <w:pPr>
        <w:pStyle w:val="24"/>
        <w:ind w:firstLine="0" w:firstLineChars="0"/>
        <w:jc w:val="center"/>
        <w:rPr>
          <w:rFonts w:hint="eastAsia" w:ascii="仿宋" w:hAnsi="仿宋" w:eastAsia="仿宋" w:cs="仿宋_GB2312"/>
          <w:sz w:val="32"/>
          <w:szCs w:val="32"/>
        </w:rPr>
      </w:pPr>
      <w:r>
        <w:rPr>
          <w:rStyle w:val="18"/>
          <w:rFonts w:hint="eastAsia" w:ascii="仿宋" w:hAnsi="仿宋" w:eastAsia="仿宋"/>
          <w:b w:val="0"/>
          <w:bCs/>
          <w:color w:val="333333"/>
          <w:szCs w:val="24"/>
          <w:shd w:val="clear" w:color="auto" w:fill="FFFFFF"/>
          <w:lang w:bidi="ar"/>
        </w:rPr>
        <w:drawing>
          <wp:inline distT="0" distB="0" distL="114300" distR="114300">
            <wp:extent cx="4683760" cy="2997200"/>
            <wp:effectExtent l="0" t="0" r="2540" b="12700"/>
            <wp:docPr id="1" name="图片 1" descr="图片2222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2221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6" w:name="_Toc3807"/>
      <w:bookmarkStart w:id="7" w:name="_Toc27380"/>
      <w:r>
        <w:rPr>
          <w:rFonts w:hint="eastAsia" w:ascii="楷体_GB2312" w:hAnsi="楷体_GB2312" w:eastAsia="楷体_GB2312" w:cs="楷体_GB2312"/>
          <w:bCs/>
          <w:szCs w:val="32"/>
        </w:rPr>
        <w:t>1.3 缴费</w:t>
      </w:r>
      <w:bookmarkEnd w:id="6"/>
      <w:bookmarkEnd w:id="7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点击【缴费】按钮，扫码二维码进行缴费：</w:t>
      </w:r>
    </w:p>
    <w:p>
      <w:pPr>
        <w:pStyle w:val="24"/>
        <w:ind w:left="360" w:firstLine="0" w:firstLineChars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5072380" cy="3698875"/>
            <wp:effectExtent l="0" t="0" r="13970" b="15875"/>
            <wp:docPr id="17" name="图片 17" descr="图片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2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8" w:name="_Toc32494"/>
      <w:bookmarkStart w:id="9" w:name="_Toc31239"/>
      <w:r>
        <w:rPr>
          <w:rFonts w:hint="eastAsia" w:ascii="楷体_GB2312" w:hAnsi="楷体_GB2312" w:eastAsia="楷体_GB2312" w:cs="楷体_GB2312"/>
          <w:bCs/>
          <w:szCs w:val="32"/>
        </w:rPr>
        <w:t>1.4 缴费成功</w:t>
      </w:r>
      <w:bookmarkEnd w:id="8"/>
      <w:bookmarkEnd w:id="9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缴费完成，显示已缴费的缴款通知书信息：</w:t>
      </w:r>
    </w:p>
    <w:p>
      <w:pPr>
        <w:pStyle w:val="24"/>
        <w:ind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35807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left="360" w:firstLine="0" w:firstLineChars="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10" w:name="_Toc10893"/>
      <w:bookmarkStart w:id="11" w:name="_Toc12759"/>
      <w:r>
        <w:rPr>
          <w:rFonts w:hint="eastAsia" w:ascii="楷体_GB2312" w:hAnsi="楷体_GB2312" w:eastAsia="楷体_GB2312" w:cs="楷体_GB2312"/>
          <w:bCs/>
          <w:szCs w:val="32"/>
        </w:rPr>
        <w:t>1.5 查看电子缴款书</w:t>
      </w:r>
      <w:bookmarkEnd w:id="10"/>
      <w:bookmarkEnd w:id="11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在缴款完成界面，点击【查看电子缴款书】可以预览完整的电子缴款书信息。缴款人可以点击【下载】或者【发送邮箱/手机短信】按钮将电子缴款书下载到本地或者发送到指定邮箱/手机短信。</w:t>
      </w:r>
    </w:p>
    <w:p>
      <w:pPr>
        <w:pStyle w:val="24"/>
        <w:ind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5271770" cy="3373120"/>
            <wp:effectExtent l="0" t="0" r="1270" b="10160"/>
            <wp:docPr id="16" name="图片 16" descr="缴款后_00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缴款后_00_副本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widowControl/>
        <w:numPr>
          <w:ilvl w:val="0"/>
          <w:numId w:val="0"/>
        </w:numPr>
        <w:tabs>
          <w:tab w:val="clear" w:pos="420"/>
        </w:tabs>
        <w:spacing w:after="0" w:afterLines="0"/>
        <w:ind w:firstLine="640" w:firstLineChars="200"/>
        <w:jc w:val="left"/>
        <w:rPr>
          <w:rFonts w:ascii="黑体" w:hAnsi="黑体" w:eastAsia="黑体" w:cs="黑体"/>
          <w:b w:val="0"/>
          <w:kern w:val="28"/>
          <w:sz w:val="32"/>
          <w:szCs w:val="32"/>
        </w:rPr>
      </w:pPr>
      <w:bookmarkStart w:id="12" w:name="_Toc12987"/>
      <w:bookmarkStart w:id="13" w:name="_Toc16191"/>
      <w:r>
        <w:rPr>
          <w:rFonts w:hint="eastAsia" w:ascii="黑体" w:hAnsi="黑体" w:eastAsia="黑体" w:cs="黑体"/>
          <w:b w:val="0"/>
          <w:kern w:val="28"/>
          <w:sz w:val="32"/>
          <w:szCs w:val="32"/>
        </w:rPr>
        <w:t>第二章 手机端缴费</w:t>
      </w:r>
      <w:bookmarkEnd w:id="12"/>
      <w:bookmarkEnd w:id="13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缴款人可以通过“广东财政”微信公众号或者“粤缴费”小程序访问广东公共服务支付平台手机端，输入缴款码或单位通知书号，完成查询及缴费，系统实时生成电子缴款书，缴款人可以下载电子缴款书，也可以将电子缴款书发送到邮箱/手机短信。</w:t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14" w:name="_Toc15813"/>
      <w:bookmarkStart w:id="15" w:name="_Toc3249"/>
      <w:r>
        <w:rPr>
          <w:rFonts w:hint="eastAsia" w:ascii="楷体_GB2312" w:hAnsi="楷体_GB2312" w:eastAsia="楷体_GB2312" w:cs="楷体_GB2312"/>
          <w:bCs/>
          <w:szCs w:val="32"/>
        </w:rPr>
        <w:t>2.1 登录广东公共服务支付平台手机端</w:t>
      </w:r>
      <w:bookmarkEnd w:id="14"/>
      <w:bookmarkEnd w:id="15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使用手机访问“广东财政”微信公众号或者“粤缴费”小程序，显示页面如下：</w:t>
      </w:r>
    </w:p>
    <w:p>
      <w:pPr>
        <w:pStyle w:val="24"/>
        <w:ind w:left="360" w:firstLine="0" w:firstLineChars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445385" cy="5300980"/>
            <wp:effectExtent l="0" t="0" r="0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0290" cy="5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点击【政务服务】菜单下的【公共服务支付平台】，进入广东公共服务支付平台手机端页面：</w:t>
      </w:r>
    </w:p>
    <w:p>
      <w:pPr>
        <w:pStyle w:val="24"/>
        <w:ind w:left="360" w:firstLine="0" w:firstLineChars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688590" cy="5827395"/>
            <wp:effectExtent l="0" t="0" r="0" b="1905"/>
            <wp:docPr id="26" name="图片 26" descr="1d8bedde470e1ffb5b85c47b4ca0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8bedde470e1ffb5b85c47b4ca094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7859" cy="58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16" w:name="_Toc9180"/>
      <w:bookmarkStart w:id="17" w:name="_Toc18123"/>
      <w:r>
        <w:rPr>
          <w:rFonts w:hint="eastAsia" w:ascii="楷体_GB2312" w:hAnsi="楷体_GB2312" w:eastAsia="楷体_GB2312" w:cs="楷体_GB2312"/>
          <w:bCs/>
          <w:szCs w:val="32"/>
        </w:rPr>
        <w:t>2.2 查询应缴信息</w:t>
      </w:r>
      <w:bookmarkEnd w:id="16"/>
      <w:bookmarkEnd w:id="17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输入缴款识别码和验证码，进入应缴信息详情页面：</w:t>
      </w:r>
    </w:p>
    <w:p>
      <w:pPr>
        <w:pStyle w:val="24"/>
        <w:ind w:left="360" w:firstLine="0" w:firstLineChars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3086100" cy="6648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18" w:name="_Toc17959"/>
      <w:bookmarkStart w:id="19" w:name="_Toc26329"/>
      <w:r>
        <w:rPr>
          <w:rFonts w:hint="eastAsia" w:ascii="楷体_GB2312" w:hAnsi="楷体_GB2312" w:eastAsia="楷体_GB2312" w:cs="楷体_GB2312"/>
          <w:bCs/>
          <w:szCs w:val="32"/>
        </w:rPr>
        <w:t>2.3 缴费</w:t>
      </w:r>
      <w:bookmarkEnd w:id="18"/>
      <w:bookmarkEnd w:id="19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点击【去缴费】按钮，选择支付方式，完成缴费：</w:t>
      </w:r>
    </w:p>
    <w:p>
      <w:pPr>
        <w:pStyle w:val="24"/>
        <w:ind w:left="360" w:firstLine="0" w:firstLineChars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117850" cy="6758305"/>
            <wp:effectExtent l="0" t="0" r="6350" b="8255"/>
            <wp:docPr id="31" name="图片 31" descr="5846e999ba7a94e2ce6b9d9be635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846e999ba7a94e2ce6b9d9be635cc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20" w:name="_Toc25344"/>
      <w:bookmarkStart w:id="21" w:name="_Toc14989"/>
      <w:r>
        <w:rPr>
          <w:rFonts w:hint="eastAsia" w:ascii="楷体_GB2312" w:hAnsi="楷体_GB2312" w:eastAsia="楷体_GB2312" w:cs="楷体_GB2312"/>
          <w:bCs/>
          <w:szCs w:val="32"/>
        </w:rPr>
        <w:t>2.4 缴费成功</w:t>
      </w:r>
      <w:bookmarkEnd w:id="20"/>
      <w:bookmarkEnd w:id="21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缴费完成，显示已缴费的缴款通知书信息：</w:t>
      </w:r>
    </w:p>
    <w:p>
      <w:pPr>
        <w:pStyle w:val="24"/>
        <w:ind w:left="360" w:firstLine="0" w:firstLineChars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118485" cy="6723380"/>
            <wp:effectExtent l="0" t="0" r="5715" b="1270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left="360" w:firstLine="0" w:firstLineChars="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22" w:name="_Toc15604"/>
      <w:bookmarkStart w:id="23" w:name="_Toc1797"/>
      <w:r>
        <w:rPr>
          <w:rFonts w:hint="eastAsia" w:ascii="楷体_GB2312" w:hAnsi="楷体_GB2312" w:eastAsia="楷体_GB2312" w:cs="楷体_GB2312"/>
          <w:bCs/>
          <w:szCs w:val="32"/>
        </w:rPr>
        <w:t>2.5 查看</w:t>
      </w:r>
      <w:r>
        <w:rPr>
          <w:rFonts w:hint="eastAsia" w:ascii="楷体_GB2312" w:hAnsi="楷体_GB2312" w:eastAsia="楷体_GB2312" w:cs="楷体_GB2312"/>
          <w:bCs/>
          <w:szCs w:val="32"/>
          <w:lang w:eastAsia="zh-CN"/>
        </w:rPr>
        <w:t>及下载</w:t>
      </w:r>
      <w:r>
        <w:rPr>
          <w:rFonts w:hint="eastAsia" w:ascii="楷体_GB2312" w:hAnsi="楷体_GB2312" w:eastAsia="楷体_GB2312" w:cs="楷体_GB2312"/>
          <w:bCs/>
          <w:szCs w:val="32"/>
        </w:rPr>
        <w:t>电子缴款书</w:t>
      </w:r>
      <w:bookmarkEnd w:id="22"/>
      <w:bookmarkEnd w:id="23"/>
    </w:p>
    <w:p>
      <w:pPr>
        <w:pStyle w:val="24"/>
        <w:ind w:firstLine="64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在缴款书界面，点击【查看电子缴款书】可以预览电子缴款书信息。缴款人可以点击【下载】或者【发送邮箱/手机短信】按钮将电子缴款书下载到本地或者发送到指定邮箱/手机短信。</w:t>
      </w:r>
    </w:p>
    <w:p>
      <w:pPr>
        <w:pStyle w:val="24"/>
        <w:ind w:left="360" w:firstLine="0" w:firstLineChars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238500" cy="7018020"/>
            <wp:effectExtent l="0" t="0" r="7620" b="7620"/>
            <wp:docPr id="8" name="图片 8" descr="图片13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34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widowControl/>
        <w:numPr>
          <w:ilvl w:val="0"/>
          <w:numId w:val="0"/>
        </w:numPr>
        <w:tabs>
          <w:tab w:val="clear" w:pos="420"/>
        </w:tabs>
        <w:spacing w:after="0" w:afterLines="0"/>
        <w:ind w:firstLine="640" w:firstLineChars="200"/>
        <w:jc w:val="left"/>
        <w:rPr>
          <w:rFonts w:ascii="黑体" w:hAnsi="黑体" w:eastAsia="黑体" w:cs="黑体"/>
          <w:b w:val="0"/>
          <w:kern w:val="28"/>
          <w:sz w:val="32"/>
          <w:szCs w:val="32"/>
        </w:rPr>
      </w:pPr>
      <w:bookmarkStart w:id="24" w:name="_Toc24917"/>
      <w:r>
        <w:rPr>
          <w:rFonts w:hint="eastAsia" w:ascii="黑体" w:hAnsi="黑体" w:eastAsia="黑体" w:cs="黑体"/>
          <w:b w:val="0"/>
          <w:kern w:val="28"/>
          <w:sz w:val="32"/>
          <w:szCs w:val="32"/>
        </w:rPr>
        <w:t>第三章 扫码缴费</w:t>
      </w:r>
      <w:bookmarkEnd w:id="24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缴款人可以通过微信/支付宝/银联云闪付直接扫一扫电子缴款书二维码进行支付，支付完成后系统实时生成电子缴款书。缴款人在支付后可通过微信/支付宝/银联云闪付直接扫一扫电子缴款书二维码查看及下载电子缴款书，也可以将电子缴款书发送到邮箱/手机短信。</w:t>
      </w:r>
    </w:p>
    <w:p>
      <w:pPr>
        <w:pStyle w:val="3"/>
        <w:keepNext/>
        <w:keepLines/>
        <w:widowControl/>
        <w:numPr>
          <w:ilvl w:val="0"/>
          <w:numId w:val="0"/>
        </w:numPr>
        <w:tabs>
          <w:tab w:val="clear" w:pos="420"/>
        </w:tabs>
        <w:spacing w:after="0" w:afterLines="0"/>
        <w:ind w:firstLine="640" w:firstLineChars="200"/>
        <w:jc w:val="left"/>
        <w:rPr>
          <w:rFonts w:ascii="黑体" w:hAnsi="黑体" w:eastAsia="黑体" w:cs="黑体"/>
          <w:b w:val="0"/>
          <w:kern w:val="28"/>
          <w:sz w:val="32"/>
          <w:szCs w:val="32"/>
        </w:rPr>
      </w:pPr>
      <w:bookmarkStart w:id="25" w:name="_Toc4079"/>
      <w:r>
        <w:rPr>
          <w:rFonts w:hint="eastAsia" w:ascii="黑体" w:hAnsi="黑体" w:eastAsia="黑体" w:cs="黑体"/>
          <w:b w:val="0"/>
          <w:kern w:val="28"/>
          <w:sz w:val="32"/>
          <w:szCs w:val="32"/>
        </w:rPr>
        <w:t>第四章 线下缴费</w:t>
      </w:r>
      <w:bookmarkEnd w:id="25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缴款人可以通过非税代收银行网点柜面、POS刷卡机、转账等方式进行缴费，缴费完成后系统实时生成电子缴款书。缴款人在缴费后可通过微信/支付宝/银联云闪付直接扫一扫电子缴款书二维码查看及下载电子缴款书，也可以将电子缴款书发送到邮箱/手机短信。</w:t>
      </w:r>
    </w:p>
    <w:p>
      <w:pPr>
        <w:pStyle w:val="3"/>
        <w:keepNext/>
        <w:keepLines/>
        <w:widowControl/>
        <w:numPr>
          <w:ilvl w:val="0"/>
          <w:numId w:val="0"/>
        </w:numPr>
        <w:tabs>
          <w:tab w:val="clear" w:pos="420"/>
        </w:tabs>
        <w:spacing w:after="0" w:afterLines="0"/>
        <w:ind w:firstLine="640" w:firstLineChars="200"/>
        <w:jc w:val="left"/>
        <w:rPr>
          <w:rFonts w:ascii="黑体" w:hAnsi="黑体" w:eastAsia="黑体" w:cs="黑体"/>
          <w:b w:val="0"/>
          <w:kern w:val="28"/>
          <w:sz w:val="32"/>
          <w:szCs w:val="32"/>
        </w:rPr>
      </w:pPr>
      <w:bookmarkStart w:id="26" w:name="_Toc10892"/>
      <w:bookmarkStart w:id="27" w:name="_Toc5492"/>
      <w:r>
        <w:rPr>
          <w:rFonts w:hint="eastAsia" w:ascii="黑体" w:hAnsi="黑体" w:eastAsia="黑体" w:cs="黑体"/>
          <w:b w:val="0"/>
          <w:kern w:val="28"/>
          <w:sz w:val="32"/>
          <w:szCs w:val="32"/>
        </w:rPr>
        <w:t>第五章 电子缴款书查验</w:t>
      </w:r>
      <w:bookmarkEnd w:id="26"/>
      <w:bookmarkEnd w:id="27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广东公共服务支付平台为广东省财政电子缴款书提供查验服务，方便缴款人和用票单位自主、及时查验电子缴款书真伪，获取凭证及使用信息。</w:t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28" w:name="_Toc2200"/>
      <w:bookmarkStart w:id="29" w:name="_Toc13083"/>
      <w:r>
        <w:rPr>
          <w:rFonts w:hint="eastAsia" w:ascii="楷体_GB2312" w:hAnsi="楷体_GB2312" w:eastAsia="楷体_GB2312" w:cs="楷体_GB2312"/>
          <w:bCs/>
          <w:szCs w:val="32"/>
        </w:rPr>
        <w:t>5.1 查验平台</w:t>
      </w:r>
      <w:bookmarkEnd w:id="28"/>
      <w:r>
        <w:rPr>
          <w:rFonts w:hint="eastAsia" w:ascii="楷体_GB2312" w:hAnsi="楷体_GB2312" w:eastAsia="楷体_GB2312" w:cs="楷体_GB2312"/>
          <w:bCs/>
          <w:szCs w:val="32"/>
        </w:rPr>
        <w:t>入口</w:t>
      </w:r>
      <w:bookmarkEnd w:id="29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访问广东公共服务支付平台页面，通过左侧的【电子缴款书查验】链接进入电子缴款书查验平台：</w:t>
      </w:r>
    </w:p>
    <w:p>
      <w:pPr>
        <w:pStyle w:val="24"/>
        <w:ind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960" cy="2910205"/>
            <wp:effectExtent l="0" t="0" r="508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64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电子缴款书查验平台：</w:t>
      </w:r>
    </w:p>
    <w:p>
      <w:pPr>
        <w:pStyle w:val="24"/>
        <w:ind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5229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30" w:name="_Toc28269"/>
      <w:bookmarkStart w:id="31" w:name="_Toc26864"/>
      <w:r>
        <w:rPr>
          <w:rFonts w:hint="eastAsia" w:ascii="楷体_GB2312" w:hAnsi="楷体_GB2312" w:eastAsia="楷体_GB2312" w:cs="楷体_GB2312"/>
          <w:bCs/>
          <w:szCs w:val="32"/>
        </w:rPr>
        <w:t>5.2 电子缴款书查验</w:t>
      </w:r>
      <w:bookmarkEnd w:id="30"/>
      <w:bookmarkEnd w:id="31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输入付款人全称、票据代码、票据号码、校验码、验证码查验电子缴款书，进入查验结果页面。缴款人可以点击【下载PDF】、【打印查验结果】按钮将电子缴款书下载到本地或者进行打印。</w:t>
      </w:r>
    </w:p>
    <w:p>
      <w:pPr>
        <w:pStyle w:val="24"/>
        <w:tabs>
          <w:tab w:val="left" w:pos="472"/>
        </w:tabs>
        <w:autoSpaceDE w:val="0"/>
        <w:autoSpaceDN w:val="0"/>
        <w:spacing w:before="161" w:line="240" w:lineRule="auto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5270500" cy="2939415"/>
            <wp:effectExtent l="0" t="0" r="2540" b="1905"/>
            <wp:docPr id="9" name="图片 9" descr="图片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2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32" w:name="_Toc3783"/>
      <w:r>
        <w:rPr>
          <w:rFonts w:hint="eastAsia" w:ascii="楷体_GB2312" w:hAnsi="楷体_GB2312" w:eastAsia="楷体_GB2312" w:cs="楷体_GB2312"/>
          <w:bCs/>
          <w:szCs w:val="32"/>
        </w:rPr>
        <w:t>5.3 票样公示</w:t>
      </w:r>
      <w:bookmarkEnd w:id="32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点击【票样公示】栏目进入票样公示页面：</w:t>
      </w:r>
    </w:p>
    <w:p>
      <w:pPr>
        <w:pStyle w:val="24"/>
        <w:tabs>
          <w:tab w:val="left" w:pos="472"/>
        </w:tabs>
        <w:autoSpaceDE w:val="0"/>
        <w:autoSpaceDN w:val="0"/>
        <w:spacing w:before="161" w:line="240" w:lineRule="auto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9973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33" w:name="_Toc11316"/>
      <w:r>
        <w:rPr>
          <w:rFonts w:hint="eastAsia" w:ascii="楷体_GB2312" w:hAnsi="楷体_GB2312" w:eastAsia="楷体_GB2312" w:cs="楷体_GB2312"/>
          <w:bCs/>
          <w:szCs w:val="32"/>
        </w:rPr>
        <w:t>5.4 操作说明</w:t>
      </w:r>
      <w:bookmarkEnd w:id="33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点击【操作说明】栏目进入操作说明页面：</w:t>
      </w:r>
    </w:p>
    <w:p>
      <w:pPr>
        <w:pStyle w:val="24"/>
        <w:tabs>
          <w:tab w:val="left" w:pos="472"/>
        </w:tabs>
        <w:autoSpaceDE w:val="0"/>
        <w:autoSpaceDN w:val="0"/>
        <w:spacing w:before="161" w:line="240" w:lineRule="auto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41154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34" w:name="_Toc14405"/>
      <w:r>
        <w:rPr>
          <w:rFonts w:hint="eastAsia" w:ascii="楷体_GB2312" w:hAnsi="楷体_GB2312" w:eastAsia="楷体_GB2312" w:cs="楷体_GB2312"/>
          <w:bCs/>
          <w:szCs w:val="32"/>
        </w:rPr>
        <w:t>5.5 常见问题</w:t>
      </w:r>
      <w:bookmarkEnd w:id="34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点击【常见问题】栏目进入常见问题页面：</w:t>
      </w:r>
    </w:p>
    <w:p>
      <w:pPr>
        <w:pStyle w:val="24"/>
        <w:tabs>
          <w:tab w:val="left" w:pos="472"/>
        </w:tabs>
        <w:autoSpaceDE w:val="0"/>
        <w:autoSpaceDN w:val="0"/>
        <w:spacing w:before="161" w:line="240" w:lineRule="auto"/>
        <w:ind w:firstLine="320" w:firstLineChars="1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2099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widowControl/>
        <w:numPr>
          <w:ilvl w:val="1"/>
          <w:numId w:val="0"/>
        </w:numPr>
        <w:tabs>
          <w:tab w:val="left" w:pos="851"/>
        </w:tabs>
        <w:spacing w:before="0" w:after="0"/>
        <w:ind w:firstLine="643" w:firstLineChars="200"/>
        <w:jc w:val="left"/>
        <w:rPr>
          <w:rFonts w:hint="eastAsia" w:ascii="楷体_GB2312" w:hAnsi="楷体_GB2312" w:eastAsia="楷体_GB2312" w:cs="楷体_GB2312"/>
          <w:bCs/>
          <w:szCs w:val="32"/>
        </w:rPr>
      </w:pPr>
      <w:bookmarkStart w:id="35" w:name="_Toc29561"/>
      <w:r>
        <w:rPr>
          <w:rFonts w:hint="eastAsia" w:ascii="楷体_GB2312" w:hAnsi="楷体_GB2312" w:eastAsia="楷体_GB2312" w:cs="楷体_GB2312"/>
          <w:bCs/>
          <w:szCs w:val="32"/>
        </w:rPr>
        <w:t>5.6 查验结果说明</w:t>
      </w:r>
      <w:bookmarkEnd w:id="35"/>
    </w:p>
    <w:p>
      <w:pPr>
        <w:adjustRightInd w:val="0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点击【查验结果说明】栏目进入查验结果说明页面：</w:t>
      </w:r>
    </w:p>
    <w:p>
      <w:pPr>
        <w:pStyle w:val="24"/>
        <w:tabs>
          <w:tab w:val="left" w:pos="472"/>
        </w:tabs>
        <w:autoSpaceDE w:val="0"/>
        <w:autoSpaceDN w:val="0"/>
        <w:spacing w:before="161" w:line="240" w:lineRule="auto"/>
        <w:ind w:firstLine="0" w:firstLineChars="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4181475"/>
            <wp:effectExtent l="0" t="0" r="3810" b="9525"/>
            <wp:docPr id="13" name="图片 13" descr="图片rr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rr1_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37" w:footer="737" w:gutter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27A2C7-6BA7-4C18-B2AC-ECBA40AF29F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2" w:fontKey="{98C2844A-0285-46FD-9A28-97C9AAF411FE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楷体_GB2312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楷体">
    <w:panose1 w:val="02010609060101010101"/>
    <w:charset w:val="86"/>
    <w:family w:val="modern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88B92947-2303-4FBD-AA49-094E4990E62E}"/>
  </w:font>
  <w:font w:name="仿宋">
    <w:panose1 w:val="02010609060101010101"/>
    <w:charset w:val="86"/>
    <w:family w:val="modern"/>
    <w:pitch w:val="default"/>
    <w:sig w:usb0="00000000" w:usb1="00000000" w:usb2="00000000" w:usb3="00000000" w:csb0="00000000" w:csb1="00000000"/>
    <w:embedRegular r:id="rId4" w:fontKey="{C8FB5DD2-A3EB-4933-86F7-6885CD8673E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1F82AF54-DD9B-4FC5-958F-7E748F35874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6503496"/>
    </w:sdtPr>
    <w:sdtContent>
      <w:p>
        <w:pPr>
          <w:pStyle w:val="10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  <w:r>
      <w:rPr>
        <w:rFonts w:hint="eastAsia"/>
      </w:rPr>
      <w:t>广东省电子非税收入一般缴款书（缴费端）用户操作手册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E6A70"/>
    <w:multiLevelType w:val="multilevel"/>
    <w:tmpl w:val="5DCE6A70"/>
    <w:lvl w:ilvl="0" w:tentative="0">
      <w:start w:val="1"/>
      <w:numFmt w:val="decimal"/>
      <w:suff w:val="space"/>
      <w:lvlText w:val="%1"/>
      <w:lvlJc w:val="left"/>
      <w:pPr>
        <w:ind w:left="0" w:firstLine="0"/>
      </w:pPr>
    </w:lvl>
    <w:lvl w:ilvl="1" w:tentative="0">
      <w:start w:val="1"/>
      <w:numFmt w:val="decimal"/>
      <w:pStyle w:val="22"/>
      <w:suff w:val="space"/>
      <w:lvlText w:val="%1.%2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6EBA8841"/>
    <w:multiLevelType w:val="multilevel"/>
    <w:tmpl w:val="6EBA8841"/>
    <w:lvl w:ilvl="0" w:tentative="0">
      <w:start w:val="1"/>
      <w:numFmt w:val="chineseCounting"/>
      <w:pStyle w:val="3"/>
      <w:suff w:val="nothing"/>
      <w:lvlText w:val="第%1章 "/>
      <w:lvlJc w:val="left"/>
      <w:pPr>
        <w:tabs>
          <w:tab w:val="left" w:pos="0"/>
        </w:tabs>
        <w:ind w:left="431" w:hanging="431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4"/>
      <w:isLgl/>
      <w:suff w:val="space"/>
      <w:lvlText w:val="%1.%2"/>
      <w:lvlJc w:val="left"/>
      <w:pPr>
        <w:tabs>
          <w:tab w:val="left" w:pos="0"/>
        </w:tabs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5"/>
      <w:isLgl/>
      <w:suff w:val="space"/>
      <w:lvlText w:val="%1.%2.%3"/>
      <w:lvlJc w:val="left"/>
      <w:pPr>
        <w:tabs>
          <w:tab w:val="left" w:pos="420"/>
        </w:tabs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6"/>
      <w:isLgl/>
      <w:suff w:val="space"/>
      <w:lvlText w:val="%1.%2.%3.%4"/>
      <w:lvlJc w:val="left"/>
      <w:pPr>
        <w:tabs>
          <w:tab w:val="left" w:pos="420"/>
        </w:tabs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pStyle w:val="7"/>
      <w:isLgl/>
      <w:suff w:val="space"/>
      <w:lvlText w:val="%1.%2.%3.%4.%5"/>
      <w:lvlJc w:val="left"/>
      <w:pPr>
        <w:tabs>
          <w:tab w:val="left" w:pos="420"/>
        </w:tabs>
        <w:ind w:left="1008" w:hanging="1008"/>
      </w:pPr>
      <w:rPr>
        <w:rFonts w:hint="eastAsia" w:ascii="宋体" w:hAnsi="宋体" w:eastAsia="宋体" w:cs="宋体"/>
      </w:rPr>
    </w:lvl>
    <w:lvl w:ilvl="5" w:tentative="0">
      <w:start w:val="1"/>
      <w:numFmt w:val="decimal"/>
      <w:isLgl/>
      <w:suff w:val="space"/>
      <w:lvlText w:val="%1.%2.%3.%4.%5.%6"/>
      <w:lvlJc w:val="left"/>
      <w:pPr>
        <w:tabs>
          <w:tab w:val="left" w:pos="420"/>
        </w:tabs>
        <w:ind w:left="1151" w:hanging="1151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suff w:val="space"/>
      <w:lvlText w:val="%1.%2.%3.%4.%5.%6.%7"/>
      <w:lvlJc w:val="left"/>
      <w:pPr>
        <w:tabs>
          <w:tab w:val="left" w:pos="420"/>
        </w:tabs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3ZDE2MDUyNzExYzI1NTIwOGEzZDVlOGMyYzc1YzIifQ=="/>
  </w:docVars>
  <w:rsids>
    <w:rsidRoot w:val="00172A27"/>
    <w:rsid w:val="00025141"/>
    <w:rsid w:val="000876AC"/>
    <w:rsid w:val="000F0244"/>
    <w:rsid w:val="00105E4E"/>
    <w:rsid w:val="001077AA"/>
    <w:rsid w:val="00111A9F"/>
    <w:rsid w:val="0011387C"/>
    <w:rsid w:val="00145919"/>
    <w:rsid w:val="00170E30"/>
    <w:rsid w:val="00172A27"/>
    <w:rsid w:val="001A21F0"/>
    <w:rsid w:val="001B5C92"/>
    <w:rsid w:val="00217555"/>
    <w:rsid w:val="00220043"/>
    <w:rsid w:val="00271D11"/>
    <w:rsid w:val="002D5186"/>
    <w:rsid w:val="002F6036"/>
    <w:rsid w:val="00326D8E"/>
    <w:rsid w:val="00333270"/>
    <w:rsid w:val="003813CE"/>
    <w:rsid w:val="003A47A1"/>
    <w:rsid w:val="003C692F"/>
    <w:rsid w:val="003C7FC3"/>
    <w:rsid w:val="00422895"/>
    <w:rsid w:val="00433A48"/>
    <w:rsid w:val="00441EFB"/>
    <w:rsid w:val="00464C52"/>
    <w:rsid w:val="004976F7"/>
    <w:rsid w:val="00500E02"/>
    <w:rsid w:val="005323CA"/>
    <w:rsid w:val="005A70B3"/>
    <w:rsid w:val="005B534E"/>
    <w:rsid w:val="005F5DBD"/>
    <w:rsid w:val="00615E40"/>
    <w:rsid w:val="00633AB1"/>
    <w:rsid w:val="00657E34"/>
    <w:rsid w:val="0069155F"/>
    <w:rsid w:val="006A1D1E"/>
    <w:rsid w:val="0074779D"/>
    <w:rsid w:val="007C3307"/>
    <w:rsid w:val="007E4109"/>
    <w:rsid w:val="00803FDE"/>
    <w:rsid w:val="008D2EA8"/>
    <w:rsid w:val="008F7B98"/>
    <w:rsid w:val="0096495A"/>
    <w:rsid w:val="009C29B4"/>
    <w:rsid w:val="009E1C70"/>
    <w:rsid w:val="00A24DB1"/>
    <w:rsid w:val="00A515FA"/>
    <w:rsid w:val="00A74321"/>
    <w:rsid w:val="00AE2E98"/>
    <w:rsid w:val="00B110E1"/>
    <w:rsid w:val="00B812A9"/>
    <w:rsid w:val="00BC2ED5"/>
    <w:rsid w:val="00C207FA"/>
    <w:rsid w:val="00C246D9"/>
    <w:rsid w:val="00C34EF6"/>
    <w:rsid w:val="00C579B8"/>
    <w:rsid w:val="00C67070"/>
    <w:rsid w:val="00C77005"/>
    <w:rsid w:val="00CA5E5A"/>
    <w:rsid w:val="00CE3419"/>
    <w:rsid w:val="00D64EAF"/>
    <w:rsid w:val="00D82436"/>
    <w:rsid w:val="00DF3835"/>
    <w:rsid w:val="00E221F2"/>
    <w:rsid w:val="00E324A9"/>
    <w:rsid w:val="00E86D5D"/>
    <w:rsid w:val="00EA2F63"/>
    <w:rsid w:val="00EA2F98"/>
    <w:rsid w:val="00F26046"/>
    <w:rsid w:val="00F306A3"/>
    <w:rsid w:val="00F6251C"/>
    <w:rsid w:val="00F816EB"/>
    <w:rsid w:val="00FB40C4"/>
    <w:rsid w:val="00FD4560"/>
    <w:rsid w:val="00FF231B"/>
    <w:rsid w:val="017557E2"/>
    <w:rsid w:val="02746AF1"/>
    <w:rsid w:val="02833807"/>
    <w:rsid w:val="032E735E"/>
    <w:rsid w:val="067769B2"/>
    <w:rsid w:val="07971188"/>
    <w:rsid w:val="086710D4"/>
    <w:rsid w:val="095A2027"/>
    <w:rsid w:val="09714BE8"/>
    <w:rsid w:val="09CC5660"/>
    <w:rsid w:val="0B8E6F01"/>
    <w:rsid w:val="0C4A2D31"/>
    <w:rsid w:val="0C654F70"/>
    <w:rsid w:val="0D1F21A8"/>
    <w:rsid w:val="0E253C6B"/>
    <w:rsid w:val="0E2731D4"/>
    <w:rsid w:val="0F435536"/>
    <w:rsid w:val="109F779C"/>
    <w:rsid w:val="120410B0"/>
    <w:rsid w:val="1284667C"/>
    <w:rsid w:val="13396BA2"/>
    <w:rsid w:val="135536AD"/>
    <w:rsid w:val="15683BA3"/>
    <w:rsid w:val="15AA4A23"/>
    <w:rsid w:val="15F51A4C"/>
    <w:rsid w:val="16346922"/>
    <w:rsid w:val="1636536B"/>
    <w:rsid w:val="16EA2012"/>
    <w:rsid w:val="18A57E2C"/>
    <w:rsid w:val="18AB1F57"/>
    <w:rsid w:val="18DC6F08"/>
    <w:rsid w:val="19470FA8"/>
    <w:rsid w:val="19566367"/>
    <w:rsid w:val="1A2A173D"/>
    <w:rsid w:val="1AA553CE"/>
    <w:rsid w:val="1AB0751D"/>
    <w:rsid w:val="1AEF46B1"/>
    <w:rsid w:val="1D4B3699"/>
    <w:rsid w:val="1D5C068B"/>
    <w:rsid w:val="1DFE7D07"/>
    <w:rsid w:val="1E9A4EF4"/>
    <w:rsid w:val="1FCA1C02"/>
    <w:rsid w:val="205C5130"/>
    <w:rsid w:val="206A5273"/>
    <w:rsid w:val="212B5786"/>
    <w:rsid w:val="223B3D8D"/>
    <w:rsid w:val="22523A11"/>
    <w:rsid w:val="22612B8A"/>
    <w:rsid w:val="22A74816"/>
    <w:rsid w:val="239407F9"/>
    <w:rsid w:val="239B794F"/>
    <w:rsid w:val="23FF1592"/>
    <w:rsid w:val="24301621"/>
    <w:rsid w:val="246977B6"/>
    <w:rsid w:val="24B523E0"/>
    <w:rsid w:val="25EE7B6B"/>
    <w:rsid w:val="270D43C6"/>
    <w:rsid w:val="27BA77BE"/>
    <w:rsid w:val="28930206"/>
    <w:rsid w:val="29CA42BD"/>
    <w:rsid w:val="29D627A9"/>
    <w:rsid w:val="2A5F3B4E"/>
    <w:rsid w:val="2ABB2A84"/>
    <w:rsid w:val="2ACF0DD3"/>
    <w:rsid w:val="2C1B1CD8"/>
    <w:rsid w:val="2C427E3D"/>
    <w:rsid w:val="2CA174A1"/>
    <w:rsid w:val="2D21235C"/>
    <w:rsid w:val="2E6A574A"/>
    <w:rsid w:val="2E7216B2"/>
    <w:rsid w:val="2EE1748E"/>
    <w:rsid w:val="2F7F62D7"/>
    <w:rsid w:val="30277F36"/>
    <w:rsid w:val="31993315"/>
    <w:rsid w:val="32411E6D"/>
    <w:rsid w:val="324F6500"/>
    <w:rsid w:val="32ED349E"/>
    <w:rsid w:val="33407C59"/>
    <w:rsid w:val="3487512E"/>
    <w:rsid w:val="348C2401"/>
    <w:rsid w:val="359C25DC"/>
    <w:rsid w:val="37D6166D"/>
    <w:rsid w:val="394F7AAD"/>
    <w:rsid w:val="398D0127"/>
    <w:rsid w:val="399D5B75"/>
    <w:rsid w:val="3A473505"/>
    <w:rsid w:val="3A6410EA"/>
    <w:rsid w:val="3B320448"/>
    <w:rsid w:val="3B5875DE"/>
    <w:rsid w:val="3CE6588A"/>
    <w:rsid w:val="3D76468D"/>
    <w:rsid w:val="3D811A1D"/>
    <w:rsid w:val="3DB979C0"/>
    <w:rsid w:val="3EDD0B36"/>
    <w:rsid w:val="4075708F"/>
    <w:rsid w:val="44292E33"/>
    <w:rsid w:val="44FE38E4"/>
    <w:rsid w:val="452B1A01"/>
    <w:rsid w:val="45C73E56"/>
    <w:rsid w:val="463B11FA"/>
    <w:rsid w:val="47B777AF"/>
    <w:rsid w:val="47CE25CA"/>
    <w:rsid w:val="49177D58"/>
    <w:rsid w:val="49F06BD4"/>
    <w:rsid w:val="4AFD5163"/>
    <w:rsid w:val="4AFE0D96"/>
    <w:rsid w:val="4BA15743"/>
    <w:rsid w:val="4C6B1226"/>
    <w:rsid w:val="4CEA6379"/>
    <w:rsid w:val="4DA160BC"/>
    <w:rsid w:val="4E1A4574"/>
    <w:rsid w:val="4E35689C"/>
    <w:rsid w:val="4EC81B82"/>
    <w:rsid w:val="4FA03191"/>
    <w:rsid w:val="50886F8D"/>
    <w:rsid w:val="510C4590"/>
    <w:rsid w:val="520A7CBF"/>
    <w:rsid w:val="528F3202"/>
    <w:rsid w:val="53BF10BE"/>
    <w:rsid w:val="53C252DA"/>
    <w:rsid w:val="53DF31A5"/>
    <w:rsid w:val="54374CE8"/>
    <w:rsid w:val="54680A3E"/>
    <w:rsid w:val="54F5564F"/>
    <w:rsid w:val="56B179C5"/>
    <w:rsid w:val="56DE4CCA"/>
    <w:rsid w:val="57831AF8"/>
    <w:rsid w:val="57943E46"/>
    <w:rsid w:val="57A96413"/>
    <w:rsid w:val="587E000D"/>
    <w:rsid w:val="59D01610"/>
    <w:rsid w:val="5A644898"/>
    <w:rsid w:val="5B1C067F"/>
    <w:rsid w:val="5B2F5664"/>
    <w:rsid w:val="5B805F06"/>
    <w:rsid w:val="5F174ED2"/>
    <w:rsid w:val="60A857CD"/>
    <w:rsid w:val="60F61900"/>
    <w:rsid w:val="616F4004"/>
    <w:rsid w:val="619D1F53"/>
    <w:rsid w:val="61D919DC"/>
    <w:rsid w:val="62460758"/>
    <w:rsid w:val="62942F0E"/>
    <w:rsid w:val="62BB53D1"/>
    <w:rsid w:val="64AD09EA"/>
    <w:rsid w:val="658F7968"/>
    <w:rsid w:val="65DD3BAC"/>
    <w:rsid w:val="660C1FB0"/>
    <w:rsid w:val="67FE2A02"/>
    <w:rsid w:val="692E2178"/>
    <w:rsid w:val="69F72C56"/>
    <w:rsid w:val="6A15314C"/>
    <w:rsid w:val="6A445293"/>
    <w:rsid w:val="6A785351"/>
    <w:rsid w:val="6A9D2EEF"/>
    <w:rsid w:val="6AF65B9B"/>
    <w:rsid w:val="6E0B6FC7"/>
    <w:rsid w:val="6E942654"/>
    <w:rsid w:val="70ED060E"/>
    <w:rsid w:val="71065ECA"/>
    <w:rsid w:val="713468AA"/>
    <w:rsid w:val="71492771"/>
    <w:rsid w:val="71AE67CB"/>
    <w:rsid w:val="72356B79"/>
    <w:rsid w:val="72495661"/>
    <w:rsid w:val="72873654"/>
    <w:rsid w:val="73272CDC"/>
    <w:rsid w:val="75730F59"/>
    <w:rsid w:val="769B36AB"/>
    <w:rsid w:val="78704A1B"/>
    <w:rsid w:val="79470FEE"/>
    <w:rsid w:val="7A47288D"/>
    <w:rsid w:val="7AE2556E"/>
    <w:rsid w:val="7B5A7276"/>
    <w:rsid w:val="7BFA3B56"/>
    <w:rsid w:val="7D902C51"/>
    <w:rsid w:val="7DEC1AAB"/>
    <w:rsid w:val="7E9419B5"/>
    <w:rsid w:val="7EA86627"/>
    <w:rsid w:val="7F1C35E4"/>
    <w:rsid w:val="7F94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宋体"/>
      <w:kern w:val="2"/>
      <w:sz w:val="24"/>
      <w:szCs w:val="28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pageBreakBefore/>
      <w:numPr>
        <w:ilvl w:val="0"/>
        <w:numId w:val="1"/>
      </w:numPr>
      <w:tabs>
        <w:tab w:val="left" w:pos="420"/>
      </w:tabs>
      <w:spacing w:after="100" w:afterLines="100"/>
      <w:ind w:firstLine="0" w:firstLineChars="0"/>
      <w:jc w:val="center"/>
      <w:outlineLvl w:val="0"/>
    </w:pPr>
    <w:rPr>
      <w:b/>
      <w:kern w:val="44"/>
      <w:sz w:val="36"/>
    </w:rPr>
  </w:style>
  <w:style w:type="paragraph" w:styleId="4">
    <w:name w:val="heading 2"/>
    <w:basedOn w:val="1"/>
    <w:next w:val="1"/>
    <w:unhideWhenUsed/>
    <w:qFormat/>
    <w:uiPriority w:val="0"/>
    <w:pPr>
      <w:numPr>
        <w:ilvl w:val="1"/>
        <w:numId w:val="1"/>
      </w:numPr>
      <w:spacing w:before="260" w:after="260"/>
      <w:ind w:firstLine="0" w:firstLineChars="0"/>
      <w:outlineLvl w:val="1"/>
    </w:pPr>
    <w:rPr>
      <w:rFonts w:ascii="Arial" w:hAnsi="Arial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numPr>
        <w:ilvl w:val="2"/>
        <w:numId w:val="1"/>
      </w:numPr>
      <w:spacing w:before="260" w:after="260"/>
      <w:ind w:left="200" w:hanging="200" w:hangingChars="200"/>
      <w:outlineLvl w:val="2"/>
    </w:pPr>
    <w:rPr>
      <w:rFonts w:asciiTheme="minorHAnsi" w:hAnsiTheme="minorHAnsi"/>
      <w:b/>
      <w:bCs/>
      <w:sz w:val="30"/>
      <w:szCs w:val="32"/>
    </w:rPr>
  </w:style>
  <w:style w:type="paragraph" w:styleId="6">
    <w:name w:val="heading 4"/>
    <w:basedOn w:val="1"/>
    <w:next w:val="1"/>
    <w:unhideWhenUsed/>
    <w:qFormat/>
    <w:uiPriority w:val="0"/>
    <w:pPr>
      <w:numPr>
        <w:ilvl w:val="3"/>
        <w:numId w:val="1"/>
      </w:numPr>
      <w:spacing w:before="280" w:after="290"/>
      <w:ind w:left="200" w:hanging="200" w:hangingChars="200"/>
      <w:outlineLvl w:val="3"/>
    </w:pPr>
    <w:rPr>
      <w:rFonts w:asciiTheme="majorHAnsi" w:hAnsiTheme="majorHAnsi" w:cstheme="majorBidi"/>
      <w:b/>
      <w:bCs/>
      <w:sz w:val="28"/>
    </w:rPr>
  </w:style>
  <w:style w:type="paragraph" w:styleId="7">
    <w:name w:val="heading 5"/>
    <w:basedOn w:val="1"/>
    <w:next w:val="1"/>
    <w:unhideWhenUsed/>
    <w:qFormat/>
    <w:uiPriority w:val="0"/>
    <w:pPr>
      <w:numPr>
        <w:ilvl w:val="4"/>
        <w:numId w:val="1"/>
      </w:numPr>
      <w:tabs>
        <w:tab w:val="left" w:pos="0"/>
      </w:tabs>
      <w:spacing w:before="280" w:after="290"/>
      <w:ind w:left="0" w:firstLine="0" w:firstLineChars="0"/>
      <w:outlineLvl w:val="4"/>
    </w:pPr>
    <w:rPr>
      <w:b/>
      <w:bCs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/>
    </w:pPr>
  </w:style>
  <w:style w:type="paragraph" w:styleId="8">
    <w:name w:val="Body Text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footer"/>
    <w:basedOn w:val="1"/>
    <w:link w:val="3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kern w:val="0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</w:rPr>
  </w:style>
  <w:style w:type="character" w:styleId="19">
    <w:name w:val="page number"/>
    <w:qFormat/>
    <w:uiPriority w:val="0"/>
  </w:style>
  <w:style w:type="character" w:styleId="20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1">
    <w:name w:val="投标样式XC"/>
    <w:basedOn w:val="1"/>
    <w:qFormat/>
    <w:uiPriority w:val="0"/>
    <w:pPr>
      <w:spacing w:before="100" w:beforeAutospacing="1" w:after="100" w:afterAutospacing="1"/>
      <w:ind w:firstLine="200"/>
    </w:pPr>
  </w:style>
  <w:style w:type="paragraph" w:customStyle="1" w:styleId="22">
    <w:name w:val="MM Topic 2"/>
    <w:basedOn w:val="4"/>
    <w:qFormat/>
    <w:uiPriority w:val="0"/>
    <w:pPr>
      <w:numPr>
        <w:numId w:val="2"/>
      </w:numPr>
      <w:tabs>
        <w:tab w:val="left" w:pos="575"/>
      </w:tabs>
    </w:pPr>
    <w:rPr>
      <w:rFonts w:ascii="Cambria" w:hAnsi="Cambria"/>
      <w:kern w:val="0"/>
      <w:sz w:val="36"/>
      <w:szCs w:val="32"/>
    </w:rPr>
  </w:style>
  <w:style w:type="paragraph" w:customStyle="1" w:styleId="23">
    <w:name w:val="表格正文"/>
    <w:basedOn w:val="1"/>
    <w:qFormat/>
    <w:uiPriority w:val="0"/>
    <w:pPr>
      <w:ind w:firstLine="0" w:firstLineChars="0"/>
    </w:pPr>
    <w:rPr>
      <w:rFonts w:ascii="Calibri" w:hAnsi="Calibri" w:cs="Times New Roman"/>
      <w:kern w:val="0"/>
      <w:sz w:val="20"/>
      <w:szCs w:val="21"/>
      <w:lang w:val="zh-CN"/>
    </w:rPr>
  </w:style>
  <w:style w:type="paragraph" w:customStyle="1" w:styleId="24">
    <w:name w:val="列表段落1"/>
    <w:basedOn w:val="1"/>
    <w:qFormat/>
    <w:uiPriority w:val="34"/>
    <w:pPr>
      <w:ind w:firstLine="420"/>
    </w:pPr>
  </w:style>
  <w:style w:type="paragraph" w:customStyle="1" w:styleId="25">
    <w:name w:val="列表段落11"/>
    <w:basedOn w:val="1"/>
    <w:qFormat/>
    <w:uiPriority w:val="99"/>
    <w:pPr>
      <w:ind w:firstLine="420"/>
    </w:pPr>
  </w:style>
  <w:style w:type="paragraph" w:customStyle="1" w:styleId="26">
    <w:name w:val="Char Char Char Char Char Char Char Char Char Char Char Char Char Char Char Char"/>
    <w:basedOn w:val="1"/>
    <w:qFormat/>
    <w:uiPriority w:val="0"/>
    <w:rPr>
      <w:rFonts w:ascii="方正楷体_GB2312" w:hAnsi="Arial" w:eastAsia="方正楷体_GB2312" w:cs="Arial"/>
    </w:rPr>
  </w:style>
  <w:style w:type="character" w:customStyle="1" w:styleId="27">
    <w:name w:val="lake-fontsize-11"/>
    <w:qFormat/>
    <w:uiPriority w:val="0"/>
  </w:style>
  <w:style w:type="paragraph" w:customStyle="1" w:styleId="28">
    <w:name w:val="列出段落4"/>
    <w:basedOn w:val="1"/>
    <w:qFormat/>
    <w:uiPriority w:val="99"/>
    <w:pPr>
      <w:spacing w:line="240" w:lineRule="auto"/>
      <w:ind w:firstLine="420"/>
    </w:pPr>
    <w:rPr>
      <w:rFonts w:ascii="Calibri" w:hAnsi="Calibri" w:cs="黑体"/>
      <w:sz w:val="21"/>
      <w:szCs w:val="21"/>
    </w:rPr>
  </w:style>
  <w:style w:type="paragraph" w:customStyle="1" w:styleId="29">
    <w:name w:val="列出段落3"/>
    <w:basedOn w:val="1"/>
    <w:unhideWhenUsed/>
    <w:qFormat/>
    <w:uiPriority w:val="99"/>
    <w:pPr>
      <w:ind w:firstLine="420"/>
    </w:pPr>
  </w:style>
  <w:style w:type="paragraph" w:customStyle="1" w:styleId="30">
    <w:name w:val="列出段落2"/>
    <w:basedOn w:val="1"/>
    <w:qFormat/>
    <w:uiPriority w:val="0"/>
    <w:pPr>
      <w:ind w:firstLine="420"/>
    </w:pPr>
  </w:style>
  <w:style w:type="paragraph" w:customStyle="1" w:styleId="31">
    <w:name w:val="!BECC正文"/>
    <w:basedOn w:val="1"/>
    <w:qFormat/>
    <w:uiPriority w:val="0"/>
    <w:pPr>
      <w:tabs>
        <w:tab w:val="left" w:pos="0"/>
      </w:tabs>
      <w:spacing w:beforeLines="50" w:afterLines="50"/>
      <w:ind w:firstLine="200"/>
      <w:contextualSpacing/>
    </w:pPr>
    <w:rPr>
      <w:lang w:val="zh-CN"/>
    </w:rPr>
  </w:style>
  <w:style w:type="paragraph" w:customStyle="1" w:styleId="32">
    <w:name w:val="GP正文(首行缩进)"/>
    <w:basedOn w:val="1"/>
    <w:qFormat/>
    <w:uiPriority w:val="0"/>
    <w:pPr>
      <w:ind w:firstLine="560"/>
    </w:pPr>
    <w:rPr>
      <w:rFonts w:eastAsia="方正楷体_GB2312"/>
    </w:rPr>
  </w:style>
  <w:style w:type="paragraph" w:customStyle="1" w:styleId="33">
    <w:name w:val="Table Paragraph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customStyle="1" w:styleId="34">
    <w:name w:val="TOC 标题1"/>
    <w:basedOn w:val="3"/>
    <w:next w:val="1"/>
    <w:unhideWhenUsed/>
    <w:qFormat/>
    <w:uiPriority w:val="39"/>
    <w:pPr>
      <w:widowControl/>
      <w:tabs>
        <w:tab w:val="clear" w:pos="420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character" w:customStyle="1" w:styleId="35">
    <w:name w:val="页脚 字符"/>
    <w:basedOn w:val="17"/>
    <w:link w:val="10"/>
    <w:qFormat/>
    <w:uiPriority w:val="99"/>
    <w:rPr>
      <w:rFonts w:ascii="宋体" w:hAnsi="宋体" w:eastAsia="宋体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478</Words>
  <Characters>2729</Characters>
  <Lines>22</Lines>
  <Paragraphs>6</Paragraphs>
  <TotalTime>0</TotalTime>
  <ScaleCrop>false</ScaleCrop>
  <LinksUpToDate>false</LinksUpToDate>
  <CharactersWithSpaces>3201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2021-03-18T07:20:00Z</dcterms:created>
  <dc:creator>LeonZ</dc:creator>
  <cp:lastModifiedBy>林凯杰</cp:lastModifiedBy>
  <cp:lastPrinted>2022-07-21T16:30:00Z</cp:lastPrinted>
  <dcterms:modified xsi:type="dcterms:W3CDTF">2022-07-28T09:57:55Z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18740496F13D4CC890F5BE070FD44BD2</vt:lpwstr>
  </property>
</Properties>
</file>