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广东省电子非税收入一般缴款书式样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4876800" cy="3116580"/>
            <wp:effectExtent l="0" t="0" r="0" b="7620"/>
            <wp:docPr id="1" name="图片 1" descr="c6067d598fb89aa2d31c501cdea099c2-28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067d598fb89aa2d31c501cdea099c2-283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napToGrid w:val="0"/>
        <w:spacing w:line="360" w:lineRule="auto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zh-CN" w:bidi="zh-CN"/>
        </w:rPr>
        <w:t>票面要素包括:电子《非税收入一般缴款书》名称、电子《非税收入一般缴款书》财政监制章、缴款码、执收单位编码、执收单位名称、票据代码（一般缴款书代码）、票据号码（一般缴款书号码）、校验码、填制日期</w:t>
      </w:r>
      <w:bookmarkStart w:id="0" w:name="_GoBack"/>
      <w:bookmarkEnd w:id="0"/>
      <w:r>
        <w:rPr>
          <w:rFonts w:hint="eastAsia" w:ascii="仿宋_GB2312" w:hAnsi="仿宋" w:eastAsia="仿宋_GB2312" w:cs="仿宋"/>
          <w:kern w:val="0"/>
          <w:sz w:val="32"/>
          <w:szCs w:val="32"/>
          <w:lang w:val="zh-CN" w:bidi="zh-CN"/>
        </w:rPr>
        <w:t>、二维码、付款人信息（全称、账号、开户银行）、收款人信息（全称、账号、开户银行）、币种、金额（大写）／（小写）、项目编码、收入项目名称、单位、数量、收缴标准、金额、执收单位（盖章）、经办人（盖章）、备注等。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F2278"/>
    <w:rsid w:val="776A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林凯杰</cp:lastModifiedBy>
  <cp:lastPrinted>2022-08-08T01:51:00Z</cp:lastPrinted>
  <dcterms:modified xsi:type="dcterms:W3CDTF">2022-08-11T02:46:50Z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