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utoSpaceDE w:val="0"/>
        <w:autoSpaceDN w:val="0"/>
        <w:snapToGrid/>
        <w:spacing w:after="0" w:line="500" w:lineRule="exact"/>
        <w:ind w:firstLine="480"/>
        <w:jc w:val="center"/>
        <w:rPr>
          <w:rFonts w:ascii="仿宋" w:hAnsi="仿宋" w:eastAsia="仿宋" w:cs="Times New Roman"/>
          <w:b/>
          <w:sz w:val="48"/>
          <w:szCs w:val="48"/>
          <w:lang w:val="zh-CN"/>
        </w:rPr>
      </w:pPr>
      <w:r>
        <w:rPr>
          <w:rFonts w:hint="eastAsia" w:ascii="仿宋" w:hAnsi="仿宋" w:eastAsia="仿宋" w:cs="Times New Roman"/>
          <w:b/>
          <w:sz w:val="48"/>
          <w:szCs w:val="48"/>
          <w:lang w:val="zh-CN"/>
        </w:rPr>
        <w:t>海丰县县</w:t>
      </w:r>
      <w:r>
        <w:rPr>
          <w:rFonts w:ascii="仿宋" w:hAnsi="仿宋" w:eastAsia="仿宋" w:cs="Times New Roman"/>
          <w:b/>
          <w:sz w:val="48"/>
          <w:szCs w:val="48"/>
          <w:lang w:val="zh-CN"/>
        </w:rPr>
        <w:t>属企业国有资本收益收缴</w:t>
      </w:r>
    </w:p>
    <w:p>
      <w:pPr>
        <w:widowControl w:val="0"/>
        <w:overflowPunct w:val="0"/>
        <w:autoSpaceDE w:val="0"/>
        <w:autoSpaceDN w:val="0"/>
        <w:snapToGrid/>
        <w:spacing w:after="0" w:line="500" w:lineRule="exact"/>
        <w:ind w:firstLine="480"/>
        <w:jc w:val="center"/>
        <w:rPr>
          <w:rFonts w:hint="eastAsia" w:ascii="仿宋" w:hAnsi="仿宋" w:eastAsia="仿宋" w:cs="Times New Roman"/>
          <w:b/>
          <w:sz w:val="48"/>
          <w:szCs w:val="48"/>
          <w:lang w:val="zh-CN"/>
        </w:rPr>
      </w:pPr>
      <w:r>
        <w:rPr>
          <w:rFonts w:ascii="仿宋" w:hAnsi="仿宋" w:eastAsia="仿宋" w:cs="Times New Roman"/>
          <w:b/>
          <w:sz w:val="48"/>
          <w:szCs w:val="48"/>
          <w:lang w:val="zh-CN"/>
        </w:rPr>
        <w:t>管理办法</w:t>
      </w:r>
      <w:r>
        <w:rPr>
          <w:rFonts w:hint="eastAsia" w:ascii="仿宋" w:hAnsi="仿宋" w:eastAsia="仿宋" w:cs="Times New Roman"/>
          <w:b/>
          <w:sz w:val="48"/>
          <w:szCs w:val="48"/>
          <w:lang w:val="zh-CN"/>
        </w:rPr>
        <w:t>（</w:t>
      </w:r>
      <w:r>
        <w:rPr>
          <w:rFonts w:hint="eastAsia" w:ascii="仿宋" w:hAnsi="仿宋" w:eastAsia="仿宋" w:cs="Times New Roman"/>
          <w:b/>
          <w:sz w:val="48"/>
          <w:szCs w:val="48"/>
          <w:lang w:val="en-US" w:eastAsia="zh-CN"/>
        </w:rPr>
        <w:t>征求意见稿</w:t>
      </w:r>
      <w:r>
        <w:rPr>
          <w:rFonts w:hint="eastAsia" w:ascii="仿宋" w:hAnsi="仿宋" w:eastAsia="仿宋" w:cs="Times New Roman"/>
          <w:b/>
          <w:sz w:val="48"/>
          <w:szCs w:val="48"/>
          <w:lang w:val="zh-CN"/>
        </w:rPr>
        <w:t>）</w:t>
      </w:r>
    </w:p>
    <w:p>
      <w:pPr>
        <w:widowControl w:val="0"/>
        <w:overflowPunct w:val="0"/>
        <w:autoSpaceDE w:val="0"/>
        <w:autoSpaceDN w:val="0"/>
        <w:snapToGrid/>
        <w:spacing w:after="0" w:line="500" w:lineRule="exact"/>
        <w:jc w:val="both"/>
        <w:rPr>
          <w:rFonts w:ascii="仿宋" w:hAnsi="仿宋" w:eastAsia="仿宋" w:cs="Times New Roman"/>
          <w:sz w:val="32"/>
          <w:szCs w:val="32"/>
          <w:lang w:val="zh-CN"/>
        </w:rPr>
      </w:pPr>
    </w:p>
    <w:p>
      <w:pPr>
        <w:pStyle w:val="8"/>
        <w:widowControl w:val="0"/>
        <w:numPr>
          <w:ilvl w:val="0"/>
          <w:numId w:val="1"/>
        </w:numPr>
        <w:overflowPunct w:val="0"/>
        <w:autoSpaceDE w:val="0"/>
        <w:autoSpaceDN w:val="0"/>
        <w:snapToGrid/>
        <w:spacing w:after="0" w:line="500" w:lineRule="exact"/>
        <w:ind w:firstLineChars="0"/>
        <w:jc w:val="center"/>
        <w:rPr>
          <w:rFonts w:ascii="仿宋" w:hAnsi="仿宋" w:eastAsia="仿宋" w:cs="Times New Roman"/>
          <w:b/>
          <w:bCs/>
          <w:sz w:val="32"/>
          <w:szCs w:val="32"/>
          <w:lang w:val="zh-CN"/>
        </w:rPr>
      </w:pPr>
      <w:r>
        <w:rPr>
          <w:rFonts w:ascii="仿宋" w:hAnsi="仿宋" w:eastAsia="仿宋" w:cs="Times New Roman"/>
          <w:b/>
          <w:bCs/>
          <w:sz w:val="32"/>
          <w:szCs w:val="32"/>
          <w:lang w:val="zh-CN"/>
        </w:rPr>
        <w:t>总则</w:t>
      </w:r>
    </w:p>
    <w:p>
      <w:pPr>
        <w:pStyle w:val="8"/>
        <w:widowControl w:val="0"/>
        <w:overflowPunct w:val="0"/>
        <w:autoSpaceDE w:val="0"/>
        <w:autoSpaceDN w:val="0"/>
        <w:snapToGrid/>
        <w:spacing w:after="0" w:line="500" w:lineRule="exact"/>
        <w:ind w:left="1608" w:firstLine="0" w:firstLineChars="0"/>
        <w:rPr>
          <w:rFonts w:hint="eastAsia" w:ascii="仿宋" w:hAnsi="仿宋" w:eastAsia="仿宋" w:cs="Times New Roman"/>
          <w:b/>
          <w:bCs/>
          <w:sz w:val="32"/>
          <w:szCs w:val="32"/>
          <w:lang w:val="zh-CN"/>
        </w:rPr>
      </w:pPr>
    </w:p>
    <w:p>
      <w:pPr>
        <w:keepNext w:val="0"/>
        <w:keepLines w:val="0"/>
        <w:pageBreakBefore w:val="0"/>
        <w:kinsoku/>
        <w:wordWrap/>
        <w:topLinePunct w:val="0"/>
        <w:bidi w:val="0"/>
        <w:adjustRightInd w:val="0"/>
        <w:spacing w:beforeLines="0" w:afterLines="0" w:line="500" w:lineRule="exact"/>
        <w:ind w:firstLine="643" w:firstLineChars="200"/>
        <w:textAlignment w:val="auto"/>
        <w:rPr>
          <w:rFonts w:ascii="仿宋" w:hAnsi="仿宋" w:eastAsia="仿宋" w:cs="Times New Roman"/>
          <w:sz w:val="32"/>
          <w:szCs w:val="32"/>
          <w:lang w:val="zh-CN"/>
        </w:rPr>
      </w:pPr>
      <w:r>
        <w:rPr>
          <w:rFonts w:ascii="仿宋" w:hAnsi="仿宋" w:eastAsia="仿宋" w:cs="Times New Roman"/>
          <w:b/>
          <w:bCs/>
          <w:sz w:val="32"/>
          <w:szCs w:val="32"/>
          <w:lang w:val="zh-CN"/>
        </w:rPr>
        <w:t>第一条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为规范</w:t>
      </w:r>
      <w:r>
        <w:rPr>
          <w:rFonts w:hint="eastAsia" w:ascii="仿宋" w:hAnsi="仿宋" w:eastAsia="仿宋" w:cs="Times New Roman"/>
          <w:sz w:val="32"/>
          <w:szCs w:val="32"/>
          <w:lang w:val="zh-CN"/>
        </w:rPr>
        <w:t>县</w:t>
      </w:r>
      <w:r>
        <w:rPr>
          <w:rFonts w:ascii="仿宋" w:hAnsi="仿宋" w:eastAsia="仿宋" w:cs="Times New Roman"/>
          <w:sz w:val="32"/>
          <w:szCs w:val="32"/>
          <w:lang w:val="zh-CN"/>
        </w:rPr>
        <w:t>属企业国有资本收益收缴管理，根据《中华人民共和国预算法》《中华人民共和国公司法》《中华人民共和国企业国有资产法》及《国务院关于改革和完善国有资产管理体制的若干意见》（国发</w:t>
      </w:r>
      <w:r>
        <w:rPr>
          <w:rFonts w:hint="eastAsia" w:ascii="仿宋" w:hAnsi="仿宋" w:eastAsia="仿宋" w:cs="仿宋"/>
          <w:sz w:val="32"/>
          <w:szCs w:val="32"/>
        </w:rPr>
        <w:t>〔2015〕</w:t>
      </w:r>
      <w:r>
        <w:rPr>
          <w:rFonts w:ascii="仿宋" w:hAnsi="仿宋" w:eastAsia="仿宋" w:cs="Times New Roman"/>
          <w:sz w:val="32"/>
          <w:szCs w:val="32"/>
          <w:lang w:val="zh-CN"/>
        </w:rPr>
        <w:t>63号）等规定，参照《中央企业国有资本收益收</w:t>
      </w:r>
      <w:bookmarkStart w:id="0" w:name="_GoBack"/>
      <w:bookmarkEnd w:id="0"/>
      <w:r>
        <w:rPr>
          <w:rFonts w:ascii="仿宋" w:hAnsi="仿宋" w:eastAsia="仿宋" w:cs="Times New Roman"/>
          <w:sz w:val="32"/>
          <w:szCs w:val="32"/>
          <w:lang w:val="zh-CN"/>
        </w:rPr>
        <w:t>取管理办法》有关精神，制定本办法。</w:t>
      </w:r>
    </w:p>
    <w:p>
      <w:pPr>
        <w:keepNext w:val="0"/>
        <w:keepLines w:val="0"/>
        <w:pageBreakBefore w:val="0"/>
        <w:widowControl w:val="0"/>
        <w:kinsoku/>
        <w:wordWrap/>
        <w:overflowPunct w:val="0"/>
        <w:topLinePunct w:val="0"/>
        <w:autoSpaceDE w:val="0"/>
        <w:autoSpaceDN w:val="0"/>
        <w:bidi w:val="0"/>
        <w:adjustRightInd w:val="0"/>
        <w:snapToGrid/>
        <w:spacing w:after="0" w:line="500" w:lineRule="exact"/>
        <w:ind w:firstLine="643" w:firstLineChars="200"/>
        <w:jc w:val="both"/>
        <w:textAlignment w:val="auto"/>
        <w:rPr>
          <w:rFonts w:ascii="仿宋" w:hAnsi="仿宋" w:eastAsia="仿宋" w:cs="Times New Roman"/>
          <w:sz w:val="32"/>
          <w:szCs w:val="32"/>
          <w:lang w:val="zh-CN"/>
        </w:rPr>
      </w:pPr>
      <w:r>
        <w:rPr>
          <w:rFonts w:ascii="仿宋" w:hAnsi="仿宋" w:eastAsia="仿宋" w:cs="Times New Roman"/>
          <w:b/>
          <w:bCs/>
          <w:sz w:val="32"/>
          <w:szCs w:val="32"/>
          <w:lang w:val="zh-CN"/>
        </w:rPr>
        <w:t>第二条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纳入</w:t>
      </w:r>
      <w:r>
        <w:rPr>
          <w:rFonts w:hint="eastAsia" w:ascii="仿宋" w:hAnsi="仿宋" w:eastAsia="仿宋" w:cs="Times New Roman"/>
          <w:sz w:val="32"/>
          <w:szCs w:val="32"/>
          <w:lang w:val="zh-CN"/>
        </w:rPr>
        <w:t>县</w:t>
      </w:r>
      <w:r>
        <w:rPr>
          <w:rFonts w:ascii="仿宋" w:hAnsi="仿宋" w:eastAsia="仿宋" w:cs="Times New Roman"/>
          <w:sz w:val="32"/>
          <w:szCs w:val="32"/>
          <w:lang w:val="zh-CN"/>
        </w:rPr>
        <w:t>级国有资本经营预算实施范围的</w:t>
      </w:r>
      <w:r>
        <w:rPr>
          <w:rFonts w:hint="eastAsia" w:ascii="仿宋" w:hAnsi="仿宋" w:eastAsia="仿宋" w:cs="Times New Roman"/>
          <w:sz w:val="32"/>
          <w:szCs w:val="32"/>
          <w:lang w:val="zh-CN"/>
        </w:rPr>
        <w:t>县</w:t>
      </w:r>
      <w:r>
        <w:rPr>
          <w:rFonts w:ascii="仿宋" w:hAnsi="仿宋" w:eastAsia="仿宋" w:cs="Times New Roman"/>
          <w:sz w:val="32"/>
          <w:szCs w:val="32"/>
          <w:lang w:val="zh-CN"/>
        </w:rPr>
        <w:t>属企业（即一级企业，不含金融企业，下同）国有资本收益的申报、</w:t>
      </w:r>
      <w:r>
        <w:rPr>
          <w:rFonts w:hint="eastAsia" w:ascii="仿宋" w:hAnsi="仿宋" w:eastAsia="仿宋" w:cs="Times New Roman"/>
          <w:sz w:val="32"/>
          <w:szCs w:val="32"/>
          <w:lang w:val="zh-CN"/>
        </w:rPr>
        <w:t>核定</w:t>
      </w:r>
      <w:r>
        <w:rPr>
          <w:rFonts w:ascii="仿宋" w:hAnsi="仿宋" w:eastAsia="仿宋" w:cs="Times New Roman"/>
          <w:sz w:val="32"/>
          <w:szCs w:val="32"/>
          <w:lang w:val="zh-CN"/>
        </w:rPr>
        <w:t>、上交，适用本办法。</w:t>
      </w:r>
    </w:p>
    <w:p>
      <w:pPr>
        <w:keepNext w:val="0"/>
        <w:keepLines w:val="0"/>
        <w:pageBreakBefore w:val="0"/>
        <w:widowControl w:val="0"/>
        <w:kinsoku/>
        <w:wordWrap/>
        <w:overflowPunct w:val="0"/>
        <w:topLinePunct w:val="0"/>
        <w:autoSpaceDE w:val="0"/>
        <w:autoSpaceDN w:val="0"/>
        <w:bidi w:val="0"/>
        <w:adjustRightInd w:val="0"/>
        <w:snapToGrid/>
        <w:spacing w:after="0" w:line="500" w:lineRule="exact"/>
        <w:ind w:firstLine="643" w:firstLineChars="200"/>
        <w:jc w:val="both"/>
        <w:textAlignment w:val="auto"/>
        <w:rPr>
          <w:rFonts w:ascii="仿宋" w:hAnsi="仿宋" w:eastAsia="仿宋" w:cs="Times New Roman"/>
          <w:sz w:val="32"/>
          <w:szCs w:val="32"/>
          <w:lang w:val="zh-CN"/>
        </w:rPr>
      </w:pPr>
      <w:r>
        <w:rPr>
          <w:rFonts w:ascii="仿宋" w:hAnsi="仿宋" w:eastAsia="仿宋" w:cs="Times New Roman"/>
          <w:b/>
          <w:bCs/>
          <w:sz w:val="32"/>
          <w:szCs w:val="32"/>
          <w:lang w:val="zh-CN"/>
        </w:rPr>
        <w:t>第三条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本办法所称国有资本收益，是指国家以所有者身份依法取得的国有资本投资收益，具体包括：</w:t>
      </w:r>
    </w:p>
    <w:p>
      <w:pPr>
        <w:keepNext w:val="0"/>
        <w:keepLines w:val="0"/>
        <w:pageBreakBefore w:val="0"/>
        <w:widowControl w:val="0"/>
        <w:kinsoku/>
        <w:wordWrap/>
        <w:overflowPunct w:val="0"/>
        <w:topLinePunct w:val="0"/>
        <w:autoSpaceDE w:val="0"/>
        <w:autoSpaceDN w:val="0"/>
        <w:bidi w:val="0"/>
        <w:adjustRightInd w:val="0"/>
        <w:snapToGrid/>
        <w:spacing w:after="0" w:line="500" w:lineRule="exact"/>
        <w:ind w:firstLine="640" w:firstLineChars="200"/>
        <w:jc w:val="both"/>
        <w:textAlignment w:val="auto"/>
        <w:rPr>
          <w:rFonts w:ascii="仿宋" w:hAnsi="仿宋" w:eastAsia="仿宋" w:cs="Times New Roman"/>
          <w:sz w:val="32"/>
          <w:szCs w:val="32"/>
          <w:lang w:val="zh-CN"/>
        </w:rPr>
      </w:pPr>
      <w:r>
        <w:rPr>
          <w:rFonts w:ascii="仿宋" w:hAnsi="仿宋" w:eastAsia="仿宋" w:cs="Times New Roman"/>
          <w:sz w:val="32"/>
          <w:szCs w:val="32"/>
          <w:lang w:val="zh-CN"/>
        </w:rPr>
        <w:t>（一）应交利润，即国有独资企业按规定应当上交国家的利润；</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（二）国有股股利、股息，即国有控股、参股企业国有股权（股份）获得的股利、股息收入；</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（三）国有产权转让收入，即转让国有产权、股权（股份）获得的收入；</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（四）企业清算收入，即国有独资企业清算收入（扣除清算费用），国有控股、参股企业国有股权（股份）分享的公司清算收入（扣除清算费用）；</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（五）其他国有资本收益。</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第四条</w:t>
      </w:r>
      <w:r>
        <w:rPr>
          <w:rFonts w:hint="eastAsia" w:ascii="仿宋" w:hAnsi="仿宋" w:eastAsia="仿宋" w:cs="Times New Roman"/>
          <w:sz w:val="32"/>
          <w:szCs w:val="32"/>
          <w:lang w:val="zh-CN"/>
        </w:rPr>
        <w:t xml:space="preserve"> 县</w:t>
      </w:r>
      <w:r>
        <w:rPr>
          <w:rFonts w:ascii="仿宋" w:hAnsi="仿宋" w:eastAsia="仿宋" w:cs="Times New Roman"/>
          <w:sz w:val="32"/>
          <w:szCs w:val="32"/>
          <w:lang w:val="zh-CN"/>
        </w:rPr>
        <w:t>属企业国有资本收益应当按照国库集中收缴的有关规定直接上交</w:t>
      </w:r>
      <w:r>
        <w:rPr>
          <w:rFonts w:hint="eastAsia" w:ascii="仿宋" w:hAnsi="仿宋" w:eastAsia="仿宋" w:cs="Times New Roman"/>
          <w:sz w:val="32"/>
          <w:szCs w:val="32"/>
          <w:lang w:val="zh-CN"/>
        </w:rPr>
        <w:t>县</w:t>
      </w:r>
      <w:r>
        <w:rPr>
          <w:rFonts w:ascii="仿宋" w:hAnsi="仿宋" w:eastAsia="仿宋" w:cs="Times New Roman"/>
          <w:sz w:val="32"/>
          <w:szCs w:val="32"/>
          <w:lang w:val="zh-CN"/>
        </w:rPr>
        <w:t>级财政，纳入</w:t>
      </w:r>
      <w:r>
        <w:rPr>
          <w:rFonts w:hint="eastAsia" w:ascii="仿宋" w:hAnsi="仿宋" w:eastAsia="仿宋" w:cs="Times New Roman"/>
          <w:sz w:val="32"/>
          <w:szCs w:val="32"/>
          <w:lang w:val="zh-CN"/>
        </w:rPr>
        <w:t>县</w:t>
      </w:r>
      <w:r>
        <w:rPr>
          <w:rFonts w:ascii="仿宋" w:hAnsi="仿宋" w:eastAsia="仿宋" w:cs="Times New Roman"/>
          <w:sz w:val="32"/>
          <w:szCs w:val="32"/>
          <w:lang w:val="zh-CN"/>
        </w:rPr>
        <w:t>本级国有资本经营预算收入管理。</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第五条</w:t>
      </w:r>
      <w:r>
        <w:rPr>
          <w:rFonts w:hint="eastAsia" w:ascii="仿宋" w:hAnsi="仿宋" w:eastAsia="仿宋" w:cs="Times New Roman"/>
          <w:sz w:val="32"/>
          <w:szCs w:val="32"/>
          <w:lang w:val="zh-CN"/>
        </w:rPr>
        <w:t xml:space="preserve"> 县</w:t>
      </w:r>
      <w:r>
        <w:rPr>
          <w:rFonts w:ascii="仿宋" w:hAnsi="仿宋" w:eastAsia="仿宋" w:cs="Times New Roman"/>
          <w:sz w:val="32"/>
          <w:szCs w:val="32"/>
          <w:lang w:val="zh-CN"/>
        </w:rPr>
        <w:t>级财政部门负责组织</w:t>
      </w:r>
      <w:r>
        <w:rPr>
          <w:rFonts w:hint="eastAsia" w:ascii="仿宋" w:hAnsi="仿宋" w:eastAsia="仿宋" w:cs="Times New Roman"/>
          <w:sz w:val="32"/>
          <w:szCs w:val="32"/>
          <w:lang w:val="zh-CN"/>
        </w:rPr>
        <w:t>及</w:t>
      </w:r>
      <w:r>
        <w:rPr>
          <w:rFonts w:ascii="仿宋" w:hAnsi="仿宋" w:eastAsia="仿宋" w:cs="Times New Roman"/>
          <w:sz w:val="32"/>
          <w:szCs w:val="32"/>
          <w:lang w:val="zh-CN"/>
        </w:rPr>
        <w:t>收缴所属（或监管）</w:t>
      </w:r>
      <w:r>
        <w:rPr>
          <w:rFonts w:hint="eastAsia" w:ascii="仿宋" w:hAnsi="仿宋" w:eastAsia="仿宋" w:cs="Times New Roman"/>
          <w:sz w:val="32"/>
          <w:szCs w:val="32"/>
          <w:lang w:val="zh-CN"/>
        </w:rPr>
        <w:t>县</w:t>
      </w:r>
      <w:r>
        <w:rPr>
          <w:rFonts w:ascii="仿宋" w:hAnsi="仿宋" w:eastAsia="仿宋" w:cs="Times New Roman"/>
          <w:sz w:val="32"/>
          <w:szCs w:val="32"/>
          <w:lang w:val="zh-CN"/>
        </w:rPr>
        <w:t>属企业国有资本收益。</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第六条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为加快预算执行进度，</w:t>
      </w:r>
      <w:r>
        <w:rPr>
          <w:rFonts w:hint="eastAsia" w:ascii="仿宋" w:hAnsi="仿宋" w:eastAsia="仿宋" w:cs="Times New Roman"/>
          <w:sz w:val="32"/>
          <w:szCs w:val="32"/>
          <w:lang w:val="zh-CN"/>
        </w:rPr>
        <w:t>县</w:t>
      </w:r>
      <w:r>
        <w:rPr>
          <w:rFonts w:ascii="仿宋" w:hAnsi="仿宋" w:eastAsia="仿宋" w:cs="Times New Roman"/>
          <w:sz w:val="32"/>
          <w:szCs w:val="32"/>
          <w:lang w:val="zh-CN"/>
        </w:rPr>
        <w:t>级财政部门可以预收部分</w:t>
      </w:r>
      <w:r>
        <w:rPr>
          <w:rFonts w:hint="eastAsia" w:ascii="仿宋" w:hAnsi="仿宋" w:eastAsia="仿宋" w:cs="Times New Roman"/>
          <w:sz w:val="32"/>
          <w:szCs w:val="32"/>
          <w:lang w:val="zh-CN"/>
        </w:rPr>
        <w:t>县</w:t>
      </w:r>
      <w:r>
        <w:rPr>
          <w:rFonts w:ascii="仿宋" w:hAnsi="仿宋" w:eastAsia="仿宋" w:cs="Times New Roman"/>
          <w:sz w:val="32"/>
          <w:szCs w:val="32"/>
          <w:lang w:val="zh-CN"/>
        </w:rPr>
        <w:t>属企业国有资本收益。</w:t>
      </w:r>
    </w:p>
    <w:p>
      <w:pPr>
        <w:widowControl w:val="0"/>
        <w:overflowPunct w:val="0"/>
        <w:autoSpaceDE w:val="0"/>
        <w:autoSpaceDN w:val="0"/>
        <w:snapToGrid/>
        <w:spacing w:after="0" w:line="500" w:lineRule="exact"/>
        <w:ind w:firstLine="640" w:firstLineChars="200"/>
        <w:jc w:val="both"/>
        <w:rPr>
          <w:rFonts w:hint="eastAsia" w:ascii="仿宋" w:hAnsi="仿宋" w:eastAsia="仿宋" w:cs="Times New Roman"/>
          <w:sz w:val="32"/>
          <w:szCs w:val="32"/>
          <w:lang w:val="zh-CN"/>
        </w:rPr>
      </w:pPr>
    </w:p>
    <w:p>
      <w:pPr>
        <w:overflowPunct w:val="0"/>
        <w:spacing w:line="500" w:lineRule="exact"/>
        <w:jc w:val="center"/>
        <w:rPr>
          <w:rFonts w:ascii="仿宋" w:hAnsi="仿宋" w:eastAsia="仿宋" w:cs="Times New Roman"/>
          <w:b/>
          <w:bCs/>
          <w:sz w:val="32"/>
          <w:szCs w:val="32"/>
          <w:lang w:val="zh-CN"/>
        </w:rPr>
      </w:pPr>
      <w:r>
        <w:rPr>
          <w:rFonts w:ascii="仿宋" w:hAnsi="仿宋" w:eastAsia="仿宋" w:cs="Times New Roman"/>
          <w:b/>
          <w:bCs/>
          <w:sz w:val="32"/>
          <w:szCs w:val="32"/>
          <w:lang w:val="zh-CN"/>
        </w:rPr>
        <w:t>第二章</w:t>
      </w:r>
      <w:r>
        <w:rPr>
          <w:rFonts w:hint="eastAsia" w:ascii="仿宋" w:hAnsi="仿宋" w:eastAsia="仿宋" w:cs="Times New Roman"/>
          <w:b/>
          <w:bCs/>
          <w:sz w:val="32"/>
          <w:szCs w:val="32"/>
          <w:lang w:val="zh-CN"/>
        </w:rPr>
        <w:t xml:space="preserve"> 县</w:t>
      </w:r>
      <w:r>
        <w:rPr>
          <w:rFonts w:ascii="仿宋" w:hAnsi="仿宋" w:eastAsia="仿宋" w:cs="Times New Roman"/>
          <w:b/>
          <w:bCs/>
          <w:sz w:val="32"/>
          <w:szCs w:val="32"/>
          <w:lang w:val="zh-CN"/>
        </w:rPr>
        <w:t>属企业国有资本收益的申报</w:t>
      </w:r>
    </w:p>
    <w:p>
      <w:pPr>
        <w:overflowPunct w:val="0"/>
        <w:spacing w:line="500" w:lineRule="exact"/>
        <w:jc w:val="center"/>
        <w:rPr>
          <w:rFonts w:hint="eastAsia" w:ascii="仿宋" w:hAnsi="仿宋" w:eastAsia="仿宋" w:cs="Times New Roman"/>
          <w:b/>
          <w:bCs/>
          <w:sz w:val="32"/>
          <w:szCs w:val="32"/>
          <w:lang w:val="zh-CN"/>
        </w:rPr>
      </w:pPr>
    </w:p>
    <w:p>
      <w:pPr>
        <w:overflowPunct w:val="0"/>
        <w:spacing w:line="500" w:lineRule="exact"/>
        <w:ind w:firstLine="643" w:firstLineChars="200"/>
        <w:rPr>
          <w:rFonts w:ascii="仿宋" w:hAnsi="仿宋" w:eastAsia="仿宋" w:cs="Times New Roman"/>
          <w:sz w:val="32"/>
          <w:szCs w:val="32"/>
          <w:lang w:val="zh-CN"/>
        </w:rPr>
      </w:pPr>
      <w:r>
        <w:rPr>
          <w:rFonts w:ascii="仿宋" w:hAnsi="仿宋" w:eastAsia="仿宋" w:cs="Times New Roman"/>
          <w:b/>
          <w:bCs/>
          <w:sz w:val="32"/>
          <w:szCs w:val="32"/>
          <w:lang w:val="zh-CN"/>
        </w:rPr>
        <w:t>第七条</w:t>
      </w:r>
      <w:r>
        <w:rPr>
          <w:rFonts w:hint="eastAsia" w:ascii="仿宋" w:hAnsi="仿宋" w:eastAsia="仿宋" w:cs="Times New Roman"/>
          <w:sz w:val="32"/>
          <w:szCs w:val="32"/>
          <w:lang w:val="zh-CN"/>
        </w:rPr>
        <w:t xml:space="preserve"> 县</w:t>
      </w:r>
      <w:r>
        <w:rPr>
          <w:rFonts w:ascii="仿宋" w:hAnsi="仿宋" w:eastAsia="仿宋" w:cs="Times New Roman"/>
          <w:sz w:val="32"/>
          <w:szCs w:val="32"/>
          <w:lang w:val="zh-CN"/>
        </w:rPr>
        <w:t>级财政部门根据国有资本经营预算收支政策和中长期国有资本收支规划，印发年度</w:t>
      </w:r>
      <w:r>
        <w:rPr>
          <w:rFonts w:hint="eastAsia" w:ascii="仿宋" w:hAnsi="仿宋" w:eastAsia="仿宋" w:cs="Times New Roman"/>
          <w:sz w:val="32"/>
          <w:szCs w:val="32"/>
          <w:lang w:val="zh-CN"/>
        </w:rPr>
        <w:t>县</w:t>
      </w:r>
      <w:r>
        <w:rPr>
          <w:rFonts w:ascii="仿宋" w:hAnsi="仿宋" w:eastAsia="仿宋" w:cs="Times New Roman"/>
          <w:sz w:val="32"/>
          <w:szCs w:val="32"/>
          <w:lang w:val="zh-CN"/>
        </w:rPr>
        <w:t>属企业国有资本收益申报通知。</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第八条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县属企业根据</w:t>
      </w:r>
      <w:r>
        <w:rPr>
          <w:rFonts w:hint="eastAsia" w:ascii="仿宋" w:hAnsi="仿宋" w:eastAsia="仿宋" w:cs="Times New Roman"/>
          <w:sz w:val="32"/>
          <w:szCs w:val="32"/>
          <w:lang w:val="zh-CN"/>
        </w:rPr>
        <w:t>县级</w:t>
      </w:r>
      <w:r>
        <w:rPr>
          <w:rFonts w:ascii="仿宋" w:hAnsi="仿宋" w:eastAsia="仿宋" w:cs="Times New Roman"/>
          <w:sz w:val="32"/>
          <w:szCs w:val="32"/>
          <w:lang w:val="zh-CN"/>
        </w:rPr>
        <w:t>财政部门通知要求，申报国有资本收益，并如实填写县属企业国有资本收益申报表。具体申报要求如下：</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（一）应交利润，每年5月31日前，由县属企业按照净利润和规定的上交比例一次申报，并附送经依法审计的年度合并财务会计报告；</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二）国有股股利、股息，在股东会或者股东大会（没有设立股东会或者股东大会的为董事会，下同）表决日起30个工作日内，由县属企业据实申报，并附送经依法审计的年度合并财务会计报告和股东会或股东大会决议通过的利润分配方案；</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（三）国有产权转让收入，在签订产权转让合同之日起30个工作日内，由县属企业据实申报，并附送产权转让合同和经核准或备案的资产评估报告；</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（四）企业清算收入，在清算组或者管理人编制剩余财产分配方案之日起30个工作日内，由清算组或者管理人据实申报，并附送经依法审计的清算报告，涉及资产评估项目应附送经核准或备案的资产评估报告；</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（五）其他国有资本收益，在收益确定之日起30个工作日内，由有关单位申报，并附送有关经济事项发生和金额确认的资料。</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w:t>
      </w:r>
      <w:r>
        <w:rPr>
          <w:rFonts w:hint="eastAsia" w:ascii="仿宋" w:hAnsi="仿宋" w:eastAsia="仿宋" w:cs="Times New Roman"/>
          <w:b/>
          <w:bCs/>
          <w:sz w:val="32"/>
          <w:szCs w:val="32"/>
          <w:lang w:val="zh-CN"/>
        </w:rPr>
        <w:t>九</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国有独资企业拥有全资公司或者控股子公司、子企业的，应当由集团公司根据国有独资企业经依法审计的年度合并财务会计报告反映的归属于母公司所有者的净利润为基础申报。</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企业计算当年应交利润时，可从净利润中扣除以前年度未弥补亏损和提取的法定公积金。</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第十条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国有独资企业调整以前年度损益的，应相应补交或抵减应交利润。</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第十</w:t>
      </w:r>
      <w:r>
        <w:rPr>
          <w:rFonts w:hint="eastAsia" w:ascii="仿宋" w:hAnsi="仿宋" w:eastAsia="仿宋" w:cs="Times New Roman"/>
          <w:b/>
          <w:bCs/>
          <w:sz w:val="32"/>
          <w:szCs w:val="32"/>
          <w:lang w:val="zh-CN"/>
        </w:rPr>
        <w:t>一</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国有控股、参股企业应当依法分配年度净利润。当年不予分配的，应当说明不分配的理由和依据，并出具股东会或者股东大会的决议。</w:t>
      </w:r>
    </w:p>
    <w:p>
      <w:pPr>
        <w:widowControl w:val="0"/>
        <w:overflowPunct w:val="0"/>
        <w:autoSpaceDE w:val="0"/>
        <w:autoSpaceDN w:val="0"/>
        <w:snapToGrid/>
        <w:spacing w:after="0" w:line="500" w:lineRule="exact"/>
        <w:ind w:firstLine="640" w:firstLineChars="200"/>
        <w:jc w:val="both"/>
        <w:rPr>
          <w:rFonts w:hint="eastAsia" w:ascii="仿宋" w:hAnsi="仿宋" w:eastAsia="仿宋" w:cs="Times New Roman"/>
          <w:sz w:val="32"/>
          <w:szCs w:val="32"/>
          <w:lang w:val="zh-CN"/>
        </w:rPr>
      </w:pPr>
    </w:p>
    <w:p>
      <w:pPr>
        <w:widowControl w:val="0"/>
        <w:overflowPunct w:val="0"/>
        <w:autoSpaceDE w:val="0"/>
        <w:autoSpaceDN w:val="0"/>
        <w:snapToGrid/>
        <w:spacing w:after="0" w:line="500" w:lineRule="exact"/>
        <w:ind w:firstLine="480"/>
        <w:jc w:val="center"/>
        <w:rPr>
          <w:rFonts w:ascii="仿宋" w:hAnsi="仿宋" w:eastAsia="仿宋" w:cs="Times New Roman"/>
          <w:b/>
          <w:bCs/>
          <w:sz w:val="32"/>
          <w:szCs w:val="32"/>
          <w:lang w:val="zh-CN"/>
        </w:rPr>
      </w:pPr>
      <w:r>
        <w:rPr>
          <w:rFonts w:ascii="仿宋" w:hAnsi="仿宋" w:eastAsia="仿宋" w:cs="Times New Roman"/>
          <w:b/>
          <w:bCs/>
          <w:sz w:val="32"/>
          <w:szCs w:val="32"/>
          <w:lang w:val="zh-CN"/>
        </w:rPr>
        <w:t>第三章</w:t>
      </w:r>
      <w:r>
        <w:rPr>
          <w:rFonts w:hint="eastAsia" w:ascii="仿宋" w:hAnsi="仿宋" w:eastAsia="仿宋" w:cs="Times New Roman"/>
          <w:b/>
          <w:bCs/>
          <w:sz w:val="32"/>
          <w:szCs w:val="32"/>
          <w:lang w:val="en-US" w:eastAsia="zh-CN"/>
        </w:rPr>
        <w:t xml:space="preserve"> </w:t>
      </w:r>
      <w:r>
        <w:rPr>
          <w:rFonts w:ascii="仿宋" w:hAnsi="仿宋" w:eastAsia="仿宋" w:cs="Times New Roman"/>
          <w:b/>
          <w:bCs/>
          <w:sz w:val="32"/>
          <w:szCs w:val="32"/>
          <w:lang w:val="zh-CN"/>
        </w:rPr>
        <w:t>县属企业国有资本收益的收缴</w:t>
      </w:r>
      <w:r>
        <w:rPr>
          <w:rFonts w:hint="eastAsia" w:ascii="仿宋" w:hAnsi="仿宋" w:eastAsia="仿宋" w:cs="Times New Roman"/>
          <w:b/>
          <w:bCs/>
          <w:sz w:val="32"/>
          <w:szCs w:val="32"/>
          <w:lang w:val="zh-CN"/>
        </w:rPr>
        <w:t>核定</w:t>
      </w:r>
    </w:p>
    <w:p>
      <w:pPr>
        <w:widowControl w:val="0"/>
        <w:overflowPunct w:val="0"/>
        <w:autoSpaceDE w:val="0"/>
        <w:autoSpaceDN w:val="0"/>
        <w:snapToGrid/>
        <w:spacing w:after="0" w:line="500" w:lineRule="exact"/>
        <w:ind w:firstLine="480"/>
        <w:jc w:val="center"/>
        <w:rPr>
          <w:rFonts w:hint="eastAsia" w:ascii="仿宋" w:hAnsi="仿宋" w:eastAsia="仿宋" w:cs="Times New Roman"/>
          <w:b/>
          <w:bCs/>
          <w:sz w:val="32"/>
          <w:szCs w:val="32"/>
          <w:lang w:val="zh-CN"/>
        </w:rPr>
      </w:pP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第十</w:t>
      </w:r>
      <w:r>
        <w:rPr>
          <w:rFonts w:hint="eastAsia" w:ascii="仿宋" w:hAnsi="仿宋" w:eastAsia="仿宋" w:cs="Times New Roman"/>
          <w:b/>
          <w:bCs/>
          <w:sz w:val="32"/>
          <w:szCs w:val="32"/>
          <w:lang w:val="zh-CN"/>
        </w:rPr>
        <w:t>二</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县属企业国有资本收益区别以下情况核定：</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（一）应交利润，根据县属企业经依法审计的年度合并财务会计报告反映的归属于母公司所有者净利润的30%上交比例计算核定；</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（二）国有股股利、股息，根据国有控股、参股企业利润分配方案中确定的国有股获得的股利、股息全额核定；</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（三）国有产权转让收入，根据企业产权转让协议和资产评估报告等资料计算的转让净收入（扣除转让费用）全额核定；</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ascii="仿宋" w:hAnsi="仿宋" w:eastAsia="仿宋" w:cs="Times New Roman"/>
          <w:sz w:val="32"/>
          <w:szCs w:val="32"/>
          <w:lang w:val="zh-CN"/>
        </w:rPr>
        <w:t>（四）企业清算收入，根据清算组或者管理人提交的企业清算报告计算的清算净收入（扣除清算费用）全额核定；</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r>
        <w:rPr>
          <w:rFonts w:hint="eastAsia" w:ascii="仿宋" w:hAnsi="仿宋" w:eastAsia="仿宋" w:cs="Times New Roman"/>
          <w:sz w:val="32"/>
          <w:szCs w:val="32"/>
          <w:lang w:val="zh-CN"/>
        </w:rPr>
        <w:t>（五</w:t>
      </w:r>
      <w:r>
        <w:rPr>
          <w:rFonts w:ascii="仿宋" w:hAnsi="仿宋" w:eastAsia="仿宋" w:cs="Times New Roman"/>
          <w:sz w:val="32"/>
          <w:szCs w:val="32"/>
          <w:lang w:val="zh-CN"/>
        </w:rPr>
        <w:t>）其他国有资本收益，根据有关经济行为的财务会计资料核定。</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第十</w:t>
      </w:r>
      <w:r>
        <w:rPr>
          <w:rFonts w:hint="eastAsia" w:ascii="仿宋" w:hAnsi="仿宋" w:eastAsia="仿宋" w:cs="Times New Roman"/>
          <w:b/>
          <w:bCs/>
          <w:sz w:val="32"/>
          <w:szCs w:val="32"/>
          <w:lang w:val="zh-CN"/>
        </w:rPr>
        <w:t>三</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县级财政</w:t>
      </w:r>
      <w:r>
        <w:rPr>
          <w:rFonts w:ascii="仿宋" w:hAnsi="仿宋" w:eastAsia="仿宋" w:cs="Times New Roman"/>
          <w:sz w:val="32"/>
          <w:szCs w:val="32"/>
          <w:lang w:val="zh-CN"/>
        </w:rPr>
        <w:t>部门应当在收到所属（或监管）县属企业上报的国有资本收益申报表及相关材料之日起20个工作日内</w:t>
      </w:r>
      <w:r>
        <w:rPr>
          <w:rFonts w:hint="eastAsia" w:ascii="仿宋" w:hAnsi="仿宋" w:eastAsia="仿宋" w:cs="Times New Roman"/>
          <w:sz w:val="32"/>
          <w:szCs w:val="32"/>
          <w:lang w:val="zh-CN"/>
        </w:rPr>
        <w:t>，向所属（或监管）县属企业下达国有资本收益上交通知</w:t>
      </w:r>
      <w:r>
        <w:rPr>
          <w:rFonts w:ascii="仿宋" w:hAnsi="仿宋" w:eastAsia="仿宋" w:cs="Times New Roman"/>
          <w:sz w:val="32"/>
          <w:szCs w:val="32"/>
          <w:lang w:val="zh-CN"/>
        </w:rPr>
        <w:t>。</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第十</w:t>
      </w:r>
      <w:r>
        <w:rPr>
          <w:rFonts w:hint="eastAsia" w:ascii="仿宋" w:hAnsi="仿宋" w:eastAsia="仿宋" w:cs="Times New Roman"/>
          <w:b/>
          <w:bCs/>
          <w:sz w:val="32"/>
          <w:szCs w:val="32"/>
          <w:lang w:val="zh-CN"/>
        </w:rPr>
        <w:t>四</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特殊企业特殊情况需要变更上交比例的，由</w:t>
      </w:r>
      <w:r>
        <w:rPr>
          <w:rFonts w:hint="eastAsia" w:ascii="仿宋" w:hAnsi="仿宋" w:eastAsia="仿宋" w:cs="Times New Roman"/>
          <w:sz w:val="32"/>
          <w:szCs w:val="32"/>
          <w:lang w:val="zh-CN"/>
        </w:rPr>
        <w:t>县</w:t>
      </w:r>
      <w:r>
        <w:rPr>
          <w:rFonts w:ascii="仿宋" w:hAnsi="仿宋" w:eastAsia="仿宋" w:cs="Times New Roman"/>
          <w:sz w:val="32"/>
          <w:szCs w:val="32"/>
          <w:lang w:val="zh-CN"/>
        </w:rPr>
        <w:t>级财政部门根据企业的经营情况确定上交比例。</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第十</w:t>
      </w:r>
      <w:r>
        <w:rPr>
          <w:rFonts w:hint="eastAsia" w:ascii="仿宋" w:hAnsi="仿宋" w:eastAsia="仿宋" w:cs="Times New Roman"/>
          <w:b/>
          <w:bCs/>
          <w:sz w:val="32"/>
          <w:szCs w:val="32"/>
          <w:lang w:val="zh-CN"/>
        </w:rPr>
        <w:t>五</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highlight w:val="none"/>
          <w:lang w:val="zh-CN"/>
        </w:rPr>
        <w:t>县属企业由于国家政策进行重大调整</w:t>
      </w:r>
      <w:r>
        <w:rPr>
          <w:rFonts w:hint="eastAsia" w:ascii="仿宋" w:hAnsi="仿宋" w:eastAsia="仿宋" w:cs="Times New Roman"/>
          <w:sz w:val="32"/>
          <w:szCs w:val="32"/>
          <w:highlight w:val="none"/>
          <w:lang w:val="zh-CN"/>
        </w:rPr>
        <w:t>、</w:t>
      </w:r>
      <w:r>
        <w:rPr>
          <w:rFonts w:ascii="仿宋" w:hAnsi="仿宋" w:eastAsia="仿宋" w:cs="Times New Roman"/>
          <w:sz w:val="32"/>
          <w:szCs w:val="32"/>
          <w:highlight w:val="none"/>
          <w:lang w:val="zh-CN"/>
        </w:rPr>
        <w:t>遭受重大自然灾害等不可抗力因素造成巨大损失</w:t>
      </w:r>
      <w:r>
        <w:rPr>
          <w:rFonts w:hint="eastAsia" w:ascii="仿宋" w:hAnsi="仿宋" w:eastAsia="仿宋" w:cs="Times New Roman"/>
          <w:sz w:val="32"/>
          <w:szCs w:val="32"/>
          <w:highlight w:val="none"/>
          <w:lang w:val="zh-CN"/>
        </w:rPr>
        <w:t>、根据县委县政府决策或企业自身发展需要</w:t>
      </w:r>
      <w:r>
        <w:rPr>
          <w:rFonts w:ascii="仿宋" w:hAnsi="仿宋" w:eastAsia="仿宋" w:cs="Times New Roman"/>
          <w:sz w:val="32"/>
          <w:szCs w:val="32"/>
          <w:highlight w:val="none"/>
          <w:lang w:val="zh-CN"/>
        </w:rPr>
        <w:t>，要求减免上交国有资本收益的，县属企业应当向</w:t>
      </w:r>
      <w:r>
        <w:rPr>
          <w:rFonts w:hint="eastAsia" w:ascii="仿宋" w:hAnsi="仿宋" w:eastAsia="仿宋" w:cs="Times New Roman"/>
          <w:sz w:val="32"/>
          <w:szCs w:val="32"/>
          <w:highlight w:val="none"/>
          <w:lang w:val="zh-CN"/>
        </w:rPr>
        <w:t>县</w:t>
      </w:r>
      <w:r>
        <w:rPr>
          <w:rFonts w:ascii="仿宋" w:hAnsi="仿宋" w:eastAsia="仿宋" w:cs="Times New Roman"/>
          <w:sz w:val="32"/>
          <w:szCs w:val="32"/>
          <w:highlight w:val="none"/>
          <w:lang w:val="zh-CN"/>
        </w:rPr>
        <w:t>级财政部门提出申请，由</w:t>
      </w:r>
      <w:r>
        <w:rPr>
          <w:rFonts w:hint="eastAsia" w:ascii="仿宋" w:hAnsi="仿宋" w:eastAsia="仿宋" w:cs="Times New Roman"/>
          <w:sz w:val="32"/>
          <w:szCs w:val="32"/>
          <w:highlight w:val="none"/>
          <w:lang w:val="zh-CN"/>
        </w:rPr>
        <w:t>县级</w:t>
      </w:r>
      <w:r>
        <w:rPr>
          <w:rFonts w:ascii="仿宋" w:hAnsi="仿宋" w:eastAsia="仿宋" w:cs="Times New Roman"/>
          <w:sz w:val="32"/>
          <w:szCs w:val="32"/>
          <w:highlight w:val="none"/>
          <w:lang w:val="zh-CN"/>
        </w:rPr>
        <w:t>财政部门报</w:t>
      </w:r>
      <w:r>
        <w:rPr>
          <w:rFonts w:hint="eastAsia" w:ascii="仿宋" w:hAnsi="仿宋" w:eastAsia="仿宋" w:cs="Times New Roman"/>
          <w:sz w:val="32"/>
          <w:szCs w:val="32"/>
          <w:highlight w:val="none"/>
          <w:lang w:val="zh-CN"/>
        </w:rPr>
        <w:t>县</w:t>
      </w:r>
      <w:r>
        <w:rPr>
          <w:rFonts w:ascii="仿宋" w:hAnsi="仿宋" w:eastAsia="仿宋" w:cs="Times New Roman"/>
          <w:sz w:val="32"/>
          <w:szCs w:val="32"/>
          <w:highlight w:val="none"/>
          <w:lang w:val="zh-CN"/>
        </w:rPr>
        <w:t>政府批准。</w:t>
      </w:r>
    </w:p>
    <w:p>
      <w:pPr>
        <w:widowControl w:val="0"/>
        <w:overflowPunct w:val="0"/>
        <w:autoSpaceDE w:val="0"/>
        <w:autoSpaceDN w:val="0"/>
        <w:snapToGrid/>
        <w:spacing w:after="0" w:line="500" w:lineRule="exact"/>
        <w:ind w:firstLine="640" w:firstLineChars="200"/>
        <w:jc w:val="both"/>
        <w:rPr>
          <w:rFonts w:hint="eastAsia" w:ascii="仿宋" w:hAnsi="仿宋" w:eastAsia="仿宋" w:cs="Times New Roman"/>
          <w:sz w:val="32"/>
          <w:szCs w:val="32"/>
          <w:lang w:val="zh-CN"/>
        </w:rPr>
      </w:pPr>
    </w:p>
    <w:p>
      <w:pPr>
        <w:widowControl w:val="0"/>
        <w:overflowPunct w:val="0"/>
        <w:autoSpaceDE w:val="0"/>
        <w:autoSpaceDN w:val="0"/>
        <w:snapToGrid/>
        <w:spacing w:after="0" w:line="500" w:lineRule="exact"/>
        <w:ind w:firstLine="480"/>
        <w:jc w:val="center"/>
        <w:rPr>
          <w:rFonts w:ascii="仿宋" w:hAnsi="仿宋" w:eastAsia="仿宋" w:cs="Times New Roman"/>
          <w:b/>
          <w:bCs/>
          <w:sz w:val="32"/>
          <w:szCs w:val="32"/>
          <w:lang w:val="zh-CN"/>
        </w:rPr>
      </w:pPr>
      <w:r>
        <w:rPr>
          <w:rFonts w:ascii="仿宋" w:hAnsi="仿宋" w:eastAsia="仿宋" w:cs="Times New Roman"/>
          <w:b/>
          <w:bCs/>
          <w:sz w:val="32"/>
          <w:szCs w:val="32"/>
          <w:lang w:val="zh-CN"/>
        </w:rPr>
        <w:t>第四章</w:t>
      </w:r>
      <w:r>
        <w:rPr>
          <w:rFonts w:hint="eastAsia" w:ascii="仿宋" w:hAnsi="仿宋" w:eastAsia="仿宋" w:cs="Times New Roman"/>
          <w:b/>
          <w:bCs/>
          <w:sz w:val="32"/>
          <w:szCs w:val="32"/>
          <w:lang w:val="en-US" w:eastAsia="zh-CN"/>
        </w:rPr>
        <w:t xml:space="preserve"> </w:t>
      </w:r>
      <w:r>
        <w:rPr>
          <w:rFonts w:ascii="仿宋" w:hAnsi="仿宋" w:eastAsia="仿宋" w:cs="Times New Roman"/>
          <w:b/>
          <w:bCs/>
          <w:sz w:val="32"/>
          <w:szCs w:val="32"/>
          <w:lang w:val="zh-CN"/>
        </w:rPr>
        <w:t>县属企业国有资本收益的上交</w:t>
      </w:r>
    </w:p>
    <w:p>
      <w:pPr>
        <w:widowControl w:val="0"/>
        <w:overflowPunct w:val="0"/>
        <w:autoSpaceDE w:val="0"/>
        <w:autoSpaceDN w:val="0"/>
        <w:snapToGrid/>
        <w:spacing w:after="0" w:line="500" w:lineRule="exact"/>
        <w:ind w:firstLine="480"/>
        <w:jc w:val="center"/>
        <w:rPr>
          <w:rFonts w:hint="eastAsia" w:ascii="仿宋" w:hAnsi="仿宋" w:eastAsia="仿宋" w:cs="Times New Roman"/>
          <w:b/>
          <w:bCs/>
          <w:sz w:val="32"/>
          <w:szCs w:val="32"/>
          <w:lang w:val="zh-CN"/>
        </w:rPr>
      </w:pP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w:t>
      </w:r>
      <w:r>
        <w:rPr>
          <w:rFonts w:hint="eastAsia" w:ascii="仿宋" w:hAnsi="仿宋" w:eastAsia="仿宋" w:cs="Times New Roman"/>
          <w:b/>
          <w:bCs/>
          <w:sz w:val="32"/>
          <w:szCs w:val="32"/>
          <w:lang w:val="zh-CN"/>
        </w:rPr>
        <w:t>十六</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县属企业应在收到</w:t>
      </w:r>
      <w:r>
        <w:rPr>
          <w:rFonts w:hint="eastAsia" w:ascii="仿宋" w:hAnsi="仿宋" w:eastAsia="仿宋" w:cs="Times New Roman"/>
          <w:sz w:val="32"/>
          <w:szCs w:val="32"/>
          <w:lang w:val="zh-CN"/>
        </w:rPr>
        <w:t>县级</w:t>
      </w:r>
      <w:r>
        <w:rPr>
          <w:rFonts w:ascii="仿宋" w:hAnsi="仿宋" w:eastAsia="仿宋" w:cs="Times New Roman"/>
          <w:sz w:val="32"/>
          <w:szCs w:val="32"/>
          <w:lang w:val="zh-CN"/>
        </w:rPr>
        <w:t>财政</w:t>
      </w:r>
      <w:r>
        <w:rPr>
          <w:rFonts w:hint="eastAsia" w:ascii="仿宋" w:hAnsi="仿宋" w:eastAsia="仿宋" w:cs="Times New Roman"/>
          <w:sz w:val="32"/>
          <w:szCs w:val="32"/>
          <w:lang w:val="zh-CN"/>
        </w:rPr>
        <w:t>部门</w:t>
      </w:r>
      <w:r>
        <w:rPr>
          <w:rFonts w:ascii="仿宋" w:hAnsi="仿宋" w:eastAsia="仿宋" w:cs="Times New Roman"/>
          <w:sz w:val="32"/>
          <w:szCs w:val="32"/>
          <w:lang w:val="zh-CN"/>
        </w:rPr>
        <w:t>国有资本收益上交通知之日起15个工作日内，上交国有资本收益。</w:t>
      </w:r>
      <w:r>
        <w:rPr>
          <w:rFonts w:hint="eastAsia" w:ascii="仿宋" w:hAnsi="仿宋" w:eastAsia="仿宋" w:cs="Times New Roman"/>
          <w:sz w:val="32"/>
          <w:szCs w:val="32"/>
          <w:lang w:val="zh-CN"/>
        </w:rPr>
        <w:t>确有特殊原因无法及时缴交的，需提前向县级财政部门提出延期申请。</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w:t>
      </w:r>
      <w:r>
        <w:rPr>
          <w:rFonts w:hint="eastAsia" w:ascii="仿宋" w:hAnsi="仿宋" w:eastAsia="仿宋" w:cs="Times New Roman"/>
          <w:b/>
          <w:bCs/>
          <w:sz w:val="32"/>
          <w:szCs w:val="32"/>
          <w:lang w:val="zh-CN"/>
        </w:rPr>
        <w:t>十七</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县属企业</w:t>
      </w:r>
      <w:r>
        <w:rPr>
          <w:rFonts w:hint="eastAsia" w:ascii="仿宋" w:hAnsi="仿宋" w:eastAsia="仿宋" w:cs="Times New Roman"/>
          <w:sz w:val="32"/>
          <w:szCs w:val="32"/>
          <w:lang w:val="zh-CN"/>
        </w:rPr>
        <w:t>需通过“广东非税收入管理一体化平台”</w:t>
      </w:r>
      <w:r>
        <w:rPr>
          <w:rFonts w:ascii="仿宋" w:hAnsi="仿宋" w:eastAsia="仿宋" w:cs="Times New Roman"/>
          <w:sz w:val="32"/>
          <w:szCs w:val="32"/>
          <w:lang w:val="zh-CN"/>
        </w:rPr>
        <w:t>上交国有资本收益</w:t>
      </w:r>
      <w:r>
        <w:rPr>
          <w:rFonts w:hint="eastAsia" w:ascii="仿宋" w:hAnsi="仿宋" w:eastAsia="仿宋" w:cs="Times New Roman"/>
          <w:sz w:val="32"/>
          <w:szCs w:val="32"/>
          <w:lang w:val="zh-CN"/>
        </w:rPr>
        <w:t>，并规范</w:t>
      </w:r>
      <w:r>
        <w:rPr>
          <w:rFonts w:ascii="仿宋" w:hAnsi="仿宋" w:eastAsia="仿宋" w:cs="Times New Roman"/>
          <w:sz w:val="32"/>
          <w:szCs w:val="32"/>
          <w:lang w:val="zh-CN"/>
        </w:rPr>
        <w:t>使用政府收支分类科目中的</w:t>
      </w:r>
      <w:r>
        <w:rPr>
          <w:rFonts w:hint="eastAsia" w:ascii="仿宋" w:hAnsi="仿宋" w:eastAsia="仿宋" w:cs="Times New Roman"/>
          <w:sz w:val="32"/>
          <w:szCs w:val="32"/>
          <w:lang w:val="zh-CN"/>
        </w:rPr>
        <w:t>“</w:t>
      </w:r>
      <w:r>
        <w:rPr>
          <w:rFonts w:ascii="仿宋" w:hAnsi="仿宋" w:eastAsia="仿宋" w:cs="Times New Roman"/>
          <w:sz w:val="32"/>
          <w:szCs w:val="32"/>
          <w:lang w:val="zh-CN"/>
        </w:rPr>
        <w:t>10306国有资本经营收入”下相关目级科目。</w:t>
      </w:r>
    </w:p>
    <w:p>
      <w:pPr>
        <w:widowControl w:val="0"/>
        <w:overflowPunct w:val="0"/>
        <w:autoSpaceDE w:val="0"/>
        <w:autoSpaceDN w:val="0"/>
        <w:snapToGrid/>
        <w:spacing w:after="0" w:line="500" w:lineRule="exact"/>
        <w:ind w:firstLine="640" w:firstLineChars="200"/>
        <w:jc w:val="both"/>
        <w:rPr>
          <w:rFonts w:hint="eastAsia" w:ascii="仿宋" w:hAnsi="仿宋" w:eastAsia="仿宋" w:cs="Times New Roman"/>
          <w:sz w:val="32"/>
          <w:szCs w:val="32"/>
          <w:lang w:val="zh-CN"/>
        </w:rPr>
      </w:pPr>
    </w:p>
    <w:p>
      <w:pPr>
        <w:widowControl w:val="0"/>
        <w:overflowPunct w:val="0"/>
        <w:autoSpaceDE w:val="0"/>
        <w:autoSpaceDN w:val="0"/>
        <w:snapToGrid/>
        <w:spacing w:after="0" w:line="500" w:lineRule="exact"/>
        <w:ind w:firstLine="480"/>
        <w:jc w:val="center"/>
        <w:rPr>
          <w:rFonts w:ascii="仿宋" w:hAnsi="仿宋" w:eastAsia="仿宋" w:cs="Times New Roman"/>
          <w:b/>
          <w:bCs/>
          <w:sz w:val="32"/>
          <w:szCs w:val="32"/>
          <w:lang w:val="zh-CN"/>
        </w:rPr>
      </w:pPr>
      <w:r>
        <w:rPr>
          <w:rFonts w:ascii="仿宋" w:hAnsi="仿宋" w:eastAsia="仿宋" w:cs="Times New Roman"/>
          <w:b/>
          <w:bCs/>
          <w:sz w:val="32"/>
          <w:szCs w:val="32"/>
          <w:lang w:val="zh-CN"/>
        </w:rPr>
        <w:t>第五章</w:t>
      </w:r>
      <w:r>
        <w:rPr>
          <w:rFonts w:hint="eastAsia" w:ascii="仿宋" w:hAnsi="仿宋" w:eastAsia="仿宋" w:cs="Times New Roman"/>
          <w:b/>
          <w:bCs/>
          <w:sz w:val="32"/>
          <w:szCs w:val="32"/>
          <w:lang w:val="en-US" w:eastAsia="zh-CN"/>
        </w:rPr>
        <w:t xml:space="preserve"> </w:t>
      </w:r>
      <w:r>
        <w:rPr>
          <w:rFonts w:ascii="仿宋" w:hAnsi="仿宋" w:eastAsia="仿宋" w:cs="Times New Roman"/>
          <w:b/>
          <w:bCs/>
          <w:sz w:val="32"/>
          <w:szCs w:val="32"/>
          <w:lang w:val="zh-CN"/>
        </w:rPr>
        <w:t>监督检查</w:t>
      </w:r>
    </w:p>
    <w:p>
      <w:pPr>
        <w:widowControl w:val="0"/>
        <w:overflowPunct w:val="0"/>
        <w:autoSpaceDE w:val="0"/>
        <w:autoSpaceDN w:val="0"/>
        <w:snapToGrid/>
        <w:spacing w:after="0" w:line="500" w:lineRule="exact"/>
        <w:ind w:firstLine="480"/>
        <w:jc w:val="center"/>
        <w:rPr>
          <w:rFonts w:hint="eastAsia" w:ascii="仿宋" w:hAnsi="仿宋" w:eastAsia="仿宋" w:cs="Times New Roman"/>
          <w:b/>
          <w:bCs/>
          <w:sz w:val="32"/>
          <w:szCs w:val="32"/>
          <w:lang w:val="zh-CN"/>
        </w:rPr>
      </w:pP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w:t>
      </w:r>
      <w:r>
        <w:rPr>
          <w:rFonts w:hint="eastAsia" w:ascii="仿宋" w:hAnsi="仿宋" w:eastAsia="仿宋" w:cs="Times New Roman"/>
          <w:b/>
          <w:bCs/>
          <w:sz w:val="32"/>
          <w:szCs w:val="32"/>
          <w:lang w:val="zh-CN"/>
        </w:rPr>
        <w:t>十八</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县级财政</w:t>
      </w:r>
      <w:r>
        <w:rPr>
          <w:rFonts w:ascii="仿宋" w:hAnsi="仿宋" w:eastAsia="仿宋" w:cs="Times New Roman"/>
          <w:sz w:val="32"/>
          <w:szCs w:val="32"/>
          <w:lang w:val="zh-CN"/>
        </w:rPr>
        <w:t>部门对县属企业国有资本收益申报、</w:t>
      </w:r>
      <w:r>
        <w:rPr>
          <w:rFonts w:hint="eastAsia" w:ascii="仿宋" w:hAnsi="仿宋" w:eastAsia="仿宋" w:cs="Times New Roman"/>
          <w:sz w:val="32"/>
          <w:szCs w:val="32"/>
          <w:lang w:val="zh-CN"/>
        </w:rPr>
        <w:t>核定</w:t>
      </w:r>
      <w:r>
        <w:rPr>
          <w:rFonts w:ascii="仿宋" w:hAnsi="仿宋" w:eastAsia="仿宋" w:cs="Times New Roman"/>
          <w:sz w:val="32"/>
          <w:szCs w:val="32"/>
          <w:lang w:val="zh-CN"/>
        </w:rPr>
        <w:t>、上交进行监督。</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w:t>
      </w:r>
      <w:r>
        <w:rPr>
          <w:rFonts w:hint="eastAsia" w:ascii="仿宋" w:hAnsi="仿宋" w:eastAsia="仿宋" w:cs="Times New Roman"/>
          <w:b/>
          <w:bCs/>
          <w:sz w:val="32"/>
          <w:szCs w:val="32"/>
          <w:lang w:val="zh-CN"/>
        </w:rPr>
        <w:t>十九</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对隐瞒、挪用、拖欠、不交或少交国有资本收益的行为，依照《中华人民共和国预算法》《财政违法行为处罚处分条例》的相关规定进行处理处罚。</w:t>
      </w:r>
    </w:p>
    <w:p>
      <w:pPr>
        <w:widowControl w:val="0"/>
        <w:overflowPunct w:val="0"/>
        <w:autoSpaceDE w:val="0"/>
        <w:autoSpaceDN w:val="0"/>
        <w:snapToGrid/>
        <w:spacing w:after="0" w:line="500" w:lineRule="exact"/>
        <w:ind w:firstLine="640" w:firstLineChars="200"/>
        <w:jc w:val="both"/>
        <w:rPr>
          <w:rFonts w:hint="eastAsia" w:ascii="仿宋" w:hAnsi="仿宋" w:eastAsia="仿宋" w:cs="Times New Roman"/>
          <w:sz w:val="32"/>
          <w:szCs w:val="32"/>
          <w:lang w:val="zh-CN"/>
        </w:rPr>
      </w:pPr>
    </w:p>
    <w:p>
      <w:pPr>
        <w:widowControl w:val="0"/>
        <w:overflowPunct w:val="0"/>
        <w:autoSpaceDE w:val="0"/>
        <w:autoSpaceDN w:val="0"/>
        <w:snapToGrid/>
        <w:spacing w:after="0" w:line="500" w:lineRule="exact"/>
        <w:ind w:firstLine="480"/>
        <w:jc w:val="center"/>
        <w:rPr>
          <w:rFonts w:ascii="仿宋" w:hAnsi="仿宋" w:eastAsia="仿宋" w:cs="Times New Roman"/>
          <w:b/>
          <w:bCs/>
          <w:sz w:val="32"/>
          <w:szCs w:val="32"/>
          <w:lang w:val="zh-CN"/>
        </w:rPr>
      </w:pPr>
      <w:r>
        <w:rPr>
          <w:rFonts w:ascii="仿宋" w:hAnsi="仿宋" w:eastAsia="仿宋" w:cs="Times New Roman"/>
          <w:b/>
          <w:bCs/>
          <w:sz w:val="32"/>
          <w:szCs w:val="32"/>
          <w:lang w:val="zh-CN"/>
        </w:rPr>
        <w:t>第六章</w:t>
      </w:r>
      <w:r>
        <w:rPr>
          <w:rFonts w:hint="eastAsia" w:ascii="仿宋" w:hAnsi="仿宋" w:eastAsia="仿宋" w:cs="Times New Roman"/>
          <w:b/>
          <w:bCs/>
          <w:sz w:val="32"/>
          <w:szCs w:val="32"/>
          <w:lang w:val="en-US" w:eastAsia="zh-CN"/>
        </w:rPr>
        <w:t xml:space="preserve"> </w:t>
      </w:r>
      <w:r>
        <w:rPr>
          <w:rFonts w:ascii="仿宋" w:hAnsi="仿宋" w:eastAsia="仿宋" w:cs="Times New Roman"/>
          <w:b/>
          <w:bCs/>
          <w:sz w:val="32"/>
          <w:szCs w:val="32"/>
          <w:lang w:val="zh-CN"/>
        </w:rPr>
        <w:t>附则</w:t>
      </w:r>
    </w:p>
    <w:p>
      <w:pPr>
        <w:widowControl w:val="0"/>
        <w:overflowPunct w:val="0"/>
        <w:autoSpaceDE w:val="0"/>
        <w:autoSpaceDN w:val="0"/>
        <w:snapToGrid/>
        <w:spacing w:after="0" w:line="500" w:lineRule="exact"/>
        <w:ind w:firstLine="480"/>
        <w:jc w:val="center"/>
        <w:rPr>
          <w:rFonts w:hint="eastAsia" w:ascii="仿宋" w:hAnsi="仿宋" w:eastAsia="仿宋" w:cs="Times New Roman"/>
          <w:b/>
          <w:bCs/>
          <w:sz w:val="32"/>
          <w:szCs w:val="32"/>
          <w:lang w:val="zh-CN"/>
        </w:rPr>
      </w:pP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第二十条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本办法由</w:t>
      </w:r>
      <w:r>
        <w:rPr>
          <w:rFonts w:hint="eastAsia" w:ascii="仿宋" w:hAnsi="仿宋" w:eastAsia="仿宋" w:cs="Times New Roman"/>
          <w:sz w:val="32"/>
          <w:szCs w:val="32"/>
          <w:lang w:val="zh-CN"/>
        </w:rPr>
        <w:t>海丰县</w:t>
      </w:r>
      <w:r>
        <w:rPr>
          <w:rFonts w:ascii="仿宋" w:hAnsi="仿宋" w:eastAsia="仿宋" w:cs="Times New Roman"/>
          <w:sz w:val="32"/>
          <w:szCs w:val="32"/>
          <w:lang w:val="zh-CN"/>
        </w:rPr>
        <w:t>财政局负责解释。</w:t>
      </w:r>
    </w:p>
    <w:p>
      <w:pPr>
        <w:widowControl w:val="0"/>
        <w:overflowPunct w:val="0"/>
        <w:autoSpaceDE w:val="0"/>
        <w:autoSpaceDN w:val="0"/>
        <w:snapToGrid/>
        <w:spacing w:after="0" w:line="500" w:lineRule="exact"/>
        <w:ind w:firstLine="643" w:firstLineChars="200"/>
        <w:jc w:val="both"/>
        <w:rPr>
          <w:rFonts w:ascii="仿宋" w:hAnsi="仿宋" w:eastAsia="仿宋" w:cs="Times New Roman"/>
          <w:sz w:val="32"/>
          <w:szCs w:val="32"/>
          <w:lang w:val="zh-CN"/>
        </w:rPr>
      </w:pPr>
      <w:r>
        <w:rPr>
          <w:rFonts w:ascii="仿宋" w:hAnsi="仿宋" w:eastAsia="仿宋" w:cs="Times New Roman"/>
          <w:b/>
          <w:bCs/>
          <w:sz w:val="32"/>
          <w:szCs w:val="32"/>
          <w:lang w:val="zh-CN"/>
        </w:rPr>
        <w:t>第二十</w:t>
      </w:r>
      <w:r>
        <w:rPr>
          <w:rFonts w:hint="eastAsia" w:ascii="仿宋" w:hAnsi="仿宋" w:eastAsia="仿宋" w:cs="Times New Roman"/>
          <w:b/>
          <w:bCs/>
          <w:sz w:val="32"/>
          <w:szCs w:val="32"/>
          <w:lang w:val="zh-CN"/>
        </w:rPr>
        <w:t>一</w:t>
      </w:r>
      <w:r>
        <w:rPr>
          <w:rFonts w:ascii="仿宋" w:hAnsi="仿宋" w:eastAsia="仿宋" w:cs="Times New Roman"/>
          <w:b/>
          <w:bCs/>
          <w:sz w:val="32"/>
          <w:szCs w:val="32"/>
          <w:lang w:val="zh-CN"/>
        </w:rPr>
        <w:t>条</w:t>
      </w:r>
      <w:r>
        <w:rPr>
          <w:rFonts w:hint="eastAsia" w:ascii="仿宋" w:hAnsi="仿宋" w:eastAsia="仿宋" w:cs="Times New Roman"/>
          <w:sz w:val="32"/>
          <w:szCs w:val="32"/>
          <w:lang w:val="zh-CN"/>
        </w:rPr>
        <w:t xml:space="preserve"> </w:t>
      </w:r>
      <w:r>
        <w:rPr>
          <w:rFonts w:ascii="仿宋" w:hAnsi="仿宋" w:eastAsia="仿宋" w:cs="Times New Roman"/>
          <w:sz w:val="32"/>
          <w:szCs w:val="32"/>
          <w:lang w:val="zh-CN"/>
        </w:rPr>
        <w:t>本办法自印发之日起施行。</w:t>
      </w:r>
    </w:p>
    <w:p>
      <w:pPr>
        <w:widowControl w:val="0"/>
        <w:overflowPunct w:val="0"/>
        <w:autoSpaceDE w:val="0"/>
        <w:autoSpaceDN w:val="0"/>
        <w:snapToGrid/>
        <w:spacing w:after="0" w:line="500" w:lineRule="exact"/>
        <w:ind w:firstLine="640" w:firstLineChars="200"/>
        <w:jc w:val="both"/>
        <w:rPr>
          <w:rFonts w:ascii="仿宋" w:hAnsi="仿宋" w:eastAsia="仿宋" w:cs="Times New Roman"/>
          <w:sz w:val="32"/>
          <w:szCs w:val="32"/>
          <w:lang w:val="zh-CN"/>
        </w:rPr>
      </w:pPr>
    </w:p>
    <w:p>
      <w:pPr>
        <w:widowControl w:val="0"/>
        <w:overflowPunct w:val="0"/>
        <w:autoSpaceDE w:val="0"/>
        <w:autoSpaceDN w:val="0"/>
        <w:snapToGrid/>
        <w:spacing w:after="0" w:line="500" w:lineRule="exact"/>
        <w:ind w:firstLine="643" w:firstLineChars="200"/>
        <w:jc w:val="both"/>
        <w:rPr>
          <w:rFonts w:hint="eastAsia" w:ascii="仿宋" w:hAnsi="仿宋" w:eastAsia="仿宋" w:cs="Times New Roman"/>
          <w:b w:val="0"/>
          <w:bCs w:val="0"/>
          <w:sz w:val="32"/>
          <w:szCs w:val="32"/>
          <w:lang w:val="en-US" w:eastAsia="zh-CN"/>
        </w:rPr>
      </w:pPr>
      <w:r>
        <w:rPr>
          <w:rFonts w:hint="eastAsia" w:ascii="仿宋" w:hAnsi="仿宋" w:eastAsia="仿宋" w:cs="Times New Roman"/>
          <w:b/>
          <w:bCs/>
          <w:sz w:val="32"/>
          <w:szCs w:val="32"/>
          <w:lang w:val="zh-CN"/>
        </w:rPr>
        <w:t>附件：</w:t>
      </w:r>
      <w:r>
        <w:rPr>
          <w:rFonts w:hint="eastAsia" w:ascii="仿宋" w:hAnsi="仿宋" w:eastAsia="仿宋" w:cs="Times New Roman"/>
          <w:b w:val="0"/>
          <w:bCs w:val="0"/>
          <w:sz w:val="32"/>
          <w:szCs w:val="32"/>
          <w:lang w:val="en-US" w:eastAsia="zh-CN"/>
        </w:rPr>
        <w:t>1.县属企业国有资本收益（应交利润）申报表</w:t>
      </w:r>
    </w:p>
    <w:p>
      <w:pPr>
        <w:widowControl w:val="0"/>
        <w:numPr>
          <w:ilvl w:val="0"/>
          <w:numId w:val="2"/>
        </w:numPr>
        <w:overflowPunct w:val="0"/>
        <w:autoSpaceDE w:val="0"/>
        <w:autoSpaceDN w:val="0"/>
        <w:snapToGrid/>
        <w:spacing w:after="0" w:line="500" w:lineRule="exact"/>
        <w:ind w:left="1598" w:leftChars="0" w:firstLine="0" w:firstLineChars="0"/>
        <w:jc w:val="both"/>
        <w:rPr>
          <w:rFonts w:hint="eastAsia" w:ascii="仿宋" w:hAnsi="仿宋" w:eastAsia="仿宋" w:cs="Times New Roman"/>
          <w:b w:val="0"/>
          <w:bCs w:val="0"/>
          <w:sz w:val="32"/>
          <w:szCs w:val="32"/>
          <w:lang w:val="en-US" w:eastAsia="zh-CN"/>
        </w:rPr>
      </w:pPr>
      <w:r>
        <w:rPr>
          <w:rFonts w:hint="eastAsia" w:ascii="仿宋" w:hAnsi="仿宋" w:eastAsia="仿宋" w:cs="Times New Roman"/>
          <w:b w:val="0"/>
          <w:bCs w:val="0"/>
          <w:sz w:val="32"/>
          <w:szCs w:val="32"/>
          <w:lang w:val="en-US" w:eastAsia="zh-CN"/>
        </w:rPr>
        <w:t>县属企业国有资本收益（国有股股息、股利）申报表</w:t>
      </w:r>
    </w:p>
    <w:p>
      <w:pPr>
        <w:widowControl w:val="0"/>
        <w:numPr>
          <w:ilvl w:val="0"/>
          <w:numId w:val="2"/>
        </w:numPr>
        <w:overflowPunct w:val="0"/>
        <w:autoSpaceDE w:val="0"/>
        <w:autoSpaceDN w:val="0"/>
        <w:snapToGrid/>
        <w:spacing w:after="0" w:line="500" w:lineRule="exact"/>
        <w:ind w:left="1598" w:leftChars="0" w:firstLine="0" w:firstLineChars="0"/>
        <w:jc w:val="both"/>
        <w:rPr>
          <w:rFonts w:hint="default" w:ascii="仿宋" w:hAnsi="仿宋" w:eastAsia="仿宋" w:cs="Times New Roman"/>
          <w:b w:val="0"/>
          <w:bCs w:val="0"/>
          <w:sz w:val="32"/>
          <w:szCs w:val="32"/>
          <w:lang w:val="en-US" w:eastAsia="zh-CN"/>
        </w:rPr>
      </w:pPr>
      <w:r>
        <w:rPr>
          <w:rFonts w:hint="default" w:ascii="仿宋" w:hAnsi="仿宋" w:eastAsia="仿宋" w:cs="Times New Roman"/>
          <w:b w:val="0"/>
          <w:bCs w:val="0"/>
          <w:sz w:val="32"/>
          <w:szCs w:val="32"/>
          <w:lang w:val="en-US" w:eastAsia="zh-CN"/>
        </w:rPr>
        <w:t>县属企业国有资本收益（国有产权转让收入）申报表</w:t>
      </w:r>
    </w:p>
    <w:p>
      <w:pPr>
        <w:widowControl w:val="0"/>
        <w:numPr>
          <w:ilvl w:val="0"/>
          <w:numId w:val="2"/>
        </w:numPr>
        <w:overflowPunct w:val="0"/>
        <w:autoSpaceDE w:val="0"/>
        <w:autoSpaceDN w:val="0"/>
        <w:snapToGrid/>
        <w:spacing w:after="0" w:line="500" w:lineRule="exact"/>
        <w:ind w:left="1598" w:leftChars="0" w:firstLine="0" w:firstLineChars="0"/>
        <w:jc w:val="both"/>
        <w:rPr>
          <w:rFonts w:hint="default" w:ascii="仿宋" w:hAnsi="仿宋" w:eastAsia="仿宋" w:cs="Times New Roman"/>
          <w:b w:val="0"/>
          <w:bCs w:val="0"/>
          <w:sz w:val="32"/>
          <w:szCs w:val="32"/>
          <w:lang w:val="en-US" w:eastAsia="zh-CN"/>
        </w:rPr>
      </w:pPr>
      <w:r>
        <w:rPr>
          <w:rFonts w:hint="default" w:ascii="仿宋" w:hAnsi="仿宋" w:eastAsia="仿宋" w:cs="Times New Roman"/>
          <w:b w:val="0"/>
          <w:bCs w:val="0"/>
          <w:sz w:val="32"/>
          <w:szCs w:val="32"/>
          <w:lang w:val="en-US" w:eastAsia="zh-CN"/>
        </w:rPr>
        <w:t>县属企业国有资本收益（企业清算收入）申报表</w:t>
      </w:r>
    </w:p>
    <w:p>
      <w:pPr>
        <w:overflowPunct w:val="0"/>
        <w:spacing w:line="500" w:lineRule="exact"/>
        <w:rPr>
          <w:rFonts w:ascii="仿宋" w:hAnsi="仿宋" w:eastAsia="仿宋"/>
          <w:sz w:val="32"/>
          <w:szCs w:val="32"/>
        </w:rPr>
      </w:pPr>
    </w:p>
    <w:sectPr>
      <w:pgSz w:w="11906" w:h="16838"/>
      <w:pgMar w:top="1418" w:right="1758" w:bottom="1418" w:left="175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6E904"/>
    <w:multiLevelType w:val="singleLevel"/>
    <w:tmpl w:val="A346E904"/>
    <w:lvl w:ilvl="0" w:tentative="0">
      <w:start w:val="2"/>
      <w:numFmt w:val="decimal"/>
      <w:lvlText w:val="%1."/>
      <w:lvlJc w:val="left"/>
      <w:pPr>
        <w:tabs>
          <w:tab w:val="left" w:pos="312"/>
        </w:tabs>
        <w:ind w:left="1598" w:leftChars="0" w:firstLine="0" w:firstLineChars="0"/>
      </w:pPr>
    </w:lvl>
  </w:abstractNum>
  <w:abstractNum w:abstractNumId="1">
    <w:nsid w:val="1AA607D3"/>
    <w:multiLevelType w:val="multilevel"/>
    <w:tmpl w:val="1AA607D3"/>
    <w:lvl w:ilvl="0" w:tentative="0">
      <w:start w:val="1"/>
      <w:numFmt w:val="japaneseCounting"/>
      <w:lvlText w:val="第%1章"/>
      <w:lvlJc w:val="left"/>
      <w:pPr>
        <w:ind w:left="1608" w:hanging="1128"/>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DM4MGQ1NGRmYjY2MzZmMjBjNTk0YzZhYTQ5ZDEifQ=="/>
  </w:docVars>
  <w:rsids>
    <w:rsidRoot w:val="00172A27"/>
    <w:rsid w:val="0000044D"/>
    <w:rsid w:val="0001345C"/>
    <w:rsid w:val="00202893"/>
    <w:rsid w:val="00224441"/>
    <w:rsid w:val="0025376E"/>
    <w:rsid w:val="002F321F"/>
    <w:rsid w:val="00323B43"/>
    <w:rsid w:val="00330DF8"/>
    <w:rsid w:val="003D37D8"/>
    <w:rsid w:val="003E1952"/>
    <w:rsid w:val="004060B2"/>
    <w:rsid w:val="004168B2"/>
    <w:rsid w:val="00426133"/>
    <w:rsid w:val="004358AB"/>
    <w:rsid w:val="004D1BFD"/>
    <w:rsid w:val="004D7B92"/>
    <w:rsid w:val="00663232"/>
    <w:rsid w:val="006D444A"/>
    <w:rsid w:val="008B7726"/>
    <w:rsid w:val="00965F4C"/>
    <w:rsid w:val="009D2668"/>
    <w:rsid w:val="00A446F9"/>
    <w:rsid w:val="00A6554C"/>
    <w:rsid w:val="00A74EB8"/>
    <w:rsid w:val="00AC31FE"/>
    <w:rsid w:val="00AD784C"/>
    <w:rsid w:val="00BA2E50"/>
    <w:rsid w:val="00BA6116"/>
    <w:rsid w:val="00BA727C"/>
    <w:rsid w:val="00BC0A71"/>
    <w:rsid w:val="00D31D50"/>
    <w:rsid w:val="00FA7340"/>
    <w:rsid w:val="011C3821"/>
    <w:rsid w:val="093D75AE"/>
    <w:rsid w:val="0E601915"/>
    <w:rsid w:val="11883011"/>
    <w:rsid w:val="1B346761"/>
    <w:rsid w:val="1D1469E5"/>
    <w:rsid w:val="1F177951"/>
    <w:rsid w:val="211A0DC1"/>
    <w:rsid w:val="21E60CE6"/>
    <w:rsid w:val="302E3157"/>
    <w:rsid w:val="336F6FCC"/>
    <w:rsid w:val="34563185"/>
    <w:rsid w:val="39C1410E"/>
    <w:rsid w:val="3BB31AB6"/>
    <w:rsid w:val="427847D5"/>
    <w:rsid w:val="49020036"/>
    <w:rsid w:val="49E335D2"/>
    <w:rsid w:val="4BDE079B"/>
    <w:rsid w:val="4CAE23B1"/>
    <w:rsid w:val="505E0CA5"/>
    <w:rsid w:val="55BE64BA"/>
    <w:rsid w:val="586529EB"/>
    <w:rsid w:val="5B312FC1"/>
    <w:rsid w:val="5F7B05D4"/>
    <w:rsid w:val="670153EA"/>
    <w:rsid w:val="770D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semiHidden/>
    <w:qFormat/>
    <w:uiPriority w:val="99"/>
    <w:rPr>
      <w:rFonts w:ascii="Tahoma" w:hAnsi="Tahoma"/>
      <w:sz w:val="18"/>
      <w:szCs w:val="18"/>
    </w:rPr>
  </w:style>
  <w:style w:type="character" w:customStyle="1" w:styleId="7">
    <w:name w:val="页脚 字符"/>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2202</Words>
  <Characters>2220</Characters>
  <Lines>16</Lines>
  <Paragraphs>4</Paragraphs>
  <TotalTime>300</TotalTime>
  <ScaleCrop>false</ScaleCrop>
  <LinksUpToDate>false</LinksUpToDate>
  <CharactersWithSpaces>2246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远志</cp:lastModifiedBy>
  <cp:lastPrinted>2022-06-02T02:06:00Z</cp:lastPrinted>
  <dcterms:modified xsi:type="dcterms:W3CDTF">2022-09-30T08:14:20Z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D3F4F7F3312D4E9782C5AEF4D4C925ED</vt:lpwstr>
  </property>
</Properties>
</file>