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E032A">
      <w:pPr>
        <w:rPr>
          <w:rFonts w:hint="default"/>
        </w:rPr>
      </w:pPr>
    </w:p>
    <w:p w14:paraId="23EC5E9D">
      <w:pPr>
        <w:spacing w:line="560" w:lineRule="exact"/>
        <w:rPr>
          <w:rFonts w:hint="eastAsia" w:eastAsia="黑体"/>
          <w:kern w:val="0"/>
          <w:sz w:val="32"/>
          <w:szCs w:val="32"/>
          <w:lang w:val="en-US" w:eastAsia="zh-CN" w:bidi="ar"/>
        </w:rPr>
      </w:pPr>
      <w:r>
        <w:rPr>
          <w:rFonts w:hint="default" w:eastAsia="黑体"/>
          <w:kern w:val="0"/>
          <w:sz w:val="32"/>
          <w:szCs w:val="32"/>
          <w:lang w:bidi="ar"/>
        </w:rPr>
        <w:t>附件</w:t>
      </w:r>
      <w:r>
        <w:rPr>
          <w:rFonts w:hint="eastAsia" w:eastAsia="黑体"/>
          <w:kern w:val="0"/>
          <w:sz w:val="32"/>
          <w:szCs w:val="32"/>
          <w:lang w:val="en-US" w:eastAsia="zh-CN" w:bidi="ar"/>
        </w:rPr>
        <w:t>1</w:t>
      </w:r>
    </w:p>
    <w:p w14:paraId="057DDE85">
      <w:pPr>
        <w:spacing w:line="560" w:lineRule="exact"/>
        <w:ind w:firstLine="880"/>
        <w:jc w:val="center"/>
        <w:rPr>
          <w:rFonts w:hint="eastAsia" w:ascii="方正小标宋简体" w:hAnsi="方正小标宋简体" w:eastAsia="方正小标宋简体" w:cs="方正小标宋简体"/>
          <w:kern w:val="0"/>
          <w:sz w:val="44"/>
          <w:szCs w:val="44"/>
          <w:lang w:bidi="ar"/>
        </w:rPr>
      </w:pPr>
    </w:p>
    <w:p w14:paraId="5D4FEF87">
      <w:pPr>
        <w:spacing w:line="560" w:lineRule="exact"/>
        <w:jc w:val="center"/>
        <w:rPr>
          <w:rFonts w:hint="eastAsia" w:ascii="仿宋" w:hAnsi="仿宋" w:eastAsia="仿宋" w:cs="仿宋"/>
          <w:kern w:val="0"/>
          <w:sz w:val="44"/>
          <w:szCs w:val="44"/>
          <w:lang w:eastAsia="zh-CN" w:bidi="ar"/>
        </w:rPr>
      </w:pPr>
      <w:r>
        <w:rPr>
          <w:rFonts w:hint="eastAsia" w:ascii="仿宋" w:hAnsi="仿宋" w:eastAsia="仿宋" w:cs="仿宋"/>
          <w:kern w:val="0"/>
          <w:sz w:val="44"/>
          <w:szCs w:val="44"/>
          <w:lang w:eastAsia="zh-CN" w:bidi="ar"/>
        </w:rPr>
        <w:t>海丰县2024年广东省水稻大面积单产</w:t>
      </w:r>
    </w:p>
    <w:p w14:paraId="545924E7">
      <w:pPr>
        <w:spacing w:line="560" w:lineRule="exact"/>
        <w:jc w:val="center"/>
        <w:rPr>
          <w:rFonts w:hint="eastAsia" w:ascii="仿宋" w:hAnsi="仿宋" w:eastAsia="仿宋" w:cs="仿宋"/>
          <w:kern w:val="0"/>
          <w:sz w:val="44"/>
          <w:szCs w:val="44"/>
          <w:lang w:bidi="ar"/>
        </w:rPr>
      </w:pPr>
      <w:r>
        <w:rPr>
          <w:rFonts w:hint="eastAsia" w:ascii="仿宋" w:hAnsi="仿宋" w:eastAsia="仿宋" w:cs="仿宋"/>
          <w:kern w:val="0"/>
          <w:sz w:val="44"/>
          <w:szCs w:val="44"/>
          <w:lang w:eastAsia="zh-CN" w:bidi="ar"/>
        </w:rPr>
        <w:t>提升攻坚行动项目申报指南</w:t>
      </w:r>
    </w:p>
    <w:p w14:paraId="4926ACC6">
      <w:pPr>
        <w:spacing w:line="560" w:lineRule="exact"/>
        <w:rPr>
          <w:rFonts w:hint="default"/>
          <w:kern w:val="0"/>
          <w:szCs w:val="32"/>
          <w:lang w:bidi="ar"/>
        </w:rPr>
      </w:pPr>
    </w:p>
    <w:p w14:paraId="3676F268">
      <w:pPr>
        <w:spacing w:line="560" w:lineRule="exact"/>
        <w:ind w:firstLine="640" w:firstLineChars="200"/>
        <w:rPr>
          <w:rFonts w:hint="default" w:eastAsia="仿宋_GB2312"/>
          <w:kern w:val="0"/>
          <w:sz w:val="32"/>
          <w:szCs w:val="32"/>
          <w:lang w:val="en-US" w:eastAsia="zh-CN" w:bidi="ar"/>
        </w:rPr>
      </w:pPr>
      <w:r>
        <w:rPr>
          <w:rFonts w:hint="eastAsia" w:eastAsia="仿宋_GB2312"/>
          <w:kern w:val="0"/>
          <w:sz w:val="32"/>
          <w:szCs w:val="32"/>
          <w:lang w:val="en-US" w:eastAsia="zh-CN" w:bidi="ar"/>
        </w:rPr>
        <w:t>根据</w:t>
      </w:r>
      <w:r>
        <w:rPr>
          <w:rFonts w:hint="default" w:eastAsia="仿宋_GB2312"/>
          <w:kern w:val="0"/>
          <w:sz w:val="32"/>
          <w:szCs w:val="32"/>
          <w:lang w:bidi="ar"/>
        </w:rPr>
        <w:t>广东省农业农村厅《2024年广东省水稻大面积单产提升攻坚行动项目实施方案》《关于印发&lt;广东省粮油等主要作物大面积单产提升行动实施方案</w:t>
      </w:r>
      <w:r>
        <w:rPr>
          <w:rFonts w:hint="eastAsia" w:eastAsia="仿宋_GB2312"/>
          <w:kern w:val="0"/>
          <w:sz w:val="32"/>
          <w:szCs w:val="32"/>
          <w:lang w:eastAsia="zh-CN" w:bidi="ar"/>
        </w:rPr>
        <w:t>（</w:t>
      </w:r>
      <w:r>
        <w:rPr>
          <w:rFonts w:hint="default" w:eastAsia="仿宋_GB2312"/>
          <w:kern w:val="0"/>
          <w:sz w:val="32"/>
          <w:szCs w:val="32"/>
          <w:lang w:bidi="ar"/>
        </w:rPr>
        <w:t>2023-2030年</w:t>
      </w:r>
      <w:r>
        <w:rPr>
          <w:rFonts w:hint="eastAsia" w:eastAsia="仿宋_GB2312"/>
          <w:kern w:val="0"/>
          <w:sz w:val="32"/>
          <w:szCs w:val="32"/>
          <w:lang w:eastAsia="zh-CN" w:bidi="ar"/>
        </w:rPr>
        <w:t>）</w:t>
      </w:r>
      <w:r>
        <w:rPr>
          <w:rFonts w:hint="default" w:eastAsia="仿宋_GB2312"/>
          <w:kern w:val="0"/>
          <w:sz w:val="32"/>
          <w:szCs w:val="32"/>
          <w:lang w:bidi="ar"/>
        </w:rPr>
        <w:t>&gt;的通知》</w:t>
      </w:r>
      <w:r>
        <w:rPr>
          <w:rFonts w:hint="eastAsia" w:eastAsia="仿宋_GB2312"/>
          <w:kern w:val="0"/>
          <w:sz w:val="32"/>
          <w:szCs w:val="32"/>
          <w:lang w:eastAsia="zh-CN" w:bidi="ar"/>
        </w:rPr>
        <w:t>（</w:t>
      </w:r>
      <w:r>
        <w:rPr>
          <w:rFonts w:hint="default" w:eastAsia="仿宋_GB2312"/>
          <w:kern w:val="0"/>
          <w:sz w:val="32"/>
          <w:szCs w:val="32"/>
          <w:lang w:bidi="ar"/>
        </w:rPr>
        <w:t>粤农农函〔2023</w:t>
      </w:r>
      <w:r>
        <w:rPr>
          <w:rFonts w:hint="eastAsia" w:ascii="Times New Roman" w:hAnsi="Times New Roman" w:eastAsia="仿宋_GB2312" w:cs="Times New Roman"/>
          <w:sz w:val="32"/>
          <w:szCs w:val="32"/>
        </w:rPr>
        <w:t>〕</w:t>
      </w:r>
      <w:r>
        <w:rPr>
          <w:rFonts w:hint="default" w:eastAsia="仿宋_GB2312"/>
          <w:kern w:val="0"/>
          <w:sz w:val="32"/>
          <w:szCs w:val="32"/>
          <w:lang w:bidi="ar"/>
        </w:rPr>
        <w:t>549号</w:t>
      </w:r>
      <w:r>
        <w:rPr>
          <w:rFonts w:hint="eastAsia" w:eastAsia="仿宋_GB2312"/>
          <w:kern w:val="0"/>
          <w:sz w:val="32"/>
          <w:szCs w:val="32"/>
          <w:lang w:eastAsia="zh-CN" w:bidi="ar"/>
        </w:rPr>
        <w:t>）</w:t>
      </w:r>
      <w:r>
        <w:rPr>
          <w:rFonts w:hint="eastAsia" w:eastAsia="仿宋_GB2312"/>
          <w:kern w:val="0"/>
          <w:sz w:val="32"/>
          <w:szCs w:val="32"/>
          <w:lang w:val="en-US" w:eastAsia="zh-CN" w:bidi="ar"/>
        </w:rPr>
        <w:t>相关</w:t>
      </w:r>
      <w:r>
        <w:rPr>
          <w:rFonts w:hint="default" w:eastAsia="仿宋_GB2312"/>
          <w:kern w:val="0"/>
          <w:sz w:val="32"/>
          <w:szCs w:val="32"/>
          <w:lang w:bidi="ar"/>
        </w:rPr>
        <w:t>文件</w:t>
      </w:r>
      <w:r>
        <w:rPr>
          <w:rFonts w:hint="eastAsia" w:eastAsia="仿宋_GB2312"/>
          <w:kern w:val="0"/>
          <w:sz w:val="32"/>
          <w:szCs w:val="32"/>
          <w:lang w:val="en-US" w:eastAsia="zh-CN" w:bidi="ar"/>
        </w:rPr>
        <w:t>要求，</w:t>
      </w:r>
      <w:r>
        <w:rPr>
          <w:rFonts w:hint="default" w:eastAsia="仿宋_GB2312"/>
          <w:kern w:val="0"/>
          <w:sz w:val="32"/>
          <w:szCs w:val="32"/>
          <w:lang w:bidi="ar"/>
        </w:rPr>
        <w:t>把保障粮食和重要农产品稳定安全供给作为头等大事，以大面积单产提升为导向，以促进作物增产和农民增收为目标，组织开展水稻大面积单产提升攻坚行动，</w:t>
      </w:r>
      <w:r>
        <w:rPr>
          <w:rFonts w:hint="eastAsia" w:eastAsia="仿宋_GB2312"/>
          <w:kern w:val="0"/>
          <w:sz w:val="32"/>
          <w:szCs w:val="32"/>
          <w:lang w:val="en-US" w:eastAsia="zh-CN" w:bidi="ar"/>
        </w:rPr>
        <w:t>并结合我县发展实际，制定如下指南。</w:t>
      </w:r>
    </w:p>
    <w:p w14:paraId="448F1B93">
      <w:pPr>
        <w:spacing w:line="560" w:lineRule="exact"/>
        <w:ind w:firstLine="720"/>
        <w:jc w:val="left"/>
        <w:outlineLvl w:val="1"/>
        <w:rPr>
          <w:rFonts w:hint="default" w:eastAsia="黑体"/>
          <w:kern w:val="0"/>
          <w:sz w:val="32"/>
          <w:szCs w:val="32"/>
        </w:rPr>
      </w:pPr>
      <w:r>
        <w:rPr>
          <w:rFonts w:eastAsia="黑体"/>
          <w:kern w:val="0"/>
          <w:sz w:val="32"/>
          <w:szCs w:val="32"/>
        </w:rPr>
        <w:t>一、申报范围</w:t>
      </w:r>
    </w:p>
    <w:p w14:paraId="7D5812C7">
      <w:pPr>
        <w:spacing w:line="560" w:lineRule="exact"/>
        <w:ind w:firstLine="640" w:firstLineChars="200"/>
        <w:rPr>
          <w:rFonts w:hint="eastAsia" w:eastAsia="仿宋_GB2312"/>
          <w:kern w:val="0"/>
          <w:sz w:val="32"/>
          <w:szCs w:val="32"/>
          <w:lang w:eastAsia="zh-CN" w:bidi="ar"/>
        </w:rPr>
      </w:pPr>
      <w:r>
        <w:rPr>
          <w:rFonts w:hint="eastAsia" w:eastAsia="仿宋_GB2312"/>
          <w:kern w:val="0"/>
          <w:sz w:val="32"/>
          <w:szCs w:val="32"/>
          <w:lang w:val="en-US" w:eastAsia="zh-CN" w:bidi="ar"/>
        </w:rPr>
        <w:t>海丰县</w:t>
      </w:r>
      <w:r>
        <w:rPr>
          <w:rFonts w:hint="eastAsia" w:eastAsia="仿宋_GB2312"/>
          <w:kern w:val="0"/>
          <w:sz w:val="32"/>
          <w:szCs w:val="32"/>
          <w:lang w:eastAsia="zh-CN" w:bidi="ar"/>
        </w:rPr>
        <w:t>城东、可塘、梅陇、陶河、联安、赤坑、附城、</w:t>
      </w:r>
      <w:r>
        <w:rPr>
          <w:rFonts w:hint="eastAsia" w:eastAsia="仿宋_GB2312"/>
          <w:kern w:val="0"/>
          <w:sz w:val="32"/>
          <w:szCs w:val="32"/>
          <w:lang w:val="en-US" w:eastAsia="zh-CN" w:bidi="ar"/>
        </w:rPr>
        <w:t>公平、梅陇农场</w:t>
      </w:r>
      <w:r>
        <w:rPr>
          <w:rFonts w:hint="eastAsia" w:eastAsia="仿宋_GB2312"/>
          <w:kern w:val="0"/>
          <w:sz w:val="32"/>
          <w:szCs w:val="32"/>
          <w:lang w:eastAsia="zh-CN" w:bidi="ar"/>
        </w:rPr>
        <w:t>等</w:t>
      </w:r>
      <w:r>
        <w:rPr>
          <w:rFonts w:hint="eastAsia" w:eastAsia="仿宋_GB2312"/>
          <w:kern w:val="0"/>
          <w:sz w:val="32"/>
          <w:szCs w:val="32"/>
          <w:lang w:val="en-US" w:eastAsia="zh-CN" w:bidi="ar"/>
        </w:rPr>
        <w:t>9</w:t>
      </w:r>
      <w:r>
        <w:rPr>
          <w:rFonts w:hint="eastAsia" w:eastAsia="仿宋_GB2312"/>
          <w:kern w:val="0"/>
          <w:sz w:val="32"/>
          <w:szCs w:val="32"/>
          <w:lang w:eastAsia="zh-CN" w:bidi="ar"/>
        </w:rPr>
        <w:t>个</w:t>
      </w:r>
      <w:r>
        <w:rPr>
          <w:rFonts w:hint="eastAsia" w:eastAsia="仿宋_GB2312"/>
          <w:kern w:val="0"/>
          <w:sz w:val="32"/>
          <w:szCs w:val="32"/>
          <w:lang w:val="en-US" w:eastAsia="zh-CN" w:bidi="ar"/>
        </w:rPr>
        <w:t>水稻</w:t>
      </w:r>
      <w:r>
        <w:rPr>
          <w:rFonts w:hint="eastAsia" w:eastAsia="仿宋_GB2312"/>
          <w:kern w:val="0"/>
          <w:sz w:val="32"/>
          <w:szCs w:val="32"/>
          <w:lang w:eastAsia="zh-CN" w:bidi="ar"/>
        </w:rPr>
        <w:t>主产地</w:t>
      </w:r>
      <w:r>
        <w:rPr>
          <w:rFonts w:hint="eastAsia" w:eastAsia="仿宋_GB2312"/>
          <w:kern w:val="0"/>
          <w:sz w:val="32"/>
          <w:szCs w:val="32"/>
          <w:lang w:val="en-US" w:eastAsia="zh-CN" w:bidi="ar"/>
        </w:rPr>
        <w:t>范围内</w:t>
      </w:r>
      <w:r>
        <w:rPr>
          <w:rFonts w:hint="eastAsia" w:eastAsia="仿宋_GB2312"/>
          <w:kern w:val="0"/>
          <w:sz w:val="32"/>
          <w:szCs w:val="32"/>
          <w:lang w:eastAsia="zh-CN" w:bidi="ar"/>
        </w:rPr>
        <w:t>。</w:t>
      </w:r>
    </w:p>
    <w:p w14:paraId="08FA7188">
      <w:pPr>
        <w:spacing w:line="560" w:lineRule="exact"/>
        <w:ind w:firstLine="720"/>
        <w:jc w:val="left"/>
        <w:outlineLvl w:val="1"/>
        <w:rPr>
          <w:rFonts w:hint="eastAsia" w:eastAsia="黑体"/>
          <w:kern w:val="0"/>
          <w:sz w:val="32"/>
          <w:szCs w:val="32"/>
          <w:lang w:val="en-US" w:eastAsia="zh-CN"/>
        </w:rPr>
      </w:pPr>
      <w:r>
        <w:rPr>
          <w:rFonts w:hint="eastAsia" w:eastAsia="黑体"/>
          <w:kern w:val="0"/>
          <w:sz w:val="32"/>
          <w:szCs w:val="32"/>
          <w:lang w:val="en-US" w:eastAsia="zh-CN"/>
        </w:rPr>
        <w:t>二、申报主体及条件</w:t>
      </w:r>
    </w:p>
    <w:p w14:paraId="60AA6098">
      <w:pPr>
        <w:spacing w:line="560" w:lineRule="exact"/>
        <w:ind w:firstLine="640" w:firstLineChars="200"/>
        <w:rPr>
          <w:rFonts w:hint="eastAsia" w:eastAsia="仿宋_GB2312"/>
          <w:kern w:val="0"/>
          <w:sz w:val="32"/>
          <w:szCs w:val="32"/>
          <w:highlight w:val="none"/>
          <w:lang w:val="en-US" w:eastAsia="zh-CN" w:bidi="ar"/>
        </w:rPr>
      </w:pPr>
      <w:r>
        <w:rPr>
          <w:rFonts w:hint="eastAsia" w:eastAsia="仿宋_GB2312"/>
          <w:kern w:val="0"/>
          <w:sz w:val="32"/>
          <w:szCs w:val="32"/>
          <w:highlight w:val="none"/>
          <w:lang w:val="en-US" w:eastAsia="zh-CN" w:bidi="ar"/>
        </w:rPr>
        <w:t>（一）申报单位需具有法人资格，原则上工商注册1年以上，营业执照、开户许可证等证照齐全，工商年报、税务报送等正常有效，近年来没有因违法违规行为受到监管部门的处理处罚。</w:t>
      </w:r>
    </w:p>
    <w:p w14:paraId="4C77D90B">
      <w:pPr>
        <w:spacing w:line="560" w:lineRule="exact"/>
        <w:ind w:firstLine="640" w:firstLineChars="200"/>
        <w:rPr>
          <w:rFonts w:hint="default" w:eastAsia="仿宋_GB2312"/>
          <w:kern w:val="0"/>
          <w:sz w:val="32"/>
          <w:szCs w:val="32"/>
          <w:lang w:val="en-US" w:eastAsia="zh-CN" w:bidi="ar"/>
        </w:rPr>
      </w:pPr>
      <w:r>
        <w:rPr>
          <w:rFonts w:hint="eastAsia" w:eastAsia="仿宋_GB2312"/>
          <w:kern w:val="0"/>
          <w:sz w:val="32"/>
          <w:szCs w:val="32"/>
          <w:highlight w:val="none"/>
          <w:lang w:val="en-US" w:eastAsia="zh-CN" w:bidi="ar"/>
        </w:rPr>
        <w:t>（二）申报单位需有完</w:t>
      </w:r>
      <w:r>
        <w:rPr>
          <w:rFonts w:hint="eastAsia" w:eastAsia="仿宋_GB2312"/>
          <w:kern w:val="0"/>
          <w:sz w:val="32"/>
          <w:szCs w:val="32"/>
          <w:lang w:val="en-US" w:eastAsia="zh-CN" w:bidi="ar"/>
        </w:rPr>
        <w:t>善的组织管理制度，运作规范，拥有与其服务内容、服务能力相匹配的专业农业机械、设备以及农业技术力量，且现有相对连片承包面积原则上不少于100亩以上。</w:t>
      </w:r>
    </w:p>
    <w:p w14:paraId="0EA2C6B6">
      <w:pPr>
        <w:spacing w:line="560" w:lineRule="exact"/>
        <w:ind w:firstLine="640" w:firstLineChars="200"/>
        <w:jc w:val="left"/>
        <w:outlineLvl w:val="1"/>
        <w:rPr>
          <w:rFonts w:hint="default" w:eastAsia="黑体"/>
          <w:kern w:val="0"/>
          <w:sz w:val="32"/>
          <w:szCs w:val="32"/>
          <w:lang w:val="en-US" w:eastAsia="zh-CN"/>
        </w:rPr>
      </w:pPr>
      <w:r>
        <w:rPr>
          <w:rFonts w:hint="eastAsia" w:eastAsia="黑体"/>
          <w:kern w:val="0"/>
          <w:sz w:val="32"/>
          <w:szCs w:val="32"/>
          <w:lang w:val="en-US" w:eastAsia="zh-CN"/>
        </w:rPr>
        <w:t>三</w:t>
      </w:r>
      <w:r>
        <w:rPr>
          <w:rFonts w:eastAsia="黑体"/>
          <w:kern w:val="0"/>
          <w:sz w:val="32"/>
          <w:szCs w:val="32"/>
        </w:rPr>
        <w:t>、</w:t>
      </w:r>
      <w:r>
        <w:rPr>
          <w:rFonts w:hint="eastAsia" w:eastAsia="黑体"/>
          <w:kern w:val="0"/>
          <w:sz w:val="32"/>
          <w:szCs w:val="32"/>
          <w:lang w:val="en-US" w:eastAsia="zh-CN"/>
        </w:rPr>
        <w:t>实施方式</w:t>
      </w:r>
    </w:p>
    <w:p w14:paraId="38B617F8">
      <w:pPr>
        <w:spacing w:line="560" w:lineRule="exact"/>
        <w:ind w:firstLine="643" w:firstLineChars="200"/>
        <w:rPr>
          <w:rFonts w:hint="eastAsia" w:eastAsia="仿宋_GB2312"/>
          <w:kern w:val="0"/>
          <w:sz w:val="32"/>
          <w:szCs w:val="32"/>
          <w:lang w:val="en-US" w:eastAsia="zh-CN" w:bidi="ar"/>
        </w:rPr>
      </w:pPr>
      <w:r>
        <w:rPr>
          <w:rFonts w:hint="eastAsia" w:eastAsia="仿宋_GB2312"/>
          <w:b/>
          <w:bCs/>
          <w:kern w:val="0"/>
          <w:sz w:val="32"/>
          <w:szCs w:val="32"/>
          <w:lang w:val="en-US" w:eastAsia="zh-CN" w:bidi="ar"/>
        </w:rPr>
        <w:t>（一）重点推广品种。</w:t>
      </w:r>
      <w:r>
        <w:rPr>
          <w:rFonts w:hint="eastAsia" w:eastAsia="仿宋_GB2312"/>
          <w:kern w:val="0"/>
          <w:sz w:val="32"/>
          <w:szCs w:val="32"/>
          <w:lang w:val="en-US" w:eastAsia="zh-CN" w:bidi="ar"/>
        </w:rPr>
        <w:t>本次项目主推海丰油占米新品种。</w:t>
      </w:r>
    </w:p>
    <w:p w14:paraId="0B27A999">
      <w:pPr>
        <w:spacing w:line="560" w:lineRule="exact"/>
        <w:ind w:firstLine="643" w:firstLineChars="200"/>
        <w:rPr>
          <w:rFonts w:hint="eastAsia" w:eastAsia="仿宋_GB2312"/>
          <w:kern w:val="0"/>
          <w:sz w:val="32"/>
          <w:szCs w:val="32"/>
          <w:lang w:val="en-US" w:eastAsia="zh-CN" w:bidi="ar"/>
        </w:rPr>
      </w:pPr>
      <w:r>
        <w:rPr>
          <w:rFonts w:hint="eastAsia" w:eastAsia="仿宋_GB2312"/>
          <w:b/>
          <w:bCs/>
          <w:kern w:val="0"/>
          <w:sz w:val="32"/>
          <w:szCs w:val="32"/>
          <w:lang w:val="en-US" w:eastAsia="zh-CN" w:bidi="ar"/>
        </w:rPr>
        <w:t>（二）重点推广技术。</w:t>
      </w:r>
      <w:r>
        <w:rPr>
          <w:rFonts w:hint="eastAsia" w:eastAsia="仿宋_GB2312"/>
          <w:kern w:val="0"/>
          <w:sz w:val="32"/>
          <w:szCs w:val="32"/>
          <w:lang w:val="en-US" w:eastAsia="zh-CN" w:bidi="ar"/>
        </w:rPr>
        <w:t>本次项目主推水</w:t>
      </w:r>
      <w:r>
        <w:rPr>
          <w:rFonts w:hint="eastAsia" w:ascii="仿宋_GB2312" w:hAnsi="仿宋_GB2312" w:eastAsia="仿宋_GB2312" w:cs="仿宋_GB2312"/>
          <w:sz w:val="32"/>
          <w:szCs w:val="32"/>
          <w:lang w:val="en-US" w:eastAsia="zh-CN"/>
        </w:rPr>
        <w:t>稻“一喷多促”、</w:t>
      </w:r>
      <w:r>
        <w:rPr>
          <w:rFonts w:hint="eastAsia" w:ascii="Times New Roman" w:hAnsi="Times New Roman" w:eastAsia="仿宋_GB2312" w:cs="Times New Roman"/>
          <w:kern w:val="2"/>
          <w:sz w:val="32"/>
          <w:szCs w:val="32"/>
          <w:lang w:val="en-US" w:eastAsia="zh-CN" w:bidi="ar-SA"/>
        </w:rPr>
        <w:t>“三控”和增加种</w:t>
      </w:r>
      <w:r>
        <w:rPr>
          <w:rFonts w:hint="default" w:ascii="Times New Roman" w:hAnsi="Times New Roman" w:eastAsia="仿宋_GB2312" w:cs="Times New Roman"/>
          <w:kern w:val="2"/>
          <w:sz w:val="32"/>
          <w:szCs w:val="32"/>
          <w:lang w:val="en-US" w:eastAsia="zh-CN" w:bidi="ar-SA"/>
        </w:rPr>
        <w:t>植密度</w:t>
      </w:r>
      <w:r>
        <w:rPr>
          <w:rFonts w:hint="eastAsia" w:ascii="Times New Roman" w:hAnsi="Times New Roman" w:eastAsia="仿宋_GB2312" w:cs="Times New Roman"/>
          <w:kern w:val="2"/>
          <w:sz w:val="32"/>
          <w:szCs w:val="32"/>
          <w:lang w:val="en-US" w:eastAsia="zh-CN" w:bidi="ar-SA"/>
        </w:rPr>
        <w:t>等</w:t>
      </w:r>
      <w:r>
        <w:rPr>
          <w:rFonts w:hint="eastAsia" w:ascii="仿宋_GB2312" w:hAnsi="仿宋_GB2312" w:eastAsia="仿宋_GB2312" w:cs="仿宋_GB2312"/>
          <w:sz w:val="32"/>
          <w:szCs w:val="32"/>
          <w:lang w:val="en-US" w:eastAsia="zh-CN"/>
        </w:rPr>
        <w:t>技术</w:t>
      </w:r>
      <w:r>
        <w:rPr>
          <w:rFonts w:hint="eastAsia" w:eastAsia="仿宋_GB2312"/>
          <w:kern w:val="0"/>
          <w:sz w:val="32"/>
          <w:szCs w:val="32"/>
          <w:lang w:val="en-US" w:eastAsia="zh-CN" w:bidi="ar"/>
        </w:rPr>
        <w:t>。</w:t>
      </w:r>
    </w:p>
    <w:p w14:paraId="239CDCB9">
      <w:pPr>
        <w:spacing w:line="560" w:lineRule="exact"/>
        <w:ind w:firstLine="643" w:firstLineChars="200"/>
        <w:rPr>
          <w:rFonts w:hint="default" w:eastAsia="仿宋_GB2312"/>
          <w:b w:val="0"/>
          <w:bCs w:val="0"/>
          <w:kern w:val="0"/>
          <w:sz w:val="32"/>
          <w:szCs w:val="32"/>
          <w:lang w:val="en-US" w:eastAsia="zh-CN" w:bidi="ar"/>
        </w:rPr>
      </w:pPr>
      <w:r>
        <w:rPr>
          <w:rFonts w:hint="eastAsia" w:eastAsia="仿宋_GB2312"/>
          <w:b/>
          <w:bCs/>
          <w:kern w:val="0"/>
          <w:sz w:val="32"/>
          <w:szCs w:val="32"/>
          <w:lang w:val="en-US" w:eastAsia="zh-CN" w:bidi="ar"/>
        </w:rPr>
        <w:t>（三）主攻方向。</w:t>
      </w:r>
      <w:r>
        <w:rPr>
          <w:rFonts w:hint="eastAsia" w:eastAsia="仿宋_GB2312"/>
          <w:b w:val="0"/>
          <w:bCs w:val="0"/>
          <w:kern w:val="0"/>
          <w:sz w:val="32"/>
          <w:szCs w:val="32"/>
          <w:lang w:val="en-US" w:eastAsia="zh-CN" w:bidi="ar"/>
        </w:rPr>
        <w:t>在海丰县域内城东、可塘、梅陇、陶河、联安、赤坑、附城、公平和梅陇农场等9个水稻主产地，计划建立海丰油占米高效高产种植示范片1—2万亩，示范集成推广高产优质抗病水稻品种引进及绿色高产高效水稻种植技术，综合提升水稻单产和效益。力争2025年水稻单产比2024年提高4公斤/亩以上，病虫草害危害损失率控制在5%以内。</w:t>
      </w:r>
    </w:p>
    <w:p w14:paraId="227658D0">
      <w:pPr>
        <w:spacing w:line="560" w:lineRule="exact"/>
        <w:ind w:firstLine="640" w:firstLineChars="200"/>
        <w:jc w:val="left"/>
        <w:outlineLvl w:val="1"/>
        <w:rPr>
          <w:rFonts w:hint="default" w:eastAsia="黑体"/>
          <w:kern w:val="0"/>
          <w:sz w:val="32"/>
          <w:szCs w:val="32"/>
        </w:rPr>
      </w:pPr>
      <w:r>
        <w:rPr>
          <w:rFonts w:hint="eastAsia" w:eastAsia="黑体"/>
          <w:kern w:val="0"/>
          <w:sz w:val="32"/>
          <w:szCs w:val="32"/>
          <w:lang w:val="en-US" w:eastAsia="zh-CN"/>
        </w:rPr>
        <w:t>四</w:t>
      </w:r>
      <w:r>
        <w:rPr>
          <w:rFonts w:eastAsia="黑体"/>
          <w:kern w:val="0"/>
          <w:sz w:val="32"/>
          <w:szCs w:val="32"/>
        </w:rPr>
        <w:t>、支持方向</w:t>
      </w:r>
    </w:p>
    <w:p w14:paraId="692FC140">
      <w:pPr>
        <w:spacing w:line="560" w:lineRule="exact"/>
        <w:ind w:firstLine="640" w:firstLineChars="200"/>
        <w:rPr>
          <w:rFonts w:hint="default" w:eastAsia="仿宋_GB2312"/>
          <w:b w:val="0"/>
          <w:bCs w:val="0"/>
          <w:kern w:val="0"/>
          <w:sz w:val="32"/>
          <w:szCs w:val="32"/>
          <w:lang w:val="en-US" w:eastAsia="zh-CN" w:bidi="ar"/>
        </w:rPr>
      </w:pPr>
      <w:r>
        <w:rPr>
          <w:rFonts w:hint="default" w:eastAsia="仿宋_GB2312"/>
          <w:b w:val="0"/>
          <w:bCs w:val="0"/>
          <w:kern w:val="0"/>
          <w:sz w:val="32"/>
          <w:szCs w:val="32"/>
          <w:lang w:val="en-US" w:eastAsia="zh-CN" w:bidi="ar"/>
        </w:rPr>
        <w:t>省级大面积单产提升攻坚行动项目资金重点用于项目区物化投入补助、社会化服务补助和农业技术推广服务补助。</w:t>
      </w:r>
      <w:r>
        <w:rPr>
          <w:rFonts w:hint="eastAsia" w:eastAsia="仿宋_GB2312"/>
          <w:b w:val="0"/>
          <w:bCs w:val="0"/>
          <w:kern w:val="0"/>
          <w:sz w:val="32"/>
          <w:szCs w:val="32"/>
          <w:lang w:val="en-US" w:eastAsia="zh-CN" w:bidi="ar"/>
        </w:rPr>
        <w:t>结合我县主推技术模式及品种，本次遴选项目资金重点支持以下方面：</w:t>
      </w:r>
    </w:p>
    <w:p w14:paraId="5ADEBFEA">
      <w:pPr>
        <w:spacing w:line="560" w:lineRule="exact"/>
        <w:ind w:firstLine="643"/>
        <w:rPr>
          <w:rFonts w:hint="eastAsia" w:eastAsia="仿宋_GB2312"/>
          <w:kern w:val="0"/>
          <w:sz w:val="32"/>
          <w:szCs w:val="32"/>
          <w:lang w:eastAsia="zh-CN" w:bidi="ar"/>
        </w:rPr>
      </w:pPr>
      <w:r>
        <w:rPr>
          <w:rFonts w:hint="default" w:eastAsia="仿宋_GB2312"/>
          <w:b/>
          <w:bCs/>
          <w:kern w:val="0"/>
          <w:sz w:val="32"/>
          <w:szCs w:val="32"/>
          <w:lang w:val="en-US" w:eastAsia="zh-CN" w:bidi="ar"/>
        </w:rPr>
        <w:t>（一）</w:t>
      </w:r>
      <w:r>
        <w:rPr>
          <w:rFonts w:hint="eastAsia" w:eastAsia="仿宋_GB2312"/>
          <w:b/>
          <w:bCs/>
          <w:kern w:val="0"/>
          <w:sz w:val="32"/>
          <w:szCs w:val="32"/>
          <w:lang w:val="en-US" w:eastAsia="zh-CN" w:bidi="ar"/>
        </w:rPr>
        <w:t>物化投入补助</w:t>
      </w:r>
      <w:r>
        <w:rPr>
          <w:rFonts w:hint="default" w:eastAsia="仿宋_GB2312"/>
          <w:b/>
          <w:bCs/>
          <w:kern w:val="0"/>
          <w:sz w:val="32"/>
          <w:szCs w:val="32"/>
          <w:lang w:val="en-US" w:eastAsia="zh-CN" w:bidi="ar"/>
        </w:rPr>
        <w:t>。</w:t>
      </w:r>
      <w:r>
        <w:rPr>
          <w:rFonts w:hint="eastAsia" w:eastAsia="仿宋_GB2312"/>
          <w:b w:val="0"/>
          <w:bCs w:val="0"/>
          <w:kern w:val="0"/>
          <w:sz w:val="32"/>
          <w:szCs w:val="32"/>
          <w:lang w:val="en-US" w:eastAsia="zh-CN" w:bidi="ar"/>
        </w:rPr>
        <w:t>主要用于高产优质抗病水稻品种引进及新型缓控释肥采购，具体数量由申报单位按承包面积自行测算</w:t>
      </w:r>
      <w:r>
        <w:rPr>
          <w:rFonts w:hint="eastAsia" w:eastAsia="仿宋_GB2312"/>
          <w:sz w:val="32"/>
          <w:szCs w:val="32"/>
          <w:lang w:eastAsia="zh-CN"/>
        </w:rPr>
        <w:t>。</w:t>
      </w:r>
    </w:p>
    <w:p w14:paraId="74D5EA32">
      <w:pPr>
        <w:spacing w:line="560" w:lineRule="exact"/>
        <w:ind w:firstLine="643"/>
        <w:rPr>
          <w:rFonts w:hint="default" w:eastAsia="仿宋_GB2312"/>
          <w:b w:val="0"/>
          <w:bCs w:val="0"/>
          <w:kern w:val="0"/>
          <w:sz w:val="32"/>
          <w:szCs w:val="32"/>
          <w:lang w:val="en-US" w:eastAsia="zh-CN" w:bidi="ar"/>
        </w:rPr>
      </w:pPr>
      <w:r>
        <w:rPr>
          <w:rFonts w:hint="eastAsia" w:eastAsia="仿宋_GB2312"/>
          <w:b/>
          <w:bCs/>
          <w:kern w:val="0"/>
          <w:sz w:val="32"/>
          <w:szCs w:val="32"/>
          <w:lang w:val="en-US" w:eastAsia="zh-CN" w:bidi="ar"/>
        </w:rPr>
        <w:t>（二）社会化服务补助。</w:t>
      </w:r>
      <w:r>
        <w:rPr>
          <w:rFonts w:hint="eastAsia" w:eastAsia="仿宋_GB2312"/>
          <w:b w:val="0"/>
          <w:bCs w:val="0"/>
          <w:kern w:val="0"/>
          <w:sz w:val="32"/>
          <w:szCs w:val="32"/>
          <w:lang w:val="en-US" w:eastAsia="zh-CN" w:bidi="ar"/>
        </w:rPr>
        <w:t>主要用于开展水稻配方施肥和“一喷多促”技术社会化服务补助，具体数量由申报单位按承包面积自行测算。</w:t>
      </w:r>
    </w:p>
    <w:p w14:paraId="778B3404">
      <w:pPr>
        <w:spacing w:line="560" w:lineRule="exact"/>
        <w:ind w:firstLine="640" w:firstLineChars="200"/>
        <w:jc w:val="left"/>
        <w:outlineLvl w:val="1"/>
        <w:rPr>
          <w:rFonts w:hint="eastAsia" w:eastAsia="黑体"/>
          <w:kern w:val="0"/>
          <w:sz w:val="32"/>
          <w:szCs w:val="32"/>
          <w:lang w:val="en-US" w:eastAsia="zh-CN"/>
        </w:rPr>
      </w:pPr>
      <w:r>
        <w:rPr>
          <w:rFonts w:hint="eastAsia" w:eastAsia="黑体"/>
          <w:kern w:val="0"/>
          <w:sz w:val="32"/>
          <w:szCs w:val="32"/>
          <w:lang w:val="en-US" w:eastAsia="zh-CN"/>
        </w:rPr>
        <w:t>五</w:t>
      </w:r>
      <w:r>
        <w:rPr>
          <w:rFonts w:eastAsia="黑体"/>
          <w:kern w:val="0"/>
          <w:sz w:val="32"/>
          <w:szCs w:val="32"/>
        </w:rPr>
        <w:t>、申报材料</w:t>
      </w:r>
      <w:r>
        <w:rPr>
          <w:rFonts w:hint="eastAsia" w:eastAsia="黑体"/>
          <w:kern w:val="0"/>
          <w:sz w:val="32"/>
          <w:szCs w:val="32"/>
          <w:lang w:val="en-US" w:eastAsia="zh-CN"/>
        </w:rPr>
        <w:t>要求</w:t>
      </w:r>
    </w:p>
    <w:p w14:paraId="217E9CD1">
      <w:pPr>
        <w:spacing w:line="560" w:lineRule="exact"/>
        <w:ind w:firstLine="640" w:firstLineChars="200"/>
        <w:rPr>
          <w:rFonts w:hint="default" w:eastAsia="仿宋_GB2312"/>
          <w:kern w:val="0"/>
          <w:sz w:val="32"/>
          <w:szCs w:val="32"/>
          <w:lang w:val="en-US" w:eastAsia="zh-CN" w:bidi="ar"/>
        </w:rPr>
      </w:pPr>
      <w:r>
        <w:rPr>
          <w:rFonts w:hint="default" w:eastAsia="仿宋_GB2312"/>
          <w:sz w:val="32"/>
          <w:szCs w:val="32"/>
        </w:rPr>
        <w:t>项目申报单位</w:t>
      </w:r>
      <w:r>
        <w:rPr>
          <w:rFonts w:hint="eastAsia" w:eastAsia="仿宋_GB2312"/>
          <w:sz w:val="32"/>
          <w:szCs w:val="32"/>
          <w:lang w:val="en-US" w:eastAsia="zh-CN"/>
        </w:rPr>
        <w:t>按指南要求撰写好《海丰县2024年广东省水稻大面积单产提升攻坚行动项目申报表》（附件2），明确具体建设内容。</w:t>
      </w:r>
      <w:r>
        <w:rPr>
          <w:rFonts w:hint="eastAsia" w:eastAsia="仿宋_GB2312"/>
          <w:kern w:val="0"/>
          <w:sz w:val="32"/>
          <w:szCs w:val="32"/>
          <w:lang w:val="en-US" w:eastAsia="zh-CN" w:bidi="ar"/>
        </w:rPr>
        <w:t>申报单位对申报材料的真实性、方案的可行性负责，如有虚假必须承担全部责任。</w:t>
      </w:r>
    </w:p>
    <w:p w14:paraId="746DEBB1">
      <w:pPr>
        <w:spacing w:line="560" w:lineRule="exact"/>
        <w:ind w:firstLine="640" w:firstLineChars="200"/>
        <w:jc w:val="left"/>
        <w:outlineLvl w:val="1"/>
        <w:rPr>
          <w:rFonts w:hint="default" w:eastAsia="黑体"/>
          <w:kern w:val="0"/>
          <w:sz w:val="32"/>
          <w:szCs w:val="32"/>
          <w:lang w:val="en-US" w:eastAsia="zh-CN"/>
        </w:rPr>
      </w:pPr>
      <w:r>
        <w:rPr>
          <w:rFonts w:eastAsia="黑体"/>
          <w:kern w:val="0"/>
          <w:sz w:val="32"/>
          <w:szCs w:val="32"/>
        </w:rPr>
        <w:t>六、申报时间</w:t>
      </w:r>
      <w:r>
        <w:rPr>
          <w:rFonts w:hint="eastAsia" w:eastAsia="黑体"/>
          <w:kern w:val="0"/>
          <w:sz w:val="32"/>
          <w:szCs w:val="32"/>
          <w:lang w:val="en-US" w:eastAsia="zh-CN"/>
        </w:rPr>
        <w:t>及需提交资料</w:t>
      </w:r>
    </w:p>
    <w:p w14:paraId="09C0AA7A">
      <w:pPr>
        <w:spacing w:line="560" w:lineRule="exact"/>
        <w:ind w:firstLine="640" w:firstLineChars="200"/>
        <w:rPr>
          <w:rFonts w:hint="default" w:eastAsia="仿宋_GB2312"/>
          <w:kern w:val="0"/>
          <w:sz w:val="32"/>
          <w:szCs w:val="32"/>
          <w:lang w:bidi="ar"/>
        </w:rPr>
      </w:pPr>
      <w:r>
        <w:rPr>
          <w:rFonts w:hint="default" w:eastAsia="仿宋_GB2312"/>
          <w:kern w:val="0"/>
          <w:sz w:val="32"/>
          <w:szCs w:val="32"/>
          <w:lang w:bidi="ar"/>
        </w:rPr>
        <w:t>本公告自发布之日起至</w:t>
      </w:r>
      <w:r>
        <w:rPr>
          <w:rFonts w:hint="default" w:eastAsia="仿宋_GB2312"/>
          <w:sz w:val="32"/>
          <w:szCs w:val="32"/>
        </w:rPr>
        <w:t>20</w:t>
      </w:r>
      <w:r>
        <w:rPr>
          <w:rFonts w:eastAsia="仿宋_GB2312"/>
          <w:sz w:val="32"/>
          <w:szCs w:val="32"/>
        </w:rPr>
        <w:t>2</w:t>
      </w:r>
      <w:r>
        <w:rPr>
          <w:rFonts w:hint="eastAsia" w:eastAsia="仿宋_GB2312"/>
          <w:sz w:val="32"/>
          <w:szCs w:val="32"/>
          <w:lang w:val="en-US" w:eastAsia="zh-CN"/>
        </w:rPr>
        <w:t>4</w:t>
      </w:r>
      <w:r>
        <w:rPr>
          <w:rFonts w:hint="default" w:eastAsia="仿宋_GB2312"/>
          <w:sz w:val="32"/>
          <w:szCs w:val="32"/>
        </w:rPr>
        <w:t>年</w:t>
      </w:r>
      <w:r>
        <w:rPr>
          <w:rFonts w:hint="eastAsia" w:eastAsia="仿宋_GB2312"/>
          <w:sz w:val="32"/>
          <w:szCs w:val="32"/>
          <w:lang w:val="en-US" w:eastAsia="zh-CN"/>
        </w:rPr>
        <w:t>12</w:t>
      </w:r>
      <w:r>
        <w:rPr>
          <w:rFonts w:hint="default" w:eastAsia="仿宋_GB2312"/>
          <w:sz w:val="32"/>
          <w:szCs w:val="32"/>
        </w:rPr>
        <w:t>月</w:t>
      </w:r>
      <w:r>
        <w:rPr>
          <w:rFonts w:hint="eastAsia" w:eastAsia="仿宋_GB2312"/>
          <w:sz w:val="32"/>
          <w:szCs w:val="32"/>
          <w:lang w:val="en-US" w:eastAsia="zh-CN"/>
        </w:rPr>
        <w:t>13</w:t>
      </w:r>
      <w:r>
        <w:rPr>
          <w:rFonts w:hint="default" w:eastAsia="仿宋_GB2312"/>
          <w:sz w:val="32"/>
          <w:szCs w:val="32"/>
        </w:rPr>
        <w:t>日</w:t>
      </w:r>
      <w:r>
        <w:rPr>
          <w:rFonts w:eastAsia="仿宋_GB2312"/>
          <w:sz w:val="32"/>
          <w:szCs w:val="32"/>
        </w:rPr>
        <w:t>1</w:t>
      </w:r>
      <w:r>
        <w:rPr>
          <w:rFonts w:hint="eastAsia" w:eastAsia="仿宋_GB2312"/>
          <w:sz w:val="32"/>
          <w:szCs w:val="32"/>
          <w:lang w:val="en-US" w:eastAsia="zh-CN"/>
        </w:rPr>
        <w:t>7</w:t>
      </w:r>
      <w:r>
        <w:rPr>
          <w:rFonts w:hint="default" w:eastAsia="仿宋_GB2312"/>
          <w:sz w:val="32"/>
          <w:szCs w:val="32"/>
        </w:rPr>
        <w:t>:</w:t>
      </w:r>
      <w:r>
        <w:rPr>
          <w:rFonts w:hint="eastAsia" w:eastAsia="仿宋_GB2312"/>
          <w:sz w:val="32"/>
          <w:szCs w:val="32"/>
          <w:lang w:val="en-US" w:eastAsia="zh-CN"/>
        </w:rPr>
        <w:t>3</w:t>
      </w:r>
      <w:r>
        <w:rPr>
          <w:rFonts w:hint="default" w:eastAsia="仿宋_GB2312"/>
          <w:sz w:val="32"/>
          <w:szCs w:val="32"/>
        </w:rPr>
        <w:t>0止</w:t>
      </w:r>
      <w:r>
        <w:rPr>
          <w:rFonts w:eastAsia="仿宋_GB2312"/>
          <w:kern w:val="0"/>
          <w:sz w:val="32"/>
          <w:szCs w:val="32"/>
          <w:lang w:bidi="ar"/>
        </w:rPr>
        <w:t>，</w:t>
      </w:r>
      <w:r>
        <w:rPr>
          <w:rFonts w:hint="default" w:eastAsia="仿宋_GB2312"/>
          <w:kern w:val="0"/>
          <w:sz w:val="32"/>
          <w:szCs w:val="32"/>
          <w:lang w:bidi="ar"/>
        </w:rPr>
        <w:t>申报材料</w:t>
      </w:r>
      <w:r>
        <w:rPr>
          <w:rFonts w:hint="eastAsia" w:eastAsia="仿宋_GB2312"/>
          <w:kern w:val="0"/>
          <w:sz w:val="32"/>
          <w:szCs w:val="32"/>
          <w:lang w:eastAsia="zh-CN" w:bidi="ar"/>
        </w:rPr>
        <w:t>（申报表、</w:t>
      </w:r>
      <w:r>
        <w:rPr>
          <w:rFonts w:hint="eastAsia" w:eastAsia="仿宋_GB2312"/>
          <w:kern w:val="0"/>
          <w:sz w:val="32"/>
          <w:szCs w:val="32"/>
          <w:highlight w:val="none"/>
          <w:lang w:val="en-US" w:eastAsia="zh-CN" w:bidi="ar"/>
        </w:rPr>
        <w:t>营业执照、开户许可证、现有土地承包流转合同</w:t>
      </w:r>
      <w:r>
        <w:rPr>
          <w:rFonts w:hint="eastAsia" w:eastAsia="仿宋_GB2312"/>
          <w:kern w:val="0"/>
          <w:sz w:val="32"/>
          <w:szCs w:val="32"/>
          <w:lang w:eastAsia="zh-CN" w:bidi="ar"/>
        </w:rPr>
        <w:t>）</w:t>
      </w:r>
      <w:r>
        <w:rPr>
          <w:rFonts w:hint="default" w:eastAsia="仿宋_GB2312"/>
          <w:sz w:val="32"/>
          <w:szCs w:val="32"/>
        </w:rPr>
        <w:t>一式</w:t>
      </w:r>
      <w:r>
        <w:rPr>
          <w:rFonts w:hint="eastAsia" w:eastAsia="仿宋_GB2312"/>
          <w:sz w:val="32"/>
          <w:szCs w:val="32"/>
          <w:lang w:val="en-US" w:eastAsia="zh-CN"/>
        </w:rPr>
        <w:t>三</w:t>
      </w:r>
      <w:r>
        <w:rPr>
          <w:rFonts w:hint="default" w:eastAsia="仿宋_GB2312"/>
          <w:sz w:val="32"/>
          <w:szCs w:val="32"/>
        </w:rPr>
        <w:t>份报送至</w:t>
      </w:r>
      <w:r>
        <w:rPr>
          <w:rFonts w:hint="eastAsia" w:eastAsia="仿宋_GB2312"/>
          <w:sz w:val="32"/>
          <w:szCs w:val="32"/>
          <w:lang w:val="en-US" w:eastAsia="zh-CN"/>
        </w:rPr>
        <w:t>县</w:t>
      </w:r>
      <w:r>
        <w:rPr>
          <w:rFonts w:hint="default" w:eastAsia="仿宋_GB2312"/>
          <w:sz w:val="32"/>
          <w:szCs w:val="32"/>
        </w:rPr>
        <w:t>农业农村局；同时提交电子文档一份</w:t>
      </w:r>
      <w:r>
        <w:rPr>
          <w:rFonts w:eastAsia="仿宋_GB2312"/>
          <w:kern w:val="0"/>
          <w:sz w:val="32"/>
          <w:szCs w:val="32"/>
          <w:lang w:bidi="ar"/>
        </w:rPr>
        <w:t>，</w:t>
      </w:r>
      <w:r>
        <w:rPr>
          <w:rFonts w:hint="default" w:eastAsia="仿宋_GB2312"/>
          <w:kern w:val="0"/>
          <w:sz w:val="32"/>
          <w:szCs w:val="32"/>
          <w:lang w:bidi="ar"/>
        </w:rPr>
        <w:t>发送到指定邮箱</w:t>
      </w:r>
      <w:r>
        <w:rPr>
          <w:rFonts w:eastAsia="仿宋_GB2312"/>
          <w:kern w:val="0"/>
          <w:sz w:val="32"/>
          <w:szCs w:val="32"/>
          <w:lang w:bidi="ar"/>
        </w:rPr>
        <w:t>，</w:t>
      </w:r>
      <w:r>
        <w:rPr>
          <w:rFonts w:hint="default" w:eastAsia="仿宋_GB2312"/>
          <w:kern w:val="0"/>
          <w:sz w:val="32"/>
          <w:szCs w:val="32"/>
          <w:lang w:bidi="ar"/>
        </w:rPr>
        <w:t>逾期不予受理。</w:t>
      </w:r>
    </w:p>
    <w:p w14:paraId="2E45E5B7">
      <w:pPr>
        <w:spacing w:line="560" w:lineRule="exact"/>
        <w:ind w:firstLine="720"/>
        <w:jc w:val="left"/>
        <w:outlineLvl w:val="1"/>
        <w:rPr>
          <w:rFonts w:hint="default" w:eastAsia="黑体"/>
          <w:kern w:val="0"/>
          <w:sz w:val="32"/>
          <w:szCs w:val="32"/>
          <w:lang w:val="en-US" w:eastAsia="zh-CN"/>
        </w:rPr>
      </w:pPr>
      <w:r>
        <w:rPr>
          <w:rFonts w:eastAsia="黑体"/>
          <w:kern w:val="0"/>
          <w:sz w:val="32"/>
          <w:szCs w:val="32"/>
        </w:rPr>
        <w:t>七、</w:t>
      </w:r>
      <w:r>
        <w:rPr>
          <w:rFonts w:hint="eastAsia" w:eastAsia="黑体"/>
          <w:kern w:val="0"/>
          <w:sz w:val="32"/>
          <w:szCs w:val="32"/>
          <w:lang w:val="en-US" w:eastAsia="zh-CN"/>
        </w:rPr>
        <w:t>联系方式</w:t>
      </w:r>
    </w:p>
    <w:p w14:paraId="2F5A30D8">
      <w:pPr>
        <w:spacing w:line="560" w:lineRule="exact"/>
        <w:ind w:firstLine="640" w:firstLineChars="200"/>
        <w:rPr>
          <w:rFonts w:hint="default" w:eastAsia="仿宋_GB2312"/>
          <w:sz w:val="32"/>
          <w:szCs w:val="32"/>
          <w:highlight w:val="none"/>
        </w:rPr>
      </w:pPr>
      <w:r>
        <w:rPr>
          <w:rFonts w:hint="default" w:eastAsia="仿宋_GB2312"/>
          <w:sz w:val="32"/>
          <w:szCs w:val="32"/>
          <w:highlight w:val="none"/>
        </w:rPr>
        <w:t>（一）书面材料报送</w:t>
      </w:r>
      <w:r>
        <w:rPr>
          <w:rFonts w:hint="eastAsia" w:eastAsia="仿宋_GB2312"/>
          <w:sz w:val="32"/>
          <w:szCs w:val="32"/>
          <w:highlight w:val="none"/>
          <w:lang w:val="en-US" w:eastAsia="zh-CN"/>
        </w:rPr>
        <w:t>地址</w:t>
      </w:r>
      <w:r>
        <w:rPr>
          <w:rFonts w:hint="default" w:eastAsia="仿宋_GB2312"/>
          <w:sz w:val="32"/>
          <w:szCs w:val="32"/>
          <w:highlight w:val="none"/>
        </w:rPr>
        <w:t>：</w:t>
      </w:r>
      <w:r>
        <w:rPr>
          <w:rFonts w:hint="eastAsia" w:eastAsia="仿宋_GB2312" w:cs="Times New Roman"/>
          <w:sz w:val="32"/>
          <w:szCs w:val="32"/>
          <w:highlight w:val="none"/>
          <w:lang w:val="en-US" w:eastAsia="zh-CN"/>
        </w:rPr>
        <w:t>海丰县农业农村局</w:t>
      </w:r>
    </w:p>
    <w:p w14:paraId="1DB679AA">
      <w:pPr>
        <w:spacing w:line="560" w:lineRule="exact"/>
        <w:ind w:firstLine="640" w:firstLineChars="200"/>
        <w:rPr>
          <w:rFonts w:hint="default" w:eastAsia="仿宋_GB2312"/>
          <w:sz w:val="32"/>
          <w:szCs w:val="32"/>
          <w:highlight w:val="none"/>
          <w:lang w:val="en-US"/>
        </w:rPr>
      </w:pPr>
      <w:r>
        <w:rPr>
          <w:rFonts w:hint="default" w:eastAsia="仿宋_GB2312"/>
          <w:sz w:val="32"/>
          <w:szCs w:val="32"/>
          <w:highlight w:val="none"/>
        </w:rPr>
        <w:t>（二）联系人及电话：</w:t>
      </w:r>
      <w:r>
        <w:rPr>
          <w:rFonts w:hint="eastAsia" w:eastAsia="仿宋_GB2312"/>
          <w:sz w:val="32"/>
          <w:szCs w:val="32"/>
          <w:highlight w:val="none"/>
          <w:lang w:val="en-US" w:eastAsia="zh-CN"/>
        </w:rPr>
        <w:t xml:space="preserve">林丽敏 13751944055   </w:t>
      </w:r>
    </w:p>
    <w:p w14:paraId="585DC64C">
      <w:pPr>
        <w:spacing w:line="560" w:lineRule="exact"/>
        <w:ind w:firstLine="640" w:firstLineChars="200"/>
        <w:rPr>
          <w:rFonts w:hint="default" w:eastAsia="仿宋_GB2312"/>
          <w:sz w:val="32"/>
          <w:szCs w:val="32"/>
          <w:highlight w:val="none"/>
          <w:lang w:val="en-US" w:eastAsia="zh-CN"/>
        </w:rPr>
      </w:pPr>
      <w:r>
        <w:rPr>
          <w:rFonts w:hint="default" w:eastAsia="仿宋_GB2312"/>
          <w:sz w:val="32"/>
          <w:szCs w:val="32"/>
          <w:highlight w:val="none"/>
        </w:rPr>
        <w:t>（三）邮箱：</w:t>
      </w:r>
      <w:r>
        <w:rPr>
          <w:rFonts w:hint="eastAsia" w:eastAsia="仿宋_GB2312"/>
          <w:sz w:val="32"/>
          <w:szCs w:val="32"/>
          <w:highlight w:val="none"/>
          <w:lang w:val="en-US" w:eastAsia="zh-CN"/>
        </w:rPr>
        <w:t xml:space="preserve">334989952@qq.com   </w:t>
      </w:r>
    </w:p>
    <w:p w14:paraId="0E3519F4">
      <w:pPr>
        <w:spacing w:line="560" w:lineRule="exact"/>
        <w:rPr>
          <w:rFonts w:hint="eastAsia" w:ascii="Times New Roman" w:hAnsi="Times New Roman" w:eastAsia="仿宋_GB2312" w:cs="Times New Roman"/>
          <w:sz w:val="24"/>
          <w:szCs w:val="24"/>
          <w:lang w:eastAsia="zh-CN"/>
        </w:rPr>
      </w:pPr>
      <w:bookmarkStart w:id="0" w:name="_GoBack"/>
      <w:bookmarkEnd w:id="0"/>
    </w:p>
    <w:sectPr>
      <w:pgSz w:w="11906" w:h="16838"/>
      <w:pgMar w:top="2098" w:right="1531" w:bottom="1984" w:left="1531" w:header="851" w:footer="1134" w:gutter="0"/>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E437A7-EAA4-409D-8CB3-8DFA37E0FC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1C1C51A-4D33-4BAC-8EE0-30CB69C14C8D}"/>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embedRegular r:id="rId3" w:fontKey="{7D7463CA-A127-48C0-AC96-C2774B800082}"/>
  </w:font>
  <w:font w:name="仿宋">
    <w:panose1 w:val="02010609060101010101"/>
    <w:charset w:val="86"/>
    <w:family w:val="auto"/>
    <w:pitch w:val="default"/>
    <w:sig w:usb0="800002BF" w:usb1="38CF7CFA" w:usb2="00000016" w:usb3="00000000" w:csb0="00040001" w:csb1="00000000"/>
    <w:embedRegular r:id="rId4" w:fontKey="{F0FB42F2-3779-4E67-80B6-186EF344A3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7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TQ3ZTYzZTE5YjUxMGQxNTk4MjUyNzAwZWJmYzMifQ=="/>
  </w:docVars>
  <w:rsids>
    <w:rsidRoot w:val="7E256F24"/>
    <w:rsid w:val="004D771E"/>
    <w:rsid w:val="005840C8"/>
    <w:rsid w:val="005C3AC5"/>
    <w:rsid w:val="00677492"/>
    <w:rsid w:val="007F7144"/>
    <w:rsid w:val="00887F42"/>
    <w:rsid w:val="009B0CF1"/>
    <w:rsid w:val="00D06729"/>
    <w:rsid w:val="00D84BCC"/>
    <w:rsid w:val="00DE20D0"/>
    <w:rsid w:val="00F801B5"/>
    <w:rsid w:val="00FF5041"/>
    <w:rsid w:val="02464927"/>
    <w:rsid w:val="02696A78"/>
    <w:rsid w:val="03ED3D88"/>
    <w:rsid w:val="0455748E"/>
    <w:rsid w:val="04913A3D"/>
    <w:rsid w:val="050035CC"/>
    <w:rsid w:val="05FF4013"/>
    <w:rsid w:val="07D441F0"/>
    <w:rsid w:val="07FF2627"/>
    <w:rsid w:val="093C0E5C"/>
    <w:rsid w:val="09A8189E"/>
    <w:rsid w:val="09CA510D"/>
    <w:rsid w:val="09EB02DA"/>
    <w:rsid w:val="0A34110F"/>
    <w:rsid w:val="0A666113"/>
    <w:rsid w:val="0DDC5BD1"/>
    <w:rsid w:val="0DE52A2B"/>
    <w:rsid w:val="0E69460B"/>
    <w:rsid w:val="0F1B5DBD"/>
    <w:rsid w:val="0F695F32"/>
    <w:rsid w:val="10161672"/>
    <w:rsid w:val="10194D85"/>
    <w:rsid w:val="10561154"/>
    <w:rsid w:val="11A2211D"/>
    <w:rsid w:val="12340EA2"/>
    <w:rsid w:val="14542CF5"/>
    <w:rsid w:val="14676413"/>
    <w:rsid w:val="14C82B75"/>
    <w:rsid w:val="17453C82"/>
    <w:rsid w:val="18141D00"/>
    <w:rsid w:val="184F5A10"/>
    <w:rsid w:val="18515154"/>
    <w:rsid w:val="192F16FA"/>
    <w:rsid w:val="19833C57"/>
    <w:rsid w:val="1A664875"/>
    <w:rsid w:val="1A8A6048"/>
    <w:rsid w:val="1AA66FB6"/>
    <w:rsid w:val="1C8D57B7"/>
    <w:rsid w:val="1CB12360"/>
    <w:rsid w:val="1CB30870"/>
    <w:rsid w:val="1CF6296A"/>
    <w:rsid w:val="1CFD7DAB"/>
    <w:rsid w:val="1D69035B"/>
    <w:rsid w:val="1DC51230"/>
    <w:rsid w:val="1DFCD422"/>
    <w:rsid w:val="1E3E32B5"/>
    <w:rsid w:val="1E6A623D"/>
    <w:rsid w:val="1EA818C4"/>
    <w:rsid w:val="1EA913B2"/>
    <w:rsid w:val="1F4127AB"/>
    <w:rsid w:val="1F424FE0"/>
    <w:rsid w:val="20096EB2"/>
    <w:rsid w:val="20D25A1D"/>
    <w:rsid w:val="22540B79"/>
    <w:rsid w:val="22911387"/>
    <w:rsid w:val="26CD0D1C"/>
    <w:rsid w:val="27FA253C"/>
    <w:rsid w:val="28D24B03"/>
    <w:rsid w:val="2A5FA151"/>
    <w:rsid w:val="2BCE57C4"/>
    <w:rsid w:val="2E235148"/>
    <w:rsid w:val="2F115160"/>
    <w:rsid w:val="2F352B89"/>
    <w:rsid w:val="2F62730F"/>
    <w:rsid w:val="2F8C1164"/>
    <w:rsid w:val="2FE72961"/>
    <w:rsid w:val="31E75193"/>
    <w:rsid w:val="32ED494A"/>
    <w:rsid w:val="32FE2B01"/>
    <w:rsid w:val="3352495A"/>
    <w:rsid w:val="33AA4674"/>
    <w:rsid w:val="34C0741A"/>
    <w:rsid w:val="355A2AC6"/>
    <w:rsid w:val="357D24CF"/>
    <w:rsid w:val="35FF475C"/>
    <w:rsid w:val="366A69A0"/>
    <w:rsid w:val="366B46D4"/>
    <w:rsid w:val="37771664"/>
    <w:rsid w:val="377FA8C1"/>
    <w:rsid w:val="37B37B0E"/>
    <w:rsid w:val="37BF1CBE"/>
    <w:rsid w:val="37E77CF0"/>
    <w:rsid w:val="37EF6CE1"/>
    <w:rsid w:val="37FFA35F"/>
    <w:rsid w:val="38FC8544"/>
    <w:rsid w:val="39274168"/>
    <w:rsid w:val="3A323EDC"/>
    <w:rsid w:val="3ADB017C"/>
    <w:rsid w:val="3B1106BF"/>
    <w:rsid w:val="3BAF319D"/>
    <w:rsid w:val="3BDF68B9"/>
    <w:rsid w:val="3C2859DD"/>
    <w:rsid w:val="3C4952E5"/>
    <w:rsid w:val="3C584304"/>
    <w:rsid w:val="3D4723CA"/>
    <w:rsid w:val="3D922434"/>
    <w:rsid w:val="3E683B26"/>
    <w:rsid w:val="3E8D0CD8"/>
    <w:rsid w:val="3E9107F8"/>
    <w:rsid w:val="3F4D2312"/>
    <w:rsid w:val="3F766211"/>
    <w:rsid w:val="3FAF92A9"/>
    <w:rsid w:val="3FD2FD63"/>
    <w:rsid w:val="3FEB42BD"/>
    <w:rsid w:val="3FFE7B69"/>
    <w:rsid w:val="3FFF3542"/>
    <w:rsid w:val="40015080"/>
    <w:rsid w:val="4017434E"/>
    <w:rsid w:val="408B25DA"/>
    <w:rsid w:val="409C173F"/>
    <w:rsid w:val="415F5554"/>
    <w:rsid w:val="42467A2F"/>
    <w:rsid w:val="42D92999"/>
    <w:rsid w:val="4315662B"/>
    <w:rsid w:val="44AB4395"/>
    <w:rsid w:val="45407792"/>
    <w:rsid w:val="45836FEE"/>
    <w:rsid w:val="45BF714F"/>
    <w:rsid w:val="45F527B1"/>
    <w:rsid w:val="47155C1A"/>
    <w:rsid w:val="4755027C"/>
    <w:rsid w:val="47EFA7CD"/>
    <w:rsid w:val="483D0298"/>
    <w:rsid w:val="494040D2"/>
    <w:rsid w:val="496BEC11"/>
    <w:rsid w:val="49F11AC0"/>
    <w:rsid w:val="49FE76D9"/>
    <w:rsid w:val="4A2A5A08"/>
    <w:rsid w:val="4A8604A8"/>
    <w:rsid w:val="4A8E0C40"/>
    <w:rsid w:val="4ACC42D8"/>
    <w:rsid w:val="4C7353C7"/>
    <w:rsid w:val="4C737358"/>
    <w:rsid w:val="4C757E60"/>
    <w:rsid w:val="4D365583"/>
    <w:rsid w:val="4D3B2F99"/>
    <w:rsid w:val="4E9C2DB8"/>
    <w:rsid w:val="4EA81B0B"/>
    <w:rsid w:val="50693DF6"/>
    <w:rsid w:val="507C4E54"/>
    <w:rsid w:val="50AB2674"/>
    <w:rsid w:val="50C63ADA"/>
    <w:rsid w:val="50D3565F"/>
    <w:rsid w:val="50EF3772"/>
    <w:rsid w:val="511200F0"/>
    <w:rsid w:val="51FED7AB"/>
    <w:rsid w:val="52EB4263"/>
    <w:rsid w:val="52F762D1"/>
    <w:rsid w:val="536F40CA"/>
    <w:rsid w:val="54EE02B6"/>
    <w:rsid w:val="55147007"/>
    <w:rsid w:val="55E15BCD"/>
    <w:rsid w:val="5681539D"/>
    <w:rsid w:val="56BD0807"/>
    <w:rsid w:val="57A23B22"/>
    <w:rsid w:val="57FF7CB2"/>
    <w:rsid w:val="58546F34"/>
    <w:rsid w:val="58CC70C0"/>
    <w:rsid w:val="59070165"/>
    <w:rsid w:val="5945068E"/>
    <w:rsid w:val="599D0CF7"/>
    <w:rsid w:val="59C27A9C"/>
    <w:rsid w:val="5A8878EF"/>
    <w:rsid w:val="5ABB4706"/>
    <w:rsid w:val="5AD59B9A"/>
    <w:rsid w:val="5BBFE442"/>
    <w:rsid w:val="5BD462C2"/>
    <w:rsid w:val="5C076F27"/>
    <w:rsid w:val="5CBC392E"/>
    <w:rsid w:val="5CCA0071"/>
    <w:rsid w:val="5DEA7212"/>
    <w:rsid w:val="5E7FC238"/>
    <w:rsid w:val="5EFA7CCD"/>
    <w:rsid w:val="5F140085"/>
    <w:rsid w:val="5F8748C9"/>
    <w:rsid w:val="603E4B77"/>
    <w:rsid w:val="60BE3DDF"/>
    <w:rsid w:val="61DB192E"/>
    <w:rsid w:val="626061CC"/>
    <w:rsid w:val="629135BF"/>
    <w:rsid w:val="62E23976"/>
    <w:rsid w:val="62F66CAD"/>
    <w:rsid w:val="63107CEE"/>
    <w:rsid w:val="63715BEB"/>
    <w:rsid w:val="63BFD95A"/>
    <w:rsid w:val="64761A5E"/>
    <w:rsid w:val="649D0D15"/>
    <w:rsid w:val="64C02C5B"/>
    <w:rsid w:val="64DC550D"/>
    <w:rsid w:val="65236DAB"/>
    <w:rsid w:val="661981B9"/>
    <w:rsid w:val="664C3C74"/>
    <w:rsid w:val="6859211A"/>
    <w:rsid w:val="68C4142E"/>
    <w:rsid w:val="68E25E67"/>
    <w:rsid w:val="68E5213C"/>
    <w:rsid w:val="698C78A1"/>
    <w:rsid w:val="6A904F94"/>
    <w:rsid w:val="6A9E7227"/>
    <w:rsid w:val="6B5ACDAB"/>
    <w:rsid w:val="6BD9145C"/>
    <w:rsid w:val="6BE01735"/>
    <w:rsid w:val="6BEC0DE1"/>
    <w:rsid w:val="6C020604"/>
    <w:rsid w:val="6C7A1DA6"/>
    <w:rsid w:val="6CB47E3F"/>
    <w:rsid w:val="6CCB5D6C"/>
    <w:rsid w:val="6CF70EA0"/>
    <w:rsid w:val="6D1B3F17"/>
    <w:rsid w:val="6E1D6E59"/>
    <w:rsid w:val="6EFBE0EF"/>
    <w:rsid w:val="6EFD3F25"/>
    <w:rsid w:val="6F93428E"/>
    <w:rsid w:val="6FBB27F8"/>
    <w:rsid w:val="6FE931E7"/>
    <w:rsid w:val="6FFF438D"/>
    <w:rsid w:val="6FFF7969"/>
    <w:rsid w:val="6FFFB16B"/>
    <w:rsid w:val="70065208"/>
    <w:rsid w:val="7026221D"/>
    <w:rsid w:val="709E1CDF"/>
    <w:rsid w:val="7108331D"/>
    <w:rsid w:val="713D44B7"/>
    <w:rsid w:val="7274529D"/>
    <w:rsid w:val="72D13DF0"/>
    <w:rsid w:val="734F6197"/>
    <w:rsid w:val="738618E5"/>
    <w:rsid w:val="738E0F2B"/>
    <w:rsid w:val="748A5DEE"/>
    <w:rsid w:val="748B60A6"/>
    <w:rsid w:val="74B03E95"/>
    <w:rsid w:val="74EF67EF"/>
    <w:rsid w:val="74F49EB4"/>
    <w:rsid w:val="7523633D"/>
    <w:rsid w:val="75474A34"/>
    <w:rsid w:val="757DE146"/>
    <w:rsid w:val="75ED5D32"/>
    <w:rsid w:val="75F39766"/>
    <w:rsid w:val="75FF4D40"/>
    <w:rsid w:val="76D30E02"/>
    <w:rsid w:val="76EF1B7B"/>
    <w:rsid w:val="77B9070B"/>
    <w:rsid w:val="77FFC08A"/>
    <w:rsid w:val="78101EAD"/>
    <w:rsid w:val="78B6627D"/>
    <w:rsid w:val="78CF64DB"/>
    <w:rsid w:val="790407DE"/>
    <w:rsid w:val="797EFBEC"/>
    <w:rsid w:val="79FEAEC3"/>
    <w:rsid w:val="7A3069D5"/>
    <w:rsid w:val="7A3802E1"/>
    <w:rsid w:val="7BBF8FAF"/>
    <w:rsid w:val="7BFD5130"/>
    <w:rsid w:val="7C832E22"/>
    <w:rsid w:val="7CA3E458"/>
    <w:rsid w:val="7CAE2736"/>
    <w:rsid w:val="7CD8B898"/>
    <w:rsid w:val="7D132A34"/>
    <w:rsid w:val="7D6658D9"/>
    <w:rsid w:val="7DFC7397"/>
    <w:rsid w:val="7DFF9662"/>
    <w:rsid w:val="7E256F24"/>
    <w:rsid w:val="7E2B3C8E"/>
    <w:rsid w:val="7E4DDD89"/>
    <w:rsid w:val="7EB40A81"/>
    <w:rsid w:val="7EDE7976"/>
    <w:rsid w:val="7EE73827"/>
    <w:rsid w:val="7EE91F3C"/>
    <w:rsid w:val="7EEFA040"/>
    <w:rsid w:val="7EFAF087"/>
    <w:rsid w:val="7EFBECE4"/>
    <w:rsid w:val="7EFDD512"/>
    <w:rsid w:val="7F3FB384"/>
    <w:rsid w:val="7F7D58EC"/>
    <w:rsid w:val="7F7FD8B2"/>
    <w:rsid w:val="7F94C261"/>
    <w:rsid w:val="7F9BE0C6"/>
    <w:rsid w:val="7FCB6049"/>
    <w:rsid w:val="7FDD0FF5"/>
    <w:rsid w:val="83D7CF68"/>
    <w:rsid w:val="963347ED"/>
    <w:rsid w:val="97F7E8F4"/>
    <w:rsid w:val="9D4B5CFF"/>
    <w:rsid w:val="9E3F4F82"/>
    <w:rsid w:val="9FCDDFA0"/>
    <w:rsid w:val="9FFB4610"/>
    <w:rsid w:val="AD5F5AE9"/>
    <w:rsid w:val="ADBF6A18"/>
    <w:rsid w:val="ADF709FB"/>
    <w:rsid w:val="AFFD2B28"/>
    <w:rsid w:val="BA7B23C6"/>
    <w:rsid w:val="BBEAC904"/>
    <w:rsid w:val="BF4FFB87"/>
    <w:rsid w:val="BF5E3971"/>
    <w:rsid w:val="BF7CCFAC"/>
    <w:rsid w:val="BFBFE08B"/>
    <w:rsid w:val="BFFEC99B"/>
    <w:rsid w:val="C3AED41F"/>
    <w:rsid w:val="CFFF7263"/>
    <w:rsid w:val="D389B7D7"/>
    <w:rsid w:val="D79F5B5B"/>
    <w:rsid w:val="D9A6FCEE"/>
    <w:rsid w:val="DBB79104"/>
    <w:rsid w:val="DDF3769B"/>
    <w:rsid w:val="DFEFD79F"/>
    <w:rsid w:val="DFF7E9E8"/>
    <w:rsid w:val="E3F620BC"/>
    <w:rsid w:val="E9F71EFB"/>
    <w:rsid w:val="EB771694"/>
    <w:rsid w:val="EB9F8FE8"/>
    <w:rsid w:val="EBEF47E0"/>
    <w:rsid w:val="ECAE8611"/>
    <w:rsid w:val="ED9FC7F4"/>
    <w:rsid w:val="EE3DA915"/>
    <w:rsid w:val="EEBF71B6"/>
    <w:rsid w:val="EFFDA00C"/>
    <w:rsid w:val="F38D895D"/>
    <w:rsid w:val="F3BD20CF"/>
    <w:rsid w:val="F79F450D"/>
    <w:rsid w:val="F7F585C4"/>
    <w:rsid w:val="F7F5C557"/>
    <w:rsid w:val="F7F9FB7D"/>
    <w:rsid w:val="F8FB035E"/>
    <w:rsid w:val="F9CF8CB2"/>
    <w:rsid w:val="FA5DA317"/>
    <w:rsid w:val="FAF41D82"/>
    <w:rsid w:val="FB3BD7B7"/>
    <w:rsid w:val="FB6E079A"/>
    <w:rsid w:val="FB7E255A"/>
    <w:rsid w:val="FB7F98A8"/>
    <w:rsid w:val="FBDFFABB"/>
    <w:rsid w:val="FD338641"/>
    <w:rsid w:val="FDABA8D4"/>
    <w:rsid w:val="FDCE67E3"/>
    <w:rsid w:val="FDFDBD3D"/>
    <w:rsid w:val="FE734873"/>
    <w:rsid w:val="FEA956DE"/>
    <w:rsid w:val="FEF7835A"/>
    <w:rsid w:val="FEFB693E"/>
    <w:rsid w:val="FEFDC2F9"/>
    <w:rsid w:val="FF1F7E2D"/>
    <w:rsid w:val="FF9783B0"/>
    <w:rsid w:val="FFBD1644"/>
    <w:rsid w:val="FFBF081B"/>
    <w:rsid w:val="FFEDB026"/>
    <w:rsid w:val="FFFF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5">
    <w:name w:val="heading 2"/>
    <w:basedOn w:val="1"/>
    <w:next w:val="1"/>
    <w:unhideWhenUsed/>
    <w:qFormat/>
    <w:uiPriority w:val="0"/>
    <w:pPr>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9"/>
    <w:pPr>
      <w:keepNext/>
      <w:keepLines/>
      <w:spacing w:line="413" w:lineRule="auto"/>
      <w:outlineLvl w:val="2"/>
    </w:p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style>
  <w:style w:type="paragraph" w:styleId="7">
    <w:name w:val="Normal Indent"/>
    <w:basedOn w:val="1"/>
    <w:qFormat/>
    <w:uiPriority w:val="0"/>
    <w:pPr>
      <w:ind w:firstLine="420" w:firstLineChars="200"/>
    </w:pPr>
    <w:rPr>
      <w:rFonts w:ascii="Calibri" w:hAnsi="Calibri"/>
    </w:rPr>
  </w:style>
  <w:style w:type="paragraph" w:styleId="8">
    <w:name w:val="Body Text Indent"/>
    <w:basedOn w:val="1"/>
    <w:next w:val="9"/>
    <w:qFormat/>
    <w:uiPriority w:val="0"/>
    <w:pPr>
      <w:ind w:left="420" w:leftChars="200"/>
    </w:pPr>
    <w:rPr>
      <w:rFonts w:ascii="Calibri" w:hAnsi="Calibri"/>
      <w:szCs w:val="22"/>
    </w:rPr>
  </w:style>
  <w:style w:type="paragraph" w:styleId="9">
    <w:name w:val="Body Text First Indent 2"/>
    <w:basedOn w:val="8"/>
    <w:qFormat/>
    <w:uiPriority w:val="0"/>
    <w:pPr>
      <w:ind w:firstLine="420" w:firstLineChars="200"/>
    </w:pPr>
  </w:style>
  <w:style w:type="paragraph" w:styleId="10">
    <w:name w:val="Plain Text"/>
    <w:basedOn w:val="1"/>
    <w:unhideWhenUsed/>
    <w:qFormat/>
    <w:uiPriority w:val="99"/>
    <w:rPr>
      <w:rFonts w:ascii="宋体" w:hAnsi="Courier New"/>
    </w:rPr>
  </w:style>
  <w:style w:type="paragraph" w:styleId="11">
    <w:name w:val="Body Text Indent 2"/>
    <w:basedOn w:val="1"/>
    <w:qFormat/>
    <w:uiPriority w:val="0"/>
    <w:pPr>
      <w:spacing w:line="550" w:lineRule="exact"/>
      <w:ind w:firstLine="640" w:firstLineChars="200"/>
    </w:pPr>
    <w:rPr>
      <w:rFonts w:ascii="仿宋_GB2312" w:eastAsia="仿宋_GB2312"/>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unhideWhenUsed/>
    <w:qFormat/>
    <w:uiPriority w:val="99"/>
    <w:pPr>
      <w:snapToGrid w:val="0"/>
      <w:jc w:val="left"/>
    </w:pPr>
    <w:rPr>
      <w:sz w:val="18"/>
      <w:szCs w:val="18"/>
    </w:r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23">
    <w:name w:val="NormalCharacter"/>
    <w:link w:val="24"/>
    <w:semiHidden/>
    <w:qFormat/>
    <w:uiPriority w:val="0"/>
  </w:style>
  <w:style w:type="paragraph" w:customStyle="1" w:styleId="24">
    <w:name w:val="UserStyle_1"/>
    <w:basedOn w:val="25"/>
    <w:link w:val="23"/>
    <w:qFormat/>
    <w:uiPriority w:val="0"/>
  </w:style>
  <w:style w:type="paragraph" w:customStyle="1" w:styleId="25">
    <w:name w:val="NavPane"/>
    <w:basedOn w:val="1"/>
    <w:qFormat/>
    <w:uiPriority w:val="0"/>
    <w:pPr>
      <w:shd w:val="clear" w:color="auto" w:fill="000080"/>
    </w:pPr>
  </w:style>
  <w:style w:type="paragraph" w:customStyle="1" w:styleId="26">
    <w:name w:val="正文缩进1"/>
    <w:basedOn w:val="1"/>
    <w:qFormat/>
    <w:uiPriority w:val="0"/>
    <w:pPr>
      <w:spacing w:line="500" w:lineRule="exact"/>
      <w:ind w:right="8" w:rightChars="8" w:firstLine="640"/>
    </w:pPr>
    <w:rPr>
      <w:rFonts w:ascii="楷体_GB2312" w:eastAsia="楷体_GB2312"/>
      <w:sz w:val="30"/>
      <w:szCs w:val="32"/>
    </w:rPr>
  </w:style>
  <w:style w:type="paragraph" w:customStyle="1" w:styleId="27">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28">
    <w:name w:val="正文缩进11"/>
    <w:basedOn w:val="1"/>
    <w:qFormat/>
    <w:uiPriority w:val="0"/>
    <w:pPr>
      <w:spacing w:line="500" w:lineRule="exact"/>
      <w:ind w:right="8" w:rightChars="8" w:firstLine="640"/>
    </w:pPr>
    <w:rPr>
      <w:rFonts w:ascii="楷体_GB2312" w:eastAsia="楷体_GB2312"/>
      <w:sz w:val="30"/>
      <w:szCs w:val="32"/>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列出段落1"/>
    <w:basedOn w:val="1"/>
    <w:qFormat/>
    <w:uiPriority w:val="34"/>
    <w:pPr>
      <w:ind w:firstLine="420" w:firstLineChars="200"/>
    </w:pPr>
  </w:style>
  <w:style w:type="paragraph" w:customStyle="1" w:styleId="31">
    <w:name w:val="UserStyle_33"/>
    <w:basedOn w:val="1"/>
    <w:qFormat/>
    <w:uiPriority w:val="0"/>
    <w:pPr>
      <w:widowControl/>
      <w:textAlignment w:val="baseline"/>
    </w:pPr>
    <w:rPr>
      <w:rFonts w:ascii="Calibri" w:hAnsi="Calibri"/>
      <w:kern w:val="0"/>
      <w:szCs w:val="21"/>
    </w:rPr>
  </w:style>
  <w:style w:type="paragraph" w:customStyle="1" w:styleId="32">
    <w:name w:val="Heading #2|1"/>
    <w:basedOn w:val="1"/>
    <w:qFormat/>
    <w:uiPriority w:val="0"/>
    <w:pPr>
      <w:spacing w:after="580" w:line="658" w:lineRule="exact"/>
      <w:jc w:val="center"/>
      <w:outlineLvl w:val="1"/>
    </w:pPr>
    <w:rPr>
      <w:rFonts w:ascii="宋体" w:hAnsi="宋体" w:cs="宋体"/>
      <w:sz w:val="40"/>
      <w:szCs w:val="40"/>
      <w:lang w:val="zh-TW" w:eastAsia="zh-TW" w:bidi="zh-TW"/>
    </w:rPr>
  </w:style>
  <w:style w:type="paragraph" w:customStyle="1" w:styleId="33">
    <w:name w:val="Normal Indent1"/>
    <w:basedOn w:val="1"/>
    <w:qFormat/>
    <w:uiPriority w:val="0"/>
    <w:pPr>
      <w:ind w:firstLine="420" w:firstLineChars="200"/>
    </w:pPr>
    <w:rPr>
      <w:rFonts w:ascii="Calibri" w:hAnsi="Calibri"/>
    </w:rPr>
  </w:style>
  <w:style w:type="character" w:customStyle="1" w:styleId="34">
    <w:name w:val="font01"/>
    <w:basedOn w:val="18"/>
    <w:qFormat/>
    <w:uiPriority w:val="0"/>
    <w:rPr>
      <w:rFonts w:hint="eastAsia" w:ascii="宋体" w:hAnsi="宋体" w:eastAsia="宋体" w:cs="宋体"/>
      <w:color w:val="000000"/>
      <w:sz w:val="24"/>
      <w:szCs w:val="24"/>
      <w:u w:val="none"/>
    </w:rPr>
  </w:style>
  <w:style w:type="character" w:customStyle="1" w:styleId="35">
    <w:name w:val="font112"/>
    <w:qFormat/>
    <w:uiPriority w:val="0"/>
    <w:rPr>
      <w:rFonts w:hint="eastAsia" w:ascii="宋体" w:hAnsi="宋体" w:eastAsia="宋体" w:cs="宋体"/>
      <w:color w:val="000000"/>
      <w:kern w:val="0"/>
      <w:sz w:val="20"/>
      <w:szCs w:val="20"/>
      <w:u w:val="none"/>
      <w:lang w:eastAsia="en-US"/>
    </w:rPr>
  </w:style>
  <w:style w:type="paragraph" w:customStyle="1" w:styleId="36">
    <w:name w:val="Char Char Char Char Char Char"/>
    <w:qFormat/>
    <w:uiPriority w:val="0"/>
    <w:pPr>
      <w:spacing w:after="160" w:line="240" w:lineRule="exact"/>
    </w:pPr>
    <w:rPr>
      <w:rFonts w:ascii="Verdana" w:hAnsi="Verdana" w:eastAsia="宋体" w:cs="Times New Roman"/>
      <w:lang w:val="en-US" w:eastAsia="en-US" w:bidi="ar-SA"/>
    </w:rPr>
  </w:style>
  <w:style w:type="character" w:customStyle="1" w:styleId="37">
    <w:name w:val="font11"/>
    <w:basedOn w:val="18"/>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1234</Words>
  <Characters>1302</Characters>
  <Lines>55</Lines>
  <Paragraphs>15</Paragraphs>
  <TotalTime>52</TotalTime>
  <ScaleCrop>false</ScaleCrop>
  <LinksUpToDate>false</LinksUpToDate>
  <CharactersWithSpaces>1499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2021-06-04T17:59:00Z</dcterms:created>
  <dc:creator>拉拉</dc:creator>
  <cp:lastModifiedBy>好名字</cp:lastModifiedBy>
  <cp:lastPrinted>2024-12-05T08:30:00Z</cp:lastPrinted>
  <dcterms:modified xsi:type="dcterms:W3CDTF">2024-12-06T02:41:36Z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DDA2B448AC1941A49D75EDA93E0C38D5_13</vt:lpwstr>
  </property>
  <property fmtid="{D5CDD505-2E9C-101B-9397-08002B2CF9AE}" pid="4" name="KSOSaveFontToCloudKey">
    <vt:lpwstr>369866733_btnclosed</vt:lpwstr>
  </property>
</Properties>
</file>