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5"/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市征收农用地区片综合地价表</w:t>
      </w:r>
    </w:p>
    <w:tbl>
      <w:tblPr>
        <w:tblStyle w:val="3"/>
        <w:tblW w:w="14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09"/>
        <w:gridCol w:w="717"/>
        <w:gridCol w:w="976"/>
        <w:gridCol w:w="837"/>
        <w:gridCol w:w="976"/>
        <w:gridCol w:w="979"/>
        <w:gridCol w:w="7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2"/>
                <w:szCs w:val="22"/>
              </w:rPr>
              <w:t>区域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区片编号</w:t>
            </w:r>
          </w:p>
        </w:tc>
        <w:tc>
          <w:tcPr>
            <w:tcW w:w="448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区片综合地价（万元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亩）</w:t>
            </w:r>
          </w:p>
        </w:tc>
        <w:tc>
          <w:tcPr>
            <w:tcW w:w="798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区片范围描述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土地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补偿费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安置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补助费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bCs/>
                <w:color w:val="000000"/>
                <w:kern w:val="0"/>
                <w:sz w:val="22"/>
                <w:szCs w:val="22"/>
              </w:rPr>
              <w:t>占比</w:t>
            </w:r>
          </w:p>
        </w:tc>
        <w:tc>
          <w:tcPr>
            <w:tcW w:w="79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汕尾市区（城区、红海湾经济开发区、华侨管理区）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6.65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2.66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40%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3.99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</w:rPr>
              <w:t>凤山街道（除芦列坑村委会外所有行政村）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6.11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2.44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40%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3.67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2"/>
              </w:rPr>
              <w:t>新港街道（所有行政村）、香洲街道（所有行政村）、马宫街道（所有行政村）、东涌镇（所有行政村）、红草镇（所有行政村）、捷胜镇（所有行政村）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5.59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2.24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40%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3.35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60%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</w:rPr>
              <w:t>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街道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</w:rPr>
              <w:t>（所有行政村）、遮浪街道（所有行政村）、东洲街道（所有行政村）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</w:rPr>
              <w:t>凤山街道（芦列坑村委会）、华侨管理区（所有行政村）。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2"/>
                <w:szCs w:val="22"/>
              </w:rPr>
              <w:t>海丰县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6.20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1.86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30%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4.34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70%</w:t>
            </w:r>
          </w:p>
        </w:tc>
        <w:tc>
          <w:tcPr>
            <w:tcW w:w="798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海城镇（海珠社区、新桥社区、龙门社区、南门社区、新安社区、龙津社区、新城社区、城西社区、城北社区、北门社区、新园社区、云岭社区）；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附城镇（南湖社区、中河社区、城南社区、云岭山庄社区、荣山村、荣港村、道山村、圆山村、笏口村、兴洲村、联西村、联河村、青年村）；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城东镇（桥东社区、龙山村）；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梅陇镇（梅南社区、中兴社区、梅北社区、东兴社区、西兴社区、梅陇村、梅星村、屿岭村、云路村、月池村、东风村、梅西村、永红村）。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9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5.33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1.60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30%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3.73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70%</w:t>
            </w:r>
          </w:p>
        </w:tc>
        <w:tc>
          <w:tcPr>
            <w:tcW w:w="798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海城镇（总寮社区、莲光村、桂望村、莲花村、召贡村、新望村、南垭村、万中村、埔仔村、长埔村）；附城镇（新东村、新北村、新南村、池口村、新山村）；城东镇（安东村、新江村、赤山村、东园村、关东村、名园村、台东村、汀洲村、梓里村、后塘村、后林村、河中村、圆墩村、北平村、大嶂村）；梅陇镇（银液村、银丰村、水踏村、梅联村、石南村、新兴村、南山村、联平村、高中村、石安村、梅陇镇镇政府、红阳村、梅尖村、东家亚村、仓兜村、东联村、东港村、梅东村、竹符村、联兴村、石洲村、新寮村、围湖村、新渔村）；大湖镇（石牌社区、高螺村、新德村、山脚村）；公平镇（所有行政村、社区）；可塘镇（所有行政村、社区）；联安镇（所有行政村、社区）；陶河镇（所有行政村、社区）；赤坑镇（所有行政村、社区）；</w:t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梅陇农场（所有行政村、社区）；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4.13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1.24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30%</w:t>
            </w: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2.89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70%</w:t>
            </w:r>
          </w:p>
        </w:tc>
        <w:tc>
          <w:tcPr>
            <w:tcW w:w="798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</w:rPr>
              <w:t>大湖镇（新置村、湖仔村）；黄羌镇（所有行政村、社区）；平东镇（所有行政村、社区）；黄羌林场（所有行政村、社区）。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2"/>
                <w:szCs w:val="22"/>
              </w:rPr>
              <w:t>陆丰市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5.27 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2.635 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2.635 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东海镇（所有行政村）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4.61 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2.305 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2.305 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甲子镇（所有行政村）、碣石镇（所有行政村）、南塘镇（所有行政村）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3.96 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1.98 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 xml:space="preserve">1.98 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八万镇（所有行政村）、陂洋镇（所有行政村）、博美镇（所有行政村）、城东镇（所有行政村）、畜牧果林场（所有行政村）、大安农场（所有行政村）、大安镇（所有行政村）、东海岸林场（所有行政村）、河东镇（所有行政村）、河西镇（所有行政村）、红岭林场（所有行政村）、湖东林场（所有行政村）、湖东镇（所有行政村）、甲东镇（所有行政村）、甲西镇（所有行政村）、金厢镇（所有行政村）、罗经嶂林场（所有行政村）、内湖镇（所有行政村）、桥冲镇（所有行政村）、上英镇（所有行政村）、潭西镇（所有行政村）、铜锣湖农场（所有行政村）、西南镇（所有行政村）、星都经济开发区（所有行政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 w:val="22"/>
                <w:szCs w:val="22"/>
              </w:rPr>
              <w:t>陆河县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5.74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2.87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2.87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  <w:szCs w:val="22"/>
              </w:rPr>
              <w:t>河田镇（所有行政村）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4.07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2.035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2.035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</w:rPr>
              <w:t>水唇镇（所有行政村）、河口镇（所有行政村）、新田镇（所有行政村）、东坑镇（所有行政村）、上护镇（所有行政村）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3.68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1.84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1.84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7981" w:type="dxa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2"/>
                <w:szCs w:val="22"/>
              </w:rPr>
              <w:t>螺溪镇（所有行政村）、南万镇（所有行政村）</w:t>
            </w:r>
          </w:p>
        </w:tc>
      </w:tr>
    </w:tbl>
    <w:p>
      <w:pPr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注：1.全市统一设定林地调节系数0.45；</w:t>
      </w:r>
    </w:p>
    <w:p>
      <w:pPr>
        <w:ind w:firstLine="440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2.征收建设用地参照征收农用地区片综合地价执行；</w:t>
      </w:r>
    </w:p>
    <w:p>
      <w:pPr>
        <w:ind w:firstLine="440" w:firstLineChars="200"/>
      </w:pPr>
      <w:r>
        <w:rPr>
          <w:rFonts w:hint="eastAsia" w:ascii="仿宋" w:hAnsi="仿宋" w:eastAsia="仿宋" w:cs="仿宋"/>
          <w:sz w:val="22"/>
        </w:rPr>
        <w:t>3.征收未利用地参照征收农用地区片综合地价设定调节系数0.4执行。</w:t>
      </w:r>
    </w:p>
    <w:p>
      <w:bookmarkStart w:id="0" w:name="_GoBack"/>
      <w:bookmarkEnd w:id="0"/>
    </w:p>
    <w:sectPr>
      <w:pgSz w:w="16838" w:h="11906" w:orient="landscape"/>
      <w:pgMar w:top="1587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24141"/>
    <w:rsid w:val="023374A8"/>
    <w:rsid w:val="0B5C4B62"/>
    <w:rsid w:val="12A2711C"/>
    <w:rsid w:val="32A4647F"/>
    <w:rsid w:val="351940CC"/>
    <w:rsid w:val="5E024141"/>
    <w:rsid w:val="608B4014"/>
    <w:rsid w:val="61DA5802"/>
    <w:rsid w:val="64D4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100" w:afterLines="100"/>
      <w:outlineLvl w:val="0"/>
    </w:pPr>
    <w:rPr>
      <w:rFonts w:eastAsia="黑体"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式格式"/>
    <w:basedOn w:val="1"/>
    <w:uiPriority w:val="0"/>
    <w:pPr>
      <w:spacing w:line="560" w:lineRule="exact"/>
    </w:pPr>
    <w:rPr>
      <w:rFonts w:eastAsia="仿宋_GB2312" w:asciiTheme="minorAscii" w:hAnsiTheme="minorAscii"/>
      <w:sz w:val="32"/>
    </w:rPr>
  </w:style>
  <w:style w:type="paragraph" w:customStyle="1" w:styleId="6">
    <w:name w:val="表格"/>
    <w:basedOn w:val="1"/>
    <w:qFormat/>
    <w:uiPriority w:val="0"/>
    <w:pPr>
      <w:widowControl/>
      <w:adjustRightInd w:val="0"/>
      <w:snapToGrid w:val="0"/>
      <w:jc w:val="center"/>
    </w:pPr>
    <w:rPr>
      <w:rFonts w:ascii="仿宋_GB2312" w:hAnsi="仿宋" w:eastAsia="仿宋_GB2312"/>
      <w:color w:val="000000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2021-02-04T02:36:00Z</dcterms:created>
  <dc:creator>杨帆</dc:creator>
  <cp:lastModifiedBy>杨帆</cp:lastModifiedBy>
  <cp:lastPrinted>2021-02-04T06:16:00Z</cp:lastPrinted>
  <dcterms:modified xsi:type="dcterms:W3CDTF">2021-02-04T08:08:07Z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