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ind w:left="0" w:right="0"/>
        <w:jc w:val="center"/>
        <w:rPr>
          <w:b w:val="0"/>
          <w:sz w:val="28"/>
          <w:szCs w:val="28"/>
        </w:rPr>
      </w:pPr>
      <w:bookmarkStart w:id="0" w:name="_GoBack"/>
      <w:r>
        <w:rPr>
          <w:rFonts w:ascii="微软雅黑" w:hAnsi="微软雅黑" w:eastAsia="微软雅黑" w:cs="微软雅黑"/>
          <w:b w:val="0"/>
          <w:i w:val="0"/>
          <w:caps w:val="0"/>
          <w:color w:val="000000"/>
          <w:spacing w:val="0"/>
          <w:sz w:val="28"/>
          <w:szCs w:val="28"/>
          <w:bdr w:val="none" w:color="auto" w:sz="0" w:space="0"/>
        </w:rPr>
        <w:t>新《中华人民共和国水法》（2016年7月修订）</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360" w:afterAutospacing="0"/>
        <w:ind w:left="0" w:right="0"/>
        <w:jc w:val="center"/>
        <w:rPr>
          <w:b w:val="0"/>
          <w:color w:val="999999"/>
          <w:sz w:val="16"/>
          <w:szCs w:val="16"/>
        </w:rPr>
      </w:pPr>
      <w:r>
        <w:rPr>
          <w:rFonts w:hint="eastAsia" w:ascii="微软雅黑" w:hAnsi="微软雅黑" w:eastAsia="微软雅黑" w:cs="微软雅黑"/>
          <w:b w:val="0"/>
          <w:i w:val="0"/>
          <w:caps w:val="0"/>
          <w:color w:val="999999"/>
          <w:spacing w:val="0"/>
          <w:sz w:val="16"/>
          <w:szCs w:val="16"/>
          <w:bdr w:val="none" w:color="auto" w:sz="0" w:space="0"/>
        </w:rPr>
        <w:t>   2016-10-08</w:t>
      </w:r>
    </w:p>
    <w:p>
      <w:pPr>
        <w:keepNext w:val="0"/>
        <w:keepLines w:val="0"/>
        <w:widowControl/>
        <w:suppressLineNumbers w:val="0"/>
        <w:pBdr>
          <w:top w:val="single" w:color="2567B2" w:sz="12" w:space="0"/>
        </w:pBdr>
        <w:spacing w:before="264" w:beforeAutospacing="0" w:after="360" w:afterAutospacing="0"/>
        <w:ind w:left="0" w:right="0"/>
      </w:pPr>
      <w:r>
        <w:rPr>
          <w:b w:val="0"/>
          <w:color w:val="999999"/>
          <w:sz w:val="16"/>
          <w:szCs w:val="16"/>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（1988年1月21日第六届全国人民代表大会常务委员会第24次会议通过　2002年8月29日第九届全国人民代表大会常务委员会第二十九次会议修订通过　根据2009年8月27日第十一届全国人民代表大会常务委员会第十次会议通过的《全国人民代表大会常务委员会关于修改部分法律的决定》修改　根据2016年7月2日第十二届全国人民代表大会常务委员会第二十一次会议通过的《全国人民代表大会常务委员会关于修改〈中华人民共和国节约能源法〉等六部法律的决定》修改）</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第二章　水资源规划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第三章　水资源开发利用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第四章　水资源、水域和水工程的保护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第五章　水资源配置和节约使用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第六章　水事纠纷处理与执法监督检查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第八章　附则</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第一条　为了合理开发、利用、节约和保护水资源，防治水害，实现水资源的可持续利用，适应国民经济和社会发展的需要，制定本法。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第二条　在中华人民共和国领域内开发、利用、节约、保护、管理水资源，防治水害，适用本法。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本法所称水资源，包括地表水和地下水。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第三条　水资源属于国家所有。水资源的所有权由国务院代表国家行使。农村集体经济组织的水塘和由农村集体经济组织修建管理的水库中的水，归各该农村集体经济组织使用。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第四条　开发、利用、节约、保护水资源和防治水害，应当全面规划、统筹兼顾、标本兼治、综合利用、讲求效益，发挥水资源的多种功能，协调好生活、生产经营和生态环境用水。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第五条　县级以上人民政府应当加强水利基础设施建设，并将其纳入本级国民经济和社会发展计划。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第六条　国家鼓励单位和个人依法开发、利用水资源，并保护其合法权益。开发、利用水资源的单位和个人有依法保护水资源的义务。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第八条　国家厉行节约用水，大力推行节约用水措施，推广节约用水新技术、新工艺，发展节水型工业、农业和服务业，建立节水型社会。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各级人民政府应当采取措施，加强对节约用水的管理，建立节约用水技术开发推广体系，培育和发展节约用水产业。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单位和个人有节约用水的义务。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第九条　国家保护水资源，采取有效措施，保护植被，植树种草，涵养水源，防治水土流失和水体污染，改善生态环境。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第十条　国家鼓励和支持开发、利用、节约、保护、管理水资源和防治水害的先进科学技术的研究、推广和应用。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第十一条　在开发、利用、节约、保护、管理水资源和防治水害等方面成绩显著的单位和个人，由人民政府给予奖励。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第十二条　国家对水资源实行流域管理与行政区域管理相结合的管理体制。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国务院水行政主管部门负责全国水资源的统一管理和监督工作。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国务院水行政主管部门在国家确定的重要江河、湖泊设立的流域管理机构（以下简称流域管理机构），在所管辖的范围内行使法律、行政法规规定的和国务院水行政主管部门授予的水资源管理和监督职责。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县级以上地方人民政府水行政主管部门按照规定的权限，负责本行政区域内水资源的统一管理和监督工作。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第十三条　国务院有关部门按照职责分工，负责水资源开发、利用、节约和保护的有关工作。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县级以上地方人民政府有关部门按照职责分工，负责本行政区域内水资源开发、利用、节约和保护的有关工作。</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第二章　水资源规划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第十四条　国家制定全国水资源战略规划。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开发、利用、节约、保护水资源和防治水害，应当按照流域、区域统一制定规划。规划分为流域规划和区域规划。流域规划包括流域综合规划和流域专业规划；区域规划包括区域综合规划和区域专业规划。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第十五条　流域范围内的区域规划应当服从流域规划，专业规划应当服从综合规划。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流域综合规划和区域综合规划以及与土地利用关系密切的专业规划，应当与国民经济和社会发展规划以及土地利用总体规划、城市总体规划和环境保护规划相协调，兼顾各地区、各行业的需要。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第十六条　制定规划，必须进行水资源综合科学考察和调查评价。水资源综合科学考察和调查评价，由县级以上人民政府水行政主管部门会同同级有关部门组织进行。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县级以上人民政府应当加强水文、水资源信息系统建设。县级以上人民政府水行政主管部门和流域管理机构应当加强对水资源的动态监测。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基本水文资料应当按照国家有关规定予以公开。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专业规划由县级以上人民政府有关部门编制，征求同级其他有关部门意见后，报本级人民政府批准。其中，防洪规划、水土保持规划的编制、批准，依照防洪法、水土保持法的有关规定执行。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第十八条　规划一经批准，必须严格执行。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经批准的规划需要修改时，必须按照规划编制程序经原批准机关批准。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第三章　水资源开发利用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第二十条　开发、利用水资源，应当坚持兴利与除害相结合，兼顾上下游、左右岸和有关地区之间的利益，充分发挥水资源的综合效益，并服从防洪的总体安排。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第二十一条　开发、利用水资源，应当首先满足城乡居民生活用水，并兼顾农业、工业、生态环境用水以及航运等需要。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在干旱和半干旱地区开发、利用水资源，应当充分考虑生态环境用水需要。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第二十二条　跨流域调水，应当进行全面规划和科学论证，统筹兼顾调出和调入流域的用水需要，防止对生态环境造成破坏。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第二十三条　地方各级人民政府应当结合本地区水资源的实际情况，按照地表水与地下水统一调度开发、开源与节流相结合、节流优先和污水处理再利用的原则，合理组织开发、综合利用水资源。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第二十四条　在水资源短缺的地区，国家鼓励对雨水和微咸水的收集、开发、利用和对海水的利用、淡化。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第二十五条　地方各级人民政府应当加强对灌溉、排涝、水土保持工作的领导，促进农业生产发展；在容易发生盐碱化和渍害的地区，应当采取措施，控制和降低地下水的水位。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农村集体经济组织或者其成员依法在本集体经济组织所有的集体土地或者承包土地上投资兴建水工程设施的，按照谁投资建设谁管理和谁受益的原则，对水工程设施及其蓄水进行管理和合理使用。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农村集体经济组织修建水库应当经县级以上地方人民政府水行政主管部门批准。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第二十六条　国家鼓励开发、利用水能资源。在水能丰富的河流，应当有计划地进行多目标梯级开发。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建设水力发电站，应当保护生态环境，兼顾防洪、供水、灌溉、航运、竹木流放和渔业等方面的需要。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在不通航的河流或者人工水道上修建闸坝后可以通航的，闸坝建设单位应当同时修建过船设施或者预留过船设施位置。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第二十八条　任何单位和个人引水、截（蓄）水、排水，不得损害公共利益和他人的合法权益。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第二十九条　国家对水工程建设移民实行开发性移民的方针，按照前期补偿、补助与后期扶持相结合的原则，妥善安排移民的生产和生活，保护移民的合法权益。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移民安置应当与工程建设同步进行。建设单位应当根据安置地区的环境容量和可持续发展的原则，因地制宜，编制移民安置规划，经依法批准后，由有关地方人民政府组织实施。所需移民经费列入工程建设投资计划。</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第四章　水资源、水域和水工程的保护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第三十一条　从事水资源开发、利用、节约、保护和防治水害等水事活动，应当遵守经批准的规划；因违反规划造成江河和湖泊水域使用功能降低、地下水超采、地面沉降、水体污染的，应当承担治理责任。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开采矿藏或者建设地下工程，因疏干排水导致地下水水位下降、水源枯竭或者地面塌陷，采矿单位或者建设单位应当采取补救措施；对他人生活和生产造成损失的，依法给予补偿。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县级以上人民政府水行政主管部门或者流域管理机构应当按照水功能区对水质的要求和水体的自然净化能力，核定该水域的纳污能力，向环境保护行政主管部门提出该水域的限制排污总量意见。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第三十三条　国家建立饮用水水源保护区制度。省、自治区、直辖市人民政府应当划定饮用水水源保护区，并采取措施，防止水源枯竭和水体污染，保证城乡居民饮用水安全。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第三十四条　禁止在饮用水水源保护区内设置排污口。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在江河、湖泊新建、改建或者扩大排污口，应当经过有管辖权的水行政主管部门或者流域管理机构同意，由环境保护行政主管部门负责对该建设项目的环境影响报告书进行审批。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第三十五条　从事工程建设，占用农业灌溉水源、灌排工程设施，或者对原有灌溉用水、供水水源有不利影响的，建设单位应当采取相应的补救措施；造成损失的，依法给予补偿。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第三十七条　禁止在江河、湖泊、水库、运河、渠道内弃置、堆放阻碍行洪的物体和种植阻碍行洪的林木及高秆作物。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禁止在河道管理范围内建设妨碍行洪的建筑物、构筑物以及从事影响河势稳定、危害河岸堤防安全和其他妨碍河道行洪的活动。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因建设前款工程设施，需要扩建、改建、拆除或者损坏原有水工程设施的，建设单位应当负担扩建、改建的费用和损失补偿。但是，原有工程设施属于违法工程的除外。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第三十九条　国家实行河道采砂许可制度。河道采砂许可制度实施办法，由国务院规定。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在河道管理范围内采砂，影响河势稳定或者危及堤防安全的，有关县级以上人民政府水行政主管部门应当划定禁采区和规定禁采期，并予以公告。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第四十条　禁止围湖造地。已经围垦的，应当按照国家规定的防洪标准有计划地退地还湖。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禁止围垦河道。确需围垦的，应当经过科学论证，经省、自治区、直辖市人民政府水行政主管部门或者国务院水行政主管部门同意后，报本级人民政府批准。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第四十一条　单位和个人有保护水工程的义务，不得侵占、毁坏堤防、护岸、防汛、水文监测、水文地质监测等工程设施。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第四十二条　县级以上地方人民政府应当采取措施，保障本行政区域内水工程，特别是水坝和堤防的安全，限期消除险情。水行政主管部门应当加强对水工程安全的监督管理。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第四十三条　国家对水工程实施保护。国家所有的水工程应当按照国务院的规定划定工程管理和保护范围。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国务院水行政主管部门或者流域管理机构管理的水工程，由主管部门或者流域管理机构商有关省、自治区、直辖市人民政府划定工程管理和保护范围。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前款规定以外的其他水工程，应当按照省、自治区、直辖市人民政府的规定，划定工程保护范围和保护职责。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在水工程保护范围内，禁止从事影响水工程运行和危害水工程安全的爆破、打井、采石、取土等活动。</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第五章　水资源配置和节约使用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水中长期供求规划应当依据水的供求现状、国民经济和社会发展规划、流域规划、区域规划，按照水资源供需协调、综合平衡、保护生态、厉行节约、合理开源的原则制定。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第四十五条　调蓄径流和分配水量，应当依据流域规划和水中长期供求规划，以流域为单元制定水量分配方案。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水量分配方案和旱情紧急情况下的水量调度预案经批准后，有关地方人民政府必须执行。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在不同行政区域之间的边界河流上建设水资源开发、利用项目，应当符合该流域经批准的水量分配方案，由有关县级以上地方人民政府报共同的上一级人民政府水行政主管部门或者有关流域管理机构批准。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第四十六条　县级以上地方人民政府水行政主管部门或者流域管理机构应当根据批准的水量分配方案和年度预测来水量，制定年度水量分配方案和调度计划，实施水量统一调度；有关地方人民政府必须服从。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国家确定的重要江河、湖泊的年度水量分配方案，应当纳入国家的国民经济和社会发展年度计划。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第四十七条　国家对用水实行总量控制和定额管理相结合的制度。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实施取水许可制度和征收管理水资源费的具体办法，由国务院规定。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第四十九条　用水应当计量，并按照批准的用水计划用水。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用水实行计量收费和超定额累进加价制度。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第五十条　各级人民政府应当推行节水灌溉方式和节水技术，对农业蓄水、输水工程采取必要的防渗漏措施，提高农业用水效率。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第五十一条　工业用水应当采用先进技术、工艺和设备，增加循环用水次数，提高水的重复利用率。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第五十二条　城市人民政府应当因地制宜采取有效措施，推广节水型生活用水器具，降低城市供水管网漏失率，提高生活用水效率；加强城市污水集中处理，鼓励使用再生水，提高污水再生利用率。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第五十三条　新建、扩建、改建建设项目，应当制订节水措施方案，配套建设节水设施。节水设施应当与主体工程同时设计、同时施工、同时投产。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供水企业和自建供水设施的单位应当加强供水设施的维护管理，减少水的漏失。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第五十四条　各级人民政府应当积极采取措施，改善城乡居民的饮用水条件。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第六章　水事纠纷处理与执法监督检查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在水事纠纷解决前，当事人不得单方面改变现状。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第五十八条　县级以上人民政府或者其授权的部门在处理水事纠纷时，有权采取临时处置措施，有关各方或者当事人必须服从。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第五十九条　县级以上人民政府水行政主管部门和流域管理机构应当对违反本法的行为加强监督检查并依法进行查处。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水政监督检查人员应当忠于职守，秉公执法。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第六十条　县级以上人民政府水行政主管部门、流域管理机构及其水政监督检查人员履行本法规定的监督检查职责时，有权采取下列措施：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（一）要求被检查单位提供有关文件、证照、资料；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（二）要求被检查单位就执行本法的有关问题作出说明；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（三）进入被检查单位的生产场所进行调查；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（四）责令被检查单位停止违反本法的行为，履行法定义务。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第六十一条　有关单位或者个人对水政监督检查人员的监督检查工作应当给予配合，不得拒绝或者阻碍水政监督检查人员依法执行职务。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第六十二条　水政监督检查人员在履行监督检查职责时，应当向被检查单位或者个人出示执法证件。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第六十三条　县级以上人民政府或者上级水行政主管部门发现本级或者下级水行政主管部门在监督检查工作中有违法或者失职行为的，应当责令其限期改正。</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（一）在江河、湖泊、水库、运河、渠道内弃置、堆放阻碍行洪的物体和种植阻碍行洪的林木及高秆作物的；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（二）围湖造地或者未经批准围垦河道的。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第六十七条　在饮用水水源保护区内设置排污口的，由县级以上地方人民政府责令限期拆除、恢复原状；逾期不拆除、不恢复原状的，强行拆除、恢复原状，并处五万元以上十万元以下的罚款。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第六十八条　生产、销售或者在生产经营中使用国家明令淘汰的落后的、耗水量高的工艺、设备和产品的，由县级以上地方人民政府经济综合主管部门责令停止生产、销售或者使用，处二万元以上十万元以下的罚款。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第六十九条　有下列行为之一的，由县级以上人民政府水行政主管部门或者流域管理机构依据职权，责令停止违法行为，限期采取补救措施，处二万元以上十万元以下的罚款；情节严重的，吊销其取水许可证：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（一）未经批准擅自取水的；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（二）未依照批准的取水许可规定条件取水的。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（一）侵占、毁坏水工程及堤防、护岸等有关设施，毁坏防汛、水文监测、水文地质监测设施的；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（二）在水工程保护范围内，从事影响水工程运行和危害水工程安全的爆破、打井、采石、取土等活动的。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第七十五条　不同行政区域之间发生水事纠纷，有下列行为之一的，对负有责任的主管人员和其他直接责任人员依法给予行政处分：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（一）拒不执行水量分配方案和水量调度预案的；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（二）拒不服从水量统一调度的；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（三）拒不执行上一级人民政府的裁决的；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（四）在水事纠纷解决前，未经各方达成协议或者上一级人民政府批准，单方面违反本法规定改变水的现状的。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第七十六条　引水、截（蓄）水、排水，损害公共利益或者他人合法权益的，依法承担民事责任。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第七十七条　对违反本法第三十九条有关河道采砂许可制度规定的行政处罚，由国务院规定。</w:t>
      </w:r>
    </w:p>
    <w:p>
      <w:pPr>
        <w:keepNext w:val="0"/>
        <w:keepLines w:val="0"/>
        <w:widowControl/>
        <w:suppressLineNumbers w:val="0"/>
        <w:spacing w:before="360" w:beforeAutospacing="0" w:after="360" w:afterAutospacing="0" w:line="420" w:lineRule="atLeast"/>
        <w:ind w:left="0" w:right="0" w:firstLine="0"/>
        <w:jc w:val="center"/>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kern w:val="0"/>
          <w:sz w:val="19"/>
          <w:szCs w:val="19"/>
          <w:lang w:val="en-US" w:eastAsia="zh-CN" w:bidi="ar"/>
        </w:rPr>
        <w:t>　　</w:t>
      </w:r>
      <w:r>
        <w:rPr>
          <w:rStyle w:val="4"/>
          <w:rFonts w:hint="eastAsia" w:ascii="微软雅黑" w:hAnsi="微软雅黑" w:eastAsia="微软雅黑" w:cs="微软雅黑"/>
          <w:i w:val="0"/>
          <w:caps w:val="0"/>
          <w:color w:val="000000"/>
          <w:spacing w:val="0"/>
          <w:kern w:val="0"/>
          <w:sz w:val="19"/>
          <w:szCs w:val="19"/>
          <w:lang w:val="en-US" w:eastAsia="zh-CN" w:bidi="ar"/>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第七十八条　中华人民共和国缔结或者参加的与国际或者国境边界河流、湖泊有关的国际条约、协定与中华人民共和国法律有不同规定的，适用国际条约、协定的规定。但是，中华人民共和国声明保留的条款除外。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第七十九条　本法所称水工程，是指在江河、湖泊和地下水源上开发、利用、控制、调配和保护水资源的各类工程。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第八十条　海水的开发、利用、保护和管理，依照有关法律的规定执行。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第八十一条　从事防洪活动，依照防洪法的规定执行。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水污染防治，依照水污染防治法的规定执行。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20" w:lineRule="atLeast"/>
        <w:ind w:left="0" w:right="0"/>
        <w:rPr>
          <w:b w:val="0"/>
          <w:sz w:val="19"/>
          <w:szCs w:val="19"/>
        </w:rPr>
      </w:pPr>
      <w:r>
        <w:rPr>
          <w:rFonts w:hint="eastAsia" w:ascii="微软雅黑" w:hAnsi="微软雅黑" w:eastAsia="微软雅黑" w:cs="微软雅黑"/>
          <w:b w:val="0"/>
          <w:i w:val="0"/>
          <w:caps w:val="0"/>
          <w:color w:val="000000"/>
          <w:spacing w:val="0"/>
          <w:sz w:val="19"/>
          <w:szCs w:val="19"/>
          <w:bdr w:val="none" w:color="auto" w:sz="0" w:space="0"/>
        </w:rPr>
        <w:t>　　第八十二条　本法自2002年10月1日起施行。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4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RMG</dc:creator>
  <cp:lastModifiedBy>炯</cp:lastModifiedBy>
  <dcterms:modified xsi:type="dcterms:W3CDTF">2018-03-21T08:31:10Z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